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FC150" w14:textId="77777777" w:rsidR="00224FC0" w:rsidRPr="00052A94" w:rsidRDefault="00224FC0" w:rsidP="00224FC0">
      <w:pPr>
        <w:pStyle w:val="Geenafstand"/>
        <w:rPr>
          <w:rFonts w:ascii="Garamond" w:hAnsi="Garamond"/>
          <w:b/>
          <w:sz w:val="28"/>
          <w:szCs w:val="24"/>
          <w:lang w:val="en-GB"/>
        </w:rPr>
      </w:pPr>
      <w:r w:rsidRPr="00052A94">
        <w:rPr>
          <w:rFonts w:ascii="Garamond" w:hAnsi="Garamond"/>
          <w:b/>
          <w:sz w:val="28"/>
          <w:szCs w:val="24"/>
          <w:lang w:val="en-GB"/>
        </w:rPr>
        <w:t xml:space="preserve">Supplementary </w:t>
      </w:r>
      <w:r w:rsidR="00D32C6D" w:rsidRPr="00052A94">
        <w:rPr>
          <w:rFonts w:ascii="Garamond" w:hAnsi="Garamond"/>
          <w:b/>
          <w:sz w:val="28"/>
          <w:szCs w:val="24"/>
          <w:lang w:val="en-GB"/>
        </w:rPr>
        <w:t>Information</w:t>
      </w:r>
      <w:r w:rsidRPr="00052A94">
        <w:rPr>
          <w:rFonts w:ascii="Garamond" w:hAnsi="Garamond"/>
          <w:b/>
          <w:sz w:val="28"/>
          <w:szCs w:val="24"/>
          <w:lang w:val="en-GB"/>
        </w:rPr>
        <w:t xml:space="preserve"> </w:t>
      </w:r>
    </w:p>
    <w:p w14:paraId="5807EA89" w14:textId="77777777" w:rsidR="00224FC0" w:rsidRPr="00404ABF" w:rsidRDefault="00224FC0" w:rsidP="00224FC0">
      <w:pPr>
        <w:pStyle w:val="Default"/>
        <w:spacing w:line="480" w:lineRule="auto"/>
        <w:rPr>
          <w:rFonts w:ascii="Garamond" w:hAnsi="Garamond"/>
          <w:lang w:val="en-US"/>
        </w:rPr>
      </w:pPr>
    </w:p>
    <w:p w14:paraId="42BD66C1" w14:textId="77777777" w:rsidR="00224FC0" w:rsidRPr="00404ABF" w:rsidRDefault="00224FC0" w:rsidP="00224FC0">
      <w:pPr>
        <w:pStyle w:val="Default"/>
        <w:spacing w:line="480" w:lineRule="auto"/>
        <w:rPr>
          <w:rFonts w:ascii="Garamond" w:hAnsi="Garamond" w:cstheme="minorHAnsi"/>
          <w:lang w:val="en-US"/>
        </w:rPr>
      </w:pPr>
      <w:r w:rsidRPr="00404ABF">
        <w:rPr>
          <w:rFonts w:ascii="Garamond" w:hAnsi="Garamond" w:cstheme="minorHAnsi"/>
          <w:lang w:val="en-US"/>
        </w:rPr>
        <w:t xml:space="preserve">This appendix has been provided by the authors to give readers additional information about their work. </w:t>
      </w:r>
    </w:p>
    <w:p w14:paraId="771BE3E9" w14:textId="77777777" w:rsidR="00224FC0" w:rsidRPr="00404ABF" w:rsidRDefault="00224FC0" w:rsidP="00224FC0">
      <w:pPr>
        <w:pStyle w:val="Default"/>
        <w:spacing w:line="480" w:lineRule="auto"/>
        <w:rPr>
          <w:rFonts w:ascii="Garamond" w:hAnsi="Garamond" w:cstheme="minorHAnsi"/>
          <w:lang w:val="en-US"/>
        </w:rPr>
      </w:pPr>
    </w:p>
    <w:p w14:paraId="04034DC5" w14:textId="77777777" w:rsidR="00224FC0" w:rsidRPr="00052A94" w:rsidRDefault="00224FC0" w:rsidP="00224FC0">
      <w:pPr>
        <w:spacing w:line="480" w:lineRule="auto"/>
        <w:rPr>
          <w:rFonts w:ascii="Garamond" w:hAnsi="Garamond"/>
          <w:sz w:val="28"/>
          <w:szCs w:val="24"/>
          <w:lang w:val="en-US"/>
        </w:rPr>
      </w:pPr>
      <w:r w:rsidRPr="00052A94">
        <w:rPr>
          <w:rFonts w:ascii="Garamond" w:hAnsi="Garamond" w:cstheme="minorHAnsi"/>
          <w:b/>
          <w:bCs/>
          <w:sz w:val="28"/>
          <w:szCs w:val="24"/>
          <w:lang w:val="en-US"/>
        </w:rPr>
        <w:t>Suspected common bile duct stones: reduction of unnecessary ERCP by pre-procedural imaging and timing of ERCP</w:t>
      </w:r>
    </w:p>
    <w:p w14:paraId="0DCB363E" w14:textId="77777777" w:rsidR="00224FC0" w:rsidRPr="00404ABF" w:rsidRDefault="00224FC0" w:rsidP="00224FC0">
      <w:pPr>
        <w:spacing w:line="360" w:lineRule="auto"/>
        <w:jc w:val="both"/>
        <w:rPr>
          <w:rFonts w:ascii="Garamond" w:hAnsi="Garamond" w:cstheme="minorHAnsi"/>
          <w:sz w:val="24"/>
          <w:szCs w:val="24"/>
          <w:lang w:val="en-US"/>
        </w:rPr>
      </w:pPr>
      <w:r w:rsidRPr="00404ABF">
        <w:rPr>
          <w:rFonts w:ascii="Garamond" w:hAnsi="Garamond" w:cstheme="minorHAnsi"/>
          <w:sz w:val="24"/>
          <w:szCs w:val="24"/>
          <w:lang w:val="en-US"/>
        </w:rPr>
        <w:t>Christina J. Sperna Weiland, Evelien C. Verschoor, Alexander C. Poen, Xavier J.M.N. Smeets, Niels G. Venneman, Abha Bhalla, prof. Ben J.M. Witteman, Hester C. Timmerhuis, Devica S. Umans, prof. Jeanin E. van Hooft, prof. Marco J. Bruno, prof. P. Fockens, Robert C. Verdonk, prof. Joost P.H. Drenth, Erwin J.M. van Geenen for the Dutch Pancreatitis Study Group</w:t>
      </w:r>
    </w:p>
    <w:p w14:paraId="677B8854" w14:textId="77777777" w:rsidR="008354DA" w:rsidRDefault="00224FC0" w:rsidP="00443A01">
      <w:pPr>
        <w:pStyle w:val="Kopvaninhoudsopgave"/>
        <w:rPr>
          <w:rFonts w:ascii="Garamond" w:hAnsi="Garamond" w:cstheme="minorHAnsi"/>
          <w:b/>
          <w:color w:val="000000"/>
          <w:sz w:val="24"/>
          <w:szCs w:val="24"/>
          <w:shd w:val="clear" w:color="auto" w:fill="FFFFFF"/>
          <w:lang w:val="en-US"/>
        </w:rPr>
      </w:pPr>
      <w:r w:rsidRPr="00404ABF">
        <w:rPr>
          <w:rFonts w:ascii="Garamond" w:hAnsi="Garamond" w:cstheme="minorHAnsi"/>
          <w:b/>
          <w:color w:val="000000"/>
          <w:sz w:val="24"/>
          <w:szCs w:val="24"/>
          <w:shd w:val="clear" w:color="auto" w:fill="FFFFFF"/>
          <w:lang w:val="en-US"/>
        </w:rPr>
        <w:br w:type="page"/>
      </w:r>
    </w:p>
    <w:sdt>
      <w:sdtPr>
        <w:rPr>
          <w:rFonts w:ascii="Garamond" w:eastAsiaTheme="minorHAnsi" w:hAnsi="Garamond" w:cstheme="minorBidi"/>
          <w:color w:val="auto"/>
          <w:sz w:val="24"/>
          <w:szCs w:val="24"/>
          <w:lang w:eastAsia="en-US"/>
        </w:rPr>
        <w:id w:val="1819527134"/>
        <w:docPartObj>
          <w:docPartGallery w:val="Table of Contents"/>
          <w:docPartUnique/>
        </w:docPartObj>
      </w:sdtPr>
      <w:sdtEndPr>
        <w:rPr>
          <w:b/>
          <w:bCs/>
        </w:rPr>
      </w:sdtEndPr>
      <w:sdtContent>
        <w:p w14:paraId="5600592B" w14:textId="60CE5ABA" w:rsidR="00443A01" w:rsidRPr="00226082" w:rsidRDefault="00443A01" w:rsidP="00443A01">
          <w:pPr>
            <w:pStyle w:val="Kopvaninhoudsopgave"/>
            <w:rPr>
              <w:rFonts w:ascii="Garamond" w:hAnsi="Garamond" w:cstheme="minorHAnsi"/>
              <w:b/>
              <w:color w:val="auto"/>
              <w:sz w:val="24"/>
              <w:szCs w:val="24"/>
            </w:rPr>
          </w:pPr>
          <w:r w:rsidRPr="00226082">
            <w:rPr>
              <w:rFonts w:ascii="Garamond" w:hAnsi="Garamond" w:cstheme="minorHAnsi"/>
              <w:b/>
              <w:color w:val="auto"/>
              <w:sz w:val="24"/>
              <w:szCs w:val="24"/>
            </w:rPr>
            <w:t xml:space="preserve">Contents </w:t>
          </w:r>
        </w:p>
        <w:p w14:paraId="6669B357" w14:textId="384FD0A0" w:rsidR="00443A01" w:rsidRPr="008354DA" w:rsidRDefault="00443A01" w:rsidP="008354DA">
          <w:pPr>
            <w:pStyle w:val="Inhopg1"/>
            <w:rPr>
              <w:noProof/>
            </w:rPr>
          </w:pPr>
          <w:r w:rsidRPr="00226082">
            <w:fldChar w:fldCharType="begin"/>
          </w:r>
          <w:r w:rsidRPr="00226082">
            <w:instrText xml:space="preserve"> TOC \o "1-3" \h \z \u </w:instrText>
          </w:r>
          <w:r w:rsidRPr="00226082">
            <w:fldChar w:fldCharType="separate"/>
          </w:r>
          <w:hyperlink w:anchor="_Toc72139864" w:history="1">
            <w:r w:rsidRPr="008354DA">
              <w:rPr>
                <w:rStyle w:val="Hyperlink"/>
                <w:rFonts w:ascii="Garamond" w:hAnsi="Garamond" w:cstheme="minorHAnsi"/>
                <w:noProof/>
                <w:color w:val="auto"/>
                <w:sz w:val="24"/>
                <w:szCs w:val="24"/>
                <w:u w:val="none"/>
                <w:shd w:val="clear" w:color="auto" w:fill="FFFFFF"/>
                <w:lang w:val="en-US"/>
              </w:rPr>
              <w:t xml:space="preserve">Table </w:t>
            </w:r>
            <w:r w:rsidR="005D18C0" w:rsidRPr="008354DA">
              <w:rPr>
                <w:rStyle w:val="Hyperlink"/>
                <w:rFonts w:ascii="Garamond" w:hAnsi="Garamond" w:cstheme="minorHAnsi"/>
                <w:noProof/>
                <w:color w:val="auto"/>
                <w:sz w:val="24"/>
                <w:szCs w:val="24"/>
                <w:u w:val="none"/>
                <w:shd w:val="clear" w:color="auto" w:fill="FFFFFF"/>
                <w:lang w:val="en-US"/>
              </w:rPr>
              <w:t>S</w:t>
            </w:r>
            <w:r w:rsidRPr="008354DA">
              <w:rPr>
                <w:rStyle w:val="Hyperlink"/>
                <w:rFonts w:ascii="Garamond" w:hAnsi="Garamond" w:cstheme="minorHAnsi"/>
                <w:noProof/>
                <w:color w:val="auto"/>
                <w:sz w:val="24"/>
                <w:szCs w:val="24"/>
                <w:u w:val="none"/>
                <w:shd w:val="clear" w:color="auto" w:fill="FFFFFF"/>
                <w:lang w:val="en-US"/>
              </w:rPr>
              <w:t>1.</w:t>
            </w:r>
            <w:r w:rsidRPr="008354DA">
              <w:rPr>
                <w:rStyle w:val="Hyperlink"/>
                <w:rFonts w:ascii="Garamond" w:hAnsi="Garamond" w:cstheme="minorHAnsi"/>
                <w:b/>
                <w:noProof/>
                <w:color w:val="auto"/>
                <w:sz w:val="24"/>
                <w:szCs w:val="24"/>
                <w:u w:val="none"/>
                <w:shd w:val="clear" w:color="auto" w:fill="FFFFFF"/>
                <w:lang w:val="en-US"/>
              </w:rPr>
              <w:t xml:space="preserve"> </w:t>
            </w:r>
            <w:r w:rsidRPr="008354DA">
              <w:rPr>
                <w:rStyle w:val="Hyperlink"/>
                <w:rFonts w:ascii="Garamond" w:hAnsi="Garamond" w:cstheme="minorHAnsi"/>
                <w:noProof/>
                <w:color w:val="auto"/>
                <w:sz w:val="24"/>
                <w:szCs w:val="24"/>
                <w:u w:val="none"/>
                <w:shd w:val="clear" w:color="auto" w:fill="FFFFFF"/>
                <w:lang w:val="en-US"/>
              </w:rPr>
              <w:t>D</w:t>
            </w:r>
            <w:r w:rsidRPr="008354DA">
              <w:rPr>
                <w:rStyle w:val="Hyperlink"/>
                <w:rFonts w:ascii="Garamond" w:hAnsi="Garamond" w:cstheme="minorHAnsi"/>
                <w:noProof/>
                <w:color w:val="auto"/>
                <w:sz w:val="24"/>
                <w:szCs w:val="24"/>
                <w:u w:val="none"/>
                <w:lang w:val="en-US"/>
              </w:rPr>
              <w:t>emonstrating details of ASGE 2010 and 2019 and ESGE 2019 guideline</w:t>
            </w:r>
            <w:r w:rsidRPr="008354DA">
              <w:rPr>
                <w:noProof/>
                <w:webHidden/>
              </w:rPr>
              <w:tab/>
            </w:r>
            <w:r w:rsidRPr="008354DA">
              <w:rPr>
                <w:noProof/>
                <w:webHidden/>
              </w:rPr>
              <w:fldChar w:fldCharType="begin"/>
            </w:r>
            <w:r w:rsidRPr="008354DA">
              <w:rPr>
                <w:noProof/>
                <w:webHidden/>
              </w:rPr>
              <w:instrText xml:space="preserve"> PAGEREF _Toc72139864 \h </w:instrText>
            </w:r>
            <w:r w:rsidRPr="008354DA">
              <w:rPr>
                <w:noProof/>
                <w:webHidden/>
              </w:rPr>
            </w:r>
            <w:r w:rsidRPr="008354DA">
              <w:rPr>
                <w:noProof/>
                <w:webHidden/>
              </w:rPr>
              <w:fldChar w:fldCharType="separate"/>
            </w:r>
            <w:r w:rsidRPr="008354DA">
              <w:rPr>
                <w:noProof/>
                <w:webHidden/>
              </w:rPr>
              <w:t>3</w:t>
            </w:r>
            <w:r w:rsidRPr="008354DA">
              <w:rPr>
                <w:noProof/>
                <w:webHidden/>
              </w:rPr>
              <w:fldChar w:fldCharType="end"/>
            </w:r>
          </w:hyperlink>
        </w:p>
        <w:p w14:paraId="7C57CD83" w14:textId="31536483" w:rsidR="00DE375E" w:rsidRPr="008354DA" w:rsidRDefault="00DE375E" w:rsidP="008354DA">
          <w:pPr>
            <w:pStyle w:val="Inhopg1"/>
            <w:rPr>
              <w:rStyle w:val="Hyperlink"/>
              <w:rFonts w:ascii="Garamond" w:hAnsi="Garamond" w:cstheme="minorHAnsi"/>
              <w:noProof/>
              <w:color w:val="auto"/>
              <w:sz w:val="24"/>
              <w:szCs w:val="24"/>
              <w:u w:val="none"/>
            </w:rPr>
          </w:pPr>
          <w:r w:rsidRPr="008354DA">
            <w:rPr>
              <w:rStyle w:val="Hyperlink"/>
              <w:rFonts w:ascii="Garamond" w:hAnsi="Garamond" w:cstheme="minorHAnsi"/>
              <w:noProof/>
              <w:color w:val="auto"/>
              <w:sz w:val="24"/>
              <w:szCs w:val="24"/>
              <w:u w:val="none"/>
            </w:rPr>
            <w:t xml:space="preserve">Figure </w:t>
          </w:r>
          <w:r w:rsidR="005D18C0" w:rsidRPr="008354DA">
            <w:rPr>
              <w:rStyle w:val="Hyperlink"/>
              <w:rFonts w:ascii="Garamond" w:hAnsi="Garamond" w:cstheme="minorHAnsi"/>
              <w:noProof/>
              <w:color w:val="auto"/>
              <w:sz w:val="24"/>
              <w:szCs w:val="24"/>
              <w:u w:val="none"/>
            </w:rPr>
            <w:t>S</w:t>
          </w:r>
          <w:r w:rsidRPr="008354DA">
            <w:rPr>
              <w:rStyle w:val="Hyperlink"/>
              <w:rFonts w:ascii="Garamond" w:hAnsi="Garamond" w:cstheme="minorHAnsi"/>
              <w:noProof/>
              <w:color w:val="auto"/>
              <w:sz w:val="24"/>
              <w:szCs w:val="24"/>
              <w:u w:val="none"/>
            </w:rPr>
            <w:t>1.</w:t>
          </w:r>
          <w:r w:rsidR="00A07103" w:rsidRPr="008354DA">
            <w:rPr>
              <w:rStyle w:val="Hyperlink"/>
              <w:rFonts w:ascii="Garamond" w:hAnsi="Garamond" w:cstheme="minorHAnsi"/>
              <w:noProof/>
              <w:color w:val="auto"/>
              <w:sz w:val="24"/>
              <w:szCs w:val="24"/>
              <w:u w:val="none"/>
            </w:rPr>
            <w:t xml:space="preserve"> Patient selection and risk stratification of included patients with suspected common bile duct stones</w:t>
          </w:r>
          <w:r w:rsidRPr="008354DA">
            <w:rPr>
              <w:rStyle w:val="Hyperlink"/>
              <w:rFonts w:ascii="Garamond" w:hAnsi="Garamond" w:cstheme="minorHAnsi"/>
              <w:noProof/>
              <w:webHidden/>
              <w:color w:val="auto"/>
              <w:sz w:val="24"/>
              <w:szCs w:val="24"/>
              <w:u w:val="none"/>
            </w:rPr>
            <w:tab/>
            <w:t>4</w:t>
          </w:r>
        </w:p>
        <w:p w14:paraId="4D94E3F8" w14:textId="3FBA87F3" w:rsidR="00443A01" w:rsidRPr="008354DA" w:rsidRDefault="00443A01" w:rsidP="008354DA">
          <w:pPr>
            <w:pStyle w:val="Inhopg1"/>
            <w:rPr>
              <w:rStyle w:val="Hyperlink"/>
              <w:rFonts w:ascii="Garamond" w:hAnsi="Garamond" w:cstheme="minorHAnsi"/>
              <w:noProof/>
              <w:color w:val="auto"/>
              <w:sz w:val="24"/>
              <w:szCs w:val="24"/>
              <w:u w:val="none"/>
            </w:rPr>
          </w:pPr>
          <w:r w:rsidRPr="008354DA">
            <w:rPr>
              <w:rStyle w:val="Hyperlink"/>
              <w:rFonts w:ascii="Garamond" w:hAnsi="Garamond" w:cstheme="minorHAnsi"/>
              <w:noProof/>
              <w:color w:val="auto"/>
              <w:sz w:val="24"/>
              <w:szCs w:val="24"/>
              <w:u w:val="none"/>
            </w:rPr>
            <w:t xml:space="preserve">Table </w:t>
          </w:r>
          <w:r w:rsidR="005D18C0" w:rsidRPr="008354DA">
            <w:rPr>
              <w:rStyle w:val="Hyperlink"/>
              <w:rFonts w:ascii="Garamond" w:hAnsi="Garamond" w:cstheme="minorHAnsi"/>
              <w:noProof/>
              <w:color w:val="auto"/>
              <w:sz w:val="24"/>
              <w:szCs w:val="24"/>
              <w:u w:val="none"/>
            </w:rPr>
            <w:t>S</w:t>
          </w:r>
          <w:r w:rsidRPr="008354DA">
            <w:rPr>
              <w:rStyle w:val="Hyperlink"/>
              <w:rFonts w:ascii="Garamond" w:hAnsi="Garamond" w:cstheme="minorHAnsi"/>
              <w:noProof/>
              <w:color w:val="auto"/>
              <w:sz w:val="24"/>
              <w:szCs w:val="24"/>
              <w:u w:val="none"/>
            </w:rPr>
            <w:t>2. Demonstrating prediction and adherence to the recommendations of American and European guidelines for management of patients with suspected choledocholithiasis in relation to the presence of choledocholithiasis.</w:t>
          </w:r>
          <w:r w:rsidRPr="008354DA">
            <w:rPr>
              <w:rStyle w:val="Hyperlink"/>
              <w:rFonts w:ascii="Garamond" w:hAnsi="Garamond" w:cstheme="minorHAnsi"/>
              <w:noProof/>
              <w:webHidden/>
              <w:color w:val="auto"/>
              <w:sz w:val="24"/>
              <w:szCs w:val="24"/>
              <w:u w:val="none"/>
            </w:rPr>
            <w:tab/>
          </w:r>
          <w:r w:rsidR="00C222DB" w:rsidRPr="008354DA">
            <w:rPr>
              <w:rStyle w:val="Hyperlink"/>
              <w:rFonts w:ascii="Garamond" w:hAnsi="Garamond" w:cstheme="minorHAnsi"/>
              <w:noProof/>
              <w:webHidden/>
              <w:color w:val="auto"/>
              <w:sz w:val="24"/>
              <w:szCs w:val="24"/>
              <w:u w:val="none"/>
            </w:rPr>
            <w:t>5</w:t>
          </w:r>
        </w:p>
        <w:p w14:paraId="63FA8100" w14:textId="71FE4A18" w:rsidR="00443A01" w:rsidRPr="008354DA" w:rsidRDefault="00443A01" w:rsidP="008354DA">
          <w:pPr>
            <w:pStyle w:val="Inhopg1"/>
            <w:rPr>
              <w:rStyle w:val="Hyperlink"/>
              <w:rFonts w:ascii="Garamond" w:hAnsi="Garamond" w:cstheme="minorHAnsi"/>
              <w:noProof/>
              <w:color w:val="auto"/>
              <w:sz w:val="24"/>
              <w:szCs w:val="24"/>
              <w:u w:val="none"/>
            </w:rPr>
          </w:pPr>
          <w:r w:rsidRPr="008354DA">
            <w:rPr>
              <w:rStyle w:val="Hyperlink"/>
              <w:rFonts w:ascii="Garamond" w:hAnsi="Garamond" w:cstheme="minorHAnsi"/>
              <w:noProof/>
              <w:color w:val="auto"/>
              <w:sz w:val="24"/>
              <w:szCs w:val="24"/>
              <w:u w:val="none"/>
            </w:rPr>
            <w:t xml:space="preserve">Table </w:t>
          </w:r>
          <w:r w:rsidR="005D18C0" w:rsidRPr="008354DA">
            <w:rPr>
              <w:rStyle w:val="Hyperlink"/>
              <w:rFonts w:ascii="Garamond" w:hAnsi="Garamond" w:cstheme="minorHAnsi"/>
              <w:noProof/>
              <w:color w:val="auto"/>
              <w:sz w:val="24"/>
              <w:szCs w:val="24"/>
              <w:u w:val="none"/>
            </w:rPr>
            <w:t>S</w:t>
          </w:r>
          <w:r w:rsidRPr="008354DA">
            <w:rPr>
              <w:rStyle w:val="Hyperlink"/>
              <w:rFonts w:ascii="Garamond" w:hAnsi="Garamond" w:cstheme="minorHAnsi"/>
              <w:noProof/>
              <w:color w:val="auto"/>
              <w:sz w:val="24"/>
              <w:szCs w:val="24"/>
              <w:u w:val="none"/>
            </w:rPr>
            <w:t>3. Demonstrating imaging 0-31 days before ERCP</w:t>
          </w:r>
          <w:r w:rsidRPr="008354DA">
            <w:rPr>
              <w:rStyle w:val="Hyperlink"/>
              <w:rFonts w:ascii="Garamond" w:hAnsi="Garamond" w:cstheme="minorHAnsi"/>
              <w:noProof/>
              <w:webHidden/>
              <w:color w:val="auto"/>
              <w:sz w:val="24"/>
              <w:szCs w:val="24"/>
              <w:u w:val="none"/>
            </w:rPr>
            <w:tab/>
          </w:r>
          <w:r w:rsidR="00C222DB" w:rsidRPr="008354DA">
            <w:rPr>
              <w:rStyle w:val="Hyperlink"/>
              <w:rFonts w:ascii="Garamond" w:hAnsi="Garamond" w:cstheme="minorHAnsi"/>
              <w:noProof/>
              <w:webHidden/>
              <w:color w:val="auto"/>
              <w:sz w:val="24"/>
              <w:szCs w:val="24"/>
              <w:u w:val="none"/>
            </w:rPr>
            <w:t>6</w:t>
          </w:r>
        </w:p>
        <w:p w14:paraId="1C33D7A9" w14:textId="436D6C3C" w:rsidR="00443A01" w:rsidRPr="008354DA" w:rsidRDefault="00443A01" w:rsidP="008354DA">
          <w:pPr>
            <w:pStyle w:val="Inhopg1"/>
            <w:rPr>
              <w:rStyle w:val="Hyperlink"/>
              <w:rFonts w:ascii="Garamond" w:hAnsi="Garamond" w:cstheme="minorHAnsi"/>
              <w:noProof/>
              <w:color w:val="auto"/>
              <w:sz w:val="24"/>
              <w:szCs w:val="24"/>
              <w:u w:val="none"/>
            </w:rPr>
          </w:pPr>
          <w:r w:rsidRPr="008354DA">
            <w:rPr>
              <w:rStyle w:val="Hyperlink"/>
              <w:rFonts w:ascii="Garamond" w:hAnsi="Garamond" w:cstheme="minorHAnsi"/>
              <w:noProof/>
              <w:color w:val="auto"/>
              <w:sz w:val="24"/>
              <w:szCs w:val="24"/>
              <w:u w:val="none"/>
            </w:rPr>
            <w:t xml:space="preserve">Table </w:t>
          </w:r>
          <w:r w:rsidR="005D18C0" w:rsidRPr="008354DA">
            <w:rPr>
              <w:rStyle w:val="Hyperlink"/>
              <w:rFonts w:ascii="Garamond" w:hAnsi="Garamond" w:cstheme="minorHAnsi"/>
              <w:noProof/>
              <w:color w:val="auto"/>
              <w:sz w:val="24"/>
              <w:szCs w:val="24"/>
              <w:u w:val="none"/>
            </w:rPr>
            <w:t>S</w:t>
          </w:r>
          <w:r w:rsidRPr="008354DA">
            <w:rPr>
              <w:rStyle w:val="Hyperlink"/>
              <w:rFonts w:ascii="Garamond" w:hAnsi="Garamond" w:cstheme="minorHAnsi"/>
              <w:noProof/>
              <w:color w:val="auto"/>
              <w:sz w:val="24"/>
              <w:szCs w:val="24"/>
              <w:u w:val="none"/>
            </w:rPr>
            <w:t>4. Demonstrating imaging day 0-31 before ERCP in patients with negative and positive ERCP</w:t>
          </w:r>
          <w:r w:rsidRPr="008354DA">
            <w:rPr>
              <w:rStyle w:val="Hyperlink"/>
              <w:rFonts w:ascii="Garamond" w:hAnsi="Garamond" w:cstheme="minorHAnsi"/>
              <w:noProof/>
              <w:webHidden/>
              <w:color w:val="auto"/>
              <w:sz w:val="24"/>
              <w:szCs w:val="24"/>
              <w:u w:val="none"/>
            </w:rPr>
            <w:tab/>
          </w:r>
          <w:r w:rsidR="00DE375E" w:rsidRPr="008354DA">
            <w:rPr>
              <w:rStyle w:val="Hyperlink"/>
              <w:rFonts w:ascii="Garamond" w:hAnsi="Garamond" w:cstheme="minorHAnsi"/>
              <w:noProof/>
              <w:webHidden/>
              <w:color w:val="auto"/>
              <w:sz w:val="24"/>
              <w:szCs w:val="24"/>
              <w:u w:val="none"/>
            </w:rPr>
            <w:t>6</w:t>
          </w:r>
        </w:p>
        <w:p w14:paraId="0BE52F23" w14:textId="57DE1AD4" w:rsidR="00443A01" w:rsidRPr="008354DA" w:rsidRDefault="00443A01" w:rsidP="008354DA">
          <w:pPr>
            <w:pStyle w:val="Inhopg1"/>
            <w:rPr>
              <w:rStyle w:val="Hyperlink"/>
              <w:rFonts w:cstheme="minorHAnsi"/>
              <w:lang w:val="en-US"/>
            </w:rPr>
          </w:pPr>
          <w:hyperlink w:anchor="_Toc72139868" w:history="1">
            <w:r w:rsidRPr="008354DA">
              <w:rPr>
                <w:rStyle w:val="Hyperlink"/>
                <w:rFonts w:ascii="Garamond" w:hAnsi="Garamond" w:cstheme="minorHAnsi"/>
                <w:noProof/>
                <w:sz w:val="24"/>
                <w:szCs w:val="24"/>
                <w:lang w:val="en-US"/>
              </w:rPr>
              <w:t xml:space="preserve">Table </w:t>
            </w:r>
            <w:r w:rsidR="005D18C0" w:rsidRPr="008354DA">
              <w:rPr>
                <w:rStyle w:val="Hyperlink"/>
                <w:rFonts w:ascii="Garamond" w:hAnsi="Garamond" w:cstheme="minorHAnsi"/>
                <w:noProof/>
                <w:sz w:val="24"/>
                <w:szCs w:val="24"/>
                <w:lang w:val="en-US"/>
              </w:rPr>
              <w:t>S</w:t>
            </w:r>
            <w:r w:rsidRPr="008354DA">
              <w:rPr>
                <w:rStyle w:val="Hyperlink"/>
                <w:rFonts w:ascii="Garamond" w:hAnsi="Garamond" w:cstheme="minorHAnsi"/>
                <w:noProof/>
                <w:sz w:val="24"/>
                <w:szCs w:val="24"/>
                <w:lang w:val="en-US"/>
              </w:rPr>
              <w:t>5. Demonstrating the outcome of imaging in patients that received imaging 32-93 days before ERCP and ERCP indication for biliary event in these patients (n=72)</w:t>
            </w:r>
            <w:r w:rsidRPr="008354DA">
              <w:rPr>
                <w:rStyle w:val="Hyperlink"/>
                <w:rFonts w:cstheme="minorHAnsi"/>
                <w:noProof/>
                <w:webHidden/>
              </w:rPr>
              <w:tab/>
            </w:r>
          </w:hyperlink>
          <w:r w:rsidR="00DE375E" w:rsidRPr="008354DA">
            <w:rPr>
              <w:rStyle w:val="Hyperlink"/>
              <w:rFonts w:cstheme="minorHAnsi"/>
              <w:color w:val="auto"/>
              <w:u w:val="none"/>
              <w:lang w:val="en-US"/>
            </w:rPr>
            <w:t>7</w:t>
          </w:r>
        </w:p>
        <w:p w14:paraId="724E02CA" w14:textId="32113D50" w:rsidR="00443A01" w:rsidRDefault="00443A01" w:rsidP="00443A01">
          <w:pPr>
            <w:rPr>
              <w:rFonts w:ascii="Garamond" w:hAnsi="Garamond"/>
              <w:b/>
              <w:bCs/>
              <w:sz w:val="24"/>
              <w:szCs w:val="24"/>
            </w:rPr>
          </w:pPr>
          <w:r w:rsidRPr="00226082">
            <w:rPr>
              <w:rFonts w:ascii="Garamond" w:hAnsi="Garamond"/>
              <w:b/>
              <w:bCs/>
              <w:sz w:val="24"/>
              <w:szCs w:val="24"/>
            </w:rPr>
            <w:fldChar w:fldCharType="end"/>
          </w:r>
        </w:p>
      </w:sdtContent>
    </w:sdt>
    <w:p w14:paraId="35CDFE9D" w14:textId="77777777" w:rsidR="00064A95" w:rsidRPr="00404ABF" w:rsidRDefault="00064A95">
      <w:pPr>
        <w:rPr>
          <w:rFonts w:ascii="Garamond" w:hAnsi="Garamond" w:cstheme="minorHAnsi"/>
          <w:b/>
          <w:color w:val="000000"/>
          <w:sz w:val="24"/>
          <w:szCs w:val="24"/>
          <w:shd w:val="clear" w:color="auto" w:fill="FFFFFF"/>
          <w:lang w:val="en-US"/>
        </w:rPr>
      </w:pPr>
      <w:r w:rsidRPr="00404ABF">
        <w:rPr>
          <w:rFonts w:ascii="Garamond" w:hAnsi="Garamond" w:cstheme="minorHAnsi"/>
          <w:b/>
          <w:sz w:val="24"/>
          <w:szCs w:val="24"/>
          <w:shd w:val="clear" w:color="auto" w:fill="FFFFFF"/>
          <w:lang w:val="en-US"/>
        </w:rPr>
        <w:br w:type="page"/>
      </w:r>
    </w:p>
    <w:tbl>
      <w:tblPr>
        <w:tblStyle w:val="Tabelraster"/>
        <w:tblW w:w="500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158"/>
        <w:gridCol w:w="2716"/>
      </w:tblGrid>
      <w:tr w:rsidR="00D32C6D" w:rsidRPr="00896CA7" w14:paraId="2FA056D0" w14:textId="77777777" w:rsidTr="00B00E40">
        <w:tc>
          <w:tcPr>
            <w:tcW w:w="5000" w:type="pct"/>
            <w:gridSpan w:val="3"/>
            <w:tcBorders>
              <w:bottom w:val="single" w:sz="4" w:space="0" w:color="auto"/>
            </w:tcBorders>
          </w:tcPr>
          <w:p w14:paraId="3AAD90FF" w14:textId="77777777" w:rsidR="00D32C6D" w:rsidRPr="00052A94" w:rsidRDefault="00D32C6D" w:rsidP="00B00E40">
            <w:pPr>
              <w:rPr>
                <w:rFonts w:ascii="Garamond" w:hAnsi="Garamond" w:cstheme="minorHAnsi"/>
                <w:b/>
                <w:sz w:val="22"/>
                <w:szCs w:val="24"/>
                <w:lang w:val="en-US"/>
              </w:rPr>
            </w:pPr>
            <w:bookmarkStart w:id="0" w:name="_Toc72139865"/>
            <w:r w:rsidRPr="00052A94">
              <w:rPr>
                <w:rFonts w:ascii="Garamond" w:hAnsi="Garamond" w:cstheme="minorHAnsi"/>
                <w:b/>
                <w:color w:val="000000"/>
                <w:sz w:val="22"/>
                <w:szCs w:val="24"/>
                <w:shd w:val="clear" w:color="auto" w:fill="FFFFFF"/>
                <w:lang w:val="en-US"/>
              </w:rPr>
              <w:lastRenderedPageBreak/>
              <w:t xml:space="preserve">Table S1. </w:t>
            </w:r>
            <w:r w:rsidRPr="00052A94">
              <w:rPr>
                <w:rFonts w:ascii="Garamond" w:hAnsi="Garamond"/>
                <w:b/>
                <w:sz w:val="22"/>
                <w:szCs w:val="24"/>
                <w:lang w:val="en-US"/>
              </w:rPr>
              <w:t>Demonstrating details of ASGE 2010 and 2019 and ESGE 2019 guideline on the management of common bile duct stones</w:t>
            </w:r>
          </w:p>
        </w:tc>
      </w:tr>
      <w:tr w:rsidR="00D32C6D" w:rsidRPr="00052A94" w14:paraId="6E47A1C5" w14:textId="77777777" w:rsidTr="00B00E40">
        <w:tc>
          <w:tcPr>
            <w:tcW w:w="1764" w:type="pct"/>
            <w:tcBorders>
              <w:top w:val="single" w:sz="4" w:space="0" w:color="auto"/>
              <w:bottom w:val="double" w:sz="4" w:space="0" w:color="auto"/>
            </w:tcBorders>
          </w:tcPr>
          <w:p w14:paraId="352F2AAD" w14:textId="77777777" w:rsidR="00D32C6D" w:rsidRPr="00052A94" w:rsidRDefault="00D32C6D" w:rsidP="00B00E40">
            <w:pPr>
              <w:spacing w:line="288" w:lineRule="auto"/>
              <w:rPr>
                <w:rFonts w:ascii="Garamond" w:hAnsi="Garamond" w:cstheme="minorHAnsi"/>
                <w:b/>
                <w:sz w:val="22"/>
                <w:szCs w:val="24"/>
                <w:vertAlign w:val="superscript"/>
                <w:lang w:val="en-US"/>
              </w:rPr>
            </w:pPr>
            <w:r w:rsidRPr="00052A94">
              <w:rPr>
                <w:rFonts w:ascii="Garamond" w:hAnsi="Garamond" w:cstheme="minorHAnsi"/>
                <w:b/>
                <w:sz w:val="22"/>
                <w:szCs w:val="24"/>
                <w:lang w:val="en-US"/>
              </w:rPr>
              <w:t>ASGE 2010</w:t>
            </w:r>
            <w:r w:rsidRPr="00052A94">
              <w:rPr>
                <w:rFonts w:ascii="Garamond" w:hAnsi="Garamond" w:cstheme="minorHAnsi"/>
                <w:b/>
                <w:sz w:val="22"/>
                <w:szCs w:val="24"/>
                <w:vertAlign w:val="superscript"/>
                <w:lang w:val="en-US"/>
              </w:rPr>
              <w:t>4</w:t>
            </w:r>
          </w:p>
        </w:tc>
        <w:tc>
          <w:tcPr>
            <w:tcW w:w="1740" w:type="pct"/>
            <w:tcBorders>
              <w:top w:val="single" w:sz="4" w:space="0" w:color="auto"/>
              <w:bottom w:val="double" w:sz="4" w:space="0" w:color="auto"/>
            </w:tcBorders>
          </w:tcPr>
          <w:p w14:paraId="6D8502C4" w14:textId="77777777" w:rsidR="00D32C6D" w:rsidRPr="00052A94" w:rsidRDefault="00D32C6D" w:rsidP="00B00E40">
            <w:pPr>
              <w:spacing w:line="288" w:lineRule="auto"/>
              <w:rPr>
                <w:rFonts w:ascii="Garamond" w:hAnsi="Garamond" w:cstheme="minorHAnsi"/>
                <w:b/>
                <w:sz w:val="22"/>
                <w:szCs w:val="24"/>
                <w:vertAlign w:val="superscript"/>
                <w:lang w:val="en-US"/>
              </w:rPr>
            </w:pPr>
            <w:r w:rsidRPr="00052A94">
              <w:rPr>
                <w:rFonts w:ascii="Garamond" w:hAnsi="Garamond" w:cstheme="minorHAnsi"/>
                <w:b/>
                <w:sz w:val="22"/>
                <w:szCs w:val="24"/>
                <w:lang w:val="en-US"/>
              </w:rPr>
              <w:t>ASGE 2019</w:t>
            </w:r>
            <w:r w:rsidRPr="00052A94">
              <w:rPr>
                <w:rFonts w:ascii="Garamond" w:hAnsi="Garamond" w:cstheme="minorHAnsi"/>
                <w:b/>
                <w:sz w:val="22"/>
                <w:szCs w:val="24"/>
                <w:vertAlign w:val="superscript"/>
                <w:lang w:val="en-US"/>
              </w:rPr>
              <w:t>5</w:t>
            </w:r>
          </w:p>
        </w:tc>
        <w:tc>
          <w:tcPr>
            <w:tcW w:w="1496" w:type="pct"/>
            <w:tcBorders>
              <w:top w:val="single" w:sz="4" w:space="0" w:color="auto"/>
              <w:bottom w:val="double" w:sz="4" w:space="0" w:color="auto"/>
            </w:tcBorders>
          </w:tcPr>
          <w:p w14:paraId="22C803D4" w14:textId="77777777" w:rsidR="00D32C6D" w:rsidRPr="00052A94" w:rsidRDefault="00D32C6D" w:rsidP="00B00E40">
            <w:pPr>
              <w:spacing w:line="288" w:lineRule="auto"/>
              <w:rPr>
                <w:rFonts w:ascii="Garamond" w:hAnsi="Garamond" w:cstheme="minorHAnsi"/>
                <w:b/>
                <w:sz w:val="22"/>
                <w:szCs w:val="24"/>
                <w:vertAlign w:val="superscript"/>
                <w:lang w:val="en-US"/>
              </w:rPr>
            </w:pPr>
            <w:r w:rsidRPr="00052A94">
              <w:rPr>
                <w:rFonts w:ascii="Garamond" w:hAnsi="Garamond" w:cstheme="minorHAnsi"/>
                <w:b/>
                <w:sz w:val="22"/>
                <w:szCs w:val="24"/>
                <w:lang w:val="en-US"/>
              </w:rPr>
              <w:t>ESGE 2019</w:t>
            </w:r>
            <w:r w:rsidRPr="00052A94">
              <w:rPr>
                <w:rFonts w:ascii="Garamond" w:hAnsi="Garamond" w:cstheme="minorHAnsi"/>
                <w:b/>
                <w:sz w:val="22"/>
                <w:szCs w:val="24"/>
                <w:vertAlign w:val="superscript"/>
                <w:lang w:val="en-US"/>
              </w:rPr>
              <w:t>6</w:t>
            </w:r>
          </w:p>
        </w:tc>
      </w:tr>
      <w:tr w:rsidR="00D32C6D" w:rsidRPr="00896CA7" w14:paraId="66AD44B6" w14:textId="77777777" w:rsidTr="00B00E40">
        <w:trPr>
          <w:trHeight w:val="4370"/>
        </w:trPr>
        <w:tc>
          <w:tcPr>
            <w:tcW w:w="1764" w:type="pct"/>
            <w:tcBorders>
              <w:top w:val="double" w:sz="4" w:space="0" w:color="auto"/>
              <w:bottom w:val="single" w:sz="4" w:space="0" w:color="auto"/>
            </w:tcBorders>
          </w:tcPr>
          <w:p w14:paraId="4D1606E4"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Very strong</w:t>
            </w:r>
          </w:p>
          <w:p w14:paraId="61132A46"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CBD stone on transabdominal US</w:t>
            </w:r>
          </w:p>
          <w:p w14:paraId="3749AA47" w14:textId="77777777" w:rsidR="00D32C6D" w:rsidRPr="00052A94" w:rsidRDefault="00D32C6D" w:rsidP="00B00E40">
            <w:pPr>
              <w:spacing w:line="288" w:lineRule="auto"/>
              <w:ind w:left="170"/>
              <w:rPr>
                <w:rFonts w:ascii="Garamond" w:hAnsi="Garamond" w:cstheme="minorHAnsi"/>
                <w:i/>
                <w:sz w:val="22"/>
                <w:szCs w:val="24"/>
                <w:vertAlign w:val="superscript"/>
                <w:lang w:val="en-US"/>
              </w:rPr>
            </w:pPr>
            <w:r w:rsidRPr="00052A94">
              <w:rPr>
                <w:rFonts w:ascii="Garamond" w:hAnsi="Garamond" w:cstheme="minorHAnsi"/>
                <w:i/>
                <w:sz w:val="22"/>
                <w:szCs w:val="24"/>
                <w:lang w:val="en-US"/>
              </w:rPr>
              <w:t>Clinical ascending cholangitis</w:t>
            </w:r>
            <w:r w:rsidRPr="00052A94">
              <w:rPr>
                <w:rFonts w:ascii="Garamond" w:hAnsi="Garamond" w:cstheme="minorHAnsi"/>
                <w:i/>
                <w:sz w:val="22"/>
                <w:szCs w:val="24"/>
                <w:vertAlign w:val="superscript"/>
                <w:lang w:val="en-US"/>
              </w:rPr>
              <w:t>#</w:t>
            </w:r>
          </w:p>
          <w:p w14:paraId="20164062"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Bilirubin &gt;4 mg/dL</w:t>
            </w:r>
          </w:p>
          <w:p w14:paraId="10B0BA3C"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Strong</w:t>
            </w:r>
          </w:p>
          <w:p w14:paraId="66E53FF9"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Dilated CBD on abdominal US</w:t>
            </w:r>
            <w:r w:rsidRPr="00052A94">
              <w:rPr>
                <w:rFonts w:ascii="Garamond" w:hAnsi="Garamond" w:cstheme="minorHAnsi"/>
                <w:sz w:val="22"/>
                <w:szCs w:val="24"/>
                <w:vertAlign w:val="superscript"/>
                <w:lang w:val="en-US"/>
              </w:rPr>
              <w:t>◊</w:t>
            </w:r>
            <w:r w:rsidRPr="00052A94">
              <w:rPr>
                <w:rFonts w:ascii="Garamond" w:hAnsi="Garamond" w:cstheme="minorHAnsi"/>
                <w:i/>
                <w:sz w:val="22"/>
                <w:szCs w:val="24"/>
                <w:lang w:val="en-US"/>
              </w:rPr>
              <w:t xml:space="preserve"> </w:t>
            </w:r>
          </w:p>
          <w:p w14:paraId="03D42BCC"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Bilirubin level 1.8-4 mg/dL</w:t>
            </w:r>
          </w:p>
          <w:p w14:paraId="7DA0D9A4"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Moderate</w:t>
            </w:r>
          </w:p>
          <w:p w14:paraId="1ECA730C"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Abnormal liver biochemical test* other than bilirubin</w:t>
            </w:r>
          </w:p>
          <w:p w14:paraId="57AC609C"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Age &gt;55 years</w:t>
            </w:r>
          </w:p>
          <w:p w14:paraId="0B0324EE"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noProof/>
                <w:szCs w:val="24"/>
              </w:rPr>
              <mc:AlternateContent>
                <mc:Choice Requires="wps">
                  <w:drawing>
                    <wp:anchor distT="0" distB="0" distL="114300" distR="114300" simplePos="0" relativeHeight="251659264" behindDoc="0" locked="0" layoutInCell="1" allowOverlap="1" wp14:anchorId="4651707D" wp14:editId="3D554087">
                      <wp:simplePos x="0" y="0"/>
                      <wp:positionH relativeFrom="column">
                        <wp:posOffset>-53975</wp:posOffset>
                      </wp:positionH>
                      <wp:positionV relativeFrom="paragraph">
                        <wp:posOffset>164465</wp:posOffset>
                      </wp:positionV>
                      <wp:extent cx="2019300" cy="0"/>
                      <wp:effectExtent l="0" t="0" r="19050" b="19050"/>
                      <wp:wrapNone/>
                      <wp:docPr id="22" name="Rechte verbindingslijn 22"/>
                      <wp:cNvGraphicFramePr/>
                      <a:graphic xmlns:a="http://schemas.openxmlformats.org/drawingml/2006/main">
                        <a:graphicData uri="http://schemas.microsoft.com/office/word/2010/wordprocessingShape">
                          <wps:wsp>
                            <wps:cNvCnPr/>
                            <wps:spPr>
                              <a:xfrm>
                                <a:off x="0" y="0"/>
                                <a:ext cx="20193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A33C6F" id="Rechte verbindingslijn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95pt" to="15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" strokecolor="black [3200]">
                      <v:stroke dashstyle="dash"/>
                    </v:line>
                  </w:pict>
                </mc:Fallback>
              </mc:AlternateContent>
            </w:r>
            <w:r w:rsidRPr="00052A94">
              <w:rPr>
                <w:rFonts w:ascii="Garamond" w:hAnsi="Garamond" w:cstheme="minorHAnsi"/>
                <w:i/>
                <w:sz w:val="22"/>
                <w:szCs w:val="24"/>
                <w:lang w:val="en-US"/>
              </w:rPr>
              <w:t>Clinical gallstone pancreatitis</w:t>
            </w:r>
          </w:p>
          <w:p w14:paraId="12AC734A"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Assigning a likelihood of choledocholithiasis</w:t>
            </w:r>
          </w:p>
          <w:p w14:paraId="7CCF9387"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based on clinical predictors</w:t>
            </w:r>
          </w:p>
          <w:p w14:paraId="425BA458"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 xml:space="preserve">High: Presence of any very strong predictor or Presence of both strong predictors </w:t>
            </w:r>
          </w:p>
          <w:p w14:paraId="50BC9903"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Low: No predictors present</w:t>
            </w:r>
          </w:p>
          <w:p w14:paraId="6E46E825"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Intermediate: All other patients</w:t>
            </w:r>
          </w:p>
        </w:tc>
        <w:tc>
          <w:tcPr>
            <w:tcW w:w="1740" w:type="pct"/>
            <w:tcBorders>
              <w:top w:val="double" w:sz="4" w:space="0" w:color="auto"/>
              <w:bottom w:val="single" w:sz="4" w:space="0" w:color="auto"/>
            </w:tcBorders>
          </w:tcPr>
          <w:p w14:paraId="3144CE66"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High likelihood of choledocholithiasis (1 out of 3)</w:t>
            </w:r>
          </w:p>
          <w:p w14:paraId="37AEFBBE"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Common bile duct stone on US/cross-sectional imaging</w:t>
            </w:r>
          </w:p>
          <w:p w14:paraId="4EFC75F3"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Clinical ascending cholangitis</w:t>
            </w:r>
          </w:p>
          <w:p w14:paraId="4645C185"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Total bilirubin &gt;4 mg/dL and dilated common bile</w:t>
            </w:r>
          </w:p>
          <w:p w14:paraId="7D1DE7C6"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duct on abdominal US/cross-sectional imaging</w:t>
            </w:r>
            <w:r w:rsidRPr="00052A94">
              <w:rPr>
                <w:rFonts w:ascii="Garamond" w:hAnsi="Garamond" w:cstheme="minorHAnsi"/>
                <w:sz w:val="22"/>
                <w:szCs w:val="24"/>
                <w:vertAlign w:val="superscript"/>
                <w:lang w:val="en-US"/>
              </w:rPr>
              <w:t>◊</w:t>
            </w:r>
          </w:p>
          <w:p w14:paraId="7F519CAC" w14:textId="77777777" w:rsidR="00D32C6D" w:rsidRPr="00052A94" w:rsidRDefault="00D32C6D" w:rsidP="00B00E40">
            <w:pPr>
              <w:spacing w:line="288" w:lineRule="auto"/>
              <w:rPr>
                <w:rFonts w:ascii="Garamond" w:hAnsi="Garamond" w:cstheme="minorHAnsi"/>
                <w:sz w:val="22"/>
                <w:szCs w:val="24"/>
                <w:lang w:val="en-US"/>
              </w:rPr>
            </w:pPr>
          </w:p>
          <w:p w14:paraId="78F47B86"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Intermediate likelihood of choledocholithiasis (1 out of 3)</w:t>
            </w:r>
          </w:p>
          <w:p w14:paraId="5633CC6C"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Abnormal liver biochemical tests</w:t>
            </w:r>
          </w:p>
          <w:p w14:paraId="1C36381C"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Age &gt;55 years</w:t>
            </w:r>
          </w:p>
          <w:p w14:paraId="67133AB9"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Dilated common bile duct on US/cross-sectional imaging</w:t>
            </w:r>
          </w:p>
          <w:p w14:paraId="67C0C005" w14:textId="77777777" w:rsidR="00D32C6D" w:rsidRPr="00052A94" w:rsidRDefault="00D32C6D" w:rsidP="00B00E40">
            <w:pPr>
              <w:spacing w:line="288" w:lineRule="auto"/>
              <w:rPr>
                <w:rFonts w:ascii="Garamond" w:hAnsi="Garamond" w:cstheme="minorHAnsi"/>
                <w:sz w:val="22"/>
                <w:szCs w:val="24"/>
                <w:lang w:val="en-US"/>
              </w:rPr>
            </w:pPr>
          </w:p>
          <w:p w14:paraId="68936079"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Low likelihood of choledocholithiasis: No predictors present</w:t>
            </w:r>
          </w:p>
        </w:tc>
        <w:tc>
          <w:tcPr>
            <w:tcW w:w="1496" w:type="pct"/>
            <w:tcBorders>
              <w:top w:val="double" w:sz="4" w:space="0" w:color="auto"/>
              <w:bottom w:val="single" w:sz="4" w:space="0" w:color="auto"/>
            </w:tcBorders>
          </w:tcPr>
          <w:p w14:paraId="78E8E7EE"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High likelihood of choledocholithiasis (1 out of 2)</w:t>
            </w:r>
          </w:p>
          <w:p w14:paraId="1A169DD5"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Common bile duct stone on US</w:t>
            </w:r>
          </w:p>
          <w:p w14:paraId="70B1BE55"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Clinical ascending cholangitis</w:t>
            </w:r>
          </w:p>
          <w:p w14:paraId="6DDFA76E" w14:textId="77777777" w:rsidR="00D32C6D" w:rsidRPr="00052A94" w:rsidRDefault="00D32C6D" w:rsidP="00B00E40">
            <w:pPr>
              <w:spacing w:line="288" w:lineRule="auto"/>
              <w:rPr>
                <w:rFonts w:ascii="Garamond" w:hAnsi="Garamond" w:cstheme="minorHAnsi"/>
                <w:sz w:val="22"/>
                <w:szCs w:val="24"/>
                <w:lang w:val="en-US"/>
              </w:rPr>
            </w:pPr>
          </w:p>
          <w:p w14:paraId="38271E2C" w14:textId="77777777" w:rsidR="00D32C6D" w:rsidRPr="00052A94" w:rsidRDefault="00D32C6D" w:rsidP="00B00E40">
            <w:pPr>
              <w:spacing w:line="288" w:lineRule="auto"/>
              <w:rPr>
                <w:rFonts w:ascii="Garamond" w:hAnsi="Garamond" w:cstheme="minorHAnsi"/>
                <w:sz w:val="22"/>
                <w:szCs w:val="24"/>
                <w:lang w:val="en-US"/>
              </w:rPr>
            </w:pPr>
          </w:p>
          <w:p w14:paraId="4FBD5786" w14:textId="77777777" w:rsidR="00D32C6D" w:rsidRPr="00052A94" w:rsidRDefault="00D32C6D" w:rsidP="00B00E40">
            <w:pPr>
              <w:spacing w:line="288" w:lineRule="auto"/>
              <w:rPr>
                <w:rFonts w:ascii="Garamond" w:hAnsi="Garamond" w:cstheme="minorHAnsi"/>
                <w:sz w:val="22"/>
                <w:szCs w:val="24"/>
                <w:lang w:val="en-US"/>
              </w:rPr>
            </w:pPr>
          </w:p>
          <w:p w14:paraId="2DD38BD8" w14:textId="77777777" w:rsidR="00D32C6D" w:rsidRPr="00052A94" w:rsidRDefault="00D32C6D" w:rsidP="00B00E40">
            <w:pPr>
              <w:spacing w:line="288" w:lineRule="auto"/>
              <w:rPr>
                <w:rFonts w:ascii="Garamond" w:hAnsi="Garamond" w:cstheme="minorHAnsi"/>
                <w:sz w:val="22"/>
                <w:szCs w:val="24"/>
                <w:lang w:val="en-US"/>
              </w:rPr>
            </w:pPr>
          </w:p>
          <w:p w14:paraId="27A8A0FB" w14:textId="77777777" w:rsidR="00052A94" w:rsidRDefault="00052A94" w:rsidP="00B00E40">
            <w:pPr>
              <w:spacing w:line="288" w:lineRule="auto"/>
              <w:rPr>
                <w:rFonts w:ascii="Garamond" w:hAnsi="Garamond" w:cstheme="minorHAnsi"/>
                <w:sz w:val="22"/>
                <w:szCs w:val="24"/>
                <w:lang w:val="en-US"/>
              </w:rPr>
            </w:pPr>
          </w:p>
          <w:p w14:paraId="0B3489EA"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Intermediate likelihood of choledocholithiasis (1 out of 2)</w:t>
            </w:r>
          </w:p>
          <w:p w14:paraId="799B897B"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Abnormal liver function tests</w:t>
            </w:r>
          </w:p>
          <w:p w14:paraId="5EF62BB8" w14:textId="77777777" w:rsidR="00D32C6D" w:rsidRPr="00052A94" w:rsidRDefault="00D32C6D" w:rsidP="00B00E40">
            <w:pPr>
              <w:spacing w:line="288" w:lineRule="auto"/>
              <w:ind w:left="170"/>
              <w:rPr>
                <w:rFonts w:ascii="Garamond" w:hAnsi="Garamond" w:cstheme="minorHAnsi"/>
                <w:i/>
                <w:sz w:val="22"/>
                <w:szCs w:val="24"/>
                <w:lang w:val="en-US"/>
              </w:rPr>
            </w:pPr>
            <w:r w:rsidRPr="00052A94">
              <w:rPr>
                <w:rFonts w:ascii="Garamond" w:hAnsi="Garamond" w:cstheme="minorHAnsi"/>
                <w:i/>
                <w:sz w:val="22"/>
                <w:szCs w:val="24"/>
                <w:lang w:val="en-US"/>
              </w:rPr>
              <w:t>Dilated common bile duct on abdominal US</w:t>
            </w:r>
            <w:r w:rsidRPr="00052A94">
              <w:rPr>
                <w:rFonts w:ascii="Garamond" w:hAnsi="Garamond" w:cstheme="minorHAnsi"/>
                <w:sz w:val="22"/>
                <w:szCs w:val="24"/>
                <w:vertAlign w:val="superscript"/>
                <w:lang w:val="en-US"/>
              </w:rPr>
              <w:t>◊</w:t>
            </w:r>
          </w:p>
          <w:p w14:paraId="24F80B63" w14:textId="77777777" w:rsidR="00D32C6D" w:rsidRPr="00052A94" w:rsidRDefault="00D32C6D" w:rsidP="00B00E40">
            <w:pPr>
              <w:spacing w:line="288" w:lineRule="auto"/>
              <w:rPr>
                <w:rFonts w:ascii="Garamond" w:hAnsi="Garamond" w:cstheme="minorHAnsi"/>
                <w:sz w:val="22"/>
                <w:szCs w:val="24"/>
                <w:lang w:val="en-US"/>
              </w:rPr>
            </w:pPr>
          </w:p>
          <w:p w14:paraId="5AD98AC3" w14:textId="77777777" w:rsidR="00D32C6D" w:rsidRPr="00052A94" w:rsidRDefault="00D32C6D"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Low likelihood of choledocholithiasis: No predictors present</w:t>
            </w:r>
          </w:p>
        </w:tc>
      </w:tr>
      <w:tr w:rsidR="00D32C6D" w:rsidRPr="00896CA7" w14:paraId="6B225BB7" w14:textId="77777777" w:rsidTr="00B00E40">
        <w:trPr>
          <w:trHeight w:val="72"/>
        </w:trPr>
        <w:tc>
          <w:tcPr>
            <w:tcW w:w="5000" w:type="pct"/>
            <w:gridSpan w:val="3"/>
            <w:tcBorders>
              <w:top w:val="single" w:sz="4" w:space="0" w:color="auto"/>
            </w:tcBorders>
          </w:tcPr>
          <w:p w14:paraId="2031ED36" w14:textId="77777777" w:rsidR="00D32C6D" w:rsidRPr="00052A94" w:rsidRDefault="00D32C6D" w:rsidP="00B00E40">
            <w:pPr>
              <w:rPr>
                <w:rFonts w:ascii="Garamond" w:hAnsi="Garamond"/>
                <w:sz w:val="22"/>
                <w:szCs w:val="24"/>
                <w:lang w:val="en-US"/>
              </w:rPr>
            </w:pPr>
            <w:r w:rsidRPr="00052A94">
              <w:rPr>
                <w:rFonts w:ascii="Garamond" w:hAnsi="Garamond"/>
                <w:sz w:val="22"/>
                <w:szCs w:val="24"/>
                <w:lang w:val="en-US"/>
              </w:rPr>
              <w:t># according to Tokyo Guidelines (TG) 2018</w:t>
            </w:r>
          </w:p>
          <w:p w14:paraId="3665E418" w14:textId="77777777" w:rsidR="00D32C6D" w:rsidRPr="00052A94" w:rsidRDefault="00D32C6D" w:rsidP="00B00E40">
            <w:pPr>
              <w:rPr>
                <w:rFonts w:ascii="Garamond" w:hAnsi="Garamond"/>
                <w:sz w:val="22"/>
                <w:szCs w:val="24"/>
                <w:lang w:val="en-US"/>
              </w:rPr>
            </w:pPr>
            <w:r w:rsidRPr="00052A94">
              <w:rPr>
                <w:rFonts w:ascii="Garamond" w:hAnsi="Garamond"/>
                <w:sz w:val="22"/>
                <w:szCs w:val="24"/>
                <w:lang w:val="en-US"/>
              </w:rPr>
              <w:t xml:space="preserve">* At least one liver test value was above the upper limit of normal </w:t>
            </w:r>
          </w:p>
          <w:p w14:paraId="7DEC3E63" w14:textId="77777777" w:rsidR="00D32C6D" w:rsidRPr="00052A94" w:rsidRDefault="00D32C6D" w:rsidP="00B00E40">
            <w:pPr>
              <w:rPr>
                <w:rFonts w:ascii="Garamond" w:hAnsi="Garamond"/>
                <w:sz w:val="22"/>
                <w:szCs w:val="24"/>
                <w:lang w:val="en-US"/>
              </w:rPr>
            </w:pPr>
            <w:r w:rsidRPr="00052A94">
              <w:rPr>
                <w:rFonts w:ascii="Garamond" w:hAnsi="Garamond"/>
                <w:sz w:val="22"/>
                <w:szCs w:val="24"/>
                <w:lang w:val="en-US"/>
              </w:rPr>
              <w:t>◊ more than 6mm in patients without a history of cholecystectomy and more than 8mm with a prior cholecystectomy</w:t>
            </w:r>
          </w:p>
        </w:tc>
      </w:tr>
      <w:bookmarkEnd w:id="0"/>
    </w:tbl>
    <w:p w14:paraId="20257025" w14:textId="77777777" w:rsidR="00224FC0" w:rsidRPr="00052A94" w:rsidRDefault="00224FC0" w:rsidP="00224FC0">
      <w:pPr>
        <w:spacing w:after="0" w:line="240" w:lineRule="auto"/>
        <w:jc w:val="both"/>
        <w:rPr>
          <w:rFonts w:ascii="Garamond" w:hAnsi="Garamond"/>
          <w:szCs w:val="24"/>
          <w:lang w:val="en-US"/>
        </w:rPr>
      </w:pPr>
    </w:p>
    <w:p w14:paraId="574C0E3C" w14:textId="77777777" w:rsidR="00D32C6D" w:rsidRPr="00052A94" w:rsidRDefault="00D32C6D" w:rsidP="00224FC0">
      <w:pPr>
        <w:spacing w:after="0" w:line="240" w:lineRule="auto"/>
        <w:jc w:val="both"/>
        <w:rPr>
          <w:rFonts w:ascii="Garamond" w:hAnsi="Garamond"/>
          <w:szCs w:val="24"/>
          <w:lang w:val="en-US"/>
        </w:rPr>
      </w:pPr>
    </w:p>
    <w:p w14:paraId="1BCB08FD" w14:textId="77777777" w:rsidR="00443A01" w:rsidRDefault="00443A01">
      <w:pPr>
        <w:rPr>
          <w:rFonts w:ascii="Garamond" w:hAnsi="Garamond"/>
          <w:szCs w:val="24"/>
          <w:lang w:val="en-US"/>
        </w:rPr>
      </w:pPr>
      <w:r>
        <w:rPr>
          <w:rFonts w:ascii="Garamond" w:hAnsi="Garamond"/>
          <w:szCs w:val="24"/>
          <w:lang w:val="en-US"/>
        </w:rPr>
        <w:br w:type="page"/>
      </w:r>
    </w:p>
    <w:p w14:paraId="0C1D86D7" w14:textId="2BB5368D" w:rsidR="007D63EA" w:rsidRPr="00E25844" w:rsidRDefault="007D63EA" w:rsidP="007D63EA">
      <w:pPr>
        <w:spacing w:after="0" w:line="360" w:lineRule="auto"/>
        <w:rPr>
          <w:rFonts w:ascii="Garamond" w:hAnsi="Garamond"/>
          <w:b/>
          <w:sz w:val="24"/>
          <w:szCs w:val="24"/>
          <w:lang w:val="en-US"/>
        </w:rPr>
      </w:pPr>
      <w:r w:rsidRPr="00E25844">
        <w:rPr>
          <w:rFonts w:ascii="Garamond" w:hAnsi="Garamond"/>
          <w:b/>
          <w:sz w:val="24"/>
          <w:szCs w:val="24"/>
          <w:lang w:val="en-US"/>
        </w:rPr>
        <w:lastRenderedPageBreak/>
        <w:t>Fig</w:t>
      </w:r>
      <w:r>
        <w:rPr>
          <w:rFonts w:ascii="Garamond" w:hAnsi="Garamond"/>
          <w:b/>
          <w:sz w:val="24"/>
          <w:szCs w:val="24"/>
          <w:lang w:val="en-US"/>
        </w:rPr>
        <w:t>ure</w:t>
      </w:r>
      <w:r w:rsidRPr="00E25844">
        <w:rPr>
          <w:rFonts w:ascii="Garamond" w:hAnsi="Garamond"/>
          <w:b/>
          <w:sz w:val="24"/>
          <w:szCs w:val="24"/>
          <w:lang w:val="en-US"/>
        </w:rPr>
        <w:t xml:space="preserve">. </w:t>
      </w:r>
      <w:r>
        <w:rPr>
          <w:rFonts w:ascii="Garamond" w:hAnsi="Garamond"/>
          <w:b/>
          <w:sz w:val="24"/>
          <w:szCs w:val="24"/>
          <w:lang w:val="en-US"/>
        </w:rPr>
        <w:t>S</w:t>
      </w:r>
      <w:r w:rsidRPr="00E25844">
        <w:rPr>
          <w:rFonts w:ascii="Garamond" w:hAnsi="Garamond"/>
          <w:b/>
          <w:sz w:val="24"/>
          <w:szCs w:val="24"/>
          <w:lang w:val="en-US"/>
        </w:rPr>
        <w:t>1: Patient selection and risk stratification of included patients with suspected common bile duct stones</w:t>
      </w:r>
    </w:p>
    <w:p w14:paraId="63CAA57E" w14:textId="2F8C6804" w:rsidR="007D63EA" w:rsidRPr="00E25844" w:rsidRDefault="007D63EA" w:rsidP="007D63EA">
      <w:pPr>
        <w:spacing w:line="360" w:lineRule="auto"/>
        <w:jc w:val="both"/>
        <w:rPr>
          <w:rFonts w:ascii="Garamond" w:hAnsi="Garamond"/>
          <w:noProof/>
          <w:sz w:val="24"/>
          <w:szCs w:val="24"/>
          <w:lang w:val="en-US" w:eastAsia="nl-NL"/>
        </w:rPr>
      </w:pPr>
      <w:bookmarkStart w:id="1" w:name="_GoBack"/>
      <w:r>
        <w:rPr>
          <w:rFonts w:ascii="Garamond" w:hAnsi="Garamond"/>
          <w:noProof/>
          <w:sz w:val="24"/>
          <w:szCs w:val="24"/>
          <w:lang w:eastAsia="nl-NL"/>
        </w:rPr>
        <w:drawing>
          <wp:inline distT="0" distB="0" distL="0" distR="0" wp14:anchorId="387F1E12" wp14:editId="338ACD10">
            <wp:extent cx="5760720" cy="44481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chart ASGE &amp; ESGE 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448175"/>
                    </a:xfrm>
                    <a:prstGeom prst="rect">
                      <a:avLst/>
                    </a:prstGeom>
                  </pic:spPr>
                </pic:pic>
              </a:graphicData>
            </a:graphic>
          </wp:inline>
        </w:drawing>
      </w:r>
      <w:bookmarkEnd w:id="1"/>
    </w:p>
    <w:p w14:paraId="703BC63C" w14:textId="4941D460" w:rsidR="007D63EA" w:rsidRPr="00E25844" w:rsidRDefault="007D63EA" w:rsidP="007D63EA">
      <w:pPr>
        <w:spacing w:line="360" w:lineRule="auto"/>
        <w:jc w:val="both"/>
        <w:rPr>
          <w:rFonts w:ascii="Garamond" w:hAnsi="Garamond"/>
          <w:sz w:val="24"/>
          <w:szCs w:val="24"/>
          <w:lang w:val="en-US"/>
        </w:rPr>
      </w:pPr>
      <w:r w:rsidRPr="00E25844">
        <w:rPr>
          <w:rFonts w:ascii="Garamond" w:hAnsi="Garamond"/>
          <w:sz w:val="24"/>
          <w:szCs w:val="24"/>
          <w:lang w:val="en-US"/>
        </w:rPr>
        <w:t xml:space="preserve">ASGE=American Society for Gastrointestinal Endoscopy, CBD=common bile duct, </w:t>
      </w:r>
      <w:r>
        <w:rPr>
          <w:rFonts w:ascii="Garamond" w:hAnsi="Garamond"/>
          <w:sz w:val="24"/>
          <w:szCs w:val="24"/>
          <w:lang w:val="en-US"/>
        </w:rPr>
        <w:t>E</w:t>
      </w:r>
      <w:r w:rsidRPr="00E25844">
        <w:rPr>
          <w:rFonts w:ascii="Garamond" w:hAnsi="Garamond"/>
          <w:sz w:val="24"/>
          <w:szCs w:val="24"/>
          <w:lang w:val="en-US"/>
        </w:rPr>
        <w:t>SGE=</w:t>
      </w:r>
      <w:r>
        <w:rPr>
          <w:rFonts w:ascii="Garamond" w:hAnsi="Garamond"/>
          <w:sz w:val="24"/>
          <w:szCs w:val="24"/>
          <w:lang w:val="en-US"/>
        </w:rPr>
        <w:t>European</w:t>
      </w:r>
      <w:r w:rsidRPr="00E25844">
        <w:rPr>
          <w:rFonts w:ascii="Garamond" w:hAnsi="Garamond"/>
          <w:sz w:val="24"/>
          <w:szCs w:val="24"/>
          <w:lang w:val="en-US"/>
        </w:rPr>
        <w:t xml:space="preserve"> Society for Gastrointestinal Endoscopy ERCP=endoscopic retrograde cholangiopancreatography </w:t>
      </w:r>
      <w:r w:rsidR="00896CA7" w:rsidRPr="00E25844">
        <w:rPr>
          <w:rFonts w:ascii="Garamond" w:hAnsi="Garamond"/>
          <w:sz w:val="24"/>
          <w:szCs w:val="24"/>
          <w:lang w:val="en-US"/>
        </w:rPr>
        <w:t>EUS=endoscopic ultrasonography, MRCP=magnetic resonance cholangiopancreatography</w:t>
      </w:r>
      <w:r w:rsidR="00896CA7">
        <w:rPr>
          <w:rFonts w:ascii="Garamond" w:hAnsi="Garamond"/>
          <w:sz w:val="24"/>
          <w:szCs w:val="24"/>
          <w:lang w:val="en-US"/>
        </w:rPr>
        <w:t>.</w:t>
      </w:r>
    </w:p>
    <w:p w14:paraId="4030E87A" w14:textId="5752EF23" w:rsidR="007D63EA" w:rsidRPr="00E25844" w:rsidRDefault="007D63EA" w:rsidP="007D63EA">
      <w:pPr>
        <w:spacing w:line="360" w:lineRule="auto"/>
        <w:jc w:val="both"/>
        <w:rPr>
          <w:rFonts w:ascii="Garamond" w:hAnsi="Garamond"/>
          <w:noProof/>
          <w:sz w:val="24"/>
          <w:szCs w:val="24"/>
          <w:lang w:val="en-US" w:eastAsia="nl-NL"/>
        </w:rPr>
      </w:pPr>
      <w:r>
        <w:rPr>
          <w:rFonts w:ascii="Garamond" w:hAnsi="Garamond"/>
          <w:sz w:val="24"/>
          <w:szCs w:val="24"/>
          <w:lang w:val="en-US"/>
        </w:rPr>
        <w:t>Red box</w:t>
      </w:r>
      <w:r w:rsidRPr="00E25844">
        <w:rPr>
          <w:rFonts w:ascii="Garamond" w:hAnsi="Garamond"/>
          <w:sz w:val="24"/>
          <w:szCs w:val="24"/>
          <w:lang w:val="en-US"/>
        </w:rPr>
        <w:t xml:space="preserve">=work-up according to real-world practice; </w:t>
      </w:r>
      <w:r>
        <w:rPr>
          <w:rFonts w:ascii="Garamond" w:hAnsi="Garamond"/>
          <w:sz w:val="24"/>
          <w:szCs w:val="24"/>
          <w:lang w:val="en-US"/>
        </w:rPr>
        <w:t>Green box</w:t>
      </w:r>
      <w:r w:rsidRPr="00E25844">
        <w:rPr>
          <w:rFonts w:ascii="Garamond" w:hAnsi="Garamond"/>
          <w:sz w:val="24"/>
          <w:szCs w:val="24"/>
          <w:lang w:val="en-US"/>
        </w:rPr>
        <w:t xml:space="preserve">=work-up according to </w:t>
      </w:r>
      <w:r>
        <w:rPr>
          <w:rFonts w:ascii="Garamond" w:hAnsi="Garamond"/>
          <w:sz w:val="24"/>
          <w:szCs w:val="24"/>
          <w:lang w:val="en-US"/>
        </w:rPr>
        <w:t xml:space="preserve">ESGE or </w:t>
      </w:r>
      <w:r w:rsidRPr="00E25844">
        <w:rPr>
          <w:rFonts w:ascii="Garamond" w:hAnsi="Garamond"/>
          <w:sz w:val="24"/>
          <w:szCs w:val="24"/>
          <w:lang w:val="en-US"/>
        </w:rPr>
        <w:t>ASGE 2019 guideline.</w:t>
      </w:r>
    </w:p>
    <w:p w14:paraId="572488AF" w14:textId="7604704B" w:rsidR="00D32C6D" w:rsidRPr="00052A94" w:rsidRDefault="00D32C6D">
      <w:pPr>
        <w:rPr>
          <w:rFonts w:ascii="Garamond" w:hAnsi="Garamond"/>
          <w:szCs w:val="24"/>
          <w:lang w:val="en-US"/>
        </w:rPr>
      </w:pPr>
      <w:r w:rsidRPr="00052A94">
        <w:rPr>
          <w:rFonts w:ascii="Garamond" w:hAnsi="Garamond"/>
          <w:szCs w:val="24"/>
          <w:lang w:val="en-US"/>
        </w:rPr>
        <w:br w:type="page"/>
      </w:r>
    </w:p>
    <w:tbl>
      <w:tblPr>
        <w:tblStyle w:val="Tabelraster"/>
        <w:tblW w:w="495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1"/>
        <w:gridCol w:w="2721"/>
        <w:gridCol w:w="2241"/>
        <w:gridCol w:w="1119"/>
      </w:tblGrid>
      <w:tr w:rsidR="00D32C6D" w:rsidRPr="00896CA7" w14:paraId="1FF291CC" w14:textId="77777777" w:rsidTr="00B00E40">
        <w:tc>
          <w:tcPr>
            <w:tcW w:w="5000" w:type="pct"/>
            <w:gridSpan w:val="4"/>
            <w:tcBorders>
              <w:bottom w:val="single" w:sz="4" w:space="0" w:color="auto"/>
            </w:tcBorders>
          </w:tcPr>
          <w:p w14:paraId="2F9C72F3" w14:textId="77777777" w:rsidR="00D32C6D" w:rsidRPr="00052A94" w:rsidRDefault="00D32C6D" w:rsidP="00B00E40">
            <w:pPr>
              <w:rPr>
                <w:rFonts w:ascii="Garamond" w:hAnsi="Garamond" w:cstheme="minorHAnsi"/>
                <w:b/>
                <w:sz w:val="22"/>
                <w:szCs w:val="24"/>
                <w:lang w:val="en-US"/>
              </w:rPr>
            </w:pPr>
            <w:r w:rsidRPr="00052A94">
              <w:rPr>
                <w:rFonts w:ascii="Garamond" w:hAnsi="Garamond" w:cstheme="minorHAnsi"/>
                <w:b/>
                <w:color w:val="000000"/>
                <w:sz w:val="22"/>
                <w:szCs w:val="24"/>
                <w:shd w:val="clear" w:color="auto" w:fill="FFFFFF"/>
                <w:lang w:val="en-US"/>
              </w:rPr>
              <w:lastRenderedPageBreak/>
              <w:t>Table S2. D</w:t>
            </w:r>
            <w:r w:rsidRPr="00052A94">
              <w:rPr>
                <w:rFonts w:ascii="Garamond" w:hAnsi="Garamond"/>
                <w:b/>
                <w:sz w:val="22"/>
                <w:szCs w:val="24"/>
                <w:lang w:val="en-US"/>
              </w:rPr>
              <w:t>emonstrating p</w:t>
            </w:r>
            <w:r w:rsidRPr="00052A94">
              <w:rPr>
                <w:rFonts w:ascii="Garamond" w:hAnsi="Garamond" w:cstheme="minorHAnsi"/>
                <w:b/>
                <w:sz w:val="22"/>
                <w:szCs w:val="24"/>
                <w:lang w:val="en-US"/>
              </w:rPr>
              <w:t>rediction and adherence to the recommendations of American and European guidelines for management of patients with suspected choledocholithiasis in relation to the presence of choledocholithiasis</w:t>
            </w:r>
          </w:p>
        </w:tc>
      </w:tr>
      <w:tr w:rsidR="00D32C6D" w:rsidRPr="00052A94" w14:paraId="384A6425" w14:textId="77777777" w:rsidTr="00B00E40">
        <w:tc>
          <w:tcPr>
            <w:tcW w:w="1619" w:type="pct"/>
            <w:tcBorders>
              <w:top w:val="single" w:sz="4" w:space="0" w:color="auto"/>
              <w:bottom w:val="double" w:sz="4" w:space="0" w:color="auto"/>
            </w:tcBorders>
          </w:tcPr>
          <w:p w14:paraId="37CFF775" w14:textId="77777777" w:rsidR="00D32C6D" w:rsidRPr="00052A94" w:rsidRDefault="00D32C6D" w:rsidP="00B00E40">
            <w:pPr>
              <w:spacing w:line="288" w:lineRule="auto"/>
              <w:rPr>
                <w:rFonts w:ascii="Garamond" w:hAnsi="Garamond" w:cstheme="minorHAnsi"/>
                <w:b/>
                <w:sz w:val="22"/>
                <w:szCs w:val="24"/>
                <w:lang w:val="en-US"/>
              </w:rPr>
            </w:pPr>
          </w:p>
        </w:tc>
        <w:tc>
          <w:tcPr>
            <w:tcW w:w="1513" w:type="pct"/>
            <w:tcBorders>
              <w:top w:val="single" w:sz="4" w:space="0" w:color="auto"/>
              <w:bottom w:val="double" w:sz="4" w:space="0" w:color="auto"/>
            </w:tcBorders>
          </w:tcPr>
          <w:p w14:paraId="40550DC2" w14:textId="77777777" w:rsidR="00D32C6D" w:rsidRPr="00052A94" w:rsidRDefault="00D32C6D"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EUS and/or MRCP prior to ERCP</w:t>
            </w:r>
          </w:p>
        </w:tc>
        <w:tc>
          <w:tcPr>
            <w:tcW w:w="1246" w:type="pct"/>
            <w:tcBorders>
              <w:top w:val="single" w:sz="4" w:space="0" w:color="auto"/>
              <w:bottom w:val="double" w:sz="4" w:space="0" w:color="auto"/>
            </w:tcBorders>
          </w:tcPr>
          <w:p w14:paraId="19FDA58B" w14:textId="77777777" w:rsidR="00D32C6D" w:rsidRPr="00052A94" w:rsidRDefault="00D32C6D"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Proceeded directly to ERCP</w:t>
            </w:r>
          </w:p>
        </w:tc>
        <w:tc>
          <w:tcPr>
            <w:tcW w:w="623" w:type="pct"/>
            <w:tcBorders>
              <w:top w:val="single" w:sz="4" w:space="0" w:color="auto"/>
              <w:bottom w:val="double" w:sz="4" w:space="0" w:color="auto"/>
            </w:tcBorders>
          </w:tcPr>
          <w:p w14:paraId="32C485B6" w14:textId="77777777" w:rsidR="00D32C6D" w:rsidRPr="00052A94" w:rsidRDefault="00D32C6D"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P value</w:t>
            </w:r>
          </w:p>
        </w:tc>
      </w:tr>
      <w:tr w:rsidR="00D32C6D" w:rsidRPr="00052A94" w14:paraId="4471C2D2" w14:textId="77777777" w:rsidTr="00B00E40">
        <w:tc>
          <w:tcPr>
            <w:tcW w:w="1619" w:type="pct"/>
            <w:tcBorders>
              <w:top w:val="double" w:sz="4" w:space="0" w:color="auto"/>
            </w:tcBorders>
          </w:tcPr>
          <w:p w14:paraId="18F0AECB"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b/>
                <w:sz w:val="22"/>
                <w:szCs w:val="24"/>
                <w:lang w:val="en-US"/>
              </w:rPr>
              <w:t>ASGE 2010</w:t>
            </w:r>
          </w:p>
        </w:tc>
        <w:tc>
          <w:tcPr>
            <w:tcW w:w="1513" w:type="pct"/>
            <w:tcBorders>
              <w:top w:val="double" w:sz="4" w:space="0" w:color="auto"/>
            </w:tcBorders>
          </w:tcPr>
          <w:p w14:paraId="646E62EF" w14:textId="77777777" w:rsidR="00D32C6D" w:rsidRPr="00052A94" w:rsidRDefault="00D32C6D" w:rsidP="00B00E40">
            <w:pPr>
              <w:spacing w:line="288" w:lineRule="auto"/>
              <w:rPr>
                <w:rFonts w:ascii="Garamond" w:hAnsi="Garamond" w:cstheme="minorHAnsi"/>
                <w:sz w:val="22"/>
                <w:szCs w:val="24"/>
                <w:lang w:val="en-US"/>
              </w:rPr>
            </w:pPr>
          </w:p>
        </w:tc>
        <w:tc>
          <w:tcPr>
            <w:tcW w:w="1246" w:type="pct"/>
            <w:tcBorders>
              <w:top w:val="double" w:sz="4" w:space="0" w:color="auto"/>
            </w:tcBorders>
          </w:tcPr>
          <w:p w14:paraId="79D645B6" w14:textId="77777777" w:rsidR="00D32C6D" w:rsidRPr="00052A94" w:rsidRDefault="00D32C6D" w:rsidP="00B00E40">
            <w:pPr>
              <w:spacing w:line="288" w:lineRule="auto"/>
              <w:rPr>
                <w:rFonts w:ascii="Garamond" w:hAnsi="Garamond" w:cstheme="minorHAnsi"/>
                <w:sz w:val="22"/>
                <w:szCs w:val="24"/>
                <w:lang w:val="en-US"/>
              </w:rPr>
            </w:pPr>
          </w:p>
        </w:tc>
        <w:tc>
          <w:tcPr>
            <w:tcW w:w="623" w:type="pct"/>
            <w:tcBorders>
              <w:top w:val="double" w:sz="4" w:space="0" w:color="auto"/>
            </w:tcBorders>
          </w:tcPr>
          <w:p w14:paraId="2C3D3D9F" w14:textId="77777777" w:rsidR="00D32C6D" w:rsidRPr="00052A94" w:rsidRDefault="00D32C6D" w:rsidP="00B00E40">
            <w:pPr>
              <w:spacing w:line="288" w:lineRule="auto"/>
              <w:rPr>
                <w:rFonts w:ascii="Garamond" w:hAnsi="Garamond" w:cstheme="minorHAnsi"/>
                <w:b/>
                <w:i/>
                <w:sz w:val="22"/>
                <w:szCs w:val="24"/>
                <w:lang w:val="en-US"/>
              </w:rPr>
            </w:pPr>
          </w:p>
        </w:tc>
      </w:tr>
      <w:tr w:rsidR="00D32C6D" w:rsidRPr="00052A94" w14:paraId="7BCBED87" w14:textId="77777777" w:rsidTr="00B00E40">
        <w:tc>
          <w:tcPr>
            <w:tcW w:w="1619" w:type="pct"/>
          </w:tcPr>
          <w:p w14:paraId="5B4BC5C2" w14:textId="77777777" w:rsidR="00D32C6D" w:rsidRPr="00052A94" w:rsidRDefault="00D32C6D" w:rsidP="00B00E40">
            <w:pPr>
              <w:autoSpaceDE w:val="0"/>
              <w:autoSpaceDN w:val="0"/>
              <w:adjustRightInd w:val="0"/>
              <w:spacing w:line="288" w:lineRule="auto"/>
              <w:rPr>
                <w:rFonts w:ascii="Garamond" w:hAnsi="Garamond" w:cstheme="minorHAnsi"/>
                <w:b/>
                <w:sz w:val="22"/>
                <w:szCs w:val="24"/>
                <w:lang w:val="en-US"/>
              </w:rPr>
            </w:pPr>
            <w:r w:rsidRPr="00052A94">
              <w:rPr>
                <w:rFonts w:ascii="Garamond" w:hAnsi="Garamond" w:cstheme="minorHAnsi"/>
                <w:sz w:val="22"/>
                <w:szCs w:val="24"/>
                <w:lang w:val="en-US"/>
              </w:rPr>
              <w:t xml:space="preserve">High risk </w:t>
            </w:r>
          </w:p>
          <w:p w14:paraId="04EE8AA8" w14:textId="77777777" w:rsidR="00D32C6D" w:rsidRPr="00052A94" w:rsidRDefault="00D32C6D" w:rsidP="00B00E40">
            <w:pPr>
              <w:autoSpaceDE w:val="0"/>
              <w:autoSpaceDN w:val="0"/>
              <w:adjustRightInd w:val="0"/>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Negative ERCP</w:t>
            </w:r>
          </w:p>
          <w:p w14:paraId="4E4A0714" w14:textId="77777777" w:rsidR="00D32C6D" w:rsidRPr="00052A94" w:rsidRDefault="00D32C6D" w:rsidP="00B00E40">
            <w:pPr>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Positive ERCP</w:t>
            </w:r>
          </w:p>
        </w:tc>
        <w:tc>
          <w:tcPr>
            <w:tcW w:w="1513" w:type="pct"/>
          </w:tcPr>
          <w:p w14:paraId="08FE5F03"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112/440 (26%)</w:t>
            </w:r>
          </w:p>
          <w:p w14:paraId="218FBA4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18 (16%)</w:t>
            </w:r>
          </w:p>
          <w:p w14:paraId="21E9F483"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94 (84%)</w:t>
            </w:r>
          </w:p>
        </w:tc>
        <w:tc>
          <w:tcPr>
            <w:tcW w:w="1246" w:type="pct"/>
          </w:tcPr>
          <w:p w14:paraId="2755FA5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328/440 (75%)</w:t>
            </w:r>
          </w:p>
          <w:p w14:paraId="2871B0A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75 (23%)</w:t>
            </w:r>
          </w:p>
          <w:p w14:paraId="2C92B05D"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253 (77%)</w:t>
            </w:r>
          </w:p>
        </w:tc>
        <w:tc>
          <w:tcPr>
            <w:tcW w:w="623" w:type="pct"/>
          </w:tcPr>
          <w:p w14:paraId="1284B462" w14:textId="77777777" w:rsidR="00D32C6D" w:rsidRPr="00052A94" w:rsidRDefault="00D32C6D" w:rsidP="00B00E40">
            <w:pPr>
              <w:spacing w:line="288" w:lineRule="auto"/>
              <w:jc w:val="center"/>
              <w:rPr>
                <w:rFonts w:ascii="Garamond" w:hAnsi="Garamond" w:cstheme="minorHAnsi"/>
                <w:sz w:val="22"/>
                <w:szCs w:val="24"/>
                <w:lang w:val="en-US"/>
              </w:rPr>
            </w:pPr>
          </w:p>
          <w:p w14:paraId="0808C9DA" w14:textId="77777777" w:rsidR="00D32C6D" w:rsidRPr="00052A94" w:rsidRDefault="00D32C6D" w:rsidP="00B00E40">
            <w:pPr>
              <w:spacing w:line="288" w:lineRule="auto"/>
              <w:jc w:val="center"/>
              <w:rPr>
                <w:rFonts w:ascii="Garamond" w:hAnsi="Garamond" w:cstheme="minorHAnsi"/>
                <w:sz w:val="22"/>
                <w:szCs w:val="24"/>
                <w:vertAlign w:val="superscript"/>
                <w:lang w:val="en-US"/>
              </w:rPr>
            </w:pPr>
            <w:r w:rsidRPr="00052A94">
              <w:rPr>
                <w:rFonts w:ascii="Garamond" w:hAnsi="Garamond" w:cstheme="minorHAnsi"/>
                <w:sz w:val="22"/>
                <w:szCs w:val="24"/>
                <w:lang w:val="en-US"/>
              </w:rPr>
              <w:t>0.128</w:t>
            </w:r>
            <w:r w:rsidRPr="00052A94">
              <w:rPr>
                <w:rFonts w:ascii="Garamond" w:hAnsi="Garamond" w:cstheme="minorHAnsi"/>
                <w:sz w:val="22"/>
                <w:szCs w:val="24"/>
                <w:vertAlign w:val="superscript"/>
                <w:lang w:val="en-US"/>
              </w:rPr>
              <w:t>a</w:t>
            </w:r>
          </w:p>
          <w:p w14:paraId="54347727" w14:textId="77777777" w:rsidR="00D32C6D" w:rsidRPr="00052A94" w:rsidRDefault="00D32C6D" w:rsidP="00B00E40">
            <w:pPr>
              <w:spacing w:line="288" w:lineRule="auto"/>
              <w:jc w:val="center"/>
              <w:rPr>
                <w:rFonts w:ascii="Garamond" w:hAnsi="Garamond" w:cstheme="minorHAnsi"/>
                <w:sz w:val="22"/>
                <w:szCs w:val="24"/>
                <w:lang w:val="en-US"/>
              </w:rPr>
            </w:pPr>
          </w:p>
        </w:tc>
      </w:tr>
      <w:tr w:rsidR="00D32C6D" w:rsidRPr="00052A94" w14:paraId="4EF01DFB" w14:textId="77777777" w:rsidTr="00B00E40">
        <w:tc>
          <w:tcPr>
            <w:tcW w:w="1619" w:type="pct"/>
          </w:tcPr>
          <w:p w14:paraId="5964567E"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Intermediate risk</w:t>
            </w:r>
          </w:p>
          <w:p w14:paraId="795702C0" w14:textId="77777777" w:rsidR="00D32C6D" w:rsidRPr="00052A94" w:rsidRDefault="00D32C6D" w:rsidP="00B00E40">
            <w:pPr>
              <w:autoSpaceDE w:val="0"/>
              <w:autoSpaceDN w:val="0"/>
              <w:adjustRightInd w:val="0"/>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Negative ERCP</w:t>
            </w:r>
          </w:p>
          <w:p w14:paraId="1A117DEF" w14:textId="77777777" w:rsidR="00D32C6D" w:rsidRPr="00052A94" w:rsidRDefault="00D32C6D" w:rsidP="00B00E40">
            <w:pPr>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Positive ERCP</w:t>
            </w:r>
          </w:p>
        </w:tc>
        <w:tc>
          <w:tcPr>
            <w:tcW w:w="1513" w:type="pct"/>
          </w:tcPr>
          <w:p w14:paraId="2C18E8CE"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170/246 (69%)</w:t>
            </w:r>
          </w:p>
          <w:p w14:paraId="52A7FC6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32 (19%)</w:t>
            </w:r>
          </w:p>
          <w:p w14:paraId="118AE5E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138 (81%)</w:t>
            </w:r>
          </w:p>
        </w:tc>
        <w:tc>
          <w:tcPr>
            <w:tcW w:w="1246" w:type="pct"/>
          </w:tcPr>
          <w:p w14:paraId="18A239F1"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76/246 (31%)</w:t>
            </w:r>
          </w:p>
          <w:p w14:paraId="22958B6C"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23/76 (30%)</w:t>
            </w:r>
          </w:p>
          <w:p w14:paraId="5E1282E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53/76 (70%)</w:t>
            </w:r>
          </w:p>
        </w:tc>
        <w:tc>
          <w:tcPr>
            <w:tcW w:w="623" w:type="pct"/>
          </w:tcPr>
          <w:p w14:paraId="0734BB80" w14:textId="77777777" w:rsidR="00D32C6D" w:rsidRPr="00052A94" w:rsidRDefault="00D32C6D" w:rsidP="00B00E40">
            <w:pPr>
              <w:spacing w:line="288" w:lineRule="auto"/>
              <w:jc w:val="center"/>
              <w:rPr>
                <w:rFonts w:ascii="Garamond" w:hAnsi="Garamond" w:cstheme="minorHAnsi"/>
                <w:sz w:val="22"/>
                <w:szCs w:val="24"/>
                <w:lang w:val="en-US"/>
              </w:rPr>
            </w:pPr>
          </w:p>
          <w:p w14:paraId="0D09E057" w14:textId="77777777" w:rsidR="00D32C6D" w:rsidRPr="00052A94" w:rsidRDefault="00D32C6D"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&lt;0.001</w:t>
            </w:r>
            <w:r w:rsidRPr="00052A94">
              <w:rPr>
                <w:rFonts w:ascii="Garamond" w:hAnsi="Garamond" w:cstheme="minorHAnsi"/>
                <w:b/>
                <w:sz w:val="22"/>
                <w:szCs w:val="24"/>
                <w:vertAlign w:val="superscript"/>
                <w:lang w:val="en-US"/>
              </w:rPr>
              <w:t>a</w:t>
            </w:r>
          </w:p>
        </w:tc>
      </w:tr>
      <w:tr w:rsidR="00D32C6D" w:rsidRPr="00052A94" w14:paraId="48D30C4D" w14:textId="77777777" w:rsidTr="00B00E40">
        <w:tc>
          <w:tcPr>
            <w:tcW w:w="1619" w:type="pct"/>
          </w:tcPr>
          <w:p w14:paraId="6CBAFEBF"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Low risk</w:t>
            </w:r>
          </w:p>
          <w:p w14:paraId="5CCBDA0C" w14:textId="77777777" w:rsidR="00D32C6D" w:rsidRPr="00052A94" w:rsidRDefault="00D32C6D" w:rsidP="00B00E40">
            <w:pPr>
              <w:autoSpaceDE w:val="0"/>
              <w:autoSpaceDN w:val="0"/>
              <w:adjustRightInd w:val="0"/>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Negative ERCP</w:t>
            </w:r>
          </w:p>
          <w:p w14:paraId="1378F785" w14:textId="77777777" w:rsidR="00D32C6D" w:rsidRPr="00052A94" w:rsidRDefault="00D32C6D" w:rsidP="00B00E40">
            <w:pPr>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Positive ERCP</w:t>
            </w:r>
          </w:p>
        </w:tc>
        <w:tc>
          <w:tcPr>
            <w:tcW w:w="1513" w:type="pct"/>
          </w:tcPr>
          <w:p w14:paraId="22BC782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14/21 (68%)</w:t>
            </w:r>
          </w:p>
          <w:p w14:paraId="3359DA3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 (29%)</w:t>
            </w:r>
          </w:p>
          <w:p w14:paraId="1915415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10 (71%)</w:t>
            </w:r>
          </w:p>
        </w:tc>
        <w:tc>
          <w:tcPr>
            <w:tcW w:w="1246" w:type="pct"/>
          </w:tcPr>
          <w:p w14:paraId="5F78FD93"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7/21 (33%)</w:t>
            </w:r>
          </w:p>
          <w:p w14:paraId="3FA4CF1D"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 (43%)</w:t>
            </w:r>
          </w:p>
          <w:p w14:paraId="30AA55CA"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 (57%)</w:t>
            </w:r>
          </w:p>
        </w:tc>
        <w:tc>
          <w:tcPr>
            <w:tcW w:w="623" w:type="pct"/>
          </w:tcPr>
          <w:p w14:paraId="11AA0073" w14:textId="77777777" w:rsidR="00D32C6D" w:rsidRPr="00052A94" w:rsidRDefault="00D32C6D" w:rsidP="00B00E40">
            <w:pPr>
              <w:spacing w:line="288" w:lineRule="auto"/>
              <w:rPr>
                <w:rFonts w:ascii="Garamond" w:hAnsi="Garamond" w:cstheme="minorHAnsi"/>
                <w:sz w:val="22"/>
                <w:szCs w:val="24"/>
                <w:lang w:val="en-US"/>
              </w:rPr>
            </w:pPr>
          </w:p>
          <w:p w14:paraId="41DFFBFE"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0.638</w:t>
            </w:r>
            <w:r w:rsidRPr="00052A94">
              <w:rPr>
                <w:rFonts w:ascii="Garamond" w:hAnsi="Garamond" w:cstheme="minorHAnsi"/>
                <w:sz w:val="22"/>
                <w:szCs w:val="24"/>
                <w:vertAlign w:val="superscript"/>
                <w:lang w:val="en-US"/>
              </w:rPr>
              <w:t>b</w:t>
            </w:r>
          </w:p>
        </w:tc>
      </w:tr>
      <w:tr w:rsidR="00D32C6D" w:rsidRPr="00052A94" w14:paraId="417ECDFB" w14:textId="77777777" w:rsidTr="00B00E40">
        <w:tc>
          <w:tcPr>
            <w:tcW w:w="1619" w:type="pct"/>
          </w:tcPr>
          <w:p w14:paraId="638BB552" w14:textId="77777777" w:rsidR="00D32C6D" w:rsidRPr="00052A94" w:rsidRDefault="00D32C6D" w:rsidP="00B00E40">
            <w:pPr>
              <w:spacing w:line="288" w:lineRule="auto"/>
              <w:rPr>
                <w:rFonts w:ascii="Garamond" w:hAnsi="Garamond" w:cstheme="minorHAnsi"/>
                <w:b/>
                <w:sz w:val="22"/>
                <w:szCs w:val="24"/>
                <w:lang w:val="en-US"/>
              </w:rPr>
            </w:pPr>
          </w:p>
          <w:p w14:paraId="01B7F258"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b/>
                <w:sz w:val="22"/>
                <w:szCs w:val="24"/>
                <w:lang w:val="en-US"/>
              </w:rPr>
              <w:t>ASGE 2019</w:t>
            </w:r>
          </w:p>
        </w:tc>
        <w:tc>
          <w:tcPr>
            <w:tcW w:w="1513" w:type="pct"/>
          </w:tcPr>
          <w:p w14:paraId="08D8CE7F" w14:textId="77777777" w:rsidR="00D32C6D" w:rsidRPr="00052A94" w:rsidRDefault="00D32C6D" w:rsidP="00B00E40">
            <w:pPr>
              <w:spacing w:line="288" w:lineRule="auto"/>
              <w:jc w:val="center"/>
              <w:rPr>
                <w:rFonts w:ascii="Garamond" w:hAnsi="Garamond" w:cstheme="minorHAnsi"/>
                <w:sz w:val="22"/>
                <w:szCs w:val="24"/>
                <w:lang w:val="en-US"/>
              </w:rPr>
            </w:pPr>
          </w:p>
        </w:tc>
        <w:tc>
          <w:tcPr>
            <w:tcW w:w="1246" w:type="pct"/>
          </w:tcPr>
          <w:p w14:paraId="00769E48" w14:textId="77777777" w:rsidR="00D32C6D" w:rsidRPr="00052A94" w:rsidRDefault="00D32C6D" w:rsidP="00B00E40">
            <w:pPr>
              <w:spacing w:line="288" w:lineRule="auto"/>
              <w:jc w:val="center"/>
              <w:rPr>
                <w:rFonts w:ascii="Garamond" w:hAnsi="Garamond" w:cstheme="minorHAnsi"/>
                <w:sz w:val="22"/>
                <w:szCs w:val="24"/>
                <w:lang w:val="en-US"/>
              </w:rPr>
            </w:pPr>
          </w:p>
        </w:tc>
        <w:tc>
          <w:tcPr>
            <w:tcW w:w="623" w:type="pct"/>
          </w:tcPr>
          <w:p w14:paraId="61A2E6D8" w14:textId="77777777" w:rsidR="00D32C6D" w:rsidRPr="00052A94" w:rsidRDefault="00D32C6D" w:rsidP="00B00E40">
            <w:pPr>
              <w:spacing w:line="288" w:lineRule="auto"/>
              <w:jc w:val="center"/>
              <w:rPr>
                <w:rFonts w:ascii="Garamond" w:hAnsi="Garamond" w:cstheme="minorHAnsi"/>
                <w:sz w:val="22"/>
                <w:szCs w:val="24"/>
                <w:lang w:val="en-US"/>
              </w:rPr>
            </w:pPr>
          </w:p>
        </w:tc>
      </w:tr>
      <w:tr w:rsidR="00D32C6D" w:rsidRPr="00052A94" w14:paraId="53142F67" w14:textId="77777777" w:rsidTr="00B00E40">
        <w:tc>
          <w:tcPr>
            <w:tcW w:w="1619" w:type="pct"/>
          </w:tcPr>
          <w:p w14:paraId="38B0E89B" w14:textId="77777777" w:rsidR="00D32C6D" w:rsidRPr="00052A94" w:rsidRDefault="00D32C6D" w:rsidP="00B00E40">
            <w:pPr>
              <w:autoSpaceDE w:val="0"/>
              <w:autoSpaceDN w:val="0"/>
              <w:adjustRightInd w:val="0"/>
              <w:spacing w:line="288" w:lineRule="auto"/>
              <w:rPr>
                <w:rFonts w:ascii="Garamond" w:hAnsi="Garamond" w:cstheme="minorHAnsi"/>
                <w:b/>
                <w:sz w:val="22"/>
                <w:szCs w:val="24"/>
                <w:lang w:val="en-US"/>
              </w:rPr>
            </w:pPr>
            <w:r w:rsidRPr="00052A94">
              <w:rPr>
                <w:rFonts w:ascii="Garamond" w:hAnsi="Garamond" w:cstheme="minorHAnsi"/>
                <w:sz w:val="22"/>
                <w:szCs w:val="24"/>
                <w:lang w:val="en-US"/>
              </w:rPr>
              <w:t xml:space="preserve">High risk </w:t>
            </w:r>
          </w:p>
          <w:p w14:paraId="75D854A7" w14:textId="77777777" w:rsidR="00D32C6D" w:rsidRPr="00052A94" w:rsidRDefault="00D32C6D" w:rsidP="00B00E40">
            <w:pPr>
              <w:autoSpaceDE w:val="0"/>
              <w:autoSpaceDN w:val="0"/>
              <w:adjustRightInd w:val="0"/>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Negative ERCP</w:t>
            </w:r>
          </w:p>
          <w:p w14:paraId="07347C6A" w14:textId="77777777" w:rsidR="00D32C6D" w:rsidRPr="00052A94" w:rsidRDefault="00D32C6D" w:rsidP="00B00E40">
            <w:pPr>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Positive ERCP</w:t>
            </w:r>
          </w:p>
        </w:tc>
        <w:tc>
          <w:tcPr>
            <w:tcW w:w="1513" w:type="pct"/>
          </w:tcPr>
          <w:p w14:paraId="039597CC"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97/397 (24%)</w:t>
            </w:r>
          </w:p>
          <w:p w14:paraId="1CED23CF"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17 (18%)</w:t>
            </w:r>
          </w:p>
          <w:p w14:paraId="5083869A"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80 (82%)</w:t>
            </w:r>
          </w:p>
        </w:tc>
        <w:tc>
          <w:tcPr>
            <w:tcW w:w="1246" w:type="pct"/>
          </w:tcPr>
          <w:p w14:paraId="60CFA9F2"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300/397 (76%)</w:t>
            </w:r>
          </w:p>
          <w:p w14:paraId="19B78740"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65 (22%)</w:t>
            </w:r>
          </w:p>
          <w:p w14:paraId="30CC700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235 (78%)</w:t>
            </w:r>
          </w:p>
        </w:tc>
        <w:tc>
          <w:tcPr>
            <w:tcW w:w="623" w:type="pct"/>
          </w:tcPr>
          <w:p w14:paraId="2DF284DA" w14:textId="77777777" w:rsidR="00D32C6D" w:rsidRPr="00052A94" w:rsidRDefault="00D32C6D" w:rsidP="00B00E40">
            <w:pPr>
              <w:spacing w:line="288" w:lineRule="auto"/>
              <w:rPr>
                <w:rFonts w:ascii="Garamond" w:hAnsi="Garamond" w:cstheme="minorHAnsi"/>
                <w:sz w:val="22"/>
                <w:szCs w:val="24"/>
                <w:lang w:val="en-US"/>
              </w:rPr>
            </w:pPr>
          </w:p>
          <w:p w14:paraId="4BDF5D89"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0.381</w:t>
            </w:r>
            <w:r w:rsidRPr="00052A94">
              <w:rPr>
                <w:rFonts w:ascii="Garamond" w:hAnsi="Garamond" w:cstheme="minorHAnsi"/>
                <w:sz w:val="22"/>
                <w:szCs w:val="24"/>
                <w:vertAlign w:val="superscript"/>
                <w:lang w:val="en-US"/>
              </w:rPr>
              <w:t>a</w:t>
            </w:r>
          </w:p>
        </w:tc>
      </w:tr>
      <w:tr w:rsidR="00D32C6D" w:rsidRPr="00052A94" w14:paraId="7BBB21E9" w14:textId="77777777" w:rsidTr="00B00E40">
        <w:tc>
          <w:tcPr>
            <w:tcW w:w="1619" w:type="pct"/>
          </w:tcPr>
          <w:p w14:paraId="486B6C11"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Intermediate risk</w:t>
            </w:r>
          </w:p>
          <w:p w14:paraId="5C1DA65C" w14:textId="77777777" w:rsidR="00D32C6D" w:rsidRPr="00052A94" w:rsidRDefault="00D32C6D" w:rsidP="00B00E40">
            <w:pPr>
              <w:autoSpaceDE w:val="0"/>
              <w:autoSpaceDN w:val="0"/>
              <w:adjustRightInd w:val="0"/>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Negative ERCP</w:t>
            </w:r>
          </w:p>
          <w:p w14:paraId="7883FD9F" w14:textId="77777777" w:rsidR="00D32C6D" w:rsidRPr="00052A94" w:rsidRDefault="00D32C6D" w:rsidP="00B00E40">
            <w:pPr>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Positive ERCP</w:t>
            </w:r>
          </w:p>
        </w:tc>
        <w:tc>
          <w:tcPr>
            <w:tcW w:w="1513" w:type="pct"/>
          </w:tcPr>
          <w:p w14:paraId="7AA5B3A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185/290 (64%)</w:t>
            </w:r>
          </w:p>
          <w:p w14:paraId="41EAB184"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33 (18%)</w:t>
            </w:r>
          </w:p>
          <w:p w14:paraId="63A8DB4F" w14:textId="77777777" w:rsidR="00D32C6D" w:rsidRPr="00052A94" w:rsidRDefault="00D32C6D" w:rsidP="00B00E40">
            <w:pPr>
              <w:spacing w:line="288" w:lineRule="auto"/>
              <w:jc w:val="center"/>
              <w:rPr>
                <w:rFonts w:ascii="Garamond" w:hAnsi="Garamond" w:cstheme="minorHAnsi"/>
                <w:b/>
                <w:sz w:val="22"/>
                <w:szCs w:val="24"/>
                <w:lang w:val="en-US"/>
              </w:rPr>
            </w:pPr>
            <w:r w:rsidRPr="00052A94">
              <w:rPr>
                <w:rFonts w:ascii="Garamond" w:hAnsi="Garamond" w:cstheme="minorHAnsi"/>
                <w:sz w:val="22"/>
                <w:szCs w:val="24"/>
                <w:lang w:val="en-US"/>
              </w:rPr>
              <w:t>152 (82%)</w:t>
            </w:r>
          </w:p>
        </w:tc>
        <w:tc>
          <w:tcPr>
            <w:tcW w:w="1246" w:type="pct"/>
          </w:tcPr>
          <w:p w14:paraId="5FF2550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105/290 (36%)</w:t>
            </w:r>
          </w:p>
          <w:p w14:paraId="6EB55DB0"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33 (31%)</w:t>
            </w:r>
          </w:p>
          <w:p w14:paraId="3ED808D9"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72 (69%)</w:t>
            </w:r>
          </w:p>
        </w:tc>
        <w:tc>
          <w:tcPr>
            <w:tcW w:w="623" w:type="pct"/>
          </w:tcPr>
          <w:p w14:paraId="00D8337E" w14:textId="77777777" w:rsidR="00D32C6D" w:rsidRPr="00052A94" w:rsidRDefault="00D32C6D" w:rsidP="00B00E40">
            <w:pPr>
              <w:spacing w:line="288" w:lineRule="auto"/>
              <w:rPr>
                <w:rFonts w:ascii="Garamond" w:hAnsi="Garamond" w:cstheme="minorHAnsi"/>
                <w:sz w:val="22"/>
                <w:szCs w:val="24"/>
                <w:lang w:val="en-US"/>
              </w:rPr>
            </w:pPr>
          </w:p>
          <w:p w14:paraId="013C2745" w14:textId="77777777" w:rsidR="00D32C6D" w:rsidRPr="00052A94" w:rsidRDefault="00D32C6D"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0.008</w:t>
            </w:r>
            <w:r w:rsidRPr="00052A94">
              <w:rPr>
                <w:rFonts w:ascii="Garamond" w:hAnsi="Garamond" w:cstheme="minorHAnsi"/>
                <w:b/>
                <w:sz w:val="22"/>
                <w:szCs w:val="24"/>
                <w:vertAlign w:val="superscript"/>
                <w:lang w:val="en-US"/>
              </w:rPr>
              <w:t>a</w:t>
            </w:r>
          </w:p>
        </w:tc>
      </w:tr>
      <w:tr w:rsidR="00D32C6D" w:rsidRPr="00052A94" w14:paraId="424EB4E7" w14:textId="77777777" w:rsidTr="00B00E40">
        <w:trPr>
          <w:trHeight w:val="77"/>
        </w:trPr>
        <w:tc>
          <w:tcPr>
            <w:tcW w:w="1619" w:type="pct"/>
          </w:tcPr>
          <w:p w14:paraId="5510D48D"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Low risk</w:t>
            </w:r>
          </w:p>
          <w:p w14:paraId="01B6FBEB" w14:textId="77777777" w:rsidR="00D32C6D" w:rsidRPr="00052A94" w:rsidRDefault="00D32C6D" w:rsidP="00B00E40">
            <w:pPr>
              <w:autoSpaceDE w:val="0"/>
              <w:autoSpaceDN w:val="0"/>
              <w:adjustRightInd w:val="0"/>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Negative ERCP</w:t>
            </w:r>
          </w:p>
          <w:p w14:paraId="63EB1FEA" w14:textId="77777777" w:rsidR="00D32C6D" w:rsidRPr="00052A94" w:rsidRDefault="00D32C6D" w:rsidP="00B00E40">
            <w:pPr>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Positive ERCP</w:t>
            </w:r>
          </w:p>
        </w:tc>
        <w:tc>
          <w:tcPr>
            <w:tcW w:w="1513" w:type="pct"/>
          </w:tcPr>
          <w:p w14:paraId="4E344108"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14 (70%)</w:t>
            </w:r>
          </w:p>
          <w:p w14:paraId="45AFA566"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 (29%)</w:t>
            </w:r>
          </w:p>
          <w:p w14:paraId="7E691D8E"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10 (71%)</w:t>
            </w:r>
          </w:p>
        </w:tc>
        <w:tc>
          <w:tcPr>
            <w:tcW w:w="1246" w:type="pct"/>
          </w:tcPr>
          <w:p w14:paraId="219FD92F"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6/20 (30.0%)</w:t>
            </w:r>
          </w:p>
          <w:p w14:paraId="0C5B98A6"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 (50.0%)</w:t>
            </w:r>
          </w:p>
          <w:p w14:paraId="30FBD11A"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 (50.0%)</w:t>
            </w:r>
          </w:p>
        </w:tc>
        <w:tc>
          <w:tcPr>
            <w:tcW w:w="623" w:type="pct"/>
          </w:tcPr>
          <w:p w14:paraId="4791A025" w14:textId="77777777" w:rsidR="00D32C6D" w:rsidRPr="00052A94" w:rsidRDefault="00D32C6D" w:rsidP="00B00E40">
            <w:pPr>
              <w:spacing w:line="288" w:lineRule="auto"/>
              <w:rPr>
                <w:rFonts w:ascii="Garamond" w:hAnsi="Garamond" w:cstheme="minorHAnsi"/>
                <w:sz w:val="22"/>
                <w:szCs w:val="24"/>
                <w:lang w:val="en-US"/>
              </w:rPr>
            </w:pPr>
          </w:p>
          <w:p w14:paraId="38B9932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0.613</w:t>
            </w:r>
            <w:r w:rsidRPr="00052A94">
              <w:rPr>
                <w:rFonts w:ascii="Garamond" w:hAnsi="Garamond" w:cstheme="minorHAnsi"/>
                <w:sz w:val="22"/>
                <w:szCs w:val="24"/>
                <w:vertAlign w:val="superscript"/>
                <w:lang w:val="en-US"/>
              </w:rPr>
              <w:t>b</w:t>
            </w:r>
          </w:p>
        </w:tc>
      </w:tr>
      <w:tr w:rsidR="00D32C6D" w:rsidRPr="00052A94" w14:paraId="2BA02AF5" w14:textId="77777777" w:rsidTr="00B00E40">
        <w:tc>
          <w:tcPr>
            <w:tcW w:w="1619" w:type="pct"/>
          </w:tcPr>
          <w:p w14:paraId="607EE02D" w14:textId="77777777" w:rsidR="00D32C6D" w:rsidRPr="00052A94" w:rsidRDefault="00D32C6D" w:rsidP="00B00E40">
            <w:pPr>
              <w:spacing w:line="288" w:lineRule="auto"/>
              <w:rPr>
                <w:rFonts w:ascii="Garamond" w:hAnsi="Garamond" w:cstheme="minorHAnsi"/>
                <w:b/>
                <w:sz w:val="22"/>
                <w:szCs w:val="24"/>
                <w:lang w:val="en-US"/>
              </w:rPr>
            </w:pPr>
          </w:p>
          <w:p w14:paraId="7E6B0B84"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b/>
                <w:sz w:val="22"/>
                <w:szCs w:val="24"/>
                <w:lang w:val="en-US"/>
              </w:rPr>
              <w:t>ESGE 2019</w:t>
            </w:r>
          </w:p>
        </w:tc>
        <w:tc>
          <w:tcPr>
            <w:tcW w:w="1513" w:type="pct"/>
          </w:tcPr>
          <w:p w14:paraId="6BA5B9BE" w14:textId="77777777" w:rsidR="00D32C6D" w:rsidRPr="00052A94" w:rsidRDefault="00D32C6D" w:rsidP="00B00E40">
            <w:pPr>
              <w:spacing w:line="288" w:lineRule="auto"/>
              <w:jc w:val="center"/>
              <w:rPr>
                <w:rFonts w:ascii="Garamond" w:hAnsi="Garamond" w:cstheme="minorHAnsi"/>
                <w:sz w:val="22"/>
                <w:szCs w:val="24"/>
                <w:lang w:val="en-US"/>
              </w:rPr>
            </w:pPr>
          </w:p>
        </w:tc>
        <w:tc>
          <w:tcPr>
            <w:tcW w:w="1246" w:type="pct"/>
          </w:tcPr>
          <w:p w14:paraId="4FD3925A" w14:textId="77777777" w:rsidR="00D32C6D" w:rsidRPr="00052A94" w:rsidRDefault="00D32C6D" w:rsidP="00B00E40">
            <w:pPr>
              <w:spacing w:line="288" w:lineRule="auto"/>
              <w:jc w:val="center"/>
              <w:rPr>
                <w:rFonts w:ascii="Garamond" w:hAnsi="Garamond" w:cstheme="minorHAnsi"/>
                <w:sz w:val="22"/>
                <w:szCs w:val="24"/>
                <w:lang w:val="en-US"/>
              </w:rPr>
            </w:pPr>
          </w:p>
        </w:tc>
        <w:tc>
          <w:tcPr>
            <w:tcW w:w="623" w:type="pct"/>
          </w:tcPr>
          <w:p w14:paraId="02A268EE" w14:textId="77777777" w:rsidR="00D32C6D" w:rsidRPr="00052A94" w:rsidRDefault="00D32C6D" w:rsidP="00B00E40">
            <w:pPr>
              <w:spacing w:line="288" w:lineRule="auto"/>
              <w:jc w:val="center"/>
              <w:rPr>
                <w:rFonts w:ascii="Garamond" w:hAnsi="Garamond" w:cstheme="minorHAnsi"/>
                <w:sz w:val="22"/>
                <w:szCs w:val="24"/>
                <w:lang w:val="en-US"/>
              </w:rPr>
            </w:pPr>
          </w:p>
        </w:tc>
      </w:tr>
      <w:tr w:rsidR="00D32C6D" w:rsidRPr="00052A94" w14:paraId="48BD5762" w14:textId="77777777" w:rsidTr="00B00E40">
        <w:tc>
          <w:tcPr>
            <w:tcW w:w="1619" w:type="pct"/>
          </w:tcPr>
          <w:p w14:paraId="3A9CD133" w14:textId="77777777" w:rsidR="00D32C6D" w:rsidRPr="00052A94" w:rsidRDefault="00D32C6D" w:rsidP="00B00E40">
            <w:pPr>
              <w:autoSpaceDE w:val="0"/>
              <w:autoSpaceDN w:val="0"/>
              <w:adjustRightInd w:val="0"/>
              <w:spacing w:line="288" w:lineRule="auto"/>
              <w:rPr>
                <w:rFonts w:ascii="Garamond" w:hAnsi="Garamond" w:cstheme="minorHAnsi"/>
                <w:b/>
                <w:sz w:val="22"/>
                <w:szCs w:val="24"/>
                <w:lang w:val="en-US"/>
              </w:rPr>
            </w:pPr>
            <w:r w:rsidRPr="00052A94">
              <w:rPr>
                <w:rFonts w:ascii="Garamond" w:hAnsi="Garamond" w:cstheme="minorHAnsi"/>
                <w:sz w:val="22"/>
                <w:szCs w:val="24"/>
                <w:lang w:val="en-US"/>
              </w:rPr>
              <w:t>High risk</w:t>
            </w:r>
          </w:p>
          <w:p w14:paraId="2D1253FD" w14:textId="77777777" w:rsidR="00D32C6D" w:rsidRPr="00052A94" w:rsidRDefault="00D32C6D" w:rsidP="00B00E40">
            <w:pPr>
              <w:autoSpaceDE w:val="0"/>
              <w:autoSpaceDN w:val="0"/>
              <w:adjustRightInd w:val="0"/>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Negative ERCP</w:t>
            </w:r>
          </w:p>
          <w:p w14:paraId="332CEF2C" w14:textId="77777777" w:rsidR="00D32C6D" w:rsidRPr="00052A94" w:rsidRDefault="00D32C6D" w:rsidP="00B00E40">
            <w:pPr>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Positive ERCP</w:t>
            </w:r>
          </w:p>
        </w:tc>
        <w:tc>
          <w:tcPr>
            <w:tcW w:w="1513" w:type="pct"/>
          </w:tcPr>
          <w:p w14:paraId="5DE031CA"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83/344 (24%)</w:t>
            </w:r>
          </w:p>
          <w:p w14:paraId="7CE3052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14 (17%)</w:t>
            </w:r>
          </w:p>
          <w:p w14:paraId="2C4A4D51"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69 (83%)</w:t>
            </w:r>
          </w:p>
        </w:tc>
        <w:tc>
          <w:tcPr>
            <w:tcW w:w="1246" w:type="pct"/>
          </w:tcPr>
          <w:p w14:paraId="3984D84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261/344 (76%)</w:t>
            </w:r>
          </w:p>
          <w:p w14:paraId="386A941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55 (21%)</w:t>
            </w:r>
          </w:p>
          <w:p w14:paraId="6BC0A7FF"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206 (78%)</w:t>
            </w:r>
          </w:p>
        </w:tc>
        <w:tc>
          <w:tcPr>
            <w:tcW w:w="623" w:type="pct"/>
          </w:tcPr>
          <w:p w14:paraId="58F9D9D2" w14:textId="77777777" w:rsidR="00D32C6D" w:rsidRPr="00052A94" w:rsidRDefault="00D32C6D" w:rsidP="00B00E40">
            <w:pPr>
              <w:spacing w:line="288" w:lineRule="auto"/>
              <w:rPr>
                <w:rFonts w:ascii="Garamond" w:hAnsi="Garamond" w:cstheme="minorHAnsi"/>
                <w:sz w:val="22"/>
                <w:szCs w:val="24"/>
                <w:lang w:val="en-US"/>
              </w:rPr>
            </w:pPr>
          </w:p>
          <w:p w14:paraId="0426349F"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0.405</w:t>
            </w:r>
            <w:r w:rsidRPr="00052A94">
              <w:rPr>
                <w:rFonts w:ascii="Garamond" w:hAnsi="Garamond" w:cstheme="minorHAnsi"/>
                <w:sz w:val="22"/>
                <w:szCs w:val="24"/>
                <w:vertAlign w:val="superscript"/>
                <w:lang w:val="en-US"/>
              </w:rPr>
              <w:t>a</w:t>
            </w:r>
          </w:p>
        </w:tc>
      </w:tr>
      <w:tr w:rsidR="00D32C6D" w:rsidRPr="00052A94" w14:paraId="31156A82" w14:textId="77777777" w:rsidTr="00B00E40">
        <w:tc>
          <w:tcPr>
            <w:tcW w:w="1619" w:type="pct"/>
          </w:tcPr>
          <w:p w14:paraId="22CE171B"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Intermediate risk</w:t>
            </w:r>
          </w:p>
          <w:p w14:paraId="57592BBE" w14:textId="77777777" w:rsidR="00D32C6D" w:rsidRPr="00052A94" w:rsidRDefault="00D32C6D" w:rsidP="00B00E40">
            <w:pPr>
              <w:autoSpaceDE w:val="0"/>
              <w:autoSpaceDN w:val="0"/>
              <w:adjustRightInd w:val="0"/>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Negative ERCP</w:t>
            </w:r>
          </w:p>
          <w:p w14:paraId="12EFF610" w14:textId="77777777" w:rsidR="00D32C6D" w:rsidRPr="00052A94" w:rsidRDefault="00D32C6D" w:rsidP="00B00E40">
            <w:pPr>
              <w:spacing w:line="288" w:lineRule="auto"/>
              <w:ind w:left="457"/>
              <w:rPr>
                <w:rFonts w:ascii="Garamond" w:hAnsi="Garamond" w:cstheme="minorHAnsi"/>
                <w:b/>
                <w:sz w:val="22"/>
                <w:szCs w:val="24"/>
                <w:lang w:val="en-US"/>
              </w:rPr>
            </w:pPr>
            <w:r w:rsidRPr="00052A94">
              <w:rPr>
                <w:rFonts w:ascii="Garamond" w:hAnsi="Garamond" w:cstheme="minorHAnsi"/>
                <w:sz w:val="22"/>
                <w:szCs w:val="24"/>
                <w:lang w:val="en-US"/>
              </w:rPr>
              <w:t>Positive ERCP</w:t>
            </w:r>
          </w:p>
        </w:tc>
        <w:tc>
          <w:tcPr>
            <w:tcW w:w="1513" w:type="pct"/>
          </w:tcPr>
          <w:p w14:paraId="1ABF75B8"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175/312 (56%)</w:t>
            </w:r>
          </w:p>
          <w:p w14:paraId="3E13C64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32 (18%)</w:t>
            </w:r>
          </w:p>
          <w:p w14:paraId="17AA2846"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143 (82%)</w:t>
            </w:r>
          </w:p>
        </w:tc>
        <w:tc>
          <w:tcPr>
            <w:tcW w:w="1246" w:type="pct"/>
          </w:tcPr>
          <w:p w14:paraId="75D7CBC9"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137/312 (44%)</w:t>
            </w:r>
          </w:p>
          <w:p w14:paraId="72B1CD5C"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43 (31%)</w:t>
            </w:r>
          </w:p>
          <w:p w14:paraId="2A203FA1"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94 (69%)</w:t>
            </w:r>
          </w:p>
        </w:tc>
        <w:tc>
          <w:tcPr>
            <w:tcW w:w="623" w:type="pct"/>
          </w:tcPr>
          <w:p w14:paraId="3235CB0C" w14:textId="77777777" w:rsidR="00D32C6D" w:rsidRPr="00052A94" w:rsidRDefault="00D32C6D" w:rsidP="00B00E40">
            <w:pPr>
              <w:spacing w:line="288" w:lineRule="auto"/>
              <w:rPr>
                <w:rFonts w:ascii="Garamond" w:hAnsi="Garamond" w:cstheme="minorHAnsi"/>
                <w:sz w:val="22"/>
                <w:szCs w:val="24"/>
                <w:lang w:val="en-US"/>
              </w:rPr>
            </w:pPr>
          </w:p>
          <w:p w14:paraId="54BB50BE" w14:textId="77777777" w:rsidR="00D32C6D" w:rsidRPr="00052A94" w:rsidRDefault="00D32C6D" w:rsidP="00B00E40">
            <w:pPr>
              <w:spacing w:line="288" w:lineRule="auto"/>
              <w:jc w:val="center"/>
              <w:rPr>
                <w:rFonts w:ascii="Garamond" w:hAnsi="Garamond" w:cstheme="minorHAnsi"/>
                <w:b/>
                <w:sz w:val="22"/>
                <w:szCs w:val="24"/>
                <w:vertAlign w:val="superscript"/>
                <w:lang w:val="en-US"/>
              </w:rPr>
            </w:pPr>
            <w:r w:rsidRPr="00052A94">
              <w:rPr>
                <w:rFonts w:ascii="Garamond" w:hAnsi="Garamond" w:cstheme="minorHAnsi"/>
                <w:b/>
                <w:sz w:val="22"/>
                <w:szCs w:val="24"/>
                <w:lang w:val="en-US"/>
              </w:rPr>
              <w:t>0.007</w:t>
            </w:r>
            <w:r w:rsidRPr="00052A94">
              <w:rPr>
                <w:rFonts w:ascii="Garamond" w:hAnsi="Garamond" w:cstheme="minorHAnsi"/>
                <w:b/>
                <w:sz w:val="22"/>
                <w:szCs w:val="24"/>
                <w:vertAlign w:val="superscript"/>
                <w:lang w:val="en-US"/>
              </w:rPr>
              <w:t>a</w:t>
            </w:r>
          </w:p>
        </w:tc>
      </w:tr>
      <w:tr w:rsidR="00D32C6D" w:rsidRPr="00052A94" w14:paraId="2FB5DD73" w14:textId="77777777" w:rsidTr="00B00E40">
        <w:tc>
          <w:tcPr>
            <w:tcW w:w="1619" w:type="pct"/>
            <w:tcBorders>
              <w:bottom w:val="single" w:sz="4" w:space="0" w:color="auto"/>
            </w:tcBorders>
          </w:tcPr>
          <w:p w14:paraId="1DA3BCC5"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Low risk</w:t>
            </w:r>
          </w:p>
          <w:p w14:paraId="2D8D863E" w14:textId="77777777" w:rsidR="00D32C6D" w:rsidRPr="00052A94" w:rsidRDefault="00D32C6D" w:rsidP="00B00E40">
            <w:pPr>
              <w:autoSpaceDE w:val="0"/>
              <w:autoSpaceDN w:val="0"/>
              <w:adjustRightInd w:val="0"/>
              <w:spacing w:line="288" w:lineRule="auto"/>
              <w:ind w:left="457" w:hanging="140"/>
              <w:rPr>
                <w:rFonts w:ascii="Garamond" w:hAnsi="Garamond" w:cstheme="minorHAnsi"/>
                <w:b/>
                <w:sz w:val="22"/>
                <w:szCs w:val="24"/>
                <w:lang w:val="en-US"/>
              </w:rPr>
            </w:pPr>
            <w:r w:rsidRPr="00052A94">
              <w:rPr>
                <w:rFonts w:ascii="Garamond" w:hAnsi="Garamond" w:cstheme="minorHAnsi"/>
                <w:sz w:val="22"/>
                <w:szCs w:val="24"/>
                <w:lang w:val="en-US"/>
              </w:rPr>
              <w:t>Negative ERCP</w:t>
            </w:r>
          </w:p>
          <w:p w14:paraId="2963C69A" w14:textId="77777777" w:rsidR="00D32C6D" w:rsidRPr="00052A94" w:rsidRDefault="00D32C6D" w:rsidP="00B00E40">
            <w:pPr>
              <w:spacing w:line="288" w:lineRule="auto"/>
              <w:ind w:left="457" w:hanging="140"/>
              <w:rPr>
                <w:rFonts w:ascii="Garamond" w:hAnsi="Garamond" w:cstheme="minorHAnsi"/>
                <w:b/>
                <w:sz w:val="22"/>
                <w:szCs w:val="24"/>
                <w:lang w:val="en-US"/>
              </w:rPr>
            </w:pPr>
            <w:r w:rsidRPr="00052A94">
              <w:rPr>
                <w:rFonts w:ascii="Garamond" w:hAnsi="Garamond" w:cstheme="minorHAnsi"/>
                <w:sz w:val="22"/>
                <w:szCs w:val="24"/>
                <w:lang w:val="en-US"/>
              </w:rPr>
              <w:t>Positive ERCP</w:t>
            </w:r>
          </w:p>
        </w:tc>
        <w:tc>
          <w:tcPr>
            <w:tcW w:w="1513" w:type="pct"/>
            <w:tcBorders>
              <w:bottom w:val="single" w:sz="4" w:space="0" w:color="auto"/>
            </w:tcBorders>
          </w:tcPr>
          <w:p w14:paraId="73C6BFC2"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38/51 (75%)</w:t>
            </w:r>
          </w:p>
          <w:p w14:paraId="2AB77010"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8 (21%)</w:t>
            </w:r>
          </w:p>
          <w:p w14:paraId="5A52CF9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30 (79%)</w:t>
            </w:r>
          </w:p>
        </w:tc>
        <w:tc>
          <w:tcPr>
            <w:tcW w:w="1246" w:type="pct"/>
            <w:tcBorders>
              <w:bottom w:val="single" w:sz="4" w:space="0" w:color="auto"/>
            </w:tcBorders>
          </w:tcPr>
          <w:p w14:paraId="35F262B1"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13/51 (25%)</w:t>
            </w:r>
          </w:p>
          <w:p w14:paraId="2EC0F8C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 (23%)</w:t>
            </w:r>
          </w:p>
          <w:p w14:paraId="3C154B14"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10 (77%)</w:t>
            </w:r>
          </w:p>
        </w:tc>
        <w:tc>
          <w:tcPr>
            <w:tcW w:w="623" w:type="pct"/>
            <w:tcBorders>
              <w:bottom w:val="single" w:sz="4" w:space="0" w:color="auto"/>
            </w:tcBorders>
          </w:tcPr>
          <w:p w14:paraId="17EE151C" w14:textId="77777777" w:rsidR="00D32C6D" w:rsidRPr="00052A94" w:rsidRDefault="00D32C6D" w:rsidP="00B00E40">
            <w:pPr>
              <w:spacing w:line="288" w:lineRule="auto"/>
              <w:rPr>
                <w:rFonts w:ascii="Garamond" w:hAnsi="Garamond" w:cstheme="minorHAnsi"/>
                <w:sz w:val="22"/>
                <w:szCs w:val="24"/>
                <w:lang w:val="en-US"/>
              </w:rPr>
            </w:pPr>
          </w:p>
          <w:p w14:paraId="23AC9AA8" w14:textId="77777777" w:rsidR="00D32C6D" w:rsidRPr="00052A94" w:rsidRDefault="00D32C6D" w:rsidP="00B00E40">
            <w:pPr>
              <w:spacing w:line="288" w:lineRule="auto"/>
              <w:jc w:val="center"/>
              <w:rPr>
                <w:rFonts w:ascii="Garamond" w:hAnsi="Garamond" w:cstheme="minorHAnsi"/>
                <w:sz w:val="22"/>
                <w:szCs w:val="24"/>
                <w:vertAlign w:val="superscript"/>
                <w:lang w:val="en-US"/>
              </w:rPr>
            </w:pPr>
            <w:r w:rsidRPr="00052A94">
              <w:rPr>
                <w:rFonts w:ascii="Garamond" w:hAnsi="Garamond" w:cstheme="minorHAnsi"/>
                <w:sz w:val="22"/>
                <w:szCs w:val="24"/>
                <w:lang w:val="en-US"/>
              </w:rPr>
              <w:t>1.000</w:t>
            </w:r>
            <w:r w:rsidRPr="00052A94">
              <w:rPr>
                <w:rFonts w:ascii="Garamond" w:hAnsi="Garamond" w:cstheme="minorHAnsi"/>
                <w:sz w:val="22"/>
                <w:szCs w:val="24"/>
                <w:vertAlign w:val="superscript"/>
                <w:lang w:val="en-US"/>
              </w:rPr>
              <w:t>b</w:t>
            </w:r>
          </w:p>
        </w:tc>
      </w:tr>
      <w:tr w:rsidR="00D32C6D" w:rsidRPr="00896CA7" w14:paraId="4BDBA5D1" w14:textId="77777777" w:rsidTr="00B00E40">
        <w:tc>
          <w:tcPr>
            <w:tcW w:w="5000" w:type="pct"/>
            <w:gridSpan w:val="4"/>
            <w:tcBorders>
              <w:top w:val="single" w:sz="4" w:space="0" w:color="auto"/>
            </w:tcBorders>
          </w:tcPr>
          <w:p w14:paraId="6EFD4404" w14:textId="77777777" w:rsidR="00D32C6D" w:rsidRPr="00052A94" w:rsidRDefault="00D32C6D" w:rsidP="00B00E40">
            <w:pPr>
              <w:rPr>
                <w:rFonts w:ascii="Garamond" w:hAnsi="Garamond"/>
                <w:sz w:val="22"/>
                <w:szCs w:val="24"/>
                <w:lang w:val="en-US"/>
              </w:rPr>
            </w:pPr>
            <w:r w:rsidRPr="00052A94">
              <w:rPr>
                <w:rFonts w:ascii="Garamond" w:hAnsi="Garamond"/>
                <w:sz w:val="22"/>
                <w:szCs w:val="24"/>
                <w:vertAlign w:val="superscript"/>
                <w:lang w:val="en-US"/>
              </w:rPr>
              <w:t>a</w:t>
            </w:r>
            <w:r w:rsidRPr="00052A94">
              <w:rPr>
                <w:rFonts w:ascii="Garamond" w:hAnsi="Garamond"/>
                <w:sz w:val="22"/>
                <w:szCs w:val="24"/>
                <w:lang w:val="en-US"/>
              </w:rPr>
              <w:t xml:space="preserve"> Pearson’s Chi-Square test; </w:t>
            </w:r>
            <w:r w:rsidRPr="00052A94">
              <w:rPr>
                <w:rFonts w:ascii="Garamond" w:hAnsi="Garamond"/>
                <w:sz w:val="22"/>
                <w:szCs w:val="24"/>
                <w:vertAlign w:val="superscript"/>
                <w:lang w:val="en-US"/>
              </w:rPr>
              <w:t>b</w:t>
            </w:r>
            <w:r w:rsidRPr="00052A94">
              <w:rPr>
                <w:rFonts w:ascii="Garamond" w:hAnsi="Garamond"/>
                <w:sz w:val="22"/>
                <w:szCs w:val="24"/>
                <w:lang w:val="en-US"/>
              </w:rPr>
              <w:t xml:space="preserve"> Fisher Exact test</w:t>
            </w:r>
          </w:p>
          <w:p w14:paraId="052732FC" w14:textId="77777777" w:rsidR="00D32C6D" w:rsidRPr="00052A94" w:rsidRDefault="00D32C6D" w:rsidP="00B00E40">
            <w:pPr>
              <w:rPr>
                <w:rFonts w:ascii="Garamond" w:hAnsi="Garamond"/>
                <w:sz w:val="22"/>
                <w:szCs w:val="24"/>
                <w:lang w:val="en-US"/>
              </w:rPr>
            </w:pPr>
            <w:r w:rsidRPr="00052A94">
              <w:rPr>
                <w:rFonts w:ascii="Garamond" w:hAnsi="Garamond"/>
                <w:sz w:val="22"/>
                <w:szCs w:val="24"/>
                <w:lang w:val="en-US"/>
              </w:rPr>
              <w:t>ASGE=American Society for Gastrointestinal Endoscopy, ESGE=European Society of Gastrointestinal Endoscopy, ERCP=endoscopic retrograde cholangiopancreatography</w:t>
            </w:r>
          </w:p>
        </w:tc>
      </w:tr>
    </w:tbl>
    <w:p w14:paraId="44752C93" w14:textId="77777777" w:rsidR="00D32C6D" w:rsidRPr="00052A94" w:rsidRDefault="00D32C6D" w:rsidP="00224FC0">
      <w:pPr>
        <w:spacing w:after="0" w:line="240" w:lineRule="auto"/>
        <w:jc w:val="both"/>
        <w:rPr>
          <w:rFonts w:ascii="Garamond" w:hAnsi="Garamond"/>
          <w:szCs w:val="24"/>
          <w:lang w:val="en-US"/>
        </w:rPr>
      </w:pPr>
    </w:p>
    <w:p w14:paraId="5E3BE196" w14:textId="77777777" w:rsidR="00224FC0" w:rsidRPr="00052A94" w:rsidRDefault="00224FC0" w:rsidP="00224FC0">
      <w:pPr>
        <w:spacing w:after="0"/>
        <w:rPr>
          <w:rFonts w:ascii="Garamond" w:hAnsi="Garamond"/>
          <w:szCs w:val="24"/>
          <w:lang w:val="en-US"/>
        </w:rPr>
      </w:pPr>
    </w:p>
    <w:p w14:paraId="3A4A1DB2" w14:textId="77777777" w:rsidR="00595B81" w:rsidRPr="00052A94" w:rsidRDefault="00595B81" w:rsidP="00595B81">
      <w:pPr>
        <w:spacing w:after="0"/>
        <w:rPr>
          <w:rFonts w:ascii="Garamond" w:hAnsi="Garamond"/>
          <w:szCs w:val="24"/>
          <w:lang w:val="en-US"/>
        </w:rPr>
      </w:pPr>
    </w:p>
    <w:p w14:paraId="48620636" w14:textId="77777777" w:rsidR="00224FC0" w:rsidRPr="00052A94" w:rsidRDefault="00224FC0">
      <w:pPr>
        <w:rPr>
          <w:rFonts w:ascii="Garamond" w:hAnsi="Garamond"/>
          <w:szCs w:val="24"/>
          <w:lang w:val="en-US"/>
        </w:rPr>
      </w:pPr>
      <w:r w:rsidRPr="00052A94">
        <w:rPr>
          <w:rFonts w:ascii="Garamond" w:hAnsi="Garamond"/>
          <w:szCs w:val="24"/>
          <w:lang w:val="en-US"/>
        </w:rPr>
        <w:br w:type="page"/>
      </w:r>
    </w:p>
    <w:tbl>
      <w:tblPr>
        <w:tblStyle w:val="Tabel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3543"/>
      </w:tblGrid>
      <w:tr w:rsidR="00D32C6D" w:rsidRPr="00896CA7" w14:paraId="3C68ABB8" w14:textId="77777777" w:rsidTr="00404ABF">
        <w:tc>
          <w:tcPr>
            <w:tcW w:w="9077" w:type="dxa"/>
            <w:gridSpan w:val="2"/>
            <w:tcBorders>
              <w:bottom w:val="single" w:sz="4" w:space="0" w:color="auto"/>
            </w:tcBorders>
          </w:tcPr>
          <w:p w14:paraId="73952992" w14:textId="77777777" w:rsidR="00D32C6D" w:rsidRPr="00052A94" w:rsidRDefault="00D32C6D" w:rsidP="00B00E40">
            <w:pPr>
              <w:rPr>
                <w:rFonts w:ascii="Garamond" w:hAnsi="Garamond" w:cstheme="minorHAnsi"/>
                <w:b/>
                <w:sz w:val="22"/>
                <w:szCs w:val="24"/>
                <w:lang w:val="en-US"/>
              </w:rPr>
            </w:pPr>
            <w:r w:rsidRPr="00052A94">
              <w:rPr>
                <w:rFonts w:ascii="Garamond" w:hAnsi="Garamond" w:cstheme="minorHAnsi"/>
                <w:b/>
                <w:color w:val="000000"/>
                <w:sz w:val="22"/>
                <w:szCs w:val="24"/>
                <w:shd w:val="clear" w:color="auto" w:fill="FFFFFF"/>
                <w:lang w:val="en-US"/>
              </w:rPr>
              <w:lastRenderedPageBreak/>
              <w:t>Table S3. D</w:t>
            </w:r>
            <w:r w:rsidRPr="00052A94">
              <w:rPr>
                <w:rFonts w:ascii="Garamond" w:hAnsi="Garamond"/>
                <w:b/>
                <w:sz w:val="22"/>
                <w:szCs w:val="24"/>
                <w:lang w:val="en-US"/>
              </w:rPr>
              <w:t>emonstrating</w:t>
            </w:r>
            <w:r w:rsidRPr="00052A94">
              <w:rPr>
                <w:rFonts w:ascii="Garamond" w:hAnsi="Garamond" w:cstheme="minorHAnsi"/>
                <w:b/>
                <w:color w:val="000000"/>
                <w:sz w:val="22"/>
                <w:szCs w:val="24"/>
                <w:shd w:val="clear" w:color="auto" w:fill="FFFFFF"/>
                <w:lang w:val="en-US"/>
              </w:rPr>
              <w:t xml:space="preserve"> i</w:t>
            </w:r>
            <w:r w:rsidRPr="00052A94">
              <w:rPr>
                <w:rFonts w:ascii="Garamond" w:hAnsi="Garamond"/>
                <w:b/>
                <w:sz w:val="22"/>
                <w:szCs w:val="24"/>
                <w:lang w:val="en-US"/>
              </w:rPr>
              <w:t>maging 0-31 days before ERCP</w:t>
            </w:r>
          </w:p>
        </w:tc>
      </w:tr>
      <w:tr w:rsidR="00D32C6D" w:rsidRPr="00052A94" w14:paraId="0AF30CED" w14:textId="77777777" w:rsidTr="00404ABF">
        <w:tc>
          <w:tcPr>
            <w:tcW w:w="5534" w:type="dxa"/>
            <w:tcBorders>
              <w:top w:val="single" w:sz="4" w:space="0" w:color="auto"/>
              <w:bottom w:val="double" w:sz="4" w:space="0" w:color="auto"/>
            </w:tcBorders>
          </w:tcPr>
          <w:p w14:paraId="1690780E" w14:textId="77777777" w:rsidR="00D32C6D" w:rsidRPr="00052A94" w:rsidRDefault="00D32C6D" w:rsidP="00B00E40">
            <w:pPr>
              <w:spacing w:line="288" w:lineRule="auto"/>
              <w:jc w:val="center"/>
              <w:rPr>
                <w:rFonts w:ascii="Garamond" w:hAnsi="Garamond" w:cstheme="minorHAnsi"/>
                <w:b/>
                <w:sz w:val="22"/>
                <w:szCs w:val="24"/>
                <w:lang w:val="en-US"/>
              </w:rPr>
            </w:pPr>
          </w:p>
        </w:tc>
        <w:tc>
          <w:tcPr>
            <w:tcW w:w="3543" w:type="dxa"/>
            <w:tcBorders>
              <w:top w:val="single" w:sz="4" w:space="0" w:color="auto"/>
              <w:bottom w:val="double" w:sz="4" w:space="0" w:color="auto"/>
            </w:tcBorders>
          </w:tcPr>
          <w:p w14:paraId="3F5A6C21" w14:textId="77777777" w:rsidR="00D32C6D" w:rsidRPr="00052A94" w:rsidRDefault="00D32C6D"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N</w:t>
            </w:r>
          </w:p>
        </w:tc>
      </w:tr>
      <w:tr w:rsidR="00D32C6D" w:rsidRPr="00052A94" w14:paraId="01F50A92" w14:textId="77777777" w:rsidTr="00404ABF">
        <w:tc>
          <w:tcPr>
            <w:tcW w:w="5534" w:type="dxa"/>
            <w:tcBorders>
              <w:top w:val="double" w:sz="4" w:space="0" w:color="auto"/>
            </w:tcBorders>
          </w:tcPr>
          <w:p w14:paraId="294398E5"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Abdominal US</w:t>
            </w:r>
          </w:p>
          <w:p w14:paraId="214D56E5"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CBD stone or sludge</w:t>
            </w:r>
            <w:r w:rsidRPr="00052A94">
              <w:rPr>
                <w:rFonts w:ascii="Garamond" w:hAnsi="Garamond" w:cstheme="minorHAnsi"/>
                <w:b/>
                <w:sz w:val="22"/>
                <w:szCs w:val="24"/>
                <w:lang w:val="en-US"/>
              </w:rPr>
              <w:t>*</w:t>
            </w:r>
          </w:p>
          <w:p w14:paraId="2F0B5088"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Dilated CBD</w:t>
            </w:r>
            <w:r w:rsidRPr="00052A94">
              <w:rPr>
                <w:rFonts w:ascii="Garamond" w:hAnsi="Garamond" w:cstheme="minorHAnsi"/>
                <w:b/>
                <w:sz w:val="22"/>
                <w:szCs w:val="24"/>
                <w:lang w:val="en-US"/>
              </w:rPr>
              <w:t>*</w:t>
            </w:r>
          </w:p>
          <w:p w14:paraId="601D33DE" w14:textId="77777777" w:rsidR="00D32C6D" w:rsidRPr="00052A94" w:rsidRDefault="00D32C6D" w:rsidP="00B00E40">
            <w:pPr>
              <w:spacing w:line="288" w:lineRule="auto"/>
              <w:ind w:left="1025" w:hanging="391"/>
              <w:rPr>
                <w:rFonts w:ascii="Garamond" w:hAnsi="Garamond" w:cstheme="minorHAnsi"/>
                <w:b/>
                <w:sz w:val="22"/>
                <w:szCs w:val="24"/>
                <w:lang w:val="en-US"/>
              </w:rPr>
            </w:pPr>
            <w:r w:rsidRPr="00052A94">
              <w:rPr>
                <w:rFonts w:ascii="Garamond" w:hAnsi="Garamond" w:cstheme="minorHAnsi"/>
                <w:sz w:val="22"/>
                <w:szCs w:val="24"/>
                <w:lang w:val="en-US"/>
              </w:rPr>
              <w:t>Previous cholecystectomy</w:t>
            </w:r>
          </w:p>
          <w:p w14:paraId="5B5BA9E8" w14:textId="77777777" w:rsidR="00D32C6D" w:rsidRPr="00052A94" w:rsidRDefault="00D32C6D" w:rsidP="00B00E40">
            <w:pPr>
              <w:spacing w:line="288" w:lineRule="auto"/>
              <w:ind w:left="1025" w:hanging="391"/>
              <w:rPr>
                <w:rFonts w:ascii="Garamond" w:hAnsi="Garamond" w:cstheme="minorHAnsi"/>
                <w:b/>
                <w:sz w:val="22"/>
                <w:szCs w:val="24"/>
                <w:lang w:val="en-US"/>
              </w:rPr>
            </w:pPr>
            <w:r w:rsidRPr="00052A94">
              <w:rPr>
                <w:rFonts w:ascii="Garamond" w:hAnsi="Garamond" w:cstheme="minorHAnsi"/>
                <w:sz w:val="22"/>
                <w:szCs w:val="24"/>
                <w:lang w:val="en-US"/>
              </w:rPr>
              <w:t>No previous cholecystectomy</w:t>
            </w:r>
          </w:p>
        </w:tc>
        <w:tc>
          <w:tcPr>
            <w:tcW w:w="3543" w:type="dxa"/>
            <w:tcBorders>
              <w:top w:val="double" w:sz="4" w:space="0" w:color="auto"/>
            </w:tcBorders>
          </w:tcPr>
          <w:p w14:paraId="66921673"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568</w:t>
            </w:r>
          </w:p>
          <w:p w14:paraId="0D742C92"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185 (34%)</w:t>
            </w:r>
          </w:p>
          <w:p w14:paraId="3CDE9B01"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364 (66%)</w:t>
            </w:r>
          </w:p>
          <w:p w14:paraId="42ED578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75 (21%)</w:t>
            </w:r>
          </w:p>
          <w:p w14:paraId="26436136"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289 (79%)</w:t>
            </w:r>
          </w:p>
        </w:tc>
      </w:tr>
      <w:tr w:rsidR="00D32C6D" w:rsidRPr="00052A94" w14:paraId="2269F3E9" w14:textId="77777777" w:rsidTr="00404ABF">
        <w:tc>
          <w:tcPr>
            <w:tcW w:w="5534" w:type="dxa"/>
            <w:tcBorders>
              <w:bottom w:val="single" w:sz="4" w:space="0" w:color="auto"/>
            </w:tcBorders>
          </w:tcPr>
          <w:p w14:paraId="30A32E20"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 xml:space="preserve">Imaging positive for choledocholithiasis prior to ERCP </w:t>
            </w:r>
          </w:p>
          <w:p w14:paraId="7F2D461C"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MRCP</w:t>
            </w:r>
          </w:p>
          <w:p w14:paraId="06E791C4"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EUS</w:t>
            </w:r>
          </w:p>
          <w:p w14:paraId="7CCFCDC3"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CT-scan</w:t>
            </w:r>
          </w:p>
        </w:tc>
        <w:tc>
          <w:tcPr>
            <w:tcW w:w="3543" w:type="dxa"/>
            <w:tcBorders>
              <w:bottom w:val="single" w:sz="4" w:space="0" w:color="auto"/>
            </w:tcBorders>
          </w:tcPr>
          <w:p w14:paraId="4B15AF92" w14:textId="77777777" w:rsidR="00D32C6D" w:rsidRPr="00052A94" w:rsidRDefault="00D32C6D" w:rsidP="00B00E40">
            <w:pPr>
              <w:spacing w:line="288" w:lineRule="auto"/>
              <w:jc w:val="center"/>
              <w:rPr>
                <w:rFonts w:ascii="Garamond" w:hAnsi="Garamond" w:cstheme="minorHAnsi"/>
                <w:sz w:val="22"/>
                <w:szCs w:val="24"/>
                <w:lang w:val="en-US"/>
              </w:rPr>
            </w:pPr>
          </w:p>
          <w:p w14:paraId="19FD461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56/65</w:t>
            </w:r>
            <w:r w:rsidRPr="00052A94">
              <w:rPr>
                <w:rFonts w:ascii="Garamond" w:hAnsi="Garamond" w:cstheme="minorHAnsi"/>
                <w:color w:val="FF0000"/>
                <w:sz w:val="22"/>
                <w:szCs w:val="24"/>
                <w:lang w:val="en-US"/>
              </w:rPr>
              <w:t xml:space="preserve"> </w:t>
            </w:r>
            <w:r w:rsidRPr="00052A94">
              <w:rPr>
                <w:rFonts w:ascii="Garamond" w:hAnsi="Garamond" w:cstheme="minorHAnsi"/>
                <w:sz w:val="22"/>
                <w:szCs w:val="24"/>
                <w:lang w:val="en-US"/>
              </w:rPr>
              <w:t>(86%)</w:t>
            </w:r>
          </w:p>
          <w:p w14:paraId="24768FDD"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212/220 (96%)</w:t>
            </w:r>
          </w:p>
          <w:p w14:paraId="7379CAE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38/77 (49%)</w:t>
            </w:r>
          </w:p>
        </w:tc>
      </w:tr>
      <w:tr w:rsidR="00D32C6D" w:rsidRPr="00052A94" w14:paraId="464D6328" w14:textId="77777777" w:rsidTr="00404ABF">
        <w:tc>
          <w:tcPr>
            <w:tcW w:w="9077" w:type="dxa"/>
            <w:gridSpan w:val="2"/>
            <w:tcBorders>
              <w:top w:val="single" w:sz="4" w:space="0" w:color="auto"/>
            </w:tcBorders>
          </w:tcPr>
          <w:p w14:paraId="55BEEC03" w14:textId="77777777" w:rsidR="00D32C6D" w:rsidRPr="00052A94" w:rsidRDefault="00D32C6D" w:rsidP="00B00E40">
            <w:pPr>
              <w:rPr>
                <w:rFonts w:ascii="Garamond" w:hAnsi="Garamond"/>
                <w:sz w:val="22"/>
                <w:szCs w:val="24"/>
                <w:lang w:val="en-US"/>
              </w:rPr>
            </w:pPr>
            <w:r w:rsidRPr="00052A94">
              <w:rPr>
                <w:rFonts w:ascii="Garamond" w:hAnsi="Garamond" w:cstheme="minorHAnsi"/>
                <w:sz w:val="22"/>
                <w:szCs w:val="24"/>
                <w:lang w:val="en-US"/>
              </w:rPr>
              <w:t>Data are n (%).</w:t>
            </w:r>
            <w:r w:rsidRPr="00052A94">
              <w:rPr>
                <w:rFonts w:ascii="Garamond" w:hAnsi="Garamond" w:cstheme="minorHAnsi"/>
                <w:b/>
                <w:sz w:val="22"/>
                <w:szCs w:val="24"/>
                <w:lang w:val="en-US"/>
              </w:rPr>
              <w:t xml:space="preserve"> </w:t>
            </w:r>
            <w:r w:rsidRPr="00052A94">
              <w:rPr>
                <w:rFonts w:ascii="Garamond" w:hAnsi="Garamond"/>
                <w:sz w:val="22"/>
                <w:szCs w:val="24"/>
                <w:lang w:val="en-US"/>
              </w:rPr>
              <w:t xml:space="preserve">IQR=Interquartile range, ULN=upper limit of normal, US=Ultrasound, EUS=endoscopic ultrasonography, MRCP=magnetic resonance cholangiopancreatography, CT=computed tomography, ERCP=endoscopic retrograde cholangiopancreatography, CBD=common bile duct. </w:t>
            </w:r>
          </w:p>
          <w:p w14:paraId="18711C0A" w14:textId="77777777" w:rsidR="00D32C6D" w:rsidRPr="00052A94" w:rsidRDefault="00D32C6D" w:rsidP="00B00E40">
            <w:pPr>
              <w:rPr>
                <w:rFonts w:ascii="Garamond" w:hAnsi="Garamond" w:cstheme="minorHAnsi"/>
                <w:sz w:val="22"/>
                <w:szCs w:val="24"/>
                <w:lang w:val="en-US"/>
              </w:rPr>
            </w:pPr>
            <w:r w:rsidRPr="00052A94">
              <w:rPr>
                <w:rFonts w:ascii="Garamond" w:hAnsi="Garamond"/>
                <w:b/>
                <w:sz w:val="22"/>
                <w:szCs w:val="24"/>
                <w:lang w:val="en-US"/>
              </w:rPr>
              <w:t>*</w:t>
            </w:r>
            <w:r w:rsidRPr="00052A94">
              <w:rPr>
                <w:rFonts w:ascii="Garamond" w:hAnsi="Garamond"/>
                <w:sz w:val="22"/>
                <w:szCs w:val="24"/>
                <w:lang w:val="en-US"/>
              </w:rPr>
              <w:t>18 missing values</w:t>
            </w:r>
          </w:p>
        </w:tc>
      </w:tr>
    </w:tbl>
    <w:p w14:paraId="21E1BFDD" w14:textId="77777777" w:rsidR="00D32C6D" w:rsidRPr="00052A94" w:rsidRDefault="00D32C6D" w:rsidP="00D32C6D">
      <w:pPr>
        <w:rPr>
          <w:rFonts w:ascii="Garamond" w:hAnsi="Garamond"/>
          <w:b/>
          <w:szCs w:val="24"/>
          <w:lang w:val="en-US"/>
        </w:rPr>
      </w:pP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8"/>
        <w:gridCol w:w="1701"/>
        <w:gridCol w:w="1843"/>
        <w:gridCol w:w="1275"/>
      </w:tblGrid>
      <w:tr w:rsidR="00D32C6D" w:rsidRPr="00896CA7" w14:paraId="0E2AE21A" w14:textId="77777777" w:rsidTr="00404ABF">
        <w:tc>
          <w:tcPr>
            <w:tcW w:w="9077" w:type="dxa"/>
            <w:gridSpan w:val="4"/>
            <w:tcBorders>
              <w:bottom w:val="single" w:sz="4" w:space="0" w:color="auto"/>
            </w:tcBorders>
          </w:tcPr>
          <w:p w14:paraId="6C8A3BF4" w14:textId="77777777" w:rsidR="00D32C6D" w:rsidRPr="00052A94" w:rsidRDefault="00D32C6D" w:rsidP="00B00E40">
            <w:pPr>
              <w:rPr>
                <w:rFonts w:ascii="Garamond" w:hAnsi="Garamond" w:cstheme="minorHAnsi"/>
                <w:b/>
                <w:sz w:val="22"/>
                <w:szCs w:val="24"/>
                <w:lang w:val="en-US"/>
              </w:rPr>
            </w:pPr>
            <w:r w:rsidRPr="00052A94">
              <w:rPr>
                <w:rFonts w:ascii="Garamond" w:hAnsi="Garamond" w:cstheme="minorHAnsi"/>
                <w:b/>
                <w:color w:val="000000"/>
                <w:sz w:val="22"/>
                <w:szCs w:val="24"/>
                <w:shd w:val="clear" w:color="auto" w:fill="FFFFFF"/>
                <w:lang w:val="en-US"/>
              </w:rPr>
              <w:t>Table S4 D</w:t>
            </w:r>
            <w:r w:rsidRPr="00052A94">
              <w:rPr>
                <w:rFonts w:ascii="Garamond" w:hAnsi="Garamond"/>
                <w:b/>
                <w:sz w:val="22"/>
                <w:szCs w:val="24"/>
                <w:lang w:val="en-US"/>
              </w:rPr>
              <w:t>emonstrating</w:t>
            </w:r>
            <w:r w:rsidRPr="00052A94">
              <w:rPr>
                <w:rFonts w:ascii="Garamond" w:hAnsi="Garamond" w:cstheme="minorHAnsi"/>
                <w:b/>
                <w:color w:val="000000"/>
                <w:sz w:val="22"/>
                <w:szCs w:val="24"/>
                <w:shd w:val="clear" w:color="auto" w:fill="FFFFFF"/>
                <w:lang w:val="en-US"/>
              </w:rPr>
              <w:t xml:space="preserve"> i</w:t>
            </w:r>
            <w:r w:rsidRPr="00052A94">
              <w:rPr>
                <w:rFonts w:ascii="Garamond" w:hAnsi="Garamond"/>
                <w:b/>
                <w:sz w:val="22"/>
                <w:szCs w:val="24"/>
                <w:lang w:val="en-US"/>
              </w:rPr>
              <w:t>maging day 0-31 before ERCP in patients with negative and positive ERCP</w:t>
            </w:r>
          </w:p>
        </w:tc>
      </w:tr>
      <w:tr w:rsidR="00D32C6D" w:rsidRPr="00052A94" w14:paraId="5B4527F6" w14:textId="77777777" w:rsidTr="00404ABF">
        <w:tc>
          <w:tcPr>
            <w:tcW w:w="4258" w:type="dxa"/>
            <w:tcBorders>
              <w:top w:val="single" w:sz="4" w:space="0" w:color="auto"/>
              <w:bottom w:val="double" w:sz="4" w:space="0" w:color="auto"/>
            </w:tcBorders>
          </w:tcPr>
          <w:p w14:paraId="1E30A6A3" w14:textId="77777777" w:rsidR="00D32C6D" w:rsidRPr="00052A94" w:rsidRDefault="00D32C6D" w:rsidP="00B00E40">
            <w:pPr>
              <w:spacing w:line="288" w:lineRule="auto"/>
              <w:rPr>
                <w:rFonts w:ascii="Garamond" w:hAnsi="Garamond" w:cstheme="minorHAnsi"/>
                <w:bCs/>
                <w:sz w:val="22"/>
                <w:szCs w:val="24"/>
                <w:lang w:val="en-US"/>
              </w:rPr>
            </w:pPr>
          </w:p>
        </w:tc>
        <w:tc>
          <w:tcPr>
            <w:tcW w:w="1701" w:type="dxa"/>
            <w:tcBorders>
              <w:top w:val="single" w:sz="4" w:space="0" w:color="auto"/>
              <w:bottom w:val="double" w:sz="4" w:space="0" w:color="auto"/>
            </w:tcBorders>
          </w:tcPr>
          <w:p w14:paraId="4B756E9E" w14:textId="77777777" w:rsidR="00D32C6D" w:rsidRPr="00052A94" w:rsidRDefault="00D32C6D" w:rsidP="00B00E40">
            <w:pPr>
              <w:spacing w:line="288" w:lineRule="auto"/>
              <w:jc w:val="center"/>
              <w:rPr>
                <w:rFonts w:ascii="Garamond" w:hAnsi="Garamond" w:cstheme="minorHAnsi"/>
                <w:b/>
                <w:bCs/>
                <w:sz w:val="22"/>
                <w:szCs w:val="24"/>
                <w:lang w:val="en-US"/>
              </w:rPr>
            </w:pPr>
            <w:r w:rsidRPr="00052A94">
              <w:rPr>
                <w:rFonts w:ascii="Garamond" w:hAnsi="Garamond" w:cstheme="minorHAnsi"/>
                <w:b/>
                <w:sz w:val="22"/>
                <w:szCs w:val="24"/>
                <w:lang w:val="en-US"/>
              </w:rPr>
              <w:t xml:space="preserve">Negative ERCP </w:t>
            </w:r>
          </w:p>
          <w:p w14:paraId="73216E19" w14:textId="77777777" w:rsidR="00D32C6D" w:rsidRPr="00052A94" w:rsidRDefault="00D32C6D" w:rsidP="00B00E40">
            <w:pPr>
              <w:spacing w:line="288" w:lineRule="auto"/>
              <w:jc w:val="center"/>
              <w:rPr>
                <w:rFonts w:ascii="Garamond" w:hAnsi="Garamond" w:cstheme="minorHAnsi"/>
                <w:b/>
                <w:bCs/>
                <w:sz w:val="22"/>
                <w:szCs w:val="24"/>
                <w:lang w:val="en-US"/>
              </w:rPr>
            </w:pPr>
            <w:r w:rsidRPr="00052A94">
              <w:rPr>
                <w:rFonts w:ascii="Garamond" w:hAnsi="Garamond" w:cstheme="minorHAnsi"/>
                <w:b/>
                <w:sz w:val="22"/>
                <w:szCs w:val="24"/>
                <w:lang w:val="en-US"/>
              </w:rPr>
              <w:t>N = 155</w:t>
            </w:r>
          </w:p>
        </w:tc>
        <w:tc>
          <w:tcPr>
            <w:tcW w:w="1843" w:type="dxa"/>
            <w:tcBorders>
              <w:top w:val="single" w:sz="4" w:space="0" w:color="auto"/>
              <w:bottom w:val="double" w:sz="4" w:space="0" w:color="auto"/>
            </w:tcBorders>
          </w:tcPr>
          <w:p w14:paraId="6489B8F4" w14:textId="77777777" w:rsidR="00D32C6D" w:rsidRPr="00052A94" w:rsidRDefault="00D32C6D" w:rsidP="00B00E40">
            <w:pPr>
              <w:spacing w:line="288" w:lineRule="auto"/>
              <w:jc w:val="center"/>
              <w:rPr>
                <w:rFonts w:ascii="Garamond" w:hAnsi="Garamond" w:cstheme="minorHAnsi"/>
                <w:b/>
                <w:bCs/>
                <w:sz w:val="22"/>
                <w:szCs w:val="24"/>
                <w:lang w:val="en-US"/>
              </w:rPr>
            </w:pPr>
            <w:r w:rsidRPr="00052A94">
              <w:rPr>
                <w:rFonts w:ascii="Garamond" w:hAnsi="Garamond" w:cstheme="minorHAnsi"/>
                <w:b/>
                <w:sz w:val="22"/>
                <w:szCs w:val="24"/>
                <w:lang w:val="en-US"/>
              </w:rPr>
              <w:t xml:space="preserve">Positive ERCP </w:t>
            </w:r>
          </w:p>
          <w:p w14:paraId="12895CDC" w14:textId="77777777" w:rsidR="00D32C6D" w:rsidRPr="00052A94" w:rsidRDefault="00D32C6D" w:rsidP="00B00E40">
            <w:pPr>
              <w:spacing w:line="288" w:lineRule="auto"/>
              <w:jc w:val="center"/>
              <w:rPr>
                <w:rFonts w:ascii="Garamond" w:hAnsi="Garamond" w:cstheme="minorHAnsi"/>
                <w:b/>
                <w:bCs/>
                <w:sz w:val="22"/>
                <w:szCs w:val="24"/>
                <w:lang w:val="en-US"/>
              </w:rPr>
            </w:pPr>
            <w:r w:rsidRPr="00052A94">
              <w:rPr>
                <w:rFonts w:ascii="Garamond" w:hAnsi="Garamond" w:cstheme="minorHAnsi"/>
                <w:b/>
                <w:sz w:val="22"/>
                <w:szCs w:val="24"/>
                <w:lang w:val="en-US"/>
              </w:rPr>
              <w:t>N = 552</w:t>
            </w:r>
          </w:p>
        </w:tc>
        <w:tc>
          <w:tcPr>
            <w:tcW w:w="1275" w:type="dxa"/>
            <w:tcBorders>
              <w:top w:val="single" w:sz="4" w:space="0" w:color="auto"/>
              <w:bottom w:val="double" w:sz="4" w:space="0" w:color="auto"/>
            </w:tcBorders>
          </w:tcPr>
          <w:p w14:paraId="3ABC0CD5" w14:textId="77777777" w:rsidR="00D32C6D" w:rsidRPr="00052A94" w:rsidRDefault="00D32C6D" w:rsidP="00B00E40">
            <w:pPr>
              <w:spacing w:line="288" w:lineRule="auto"/>
              <w:jc w:val="center"/>
              <w:rPr>
                <w:rFonts w:ascii="Garamond" w:hAnsi="Garamond" w:cstheme="minorHAnsi"/>
                <w:b/>
                <w:bCs/>
                <w:sz w:val="22"/>
                <w:szCs w:val="24"/>
                <w:lang w:val="en-US"/>
              </w:rPr>
            </w:pPr>
            <w:r w:rsidRPr="00052A94">
              <w:rPr>
                <w:rFonts w:ascii="Garamond" w:hAnsi="Garamond" w:cstheme="minorHAnsi"/>
                <w:b/>
                <w:sz w:val="22"/>
                <w:szCs w:val="24"/>
                <w:lang w:val="en-US"/>
              </w:rPr>
              <w:t>P value</w:t>
            </w:r>
          </w:p>
        </w:tc>
      </w:tr>
      <w:tr w:rsidR="00D32C6D" w:rsidRPr="00052A94" w14:paraId="272B5A2F" w14:textId="77777777" w:rsidTr="00404ABF">
        <w:tc>
          <w:tcPr>
            <w:tcW w:w="4258" w:type="dxa"/>
            <w:tcBorders>
              <w:top w:val="double" w:sz="4" w:space="0" w:color="auto"/>
            </w:tcBorders>
          </w:tcPr>
          <w:p w14:paraId="071AE761" w14:textId="77777777" w:rsidR="00D32C6D" w:rsidRPr="00052A94" w:rsidRDefault="00D32C6D" w:rsidP="00B00E40">
            <w:pPr>
              <w:spacing w:line="288" w:lineRule="auto"/>
              <w:rPr>
                <w:rFonts w:ascii="Garamond" w:hAnsi="Garamond" w:cstheme="minorHAnsi"/>
                <w:b/>
                <w:bCs/>
                <w:sz w:val="22"/>
                <w:szCs w:val="24"/>
                <w:lang w:val="en-US"/>
              </w:rPr>
            </w:pPr>
            <w:r w:rsidRPr="00052A94">
              <w:rPr>
                <w:rFonts w:ascii="Garamond" w:hAnsi="Garamond" w:cstheme="minorHAnsi"/>
                <w:sz w:val="22"/>
                <w:szCs w:val="24"/>
                <w:lang w:val="en-US"/>
              </w:rPr>
              <w:t>Abdominal US</w:t>
            </w:r>
          </w:p>
          <w:p w14:paraId="2E2B3401"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Days before ERCP</w:t>
            </w:r>
          </w:p>
          <w:p w14:paraId="4A76D3F1"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Additional imaging (EUS/MRCP/CT)</w:t>
            </w:r>
          </w:p>
          <w:p w14:paraId="4BADACA0"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No abdominal US</w:t>
            </w:r>
          </w:p>
          <w:p w14:paraId="60C45B6D"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Additional imaging (EUS/MRCP/CT)</w:t>
            </w:r>
          </w:p>
        </w:tc>
        <w:tc>
          <w:tcPr>
            <w:tcW w:w="1701" w:type="dxa"/>
            <w:tcBorders>
              <w:top w:val="double" w:sz="4" w:space="0" w:color="auto"/>
            </w:tcBorders>
          </w:tcPr>
          <w:p w14:paraId="67F4549D"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127 (82%)</w:t>
            </w:r>
          </w:p>
          <w:p w14:paraId="235EFA1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 (1-5)</w:t>
            </w:r>
          </w:p>
          <w:p w14:paraId="0DACB273"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43/127 (34%)</w:t>
            </w:r>
          </w:p>
          <w:p w14:paraId="3546AFCF"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28 (18%)</w:t>
            </w:r>
          </w:p>
          <w:p w14:paraId="73D35D5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17/28 (61%)</w:t>
            </w:r>
          </w:p>
        </w:tc>
        <w:tc>
          <w:tcPr>
            <w:tcW w:w="1843" w:type="dxa"/>
            <w:tcBorders>
              <w:top w:val="double" w:sz="4" w:space="0" w:color="auto"/>
            </w:tcBorders>
          </w:tcPr>
          <w:p w14:paraId="0EB15F00"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441 (80%)</w:t>
            </w:r>
          </w:p>
          <w:p w14:paraId="45964F0D"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 (1-5)</w:t>
            </w:r>
          </w:p>
          <w:p w14:paraId="32638D93"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189/440 (43%)</w:t>
            </w:r>
          </w:p>
          <w:p w14:paraId="303B10CD"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111 (20%)</w:t>
            </w:r>
          </w:p>
          <w:p w14:paraId="65005E7D"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74/111 (67%)</w:t>
            </w:r>
          </w:p>
        </w:tc>
        <w:tc>
          <w:tcPr>
            <w:tcW w:w="1275" w:type="dxa"/>
            <w:tcBorders>
              <w:top w:val="double" w:sz="4" w:space="0" w:color="auto"/>
            </w:tcBorders>
          </w:tcPr>
          <w:p w14:paraId="5A35CF54" w14:textId="77777777" w:rsidR="00D32C6D" w:rsidRPr="00052A94" w:rsidRDefault="00D32C6D" w:rsidP="00B00E40">
            <w:pPr>
              <w:spacing w:line="288" w:lineRule="auto"/>
              <w:jc w:val="center"/>
              <w:rPr>
                <w:rFonts w:ascii="Garamond" w:hAnsi="Garamond" w:cstheme="minorHAnsi"/>
                <w:iCs/>
                <w:sz w:val="22"/>
                <w:szCs w:val="24"/>
                <w:vertAlign w:val="superscript"/>
                <w:lang w:val="en-US"/>
              </w:rPr>
            </w:pPr>
            <w:r w:rsidRPr="00052A94">
              <w:rPr>
                <w:rFonts w:ascii="Garamond" w:hAnsi="Garamond" w:cstheme="minorHAnsi"/>
                <w:iCs/>
                <w:sz w:val="22"/>
                <w:szCs w:val="24"/>
                <w:lang w:val="en-US"/>
              </w:rPr>
              <w:t>0.57</w:t>
            </w:r>
            <w:r w:rsidRPr="00052A94">
              <w:rPr>
                <w:rFonts w:ascii="Garamond" w:hAnsi="Garamond" w:cstheme="minorHAnsi"/>
                <w:iCs/>
                <w:sz w:val="22"/>
                <w:szCs w:val="24"/>
                <w:vertAlign w:val="superscript"/>
                <w:lang w:val="en-US"/>
              </w:rPr>
              <w:t>a</w:t>
            </w:r>
          </w:p>
          <w:p w14:paraId="5D5FB543" w14:textId="77777777" w:rsidR="00D32C6D" w:rsidRPr="00052A94" w:rsidRDefault="00D32C6D" w:rsidP="00B00E40">
            <w:pPr>
              <w:spacing w:line="288" w:lineRule="auto"/>
              <w:jc w:val="center"/>
              <w:rPr>
                <w:rFonts w:ascii="Garamond" w:hAnsi="Garamond" w:cstheme="minorHAnsi"/>
                <w:iCs/>
                <w:sz w:val="22"/>
                <w:szCs w:val="24"/>
                <w:vertAlign w:val="superscript"/>
                <w:lang w:val="en-US"/>
              </w:rPr>
            </w:pPr>
            <w:r w:rsidRPr="00052A94">
              <w:rPr>
                <w:rFonts w:ascii="Garamond" w:hAnsi="Garamond" w:cstheme="minorHAnsi"/>
                <w:iCs/>
                <w:sz w:val="22"/>
                <w:szCs w:val="24"/>
                <w:lang w:val="en-US"/>
              </w:rPr>
              <w:t>0.42</w:t>
            </w:r>
            <w:r w:rsidRPr="00052A94">
              <w:rPr>
                <w:rFonts w:ascii="Garamond" w:hAnsi="Garamond" w:cstheme="minorHAnsi"/>
                <w:iCs/>
                <w:sz w:val="22"/>
                <w:szCs w:val="24"/>
                <w:vertAlign w:val="superscript"/>
                <w:lang w:val="en-US"/>
              </w:rPr>
              <w:t>b</w:t>
            </w:r>
          </w:p>
          <w:p w14:paraId="3BB9ACD2"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0.13</w:t>
            </w:r>
            <w:r w:rsidRPr="00052A94">
              <w:rPr>
                <w:rFonts w:ascii="Garamond" w:hAnsi="Garamond" w:cstheme="minorHAnsi"/>
                <w:iCs/>
                <w:sz w:val="22"/>
                <w:szCs w:val="24"/>
                <w:vertAlign w:val="superscript"/>
                <w:lang w:val="en-US"/>
              </w:rPr>
              <w:t>a</w:t>
            </w:r>
          </w:p>
          <w:p w14:paraId="5D27DA31" w14:textId="77777777" w:rsidR="00D32C6D" w:rsidRPr="00052A94" w:rsidRDefault="00D32C6D" w:rsidP="00B00E40">
            <w:pPr>
              <w:spacing w:line="288" w:lineRule="auto"/>
              <w:jc w:val="center"/>
              <w:rPr>
                <w:rFonts w:ascii="Garamond" w:hAnsi="Garamond" w:cstheme="minorHAnsi"/>
                <w:iCs/>
                <w:sz w:val="22"/>
                <w:szCs w:val="24"/>
                <w:lang w:val="en-US"/>
              </w:rPr>
            </w:pPr>
            <w:r w:rsidRPr="00052A94">
              <w:rPr>
                <w:rFonts w:ascii="Garamond" w:hAnsi="Garamond" w:cstheme="minorHAnsi"/>
                <w:iCs/>
                <w:sz w:val="22"/>
                <w:szCs w:val="24"/>
                <w:lang w:val="en-US"/>
              </w:rPr>
              <w:t>0.57</w:t>
            </w:r>
            <w:r w:rsidRPr="00052A94">
              <w:rPr>
                <w:rFonts w:ascii="Garamond" w:hAnsi="Garamond" w:cstheme="minorHAnsi"/>
                <w:iCs/>
                <w:sz w:val="22"/>
                <w:szCs w:val="24"/>
                <w:vertAlign w:val="superscript"/>
                <w:lang w:val="en-US"/>
              </w:rPr>
              <w:t>a</w:t>
            </w:r>
          </w:p>
          <w:p w14:paraId="5CEA64D6" w14:textId="77777777" w:rsidR="00D32C6D" w:rsidRPr="00052A94" w:rsidRDefault="00D32C6D" w:rsidP="00B00E40">
            <w:pPr>
              <w:spacing w:line="288" w:lineRule="auto"/>
              <w:jc w:val="center"/>
              <w:rPr>
                <w:rFonts w:ascii="Garamond" w:hAnsi="Garamond" w:cstheme="minorHAnsi"/>
                <w:iCs/>
                <w:sz w:val="22"/>
                <w:szCs w:val="24"/>
                <w:lang w:val="en-US"/>
              </w:rPr>
            </w:pPr>
            <w:r w:rsidRPr="00052A94">
              <w:rPr>
                <w:rFonts w:ascii="Garamond" w:hAnsi="Garamond" w:cstheme="minorHAnsi"/>
                <w:iCs/>
                <w:sz w:val="22"/>
                <w:szCs w:val="24"/>
                <w:lang w:val="en-US"/>
              </w:rPr>
              <w:t>0.42</w:t>
            </w:r>
            <w:r w:rsidRPr="00052A94">
              <w:rPr>
                <w:rFonts w:ascii="Garamond" w:hAnsi="Garamond" w:cstheme="minorHAnsi"/>
                <w:iCs/>
                <w:sz w:val="22"/>
                <w:szCs w:val="24"/>
                <w:vertAlign w:val="superscript"/>
                <w:lang w:val="en-US"/>
              </w:rPr>
              <w:t>a</w:t>
            </w:r>
          </w:p>
        </w:tc>
      </w:tr>
      <w:tr w:rsidR="00D32C6D" w:rsidRPr="00052A94" w14:paraId="4DF06533" w14:textId="77777777" w:rsidTr="00404ABF">
        <w:tc>
          <w:tcPr>
            <w:tcW w:w="4258" w:type="dxa"/>
          </w:tcPr>
          <w:p w14:paraId="452F7AE4"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EUS</w:t>
            </w:r>
          </w:p>
          <w:p w14:paraId="498A510C"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Days before ERCP</w:t>
            </w:r>
          </w:p>
        </w:tc>
        <w:tc>
          <w:tcPr>
            <w:tcW w:w="1701" w:type="dxa"/>
          </w:tcPr>
          <w:p w14:paraId="5A54197E"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41 (27%)</w:t>
            </w:r>
          </w:p>
          <w:p w14:paraId="6762D25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 (1-7)</w:t>
            </w:r>
          </w:p>
        </w:tc>
        <w:tc>
          <w:tcPr>
            <w:tcW w:w="1843" w:type="dxa"/>
          </w:tcPr>
          <w:p w14:paraId="552C05B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179 (32%)</w:t>
            </w:r>
          </w:p>
          <w:p w14:paraId="14E4C4A2" w14:textId="77777777" w:rsidR="00D32C6D" w:rsidRPr="00052A94" w:rsidRDefault="00D32C6D" w:rsidP="00B00E40">
            <w:pPr>
              <w:spacing w:line="288" w:lineRule="auto"/>
              <w:jc w:val="center"/>
              <w:rPr>
                <w:rFonts w:ascii="Garamond" w:hAnsi="Garamond" w:cstheme="minorHAnsi"/>
                <w:sz w:val="22"/>
                <w:szCs w:val="24"/>
                <w:shd w:val="clear" w:color="auto" w:fill="70AD47" w:themeFill="accent6"/>
                <w:lang w:val="en-US"/>
              </w:rPr>
            </w:pPr>
            <w:r w:rsidRPr="00052A94">
              <w:rPr>
                <w:rFonts w:ascii="Garamond" w:hAnsi="Garamond" w:cstheme="minorHAnsi"/>
                <w:sz w:val="22"/>
                <w:szCs w:val="24"/>
                <w:lang w:val="en-US"/>
              </w:rPr>
              <w:t>1 (0-3%)</w:t>
            </w:r>
          </w:p>
        </w:tc>
        <w:tc>
          <w:tcPr>
            <w:tcW w:w="1275" w:type="dxa"/>
          </w:tcPr>
          <w:p w14:paraId="27582B5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0.16</w:t>
            </w:r>
            <w:r w:rsidRPr="00052A94">
              <w:rPr>
                <w:rFonts w:ascii="Garamond" w:hAnsi="Garamond" w:cstheme="minorHAnsi"/>
                <w:iCs/>
                <w:sz w:val="22"/>
                <w:szCs w:val="24"/>
                <w:vertAlign w:val="superscript"/>
                <w:lang w:val="en-US"/>
              </w:rPr>
              <w:t>a</w:t>
            </w:r>
          </w:p>
          <w:p w14:paraId="7C83235B" w14:textId="77777777" w:rsidR="00D32C6D" w:rsidRPr="00052A94" w:rsidRDefault="00D32C6D"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0.000</w:t>
            </w:r>
            <w:r w:rsidRPr="00052A94">
              <w:rPr>
                <w:rFonts w:ascii="Garamond" w:hAnsi="Garamond" w:cstheme="minorHAnsi"/>
                <w:b/>
                <w:iCs/>
                <w:sz w:val="22"/>
                <w:szCs w:val="24"/>
                <w:vertAlign w:val="superscript"/>
                <w:lang w:val="en-US"/>
              </w:rPr>
              <w:t>b</w:t>
            </w:r>
          </w:p>
        </w:tc>
      </w:tr>
      <w:tr w:rsidR="00D32C6D" w:rsidRPr="00052A94" w14:paraId="0C78B19E" w14:textId="77777777" w:rsidTr="00404ABF">
        <w:tc>
          <w:tcPr>
            <w:tcW w:w="4258" w:type="dxa"/>
          </w:tcPr>
          <w:p w14:paraId="1A673B35"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MRCP</w:t>
            </w:r>
          </w:p>
          <w:p w14:paraId="05572664" w14:textId="77777777" w:rsidR="00D32C6D" w:rsidRPr="00052A94" w:rsidRDefault="00D32C6D" w:rsidP="00B00E40">
            <w:pPr>
              <w:spacing w:line="288" w:lineRule="auto"/>
              <w:ind w:left="175" w:firstLine="142"/>
              <w:rPr>
                <w:rFonts w:ascii="Garamond" w:hAnsi="Garamond" w:cstheme="minorHAnsi"/>
                <w:b/>
                <w:sz w:val="22"/>
                <w:szCs w:val="24"/>
                <w:lang w:val="en-US"/>
              </w:rPr>
            </w:pPr>
            <w:r w:rsidRPr="00052A94">
              <w:rPr>
                <w:rFonts w:ascii="Garamond" w:hAnsi="Garamond" w:cstheme="minorHAnsi"/>
                <w:sz w:val="22"/>
                <w:szCs w:val="24"/>
                <w:lang w:val="en-US"/>
              </w:rPr>
              <w:t>Days before ERCP</w:t>
            </w:r>
          </w:p>
        </w:tc>
        <w:tc>
          <w:tcPr>
            <w:tcW w:w="1701" w:type="dxa"/>
          </w:tcPr>
          <w:p w14:paraId="7B687E66"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13 (8%)</w:t>
            </w:r>
          </w:p>
          <w:p w14:paraId="72C61878"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7 (2.5-17.5)</w:t>
            </w:r>
          </w:p>
        </w:tc>
        <w:tc>
          <w:tcPr>
            <w:tcW w:w="1843" w:type="dxa"/>
          </w:tcPr>
          <w:p w14:paraId="34A5B8E4"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52 (9%)</w:t>
            </w:r>
          </w:p>
          <w:p w14:paraId="54B2E210"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5 (1-14)</w:t>
            </w:r>
          </w:p>
        </w:tc>
        <w:tc>
          <w:tcPr>
            <w:tcW w:w="1275" w:type="dxa"/>
          </w:tcPr>
          <w:p w14:paraId="6D97547B"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0.69</w:t>
            </w:r>
            <w:r w:rsidRPr="00052A94">
              <w:rPr>
                <w:rFonts w:ascii="Garamond" w:hAnsi="Garamond" w:cstheme="minorHAnsi"/>
                <w:iCs/>
                <w:sz w:val="22"/>
                <w:szCs w:val="24"/>
                <w:vertAlign w:val="superscript"/>
                <w:lang w:val="en-US"/>
              </w:rPr>
              <w:t>a</w:t>
            </w:r>
          </w:p>
          <w:p w14:paraId="6190D643"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0.31</w:t>
            </w:r>
            <w:r w:rsidRPr="00052A94">
              <w:rPr>
                <w:rFonts w:ascii="Garamond" w:hAnsi="Garamond" w:cstheme="minorHAnsi"/>
                <w:iCs/>
                <w:sz w:val="22"/>
                <w:szCs w:val="24"/>
                <w:vertAlign w:val="superscript"/>
                <w:lang w:val="en-US"/>
              </w:rPr>
              <w:t>b</w:t>
            </w:r>
          </w:p>
        </w:tc>
      </w:tr>
      <w:tr w:rsidR="00D32C6D" w:rsidRPr="00052A94" w14:paraId="2BB1B852" w14:textId="77777777" w:rsidTr="00404ABF">
        <w:tc>
          <w:tcPr>
            <w:tcW w:w="4258" w:type="dxa"/>
          </w:tcPr>
          <w:p w14:paraId="0D42B5BF" w14:textId="77777777" w:rsidR="00D32C6D" w:rsidRPr="00052A94" w:rsidRDefault="00D32C6D" w:rsidP="00B00E40">
            <w:pPr>
              <w:spacing w:line="288" w:lineRule="auto"/>
              <w:rPr>
                <w:rFonts w:ascii="Garamond" w:hAnsi="Garamond" w:cstheme="minorHAnsi"/>
                <w:bCs/>
                <w:sz w:val="22"/>
                <w:szCs w:val="24"/>
                <w:lang w:val="en-US"/>
              </w:rPr>
            </w:pPr>
            <w:r w:rsidRPr="00052A94">
              <w:rPr>
                <w:rFonts w:ascii="Garamond" w:hAnsi="Garamond" w:cstheme="minorHAnsi"/>
                <w:sz w:val="22"/>
                <w:szCs w:val="24"/>
                <w:lang w:val="en-US"/>
              </w:rPr>
              <w:t>EUS and/or MRCP</w:t>
            </w:r>
          </w:p>
        </w:tc>
        <w:tc>
          <w:tcPr>
            <w:tcW w:w="1701" w:type="dxa"/>
          </w:tcPr>
          <w:p w14:paraId="53430E7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52 (34%)</w:t>
            </w:r>
          </w:p>
        </w:tc>
        <w:tc>
          <w:tcPr>
            <w:tcW w:w="1843" w:type="dxa"/>
          </w:tcPr>
          <w:p w14:paraId="4E8EE045"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226 (41%)</w:t>
            </w:r>
          </w:p>
        </w:tc>
        <w:tc>
          <w:tcPr>
            <w:tcW w:w="1275" w:type="dxa"/>
          </w:tcPr>
          <w:p w14:paraId="5A3E8644" w14:textId="77777777" w:rsidR="00D32C6D" w:rsidRPr="00052A94" w:rsidRDefault="00D32C6D" w:rsidP="00B00E40">
            <w:pPr>
              <w:spacing w:line="288" w:lineRule="auto"/>
              <w:jc w:val="center"/>
              <w:rPr>
                <w:rFonts w:ascii="Garamond" w:hAnsi="Garamond" w:cstheme="minorHAnsi"/>
                <w:iCs/>
                <w:sz w:val="22"/>
                <w:szCs w:val="24"/>
                <w:lang w:val="en-US"/>
              </w:rPr>
            </w:pPr>
            <w:r w:rsidRPr="00052A94">
              <w:rPr>
                <w:rFonts w:ascii="Garamond" w:hAnsi="Garamond" w:cstheme="minorHAnsi"/>
                <w:sz w:val="22"/>
                <w:szCs w:val="24"/>
                <w:lang w:val="en-US"/>
              </w:rPr>
              <w:t>0.096</w:t>
            </w:r>
            <w:r w:rsidRPr="00052A94">
              <w:rPr>
                <w:rFonts w:ascii="Garamond" w:hAnsi="Garamond" w:cstheme="minorHAnsi"/>
                <w:iCs/>
                <w:sz w:val="22"/>
                <w:szCs w:val="24"/>
                <w:vertAlign w:val="superscript"/>
                <w:lang w:val="en-US"/>
              </w:rPr>
              <w:t>a</w:t>
            </w:r>
          </w:p>
        </w:tc>
      </w:tr>
      <w:tr w:rsidR="00D32C6D" w:rsidRPr="00052A94" w14:paraId="2F8995D8" w14:textId="77777777" w:rsidTr="00404ABF">
        <w:tc>
          <w:tcPr>
            <w:tcW w:w="4258" w:type="dxa"/>
            <w:tcBorders>
              <w:bottom w:val="single" w:sz="4" w:space="0" w:color="auto"/>
            </w:tcBorders>
          </w:tcPr>
          <w:p w14:paraId="5BF8DE8E" w14:textId="77777777" w:rsidR="00D32C6D" w:rsidRPr="00052A94" w:rsidRDefault="00D32C6D" w:rsidP="00B00E40">
            <w:pPr>
              <w:spacing w:line="288" w:lineRule="auto"/>
              <w:rPr>
                <w:rFonts w:ascii="Garamond" w:hAnsi="Garamond" w:cstheme="minorHAnsi"/>
                <w:b/>
                <w:sz w:val="22"/>
                <w:szCs w:val="24"/>
                <w:lang w:val="en-US"/>
              </w:rPr>
            </w:pPr>
            <w:r w:rsidRPr="00052A94">
              <w:rPr>
                <w:rFonts w:ascii="Garamond" w:hAnsi="Garamond" w:cstheme="minorHAnsi"/>
                <w:sz w:val="22"/>
                <w:szCs w:val="24"/>
                <w:lang w:val="en-US"/>
              </w:rPr>
              <w:t>CT-scan</w:t>
            </w:r>
          </w:p>
          <w:p w14:paraId="757ED356" w14:textId="77777777" w:rsidR="00D32C6D" w:rsidRPr="00052A94" w:rsidRDefault="00D32C6D" w:rsidP="00B00E40">
            <w:pPr>
              <w:spacing w:line="288" w:lineRule="auto"/>
              <w:ind w:left="708" w:hanging="391"/>
              <w:rPr>
                <w:rFonts w:ascii="Garamond" w:hAnsi="Garamond" w:cstheme="minorHAnsi"/>
                <w:b/>
                <w:sz w:val="22"/>
                <w:szCs w:val="24"/>
                <w:lang w:val="en-US"/>
              </w:rPr>
            </w:pPr>
            <w:r w:rsidRPr="00052A94">
              <w:rPr>
                <w:rFonts w:ascii="Garamond" w:hAnsi="Garamond" w:cstheme="minorHAnsi"/>
                <w:sz w:val="22"/>
                <w:szCs w:val="24"/>
                <w:lang w:val="en-US"/>
              </w:rPr>
              <w:t>Days before ERCP</w:t>
            </w:r>
          </w:p>
        </w:tc>
        <w:tc>
          <w:tcPr>
            <w:tcW w:w="1701" w:type="dxa"/>
            <w:tcBorders>
              <w:bottom w:val="single" w:sz="4" w:space="0" w:color="auto"/>
            </w:tcBorders>
          </w:tcPr>
          <w:p w14:paraId="1D7E7DB6"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17 (11%)</w:t>
            </w:r>
          </w:p>
          <w:p w14:paraId="18A95F26"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7 (3.5-11.5)</w:t>
            </w:r>
          </w:p>
        </w:tc>
        <w:tc>
          <w:tcPr>
            <w:tcW w:w="1843" w:type="dxa"/>
            <w:tcBorders>
              <w:bottom w:val="single" w:sz="4" w:space="0" w:color="auto"/>
            </w:tcBorders>
          </w:tcPr>
          <w:p w14:paraId="34B3F8D7"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60 (11%)</w:t>
            </w:r>
          </w:p>
          <w:p w14:paraId="775E273E"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4.5 (2-10.8)</w:t>
            </w:r>
          </w:p>
        </w:tc>
        <w:tc>
          <w:tcPr>
            <w:tcW w:w="1275" w:type="dxa"/>
            <w:tcBorders>
              <w:bottom w:val="single" w:sz="4" w:space="0" w:color="auto"/>
            </w:tcBorders>
          </w:tcPr>
          <w:p w14:paraId="72147F3D"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0.97</w:t>
            </w:r>
            <w:r w:rsidRPr="00052A94">
              <w:rPr>
                <w:rFonts w:ascii="Garamond" w:hAnsi="Garamond" w:cstheme="minorHAnsi"/>
                <w:iCs/>
                <w:sz w:val="22"/>
                <w:szCs w:val="24"/>
                <w:vertAlign w:val="superscript"/>
                <w:lang w:val="en-US"/>
              </w:rPr>
              <w:t>a</w:t>
            </w:r>
          </w:p>
          <w:p w14:paraId="176241F8" w14:textId="77777777" w:rsidR="00D32C6D" w:rsidRPr="00052A94" w:rsidRDefault="00D32C6D"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0.15</w:t>
            </w:r>
            <w:r w:rsidRPr="00052A94">
              <w:rPr>
                <w:rFonts w:ascii="Garamond" w:hAnsi="Garamond" w:cstheme="minorHAnsi"/>
                <w:iCs/>
                <w:sz w:val="22"/>
                <w:szCs w:val="24"/>
                <w:vertAlign w:val="superscript"/>
                <w:lang w:val="en-US"/>
              </w:rPr>
              <w:t>b</w:t>
            </w:r>
          </w:p>
        </w:tc>
      </w:tr>
      <w:tr w:rsidR="00D32C6D" w:rsidRPr="00896CA7" w14:paraId="415023B5" w14:textId="77777777" w:rsidTr="00404ABF">
        <w:tc>
          <w:tcPr>
            <w:tcW w:w="9077" w:type="dxa"/>
            <w:gridSpan w:val="4"/>
            <w:tcBorders>
              <w:top w:val="single" w:sz="4" w:space="0" w:color="auto"/>
            </w:tcBorders>
          </w:tcPr>
          <w:p w14:paraId="4C4655A3" w14:textId="77777777" w:rsidR="00D32C6D" w:rsidRPr="00052A94" w:rsidRDefault="00D32C6D" w:rsidP="00B00E40">
            <w:pPr>
              <w:rPr>
                <w:rFonts w:ascii="Garamond" w:hAnsi="Garamond"/>
                <w:sz w:val="22"/>
                <w:szCs w:val="24"/>
                <w:lang w:val="en-US"/>
              </w:rPr>
            </w:pPr>
            <w:r w:rsidRPr="00052A94">
              <w:rPr>
                <w:rFonts w:ascii="Garamond" w:hAnsi="Garamond" w:cstheme="minorHAnsi"/>
                <w:sz w:val="22"/>
                <w:szCs w:val="24"/>
                <w:lang w:val="en-US"/>
              </w:rPr>
              <w:t>Data are median (IQR) or n (%).</w:t>
            </w:r>
            <w:r w:rsidRPr="00052A94">
              <w:rPr>
                <w:rFonts w:ascii="Garamond" w:hAnsi="Garamond" w:cstheme="minorHAnsi"/>
                <w:b/>
                <w:sz w:val="22"/>
                <w:szCs w:val="24"/>
                <w:lang w:val="en-US"/>
              </w:rPr>
              <w:t xml:space="preserve"> </w:t>
            </w:r>
            <w:r w:rsidRPr="00052A94">
              <w:rPr>
                <w:rFonts w:ascii="Garamond" w:hAnsi="Garamond"/>
                <w:sz w:val="22"/>
                <w:szCs w:val="24"/>
                <w:lang w:val="en-US"/>
              </w:rPr>
              <w:t xml:space="preserve">US=Ultrasound, EUS=endoscopic ultrasonography, MRCP=magnetic resonance cholangiopancreatography, CT=computed tomography, ERCP=endoscopic retrograde cholangiopancreatography. </w:t>
            </w:r>
            <w:r w:rsidRPr="00052A94">
              <w:rPr>
                <w:rFonts w:ascii="Garamond" w:hAnsi="Garamond"/>
                <w:sz w:val="22"/>
                <w:szCs w:val="24"/>
                <w:vertAlign w:val="superscript"/>
                <w:lang w:val="en-US"/>
              </w:rPr>
              <w:t xml:space="preserve">a </w:t>
            </w:r>
            <w:r w:rsidRPr="00052A94">
              <w:rPr>
                <w:rFonts w:ascii="Garamond" w:hAnsi="Garamond"/>
                <w:sz w:val="22"/>
                <w:szCs w:val="24"/>
                <w:lang w:val="en-US"/>
              </w:rPr>
              <w:t xml:space="preserve">Pearson’s Chi-Square test; </w:t>
            </w:r>
            <w:r w:rsidRPr="00052A94">
              <w:rPr>
                <w:rFonts w:ascii="Garamond" w:hAnsi="Garamond"/>
                <w:sz w:val="22"/>
                <w:szCs w:val="24"/>
                <w:vertAlign w:val="superscript"/>
                <w:lang w:val="en-US"/>
              </w:rPr>
              <w:t>b</w:t>
            </w:r>
            <w:r w:rsidRPr="00052A94">
              <w:rPr>
                <w:rFonts w:ascii="Garamond" w:hAnsi="Garamond"/>
                <w:sz w:val="22"/>
                <w:szCs w:val="24"/>
                <w:lang w:val="en-US"/>
              </w:rPr>
              <w:t xml:space="preserve"> Mann-Whitney U test; </w:t>
            </w:r>
            <w:r w:rsidRPr="00052A94">
              <w:rPr>
                <w:rFonts w:ascii="Garamond" w:hAnsi="Garamond"/>
                <w:sz w:val="22"/>
                <w:szCs w:val="24"/>
                <w:vertAlign w:val="superscript"/>
                <w:lang w:val="en-US"/>
              </w:rPr>
              <w:t>c</w:t>
            </w:r>
            <w:r w:rsidRPr="00052A94">
              <w:rPr>
                <w:rFonts w:ascii="Garamond" w:hAnsi="Garamond"/>
                <w:sz w:val="22"/>
                <w:szCs w:val="24"/>
                <w:lang w:val="en-US"/>
              </w:rPr>
              <w:t xml:space="preserve"> Fisher Exact test. </w:t>
            </w:r>
          </w:p>
        </w:tc>
      </w:tr>
    </w:tbl>
    <w:p w14:paraId="3A76BA42" w14:textId="77777777" w:rsidR="00052A94" w:rsidRDefault="00052A94" w:rsidP="00D32C6D">
      <w:pPr>
        <w:rPr>
          <w:rFonts w:ascii="Garamond" w:hAnsi="Garamond" w:cstheme="minorHAnsi"/>
          <w:szCs w:val="24"/>
          <w:lang w:val="en-US"/>
        </w:rPr>
      </w:pPr>
    </w:p>
    <w:p w14:paraId="77D45834" w14:textId="77777777" w:rsidR="00052A94" w:rsidRDefault="00052A94">
      <w:pPr>
        <w:rPr>
          <w:rFonts w:ascii="Garamond" w:hAnsi="Garamond" w:cstheme="minorHAnsi"/>
          <w:szCs w:val="24"/>
          <w:lang w:val="en-US"/>
        </w:rPr>
      </w:pPr>
      <w:r>
        <w:rPr>
          <w:rFonts w:ascii="Garamond" w:hAnsi="Garamond" w:cstheme="minorHAnsi"/>
          <w:szCs w:val="24"/>
          <w:lang w:val="en-US"/>
        </w:rPr>
        <w:br w:type="page"/>
      </w:r>
    </w:p>
    <w:tbl>
      <w:tblPr>
        <w:tblStyle w:val="Tabel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1747"/>
        <w:gridCol w:w="933"/>
        <w:gridCol w:w="996"/>
        <w:gridCol w:w="1130"/>
      </w:tblGrid>
      <w:tr w:rsidR="00404ABF" w:rsidRPr="00896CA7" w14:paraId="0B31D8E1" w14:textId="77777777" w:rsidTr="00B00E40">
        <w:tc>
          <w:tcPr>
            <w:tcW w:w="5000" w:type="pct"/>
            <w:gridSpan w:val="5"/>
            <w:tcBorders>
              <w:bottom w:val="single" w:sz="4" w:space="0" w:color="auto"/>
            </w:tcBorders>
          </w:tcPr>
          <w:p w14:paraId="2848C81D" w14:textId="77777777" w:rsidR="00404ABF" w:rsidRPr="00052A94" w:rsidRDefault="00404ABF" w:rsidP="00B00E40">
            <w:pPr>
              <w:rPr>
                <w:rFonts w:ascii="Garamond" w:hAnsi="Garamond" w:cstheme="minorHAnsi"/>
                <w:b/>
                <w:sz w:val="22"/>
                <w:szCs w:val="24"/>
                <w:lang w:val="en-US"/>
              </w:rPr>
            </w:pPr>
            <w:r w:rsidRPr="00052A94">
              <w:rPr>
                <w:rFonts w:ascii="Garamond" w:hAnsi="Garamond" w:cstheme="minorHAnsi"/>
                <w:b/>
                <w:color w:val="000000"/>
                <w:sz w:val="22"/>
                <w:szCs w:val="24"/>
                <w:shd w:val="clear" w:color="auto" w:fill="FFFFFF"/>
                <w:lang w:val="en-US"/>
              </w:rPr>
              <w:lastRenderedPageBreak/>
              <w:t>Table S5. D</w:t>
            </w:r>
            <w:r w:rsidRPr="00052A94">
              <w:rPr>
                <w:rFonts w:ascii="Garamond" w:hAnsi="Garamond"/>
                <w:b/>
                <w:sz w:val="22"/>
                <w:szCs w:val="24"/>
                <w:lang w:val="en-US"/>
              </w:rPr>
              <w:t>emonstrating the o</w:t>
            </w:r>
            <w:r w:rsidRPr="00052A94">
              <w:rPr>
                <w:rFonts w:ascii="Garamond" w:hAnsi="Garamond" w:cstheme="minorHAnsi"/>
                <w:b/>
                <w:sz w:val="22"/>
                <w:szCs w:val="24"/>
                <w:lang w:val="en-US"/>
              </w:rPr>
              <w:t>utcome of imaging in patients that received imaging 32-93 days before ERCP and ERCP indication for biliary event in these patients (n=72)</w:t>
            </w:r>
          </w:p>
        </w:tc>
      </w:tr>
      <w:tr w:rsidR="00404ABF" w:rsidRPr="00052A94" w14:paraId="6A5965EE" w14:textId="77777777" w:rsidTr="00404ABF">
        <w:tc>
          <w:tcPr>
            <w:tcW w:w="2351" w:type="pct"/>
            <w:tcBorders>
              <w:top w:val="single" w:sz="4" w:space="0" w:color="auto"/>
              <w:bottom w:val="double" w:sz="4" w:space="0" w:color="auto"/>
            </w:tcBorders>
          </w:tcPr>
          <w:p w14:paraId="1259E923" w14:textId="77777777" w:rsidR="00404ABF" w:rsidRPr="00052A94" w:rsidRDefault="00404ABF" w:rsidP="00B00E40">
            <w:pPr>
              <w:spacing w:line="288" w:lineRule="auto"/>
              <w:rPr>
                <w:rFonts w:ascii="Garamond" w:hAnsi="Garamond" w:cstheme="minorHAnsi"/>
                <w:sz w:val="22"/>
                <w:szCs w:val="24"/>
                <w:lang w:val="en-US"/>
              </w:rPr>
            </w:pPr>
          </w:p>
        </w:tc>
        <w:tc>
          <w:tcPr>
            <w:tcW w:w="963" w:type="pct"/>
            <w:tcBorders>
              <w:top w:val="single" w:sz="4" w:space="0" w:color="auto"/>
              <w:bottom w:val="double" w:sz="4" w:space="0" w:color="auto"/>
            </w:tcBorders>
          </w:tcPr>
          <w:p w14:paraId="1E519C70" w14:textId="77777777" w:rsidR="00404ABF" w:rsidRPr="00052A94" w:rsidRDefault="00404ABF"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Abdominal US (n=49)</w:t>
            </w:r>
          </w:p>
        </w:tc>
        <w:tc>
          <w:tcPr>
            <w:tcW w:w="514" w:type="pct"/>
            <w:tcBorders>
              <w:top w:val="single" w:sz="4" w:space="0" w:color="auto"/>
              <w:bottom w:val="double" w:sz="4" w:space="0" w:color="auto"/>
            </w:tcBorders>
          </w:tcPr>
          <w:p w14:paraId="3BEB3B6C" w14:textId="77777777" w:rsidR="00404ABF" w:rsidRPr="00052A94" w:rsidRDefault="00404ABF"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MRCP</w:t>
            </w:r>
          </w:p>
          <w:p w14:paraId="4A5363B1" w14:textId="77777777" w:rsidR="00404ABF" w:rsidRPr="00052A94" w:rsidRDefault="00404ABF"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(n=17)</w:t>
            </w:r>
          </w:p>
        </w:tc>
        <w:tc>
          <w:tcPr>
            <w:tcW w:w="549" w:type="pct"/>
            <w:tcBorders>
              <w:top w:val="single" w:sz="4" w:space="0" w:color="auto"/>
              <w:bottom w:val="double" w:sz="4" w:space="0" w:color="auto"/>
            </w:tcBorders>
          </w:tcPr>
          <w:p w14:paraId="7C2465BF" w14:textId="77777777" w:rsidR="00404ABF" w:rsidRPr="00052A94" w:rsidRDefault="00404ABF"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EUS</w:t>
            </w:r>
          </w:p>
          <w:p w14:paraId="1B605889" w14:textId="77777777" w:rsidR="00404ABF" w:rsidRPr="00052A94" w:rsidRDefault="00404ABF"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(n=5)</w:t>
            </w:r>
          </w:p>
        </w:tc>
        <w:tc>
          <w:tcPr>
            <w:tcW w:w="623" w:type="pct"/>
            <w:tcBorders>
              <w:top w:val="single" w:sz="4" w:space="0" w:color="auto"/>
              <w:bottom w:val="double" w:sz="4" w:space="0" w:color="auto"/>
            </w:tcBorders>
          </w:tcPr>
          <w:p w14:paraId="5A3134E4" w14:textId="77777777" w:rsidR="00404ABF" w:rsidRPr="00052A94" w:rsidRDefault="00404ABF"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CT-scan</w:t>
            </w:r>
          </w:p>
          <w:p w14:paraId="2CC706B7" w14:textId="77777777" w:rsidR="00404ABF" w:rsidRPr="00052A94" w:rsidRDefault="00404ABF" w:rsidP="00B00E40">
            <w:pPr>
              <w:spacing w:line="288" w:lineRule="auto"/>
              <w:jc w:val="center"/>
              <w:rPr>
                <w:rFonts w:ascii="Garamond" w:hAnsi="Garamond" w:cstheme="minorHAnsi"/>
                <w:b/>
                <w:sz w:val="22"/>
                <w:szCs w:val="24"/>
                <w:lang w:val="en-US"/>
              </w:rPr>
            </w:pPr>
            <w:r w:rsidRPr="00052A94">
              <w:rPr>
                <w:rFonts w:ascii="Garamond" w:hAnsi="Garamond" w:cstheme="minorHAnsi"/>
                <w:b/>
                <w:sz w:val="22"/>
                <w:szCs w:val="24"/>
                <w:lang w:val="en-US"/>
              </w:rPr>
              <w:t>(n=13)</w:t>
            </w:r>
          </w:p>
        </w:tc>
      </w:tr>
      <w:tr w:rsidR="00404ABF" w:rsidRPr="00052A94" w14:paraId="728CE307" w14:textId="77777777" w:rsidTr="00404ABF">
        <w:tc>
          <w:tcPr>
            <w:tcW w:w="2351" w:type="pct"/>
            <w:tcBorders>
              <w:top w:val="double" w:sz="4" w:space="0" w:color="auto"/>
            </w:tcBorders>
          </w:tcPr>
          <w:p w14:paraId="02A8584C" w14:textId="77777777" w:rsidR="00404ABF" w:rsidRPr="00052A94" w:rsidRDefault="00404ABF"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CBD stone or sludge</w:t>
            </w:r>
          </w:p>
        </w:tc>
        <w:tc>
          <w:tcPr>
            <w:tcW w:w="963" w:type="pct"/>
            <w:tcBorders>
              <w:top w:val="double" w:sz="4" w:space="0" w:color="auto"/>
            </w:tcBorders>
          </w:tcPr>
          <w:p w14:paraId="0F500041"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w:t>
            </w:r>
          </w:p>
        </w:tc>
        <w:tc>
          <w:tcPr>
            <w:tcW w:w="514" w:type="pct"/>
            <w:tcBorders>
              <w:top w:val="double" w:sz="4" w:space="0" w:color="auto"/>
            </w:tcBorders>
          </w:tcPr>
          <w:p w14:paraId="0B266A47"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6</w:t>
            </w:r>
          </w:p>
        </w:tc>
        <w:tc>
          <w:tcPr>
            <w:tcW w:w="549" w:type="pct"/>
            <w:tcBorders>
              <w:top w:val="double" w:sz="4" w:space="0" w:color="auto"/>
            </w:tcBorders>
          </w:tcPr>
          <w:p w14:paraId="5BC7D3CC"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w:t>
            </w:r>
          </w:p>
        </w:tc>
        <w:tc>
          <w:tcPr>
            <w:tcW w:w="623" w:type="pct"/>
            <w:tcBorders>
              <w:top w:val="double" w:sz="4" w:space="0" w:color="auto"/>
            </w:tcBorders>
          </w:tcPr>
          <w:p w14:paraId="1C15272E"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w:t>
            </w:r>
          </w:p>
        </w:tc>
      </w:tr>
      <w:tr w:rsidR="00404ABF" w:rsidRPr="00052A94" w14:paraId="3E2CF0F2" w14:textId="77777777" w:rsidTr="00404ABF">
        <w:tc>
          <w:tcPr>
            <w:tcW w:w="2351" w:type="pct"/>
          </w:tcPr>
          <w:p w14:paraId="21EE8326" w14:textId="77777777" w:rsidR="00404ABF" w:rsidRPr="00052A94" w:rsidRDefault="00404ABF"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CBD dilatation</w:t>
            </w:r>
          </w:p>
        </w:tc>
        <w:tc>
          <w:tcPr>
            <w:tcW w:w="963" w:type="pct"/>
          </w:tcPr>
          <w:p w14:paraId="562A092B"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17</w:t>
            </w:r>
          </w:p>
        </w:tc>
        <w:tc>
          <w:tcPr>
            <w:tcW w:w="514" w:type="pct"/>
          </w:tcPr>
          <w:p w14:paraId="25AE9196"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w:t>
            </w:r>
          </w:p>
        </w:tc>
        <w:tc>
          <w:tcPr>
            <w:tcW w:w="549" w:type="pct"/>
          </w:tcPr>
          <w:p w14:paraId="3513EE9A"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w:t>
            </w:r>
          </w:p>
        </w:tc>
        <w:tc>
          <w:tcPr>
            <w:tcW w:w="623" w:type="pct"/>
          </w:tcPr>
          <w:p w14:paraId="58B54BE2"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6</w:t>
            </w:r>
          </w:p>
        </w:tc>
      </w:tr>
      <w:tr w:rsidR="00404ABF" w:rsidRPr="00052A94" w14:paraId="2796C94C" w14:textId="77777777" w:rsidTr="00404ABF">
        <w:tc>
          <w:tcPr>
            <w:tcW w:w="2351" w:type="pct"/>
          </w:tcPr>
          <w:p w14:paraId="5D245791" w14:textId="77777777" w:rsidR="00404ABF" w:rsidRPr="00052A94" w:rsidRDefault="00404ABF"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CBD stone or sludge + CBD dilatation</w:t>
            </w:r>
          </w:p>
        </w:tc>
        <w:tc>
          <w:tcPr>
            <w:tcW w:w="963" w:type="pct"/>
          </w:tcPr>
          <w:p w14:paraId="564045D8"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6</w:t>
            </w:r>
          </w:p>
        </w:tc>
        <w:tc>
          <w:tcPr>
            <w:tcW w:w="514" w:type="pct"/>
          </w:tcPr>
          <w:p w14:paraId="7AC44615"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9</w:t>
            </w:r>
          </w:p>
        </w:tc>
        <w:tc>
          <w:tcPr>
            <w:tcW w:w="549" w:type="pct"/>
          </w:tcPr>
          <w:p w14:paraId="56C192EE"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3</w:t>
            </w:r>
          </w:p>
        </w:tc>
        <w:tc>
          <w:tcPr>
            <w:tcW w:w="623" w:type="pct"/>
          </w:tcPr>
          <w:p w14:paraId="5B2EA5AD"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w:t>
            </w:r>
          </w:p>
        </w:tc>
      </w:tr>
      <w:tr w:rsidR="00404ABF" w:rsidRPr="00052A94" w14:paraId="29465CCF" w14:textId="77777777" w:rsidTr="00404ABF">
        <w:tc>
          <w:tcPr>
            <w:tcW w:w="2351" w:type="pct"/>
          </w:tcPr>
          <w:p w14:paraId="5EB52E37" w14:textId="77777777" w:rsidR="00404ABF" w:rsidRPr="00052A94" w:rsidRDefault="00404ABF"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No abnormalities seen</w:t>
            </w:r>
          </w:p>
        </w:tc>
        <w:tc>
          <w:tcPr>
            <w:tcW w:w="963" w:type="pct"/>
          </w:tcPr>
          <w:p w14:paraId="67BAEA5D"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21</w:t>
            </w:r>
          </w:p>
        </w:tc>
        <w:tc>
          <w:tcPr>
            <w:tcW w:w="514" w:type="pct"/>
          </w:tcPr>
          <w:p w14:paraId="08BDF1B1"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w:t>
            </w:r>
          </w:p>
        </w:tc>
        <w:tc>
          <w:tcPr>
            <w:tcW w:w="549" w:type="pct"/>
          </w:tcPr>
          <w:p w14:paraId="79EDC919"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w:t>
            </w:r>
          </w:p>
        </w:tc>
        <w:tc>
          <w:tcPr>
            <w:tcW w:w="623" w:type="pct"/>
          </w:tcPr>
          <w:p w14:paraId="3248ADF5"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w:t>
            </w:r>
          </w:p>
        </w:tc>
      </w:tr>
      <w:tr w:rsidR="00404ABF" w:rsidRPr="00052A94" w14:paraId="3B5D173F" w14:textId="77777777" w:rsidTr="00404ABF">
        <w:tc>
          <w:tcPr>
            <w:tcW w:w="2351" w:type="pct"/>
          </w:tcPr>
          <w:p w14:paraId="0B632BA6" w14:textId="77777777" w:rsidR="00404ABF" w:rsidRPr="00052A94" w:rsidRDefault="00404ABF" w:rsidP="00B00E40">
            <w:pPr>
              <w:spacing w:line="288" w:lineRule="auto"/>
              <w:rPr>
                <w:rFonts w:ascii="Garamond" w:hAnsi="Garamond" w:cstheme="minorHAnsi"/>
                <w:sz w:val="22"/>
                <w:szCs w:val="24"/>
                <w:lang w:val="en-US"/>
              </w:rPr>
            </w:pPr>
            <w:r w:rsidRPr="00052A94">
              <w:rPr>
                <w:rFonts w:ascii="Garamond" w:hAnsi="Garamond" w:cstheme="minorHAnsi"/>
                <w:sz w:val="22"/>
                <w:szCs w:val="24"/>
                <w:lang w:val="en-US"/>
              </w:rPr>
              <w:t>No result</w:t>
            </w:r>
          </w:p>
        </w:tc>
        <w:tc>
          <w:tcPr>
            <w:tcW w:w="963" w:type="pct"/>
          </w:tcPr>
          <w:p w14:paraId="768E267D"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4</w:t>
            </w:r>
          </w:p>
        </w:tc>
        <w:tc>
          <w:tcPr>
            <w:tcW w:w="514" w:type="pct"/>
          </w:tcPr>
          <w:p w14:paraId="4667898A"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w:t>
            </w:r>
          </w:p>
        </w:tc>
        <w:tc>
          <w:tcPr>
            <w:tcW w:w="549" w:type="pct"/>
          </w:tcPr>
          <w:p w14:paraId="0D143DFD"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w:t>
            </w:r>
          </w:p>
        </w:tc>
        <w:tc>
          <w:tcPr>
            <w:tcW w:w="623" w:type="pct"/>
          </w:tcPr>
          <w:p w14:paraId="5C9AD7FE"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w:t>
            </w:r>
          </w:p>
        </w:tc>
      </w:tr>
      <w:tr w:rsidR="00404ABF" w:rsidRPr="00052A94" w14:paraId="2D0B0DA9" w14:textId="77777777" w:rsidTr="00404ABF">
        <w:tc>
          <w:tcPr>
            <w:tcW w:w="2351" w:type="pct"/>
            <w:tcBorders>
              <w:bottom w:val="double" w:sz="4" w:space="0" w:color="auto"/>
            </w:tcBorders>
            <w:shd w:val="clear" w:color="auto" w:fill="auto"/>
          </w:tcPr>
          <w:p w14:paraId="7D519BE8" w14:textId="77777777" w:rsidR="00404ABF" w:rsidRPr="00052A94" w:rsidRDefault="00404ABF" w:rsidP="00B00E40">
            <w:pPr>
              <w:spacing w:line="288" w:lineRule="auto"/>
              <w:rPr>
                <w:rFonts w:ascii="Garamond" w:hAnsi="Garamond" w:cstheme="minorHAnsi"/>
                <w:sz w:val="22"/>
                <w:szCs w:val="24"/>
                <w:lang w:val="en-US"/>
              </w:rPr>
            </w:pPr>
          </w:p>
        </w:tc>
        <w:tc>
          <w:tcPr>
            <w:tcW w:w="963" w:type="pct"/>
            <w:tcBorders>
              <w:bottom w:val="double" w:sz="4" w:space="0" w:color="auto"/>
            </w:tcBorders>
            <w:shd w:val="clear" w:color="auto" w:fill="auto"/>
          </w:tcPr>
          <w:p w14:paraId="3ED7132F" w14:textId="77777777" w:rsidR="00404ABF" w:rsidRPr="00052A94" w:rsidRDefault="00404ABF" w:rsidP="00B00E40">
            <w:pPr>
              <w:spacing w:line="288" w:lineRule="auto"/>
              <w:jc w:val="center"/>
              <w:rPr>
                <w:rFonts w:ascii="Garamond" w:hAnsi="Garamond" w:cstheme="minorHAnsi"/>
                <w:sz w:val="22"/>
                <w:szCs w:val="24"/>
                <w:lang w:val="en-US"/>
              </w:rPr>
            </w:pPr>
          </w:p>
        </w:tc>
        <w:tc>
          <w:tcPr>
            <w:tcW w:w="514" w:type="pct"/>
            <w:tcBorders>
              <w:bottom w:val="double" w:sz="4" w:space="0" w:color="auto"/>
            </w:tcBorders>
            <w:shd w:val="clear" w:color="auto" w:fill="auto"/>
          </w:tcPr>
          <w:p w14:paraId="5C07CE4F" w14:textId="77777777" w:rsidR="00404ABF" w:rsidRPr="00052A94" w:rsidRDefault="00404ABF" w:rsidP="00B00E40">
            <w:pPr>
              <w:spacing w:line="288" w:lineRule="auto"/>
              <w:jc w:val="center"/>
              <w:rPr>
                <w:rFonts w:ascii="Garamond" w:hAnsi="Garamond" w:cstheme="minorHAnsi"/>
                <w:sz w:val="22"/>
                <w:szCs w:val="24"/>
                <w:lang w:val="en-US"/>
              </w:rPr>
            </w:pPr>
          </w:p>
        </w:tc>
        <w:tc>
          <w:tcPr>
            <w:tcW w:w="549" w:type="pct"/>
            <w:tcBorders>
              <w:bottom w:val="double" w:sz="4" w:space="0" w:color="auto"/>
            </w:tcBorders>
            <w:shd w:val="clear" w:color="auto" w:fill="auto"/>
          </w:tcPr>
          <w:p w14:paraId="32829D8B" w14:textId="77777777" w:rsidR="00404ABF" w:rsidRPr="00052A94" w:rsidRDefault="00404ABF" w:rsidP="00B00E40">
            <w:pPr>
              <w:spacing w:line="288" w:lineRule="auto"/>
              <w:jc w:val="center"/>
              <w:rPr>
                <w:rFonts w:ascii="Garamond" w:hAnsi="Garamond" w:cstheme="minorHAnsi"/>
                <w:sz w:val="22"/>
                <w:szCs w:val="24"/>
                <w:lang w:val="en-US"/>
              </w:rPr>
            </w:pPr>
          </w:p>
        </w:tc>
        <w:tc>
          <w:tcPr>
            <w:tcW w:w="623" w:type="pct"/>
            <w:tcBorders>
              <w:bottom w:val="double" w:sz="4" w:space="0" w:color="auto"/>
            </w:tcBorders>
            <w:shd w:val="clear" w:color="auto" w:fill="auto"/>
          </w:tcPr>
          <w:p w14:paraId="57E2A61A" w14:textId="77777777" w:rsidR="00404ABF" w:rsidRPr="00052A94" w:rsidRDefault="00404ABF" w:rsidP="00B00E40">
            <w:pPr>
              <w:spacing w:line="288" w:lineRule="auto"/>
              <w:jc w:val="center"/>
              <w:rPr>
                <w:rFonts w:ascii="Garamond" w:hAnsi="Garamond" w:cstheme="minorHAnsi"/>
                <w:sz w:val="22"/>
                <w:szCs w:val="24"/>
                <w:lang w:val="en-US"/>
              </w:rPr>
            </w:pPr>
          </w:p>
        </w:tc>
      </w:tr>
      <w:tr w:rsidR="00404ABF" w:rsidRPr="00052A94" w14:paraId="07076527" w14:textId="77777777" w:rsidTr="00404ABF">
        <w:tc>
          <w:tcPr>
            <w:tcW w:w="2351" w:type="pct"/>
            <w:tcBorders>
              <w:top w:val="double" w:sz="4" w:space="0" w:color="auto"/>
              <w:bottom w:val="single" w:sz="4" w:space="0" w:color="auto"/>
            </w:tcBorders>
          </w:tcPr>
          <w:p w14:paraId="1C17DA8C" w14:textId="77777777" w:rsidR="00404ABF" w:rsidRPr="00052A94" w:rsidRDefault="00404ABF" w:rsidP="00404ABF">
            <w:pPr>
              <w:pStyle w:val="Lijstalinea"/>
              <w:numPr>
                <w:ilvl w:val="0"/>
                <w:numId w:val="1"/>
              </w:numPr>
              <w:spacing w:line="288" w:lineRule="auto"/>
              <w:ind w:left="175" w:hanging="175"/>
              <w:jc w:val="both"/>
              <w:rPr>
                <w:rFonts w:ascii="Garamond" w:hAnsi="Garamond" w:cstheme="minorHAnsi"/>
                <w:bCs/>
                <w:sz w:val="22"/>
                <w:szCs w:val="24"/>
                <w:lang w:val="en-US"/>
              </w:rPr>
            </w:pPr>
            <w:r w:rsidRPr="00052A94">
              <w:rPr>
                <w:rFonts w:ascii="Garamond" w:hAnsi="Garamond" w:cstheme="minorHAnsi"/>
                <w:sz w:val="22"/>
                <w:szCs w:val="24"/>
                <w:lang w:val="en-US"/>
              </w:rPr>
              <w:t xml:space="preserve">Patients with a biliary complication (cholangitis) due to ERCP delay after imaging positive for CBD stone/sludge (n=29)  </w:t>
            </w:r>
          </w:p>
        </w:tc>
        <w:tc>
          <w:tcPr>
            <w:tcW w:w="963" w:type="pct"/>
            <w:tcBorders>
              <w:top w:val="double" w:sz="4" w:space="0" w:color="auto"/>
              <w:bottom w:val="single" w:sz="4" w:space="0" w:color="auto"/>
            </w:tcBorders>
          </w:tcPr>
          <w:p w14:paraId="5A27F1A4"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w:t>
            </w:r>
          </w:p>
        </w:tc>
        <w:tc>
          <w:tcPr>
            <w:tcW w:w="514" w:type="pct"/>
            <w:tcBorders>
              <w:top w:val="double" w:sz="4" w:space="0" w:color="auto"/>
              <w:bottom w:val="single" w:sz="4" w:space="0" w:color="auto"/>
            </w:tcBorders>
          </w:tcPr>
          <w:p w14:paraId="496E170A"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1</w:t>
            </w:r>
          </w:p>
        </w:tc>
        <w:tc>
          <w:tcPr>
            <w:tcW w:w="549" w:type="pct"/>
            <w:tcBorders>
              <w:top w:val="double" w:sz="4" w:space="0" w:color="auto"/>
              <w:bottom w:val="single" w:sz="4" w:space="0" w:color="auto"/>
            </w:tcBorders>
          </w:tcPr>
          <w:p w14:paraId="1F76BB25"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w:t>
            </w:r>
          </w:p>
        </w:tc>
        <w:tc>
          <w:tcPr>
            <w:tcW w:w="623" w:type="pct"/>
            <w:tcBorders>
              <w:top w:val="double" w:sz="4" w:space="0" w:color="auto"/>
              <w:bottom w:val="single" w:sz="4" w:space="0" w:color="auto"/>
            </w:tcBorders>
          </w:tcPr>
          <w:p w14:paraId="28F62C1F" w14:textId="77777777" w:rsidR="00404ABF" w:rsidRPr="00052A94" w:rsidRDefault="00404ABF" w:rsidP="00B00E40">
            <w:pPr>
              <w:spacing w:line="288" w:lineRule="auto"/>
              <w:jc w:val="center"/>
              <w:rPr>
                <w:rFonts w:ascii="Garamond" w:hAnsi="Garamond" w:cstheme="minorHAnsi"/>
                <w:sz w:val="22"/>
                <w:szCs w:val="24"/>
                <w:lang w:val="en-US"/>
              </w:rPr>
            </w:pPr>
            <w:r w:rsidRPr="00052A94">
              <w:rPr>
                <w:rFonts w:ascii="Garamond" w:hAnsi="Garamond" w:cstheme="minorHAnsi"/>
                <w:sz w:val="22"/>
                <w:szCs w:val="24"/>
                <w:lang w:val="en-US"/>
              </w:rPr>
              <w:t>0</w:t>
            </w:r>
          </w:p>
        </w:tc>
      </w:tr>
      <w:tr w:rsidR="00404ABF" w:rsidRPr="00896CA7" w14:paraId="04653454" w14:textId="77777777" w:rsidTr="00B00E40">
        <w:tc>
          <w:tcPr>
            <w:tcW w:w="5000" w:type="pct"/>
            <w:gridSpan w:val="5"/>
            <w:tcBorders>
              <w:top w:val="single" w:sz="4" w:space="0" w:color="auto"/>
            </w:tcBorders>
          </w:tcPr>
          <w:p w14:paraId="41C02C03" w14:textId="77777777" w:rsidR="00404ABF" w:rsidRPr="00052A94" w:rsidRDefault="00404ABF" w:rsidP="00B00E40">
            <w:pPr>
              <w:rPr>
                <w:rFonts w:ascii="Garamond" w:hAnsi="Garamond" w:cstheme="minorHAnsi"/>
                <w:sz w:val="22"/>
                <w:szCs w:val="24"/>
                <w:lang w:val="en-US"/>
              </w:rPr>
            </w:pPr>
            <w:r w:rsidRPr="00052A94">
              <w:rPr>
                <w:rFonts w:ascii="Garamond" w:hAnsi="Garamond" w:cstheme="minorHAnsi"/>
                <w:sz w:val="22"/>
                <w:szCs w:val="24"/>
                <w:lang w:val="en-US"/>
              </w:rPr>
              <w:t>US=Ultrasound, EUS=endoscopic ultrasonography, MRCP=magnetic resonance cholangiopancreatography, CT=computed tomography, ERCP=endoscopic retrograde cholangiopancreatography, CBD=common bile duct.</w:t>
            </w:r>
          </w:p>
        </w:tc>
      </w:tr>
    </w:tbl>
    <w:p w14:paraId="399527B3" w14:textId="77777777" w:rsidR="00224FC0" w:rsidRPr="00052A94" w:rsidRDefault="00224FC0" w:rsidP="00224FC0">
      <w:pPr>
        <w:spacing w:after="0"/>
        <w:rPr>
          <w:rFonts w:ascii="Garamond" w:hAnsi="Garamond" w:cstheme="minorHAnsi"/>
          <w:szCs w:val="24"/>
          <w:lang w:val="en-US"/>
        </w:rPr>
      </w:pPr>
    </w:p>
    <w:p w14:paraId="2A20C5CF" w14:textId="77777777" w:rsidR="00224FC0" w:rsidRPr="00404ABF" w:rsidRDefault="00224FC0" w:rsidP="00595B81">
      <w:pPr>
        <w:rPr>
          <w:rFonts w:ascii="Garamond" w:hAnsi="Garamond" w:cstheme="minorHAnsi"/>
          <w:b/>
          <w:sz w:val="24"/>
          <w:szCs w:val="24"/>
          <w:lang w:val="en-US"/>
        </w:rPr>
      </w:pPr>
    </w:p>
    <w:sectPr w:rsidR="00224FC0" w:rsidRPr="00404ABF">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F362D" w16cid:durableId="26A4F9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8030E" w14:textId="77777777" w:rsidR="00404ABF" w:rsidRDefault="00404ABF" w:rsidP="00404ABF">
      <w:pPr>
        <w:spacing w:after="0" w:line="240" w:lineRule="auto"/>
      </w:pPr>
      <w:r>
        <w:separator/>
      </w:r>
    </w:p>
  </w:endnote>
  <w:endnote w:type="continuationSeparator" w:id="0">
    <w:p w14:paraId="3697547E" w14:textId="77777777" w:rsidR="00404ABF" w:rsidRDefault="00404ABF" w:rsidP="0040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655325"/>
      <w:docPartObj>
        <w:docPartGallery w:val="Page Numbers (Bottom of Page)"/>
        <w:docPartUnique/>
      </w:docPartObj>
    </w:sdtPr>
    <w:sdtEndPr/>
    <w:sdtContent>
      <w:p w14:paraId="6BB878E3" w14:textId="63E6B76E" w:rsidR="00404ABF" w:rsidRDefault="00404ABF">
        <w:pPr>
          <w:pStyle w:val="Voettekst"/>
          <w:jc w:val="right"/>
        </w:pPr>
        <w:r>
          <w:fldChar w:fldCharType="begin"/>
        </w:r>
        <w:r>
          <w:instrText>PAGE   \* MERGEFORMAT</w:instrText>
        </w:r>
        <w:r>
          <w:fldChar w:fldCharType="separate"/>
        </w:r>
        <w:r w:rsidR="008354DA">
          <w:rPr>
            <w:noProof/>
          </w:rPr>
          <w:t>2</w:t>
        </w:r>
        <w:r>
          <w:fldChar w:fldCharType="end"/>
        </w:r>
      </w:p>
    </w:sdtContent>
  </w:sdt>
  <w:p w14:paraId="1F028957" w14:textId="77777777" w:rsidR="00404ABF" w:rsidRDefault="00404A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88986" w14:textId="77777777" w:rsidR="00404ABF" w:rsidRDefault="00404ABF" w:rsidP="00404ABF">
      <w:pPr>
        <w:spacing w:after="0" w:line="240" w:lineRule="auto"/>
      </w:pPr>
      <w:r>
        <w:separator/>
      </w:r>
    </w:p>
  </w:footnote>
  <w:footnote w:type="continuationSeparator" w:id="0">
    <w:p w14:paraId="2E348595" w14:textId="77777777" w:rsidR="00404ABF" w:rsidRDefault="00404ABF" w:rsidP="00404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CEE"/>
    <w:multiLevelType w:val="hybridMultilevel"/>
    <w:tmpl w:val="1712930A"/>
    <w:lvl w:ilvl="0" w:tplc="C2BE65A6">
      <w:start w:val="52"/>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81"/>
    <w:rsid w:val="00052A94"/>
    <w:rsid w:val="00064A95"/>
    <w:rsid w:val="001460C3"/>
    <w:rsid w:val="00224FC0"/>
    <w:rsid w:val="00226082"/>
    <w:rsid w:val="00404ABF"/>
    <w:rsid w:val="00443A01"/>
    <w:rsid w:val="00520E7A"/>
    <w:rsid w:val="005345ED"/>
    <w:rsid w:val="00595B81"/>
    <w:rsid w:val="005D18C0"/>
    <w:rsid w:val="007D63EA"/>
    <w:rsid w:val="008354DA"/>
    <w:rsid w:val="00855609"/>
    <w:rsid w:val="00896CA7"/>
    <w:rsid w:val="00A07103"/>
    <w:rsid w:val="00AC0B64"/>
    <w:rsid w:val="00AD2E3F"/>
    <w:rsid w:val="00C222DB"/>
    <w:rsid w:val="00CB0D3A"/>
    <w:rsid w:val="00D22472"/>
    <w:rsid w:val="00D32C6D"/>
    <w:rsid w:val="00DE375E"/>
    <w:rsid w:val="00E00DC0"/>
    <w:rsid w:val="00F25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FCD1"/>
  <w15:chartTrackingRefBased/>
  <w15:docId w15:val="{39236FA3-FAE0-4416-AD3C-899F9D7E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5B81"/>
  </w:style>
  <w:style w:type="paragraph" w:styleId="Kop1">
    <w:name w:val="heading 1"/>
    <w:basedOn w:val="Standaard"/>
    <w:next w:val="Standaard"/>
    <w:link w:val="Kop1Char"/>
    <w:uiPriority w:val="9"/>
    <w:qFormat/>
    <w:rsid w:val="00224F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Onopgemaaktetabel2">
    <w:name w:val="Plain Table 2"/>
    <w:basedOn w:val="Standaardtabel"/>
    <w:uiPriority w:val="42"/>
    <w:rsid w:val="00595B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jstalinea">
    <w:name w:val="List Paragraph"/>
    <w:basedOn w:val="Standaard"/>
    <w:link w:val="LijstalineaChar"/>
    <w:uiPriority w:val="34"/>
    <w:qFormat/>
    <w:rsid w:val="00595B81"/>
    <w:pPr>
      <w:ind w:left="720"/>
      <w:contextualSpacing/>
    </w:pPr>
  </w:style>
  <w:style w:type="table" w:styleId="Tabelraster">
    <w:name w:val="Table Grid"/>
    <w:basedOn w:val="Standaardtabel"/>
    <w:uiPriority w:val="39"/>
    <w:rsid w:val="00595B81"/>
    <w:pPr>
      <w:spacing w:after="0" w:line="240" w:lineRule="auto"/>
    </w:pPr>
    <w:rPr>
      <w:rFonts w:ascii="Times New Roman" w:eastAsia="Times New Roman" w:hAnsi="Times New Roman"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224FC0"/>
    <w:pPr>
      <w:spacing w:after="0" w:line="240" w:lineRule="auto"/>
    </w:pPr>
  </w:style>
  <w:style w:type="character" w:customStyle="1" w:styleId="GeenafstandChar">
    <w:name w:val="Geen afstand Char"/>
    <w:basedOn w:val="Standaardalinea-lettertype"/>
    <w:link w:val="Geenafstand"/>
    <w:uiPriority w:val="1"/>
    <w:rsid w:val="00224FC0"/>
  </w:style>
  <w:style w:type="paragraph" w:customStyle="1" w:styleId="Default">
    <w:name w:val="Default"/>
    <w:rsid w:val="00224F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p1Char">
    <w:name w:val="Kop 1 Char"/>
    <w:basedOn w:val="Standaardalinea-lettertype"/>
    <w:link w:val="Kop1"/>
    <w:uiPriority w:val="9"/>
    <w:rsid w:val="00224FC0"/>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064A95"/>
    <w:pPr>
      <w:outlineLvl w:val="9"/>
    </w:pPr>
    <w:rPr>
      <w:lang w:eastAsia="nl-NL"/>
    </w:rPr>
  </w:style>
  <w:style w:type="paragraph" w:styleId="Inhopg1">
    <w:name w:val="toc 1"/>
    <w:basedOn w:val="Standaard"/>
    <w:next w:val="Standaard"/>
    <w:autoRedefine/>
    <w:uiPriority w:val="39"/>
    <w:unhideWhenUsed/>
    <w:rsid w:val="008354DA"/>
    <w:pPr>
      <w:tabs>
        <w:tab w:val="right" w:leader="dot" w:pos="9062"/>
      </w:tabs>
      <w:spacing w:after="100"/>
    </w:pPr>
  </w:style>
  <w:style w:type="character" w:styleId="Hyperlink">
    <w:name w:val="Hyperlink"/>
    <w:basedOn w:val="Standaardalinea-lettertype"/>
    <w:uiPriority w:val="99"/>
    <w:unhideWhenUsed/>
    <w:rsid w:val="00064A95"/>
    <w:rPr>
      <w:color w:val="0563C1" w:themeColor="hyperlink"/>
      <w:u w:val="single"/>
    </w:rPr>
  </w:style>
  <w:style w:type="character" w:customStyle="1" w:styleId="LijstalineaChar">
    <w:name w:val="Lijstalinea Char"/>
    <w:basedOn w:val="Standaardalinea-lettertype"/>
    <w:link w:val="Lijstalinea"/>
    <w:uiPriority w:val="34"/>
    <w:rsid w:val="00404ABF"/>
  </w:style>
  <w:style w:type="paragraph" w:styleId="Koptekst">
    <w:name w:val="header"/>
    <w:basedOn w:val="Standaard"/>
    <w:link w:val="KoptekstChar"/>
    <w:uiPriority w:val="99"/>
    <w:unhideWhenUsed/>
    <w:rsid w:val="00404AB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04ABF"/>
  </w:style>
  <w:style w:type="paragraph" w:styleId="Voettekst">
    <w:name w:val="footer"/>
    <w:basedOn w:val="Standaard"/>
    <w:link w:val="VoettekstChar"/>
    <w:uiPriority w:val="99"/>
    <w:unhideWhenUsed/>
    <w:rsid w:val="00404AB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04ABF"/>
  </w:style>
  <w:style w:type="character" w:styleId="Verwijzingopmerking">
    <w:name w:val="annotation reference"/>
    <w:basedOn w:val="Standaardalinea-lettertype"/>
    <w:uiPriority w:val="99"/>
    <w:semiHidden/>
    <w:unhideWhenUsed/>
    <w:rsid w:val="00443A01"/>
    <w:rPr>
      <w:sz w:val="16"/>
      <w:szCs w:val="16"/>
    </w:rPr>
  </w:style>
  <w:style w:type="paragraph" w:styleId="Tekstopmerking">
    <w:name w:val="annotation text"/>
    <w:basedOn w:val="Standaard"/>
    <w:link w:val="TekstopmerkingChar"/>
    <w:uiPriority w:val="99"/>
    <w:semiHidden/>
    <w:unhideWhenUsed/>
    <w:rsid w:val="00443A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3A01"/>
    <w:rPr>
      <w:sz w:val="20"/>
      <w:szCs w:val="20"/>
    </w:rPr>
  </w:style>
  <w:style w:type="paragraph" w:styleId="Onderwerpvanopmerking">
    <w:name w:val="annotation subject"/>
    <w:basedOn w:val="Tekstopmerking"/>
    <w:next w:val="Tekstopmerking"/>
    <w:link w:val="OnderwerpvanopmerkingChar"/>
    <w:uiPriority w:val="99"/>
    <w:semiHidden/>
    <w:unhideWhenUsed/>
    <w:rsid w:val="00443A01"/>
    <w:rPr>
      <w:b/>
      <w:bCs/>
    </w:rPr>
  </w:style>
  <w:style w:type="character" w:customStyle="1" w:styleId="OnderwerpvanopmerkingChar">
    <w:name w:val="Onderwerp van opmerking Char"/>
    <w:basedOn w:val="TekstopmerkingChar"/>
    <w:link w:val="Onderwerpvanopmerking"/>
    <w:uiPriority w:val="99"/>
    <w:semiHidden/>
    <w:rsid w:val="00443A01"/>
    <w:rPr>
      <w:b/>
      <w:bCs/>
      <w:sz w:val="20"/>
      <w:szCs w:val="20"/>
    </w:rPr>
  </w:style>
  <w:style w:type="paragraph" w:styleId="Ballontekst">
    <w:name w:val="Balloon Text"/>
    <w:basedOn w:val="Standaard"/>
    <w:link w:val="BallontekstChar"/>
    <w:uiPriority w:val="99"/>
    <w:semiHidden/>
    <w:unhideWhenUsed/>
    <w:rsid w:val="00443A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3A01"/>
    <w:rPr>
      <w:rFonts w:ascii="Segoe UI" w:hAnsi="Segoe UI" w:cs="Segoe UI"/>
      <w:sz w:val="18"/>
      <w:szCs w:val="18"/>
    </w:rPr>
  </w:style>
  <w:style w:type="paragraph" w:styleId="Revisie">
    <w:name w:val="Revision"/>
    <w:hidden/>
    <w:uiPriority w:val="99"/>
    <w:semiHidden/>
    <w:rsid w:val="00226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2864-D63F-4C7D-878E-F554DA09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1145</Words>
  <Characters>6303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St. Antonius Ziekenhuis</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c.spernaweiland</dc:creator>
  <cp:keywords/>
  <dc:description/>
  <cp:lastModifiedBy>c.spernaweiland</cp:lastModifiedBy>
  <cp:revision>2</cp:revision>
  <dcterms:created xsi:type="dcterms:W3CDTF">2022-09-22T17:11:00Z</dcterms:created>
  <dcterms:modified xsi:type="dcterms:W3CDTF">2022-09-22T17:11:00Z</dcterms:modified>
</cp:coreProperties>
</file>