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0223" w14:textId="77777777" w:rsidR="00CC419E" w:rsidRDefault="00CC419E" w:rsidP="00CC419E">
      <w:pPr>
        <w:spacing w:line="480" w:lineRule="auto"/>
        <w:rPr>
          <w:rFonts w:ascii="Arial" w:hAnsi="Arial" w:cs="Arial"/>
          <w:b/>
        </w:rPr>
      </w:pPr>
      <w:r>
        <w:rPr>
          <w:rFonts w:ascii="Arial" w:hAnsi="Arial" w:cs="Arial"/>
          <w:b/>
        </w:rPr>
        <w:t xml:space="preserve">SUPPLEMENTAL MATERIAL </w:t>
      </w:r>
    </w:p>
    <w:p w14:paraId="3CBCAC8A" w14:textId="7808BC65" w:rsidR="006D65C5" w:rsidRDefault="006D65C5" w:rsidP="00CC419E">
      <w:pPr>
        <w:spacing w:line="480" w:lineRule="auto"/>
        <w:rPr>
          <w:rFonts w:ascii="Arial" w:hAnsi="Arial" w:cs="Arial"/>
          <w:b/>
        </w:rPr>
      </w:pPr>
      <w:r>
        <w:rPr>
          <w:rFonts w:ascii="Arial" w:hAnsi="Arial" w:cs="Arial"/>
          <w:b/>
          <w:noProof/>
        </w:rPr>
        <w:drawing>
          <wp:inline distT="0" distB="0" distL="0" distR="0" wp14:anchorId="48AB34AF" wp14:editId="30786838">
            <wp:extent cx="3683936" cy="3475355"/>
            <wp:effectExtent l="0" t="0" r="0" b="0"/>
            <wp:docPr id="360072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771"/>
                    <a:stretch/>
                  </pic:blipFill>
                  <pic:spPr bwMode="auto">
                    <a:xfrm>
                      <a:off x="0" y="0"/>
                      <a:ext cx="3690369" cy="3481424"/>
                    </a:xfrm>
                    <a:prstGeom prst="rect">
                      <a:avLst/>
                    </a:prstGeom>
                    <a:noFill/>
                    <a:ln>
                      <a:noFill/>
                    </a:ln>
                    <a:extLst>
                      <a:ext uri="{53640926-AAD7-44D8-BBD7-CCE9431645EC}">
                        <a14:shadowObscured xmlns:a14="http://schemas.microsoft.com/office/drawing/2010/main"/>
                      </a:ext>
                    </a:extLst>
                  </pic:spPr>
                </pic:pic>
              </a:graphicData>
            </a:graphic>
          </wp:inline>
        </w:drawing>
      </w:r>
    </w:p>
    <w:p w14:paraId="419A2155" w14:textId="06801FEE" w:rsidR="006D65C5" w:rsidRPr="006D65C5" w:rsidRDefault="006D65C5" w:rsidP="00CC419E">
      <w:pPr>
        <w:spacing w:line="480" w:lineRule="auto"/>
        <w:rPr>
          <w:rFonts w:ascii="Arial" w:hAnsi="Arial" w:cs="Arial"/>
          <w:bCs/>
        </w:rPr>
      </w:pPr>
      <w:r>
        <w:rPr>
          <w:rFonts w:ascii="Arial" w:hAnsi="Arial" w:cs="Arial"/>
          <w:b/>
        </w:rPr>
        <w:t xml:space="preserve">Supplemental </w:t>
      </w:r>
      <w:r w:rsidRPr="006D65C5">
        <w:rPr>
          <w:rFonts w:ascii="Arial" w:hAnsi="Arial" w:cs="Arial"/>
          <w:b/>
        </w:rPr>
        <w:t xml:space="preserve">Figure 1. </w:t>
      </w:r>
      <w:r w:rsidRPr="006D65C5">
        <w:rPr>
          <w:rFonts w:ascii="Arial" w:hAnsi="Arial" w:cs="Arial"/>
          <w:bCs/>
        </w:rPr>
        <w:t>Spectral power density of the four sensors of the Muse S headband in a single, volunteer during 5 minutes of eyes closed rest. Anterior prefrontal (AF) 7 and AF8 sensors record activity under the left and right prefrontal cortex, respectively. Temporoparietal (TP) 9 and TP10 sensors record activity under the left and right temporoparietal cortex, respectively. The TP9 and TP10 sensors detected high alpha power (8 – 13 Hz).</w:t>
      </w:r>
    </w:p>
    <w:p w14:paraId="2C607CC6" w14:textId="77777777" w:rsidR="006D65C5" w:rsidRDefault="006D65C5" w:rsidP="00CC419E">
      <w:pPr>
        <w:spacing w:line="480" w:lineRule="auto"/>
        <w:rPr>
          <w:rFonts w:ascii="Arial" w:hAnsi="Arial" w:cs="Arial"/>
          <w:b/>
        </w:rPr>
      </w:pPr>
    </w:p>
    <w:p w14:paraId="2337D33B" w14:textId="59F21FEA" w:rsidR="00CC419E" w:rsidRDefault="006D65C5" w:rsidP="00CC419E">
      <w:pPr>
        <w:spacing w:line="480" w:lineRule="auto"/>
        <w:rPr>
          <w:rFonts w:ascii="Arial" w:hAnsi="Arial" w:cs="Arial"/>
          <w:b/>
        </w:rPr>
      </w:pPr>
      <w:r>
        <w:rPr>
          <w:rFonts w:ascii="Arial" w:hAnsi="Arial" w:cs="Arial"/>
          <w:b/>
          <w:noProof/>
        </w:rPr>
        <w:lastRenderedPageBreak/>
        <w:drawing>
          <wp:inline distT="0" distB="0" distL="0" distR="0" wp14:anchorId="7641571C" wp14:editId="73A4AA71">
            <wp:extent cx="5776978" cy="4587766"/>
            <wp:effectExtent l="0" t="0" r="0" b="0"/>
            <wp:docPr id="9629323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7305" cy="4603909"/>
                    </a:xfrm>
                    <a:prstGeom prst="rect">
                      <a:avLst/>
                    </a:prstGeom>
                    <a:noFill/>
                  </pic:spPr>
                </pic:pic>
              </a:graphicData>
            </a:graphic>
          </wp:inline>
        </w:drawing>
      </w:r>
    </w:p>
    <w:p w14:paraId="2FAF4218" w14:textId="77777777" w:rsidR="00CC419E" w:rsidRDefault="00CC419E" w:rsidP="00CC419E">
      <w:pPr>
        <w:spacing w:line="480" w:lineRule="auto"/>
        <w:rPr>
          <w:rFonts w:ascii="Arial" w:hAnsi="Arial" w:cs="Arial"/>
          <w:b/>
        </w:rPr>
      </w:pPr>
    </w:p>
    <w:p w14:paraId="71876D61" w14:textId="4A0002EC" w:rsidR="00CC419E" w:rsidRDefault="00CC419E" w:rsidP="00CC419E">
      <w:pPr>
        <w:spacing w:line="480" w:lineRule="auto"/>
        <w:rPr>
          <w:rFonts w:ascii="Arial" w:hAnsi="Arial" w:cs="Arial"/>
        </w:rPr>
      </w:pPr>
      <w:r>
        <w:rPr>
          <w:rFonts w:ascii="Arial" w:hAnsi="Arial" w:cs="Arial"/>
          <w:b/>
        </w:rPr>
        <w:t xml:space="preserve">Supplemental Figure </w:t>
      </w:r>
      <w:r w:rsidR="006D65C5">
        <w:rPr>
          <w:rFonts w:ascii="Arial" w:hAnsi="Arial" w:cs="Arial"/>
          <w:b/>
        </w:rPr>
        <w:t>2</w:t>
      </w:r>
      <w:r>
        <w:rPr>
          <w:rFonts w:ascii="Arial" w:hAnsi="Arial" w:cs="Arial"/>
          <w:b/>
        </w:rPr>
        <w:t xml:space="preserve">. </w:t>
      </w:r>
      <w:r>
        <w:rPr>
          <w:rFonts w:ascii="Arial" w:hAnsi="Arial" w:cs="Arial"/>
        </w:rPr>
        <w:t>Scatter</w:t>
      </w:r>
      <w:r w:rsidRPr="00202FA9">
        <w:rPr>
          <w:rFonts w:ascii="Arial" w:hAnsi="Arial" w:cs="Arial"/>
        </w:rPr>
        <w:t xml:space="preserve"> plots </w:t>
      </w:r>
      <w:r>
        <w:rPr>
          <w:rFonts w:ascii="Arial" w:hAnsi="Arial" w:cs="Arial"/>
        </w:rPr>
        <w:t xml:space="preserve">of data from male (50) and female (50) participants across three age groups of near equivalent numbers of participants per age group. The two columns on the left show associations between broadband power under the AF8 sensor and cannabis use (A) and the two columns on the right show associations between alpha power under the AF7 sensor relative to scores on the Beck Anxiety Inventory (B). </w:t>
      </w:r>
      <w:r w:rsidRPr="00202FA9">
        <w:rPr>
          <w:rFonts w:ascii="Arial" w:hAnsi="Arial" w:cs="Arial"/>
        </w:rPr>
        <w:t xml:space="preserve"> </w:t>
      </w:r>
    </w:p>
    <w:p w14:paraId="737C1A32" w14:textId="77777777" w:rsidR="00CC419E" w:rsidRDefault="00CC419E" w:rsidP="00CC419E">
      <w:pPr>
        <w:spacing w:line="480" w:lineRule="auto"/>
        <w:rPr>
          <w:rFonts w:ascii="Arial" w:hAnsi="Arial" w:cs="Arial"/>
          <w:b/>
        </w:rPr>
      </w:pPr>
    </w:p>
    <w:p w14:paraId="7B05E905" w14:textId="77777777" w:rsidR="00CC419E" w:rsidRDefault="00CC419E" w:rsidP="00CC419E">
      <w:pPr>
        <w:spacing w:line="480" w:lineRule="auto"/>
        <w:rPr>
          <w:rFonts w:ascii="Arial" w:hAnsi="Arial" w:cs="Arial"/>
          <w:b/>
        </w:rPr>
      </w:pPr>
    </w:p>
    <w:p w14:paraId="7901EB79" w14:textId="77777777" w:rsidR="00D11973" w:rsidRDefault="00D11973" w:rsidP="00CC419E">
      <w:pPr>
        <w:spacing w:line="480" w:lineRule="auto"/>
        <w:rPr>
          <w:rFonts w:ascii="Arial" w:hAnsi="Arial" w:cs="Arial"/>
          <w:b/>
        </w:rPr>
      </w:pPr>
    </w:p>
    <w:p w14:paraId="55637FBE" w14:textId="77777777" w:rsidR="00D11973" w:rsidRDefault="00D11973" w:rsidP="00CC419E">
      <w:pPr>
        <w:spacing w:line="480" w:lineRule="auto"/>
        <w:rPr>
          <w:rFonts w:ascii="Arial" w:hAnsi="Arial" w:cs="Arial"/>
          <w:b/>
        </w:rPr>
      </w:pPr>
    </w:p>
    <w:p w14:paraId="5E357A53" w14:textId="77777777" w:rsidR="00D11973" w:rsidRDefault="00D11973" w:rsidP="00CC419E">
      <w:pPr>
        <w:spacing w:line="480" w:lineRule="auto"/>
        <w:rPr>
          <w:rFonts w:ascii="Arial" w:hAnsi="Arial" w:cs="Arial"/>
          <w:b/>
        </w:rPr>
      </w:pPr>
    </w:p>
    <w:p w14:paraId="7B0F657D" w14:textId="77777777" w:rsidR="00D11973" w:rsidRDefault="00D11973" w:rsidP="00D11973">
      <w:pPr>
        <w:spacing w:line="480" w:lineRule="auto"/>
        <w:rPr>
          <w:rFonts w:ascii="Arial" w:hAnsi="Arial" w:cs="Arial"/>
          <w:b/>
        </w:rPr>
      </w:pPr>
      <w:r>
        <w:rPr>
          <w:rFonts w:ascii="Arial" w:hAnsi="Arial" w:cs="Arial"/>
          <w:b/>
          <w:noProof/>
        </w:rPr>
        <w:drawing>
          <wp:inline distT="0" distB="0" distL="0" distR="0" wp14:anchorId="035991AF" wp14:editId="2D67F16D">
            <wp:extent cx="5224780" cy="3462655"/>
            <wp:effectExtent l="0" t="0" r="0" b="0"/>
            <wp:docPr id="930150572" name="Picture 6" descr="A black and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50572" name="Picture 6" descr="A black and white rectangular objec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4780" cy="3462655"/>
                    </a:xfrm>
                    <a:prstGeom prst="rect">
                      <a:avLst/>
                    </a:prstGeom>
                    <a:noFill/>
                  </pic:spPr>
                </pic:pic>
              </a:graphicData>
            </a:graphic>
          </wp:inline>
        </w:drawing>
      </w:r>
    </w:p>
    <w:p w14:paraId="2E5E0467" w14:textId="77777777" w:rsidR="00D11973" w:rsidRDefault="00D11973" w:rsidP="00D11973">
      <w:pPr>
        <w:spacing w:line="480" w:lineRule="auto"/>
        <w:rPr>
          <w:rFonts w:ascii="Arial" w:hAnsi="Arial" w:cs="Arial"/>
          <w:b/>
        </w:rPr>
      </w:pPr>
    </w:p>
    <w:p w14:paraId="18B56E6A" w14:textId="44A2A342" w:rsidR="00D11973" w:rsidRDefault="00D11973" w:rsidP="00D11973">
      <w:pPr>
        <w:spacing w:line="480" w:lineRule="auto"/>
        <w:rPr>
          <w:rFonts w:ascii="Arial" w:hAnsi="Arial" w:cs="Arial"/>
        </w:rPr>
      </w:pPr>
      <w:r>
        <w:rPr>
          <w:rFonts w:ascii="Arial" w:hAnsi="Arial" w:cs="Arial"/>
          <w:b/>
        </w:rPr>
        <w:t xml:space="preserve">Supplemental Figure 3. </w:t>
      </w:r>
      <w:r>
        <w:rPr>
          <w:rFonts w:ascii="Arial" w:hAnsi="Arial" w:cs="Arial"/>
        </w:rPr>
        <w:t xml:space="preserve">Participants’ average days of cannabis use per year since onset did not differ between males and females in a t-test (A) or between the youngest (ages 21-23) and oldest (ages 30-55) individuals in a t-test (B), p &gt; 0.05.  </w:t>
      </w:r>
      <w:r w:rsidRPr="00202FA9">
        <w:rPr>
          <w:rFonts w:ascii="Arial" w:hAnsi="Arial" w:cs="Arial"/>
        </w:rPr>
        <w:t xml:space="preserve"> </w:t>
      </w:r>
    </w:p>
    <w:p w14:paraId="2CC96492" w14:textId="0EE58D5B" w:rsidR="00CC419E" w:rsidRDefault="00CC419E" w:rsidP="00CC419E">
      <w:pPr>
        <w:spacing w:line="480" w:lineRule="auto"/>
        <w:rPr>
          <w:rFonts w:ascii="Arial" w:hAnsi="Arial" w:cs="Arial"/>
          <w:b/>
        </w:rPr>
      </w:pPr>
    </w:p>
    <w:p w14:paraId="1F70DBE3" w14:textId="77777777" w:rsidR="00C85A2E" w:rsidRDefault="00C85A2E" w:rsidP="00CC419E">
      <w:pPr>
        <w:spacing w:line="480" w:lineRule="auto"/>
        <w:rPr>
          <w:rFonts w:ascii="Arial" w:hAnsi="Arial" w:cs="Arial"/>
          <w:b/>
        </w:rPr>
      </w:pPr>
    </w:p>
    <w:p w14:paraId="552D68B7" w14:textId="77777777" w:rsidR="00C85A2E" w:rsidRDefault="00C85A2E" w:rsidP="00CC419E">
      <w:pPr>
        <w:spacing w:line="480" w:lineRule="auto"/>
        <w:rPr>
          <w:rFonts w:ascii="Arial" w:hAnsi="Arial" w:cs="Arial"/>
          <w:b/>
        </w:rPr>
      </w:pPr>
    </w:p>
    <w:p w14:paraId="73B518A1" w14:textId="77777777" w:rsidR="00C85A2E" w:rsidRDefault="00C85A2E" w:rsidP="00CC419E">
      <w:pPr>
        <w:spacing w:line="480" w:lineRule="auto"/>
        <w:rPr>
          <w:rFonts w:ascii="Arial" w:hAnsi="Arial" w:cs="Arial"/>
          <w:b/>
        </w:rPr>
      </w:pPr>
    </w:p>
    <w:p w14:paraId="6AA2BA35" w14:textId="77777777" w:rsidR="00C85A2E" w:rsidRDefault="00C85A2E" w:rsidP="00CC419E">
      <w:pPr>
        <w:spacing w:line="480" w:lineRule="auto"/>
        <w:rPr>
          <w:rFonts w:ascii="Arial" w:hAnsi="Arial" w:cs="Arial"/>
          <w:b/>
        </w:rPr>
      </w:pPr>
    </w:p>
    <w:p w14:paraId="1E120AE3" w14:textId="5B1BF6B4" w:rsidR="00C85A2E" w:rsidRDefault="00C85A2E" w:rsidP="00CC419E">
      <w:pPr>
        <w:spacing w:line="480" w:lineRule="auto"/>
        <w:rPr>
          <w:rFonts w:ascii="Arial" w:hAnsi="Arial" w:cs="Arial"/>
          <w:b/>
        </w:rPr>
      </w:pPr>
      <w:r>
        <w:rPr>
          <w:rFonts w:ascii="Arial" w:hAnsi="Arial" w:cs="Arial"/>
          <w:b/>
          <w:noProof/>
        </w:rPr>
        <w:lastRenderedPageBreak/>
        <w:drawing>
          <wp:anchor distT="0" distB="0" distL="114300" distR="114300" simplePos="0" relativeHeight="251658240" behindDoc="0" locked="0" layoutInCell="1" allowOverlap="1" wp14:anchorId="4989E9C1" wp14:editId="52980A88">
            <wp:simplePos x="0" y="0"/>
            <wp:positionH relativeFrom="column">
              <wp:posOffset>438150</wp:posOffset>
            </wp:positionH>
            <wp:positionV relativeFrom="paragraph">
              <wp:posOffset>9525</wp:posOffset>
            </wp:positionV>
            <wp:extent cx="4810125" cy="4040662"/>
            <wp:effectExtent l="0" t="0" r="0" b="0"/>
            <wp:wrapTopAndBottom/>
            <wp:docPr id="456698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4040662"/>
                    </a:xfrm>
                    <a:prstGeom prst="rect">
                      <a:avLst/>
                    </a:prstGeom>
                    <a:noFill/>
                  </pic:spPr>
                </pic:pic>
              </a:graphicData>
            </a:graphic>
            <wp14:sizeRelH relativeFrom="page">
              <wp14:pctWidth>0</wp14:pctWidth>
            </wp14:sizeRelH>
            <wp14:sizeRelV relativeFrom="page">
              <wp14:pctHeight>0</wp14:pctHeight>
            </wp14:sizeRelV>
          </wp:anchor>
        </w:drawing>
      </w:r>
    </w:p>
    <w:p w14:paraId="3DA1B4AF" w14:textId="7D795676" w:rsidR="00C85A2E" w:rsidRPr="00C42421" w:rsidRDefault="00C85A2E" w:rsidP="00C85A2E">
      <w:pPr>
        <w:spacing w:line="480" w:lineRule="auto"/>
        <w:rPr>
          <w:rFonts w:ascii="Arial" w:hAnsi="Arial" w:cs="Arial"/>
        </w:rPr>
      </w:pPr>
      <w:r w:rsidRPr="00C42421">
        <w:rPr>
          <w:rFonts w:ascii="Arial" w:hAnsi="Arial" w:cs="Arial"/>
          <w:b/>
        </w:rPr>
        <w:t xml:space="preserve">Supplemental Figure 4. </w:t>
      </w:r>
      <w:r w:rsidR="00845D56" w:rsidRPr="00C42421">
        <w:rPr>
          <w:rFonts w:ascii="Arial" w:hAnsi="Arial" w:cs="Arial"/>
        </w:rPr>
        <w:t>Moderation analysis. T</w:t>
      </w:r>
      <w:r w:rsidRPr="00C42421">
        <w:rPr>
          <w:rFonts w:ascii="Arial" w:hAnsi="Arial" w:cs="Arial"/>
        </w:rPr>
        <w:t>he</w:t>
      </w:r>
      <w:r w:rsidR="00887B2C" w:rsidRPr="00C42421">
        <w:rPr>
          <w:rFonts w:ascii="Arial" w:hAnsi="Arial" w:cs="Arial"/>
        </w:rPr>
        <w:t xml:space="preserve">re is a significant </w:t>
      </w:r>
      <w:r w:rsidRPr="00C42421">
        <w:rPr>
          <w:rFonts w:ascii="Arial" w:hAnsi="Arial" w:cs="Arial"/>
        </w:rPr>
        <w:t>interaction between Beck Anxiety Inventory and recency of cannabis use (Days since use)</w:t>
      </w:r>
      <w:r w:rsidR="00887B2C" w:rsidRPr="00C42421">
        <w:rPr>
          <w:rFonts w:ascii="Arial" w:hAnsi="Arial" w:cs="Arial"/>
        </w:rPr>
        <w:t xml:space="preserve"> </w:t>
      </w:r>
      <w:r w:rsidRPr="00C42421">
        <w:rPr>
          <w:rFonts w:ascii="Arial" w:hAnsi="Arial" w:cs="Arial"/>
        </w:rPr>
        <w:t>(</w:t>
      </w:r>
      <w:r w:rsidR="00BD5448" w:rsidRPr="00C42421">
        <w:rPr>
          <w:rFonts w:ascii="Arial" w:hAnsi="Arial" w:cs="Arial"/>
        </w:rPr>
        <w:t>β</w:t>
      </w:r>
      <w:r w:rsidRPr="00C42421">
        <w:rPr>
          <w:rFonts w:ascii="Arial" w:hAnsi="Arial" w:cs="Arial"/>
        </w:rPr>
        <w:t xml:space="preserve"> = -</w:t>
      </w:r>
      <w:r w:rsidR="00BD5448" w:rsidRPr="00C42421">
        <w:rPr>
          <w:rFonts w:ascii="Arial" w:hAnsi="Arial" w:cs="Arial"/>
        </w:rPr>
        <w:t>0.002</w:t>
      </w:r>
      <w:r w:rsidRPr="00C42421">
        <w:rPr>
          <w:rFonts w:ascii="Arial" w:hAnsi="Arial" w:cs="Arial"/>
        </w:rPr>
        <w:t xml:space="preserve">, </w:t>
      </w:r>
      <w:r w:rsidR="008C245B" w:rsidRPr="00C42421">
        <w:rPr>
          <w:rFonts w:ascii="Arial" w:hAnsi="Arial" w:cs="Arial"/>
        </w:rPr>
        <w:t>SE</w:t>
      </w:r>
      <w:r w:rsidRPr="00C42421">
        <w:rPr>
          <w:rFonts w:ascii="Arial" w:hAnsi="Arial" w:cs="Arial"/>
        </w:rPr>
        <w:t xml:space="preserve"> = </w:t>
      </w:r>
      <w:r w:rsidR="00845D56" w:rsidRPr="00C42421">
        <w:rPr>
          <w:rFonts w:ascii="Arial" w:hAnsi="Arial" w:cs="Arial"/>
        </w:rPr>
        <w:t>0.001</w:t>
      </w:r>
      <w:r w:rsidRPr="00C42421">
        <w:rPr>
          <w:rFonts w:ascii="Arial" w:hAnsi="Arial" w:cs="Arial"/>
        </w:rPr>
        <w:t xml:space="preserve">, t = </w:t>
      </w:r>
      <w:r w:rsidR="00845D56" w:rsidRPr="00C42421">
        <w:rPr>
          <w:rFonts w:ascii="Arial" w:hAnsi="Arial" w:cs="Arial"/>
        </w:rPr>
        <w:t>-2.12</w:t>
      </w:r>
      <w:r w:rsidRPr="00C42421">
        <w:rPr>
          <w:rFonts w:ascii="Arial" w:hAnsi="Arial" w:cs="Arial"/>
        </w:rPr>
        <w:t xml:space="preserve">, p </w:t>
      </w:r>
      <w:r w:rsidR="00845D56" w:rsidRPr="00C42421">
        <w:rPr>
          <w:rFonts w:ascii="Arial" w:hAnsi="Arial" w:cs="Arial"/>
        </w:rPr>
        <w:t>=</w:t>
      </w:r>
      <w:r w:rsidRPr="00C42421">
        <w:rPr>
          <w:rFonts w:ascii="Arial" w:hAnsi="Arial" w:cs="Arial"/>
        </w:rPr>
        <w:t xml:space="preserve"> </w:t>
      </w:r>
      <w:r w:rsidR="00BF2004" w:rsidRPr="00C42421">
        <w:rPr>
          <w:rFonts w:ascii="Arial" w:hAnsi="Arial" w:cs="Arial"/>
        </w:rPr>
        <w:t>0</w:t>
      </w:r>
      <w:r w:rsidRPr="00C42421">
        <w:rPr>
          <w:rFonts w:ascii="Arial" w:hAnsi="Arial" w:cs="Arial"/>
        </w:rPr>
        <w:t>.0</w:t>
      </w:r>
      <w:r w:rsidR="00845D56" w:rsidRPr="00C42421">
        <w:rPr>
          <w:rFonts w:ascii="Arial" w:hAnsi="Arial" w:cs="Arial"/>
        </w:rPr>
        <w:t>37</w:t>
      </w:r>
      <w:r w:rsidRPr="00C42421">
        <w:rPr>
          <w:rFonts w:ascii="Arial" w:hAnsi="Arial" w:cs="Arial"/>
        </w:rPr>
        <w:t xml:space="preserve">), indicating that the relationship between </w:t>
      </w:r>
      <w:r w:rsidR="00845D56" w:rsidRPr="00C42421">
        <w:rPr>
          <w:rFonts w:ascii="Arial" w:hAnsi="Arial" w:cs="Arial"/>
        </w:rPr>
        <w:t xml:space="preserve">Beck Anxiety Inventory </w:t>
      </w:r>
      <w:r w:rsidRPr="00C42421">
        <w:rPr>
          <w:rFonts w:ascii="Arial" w:hAnsi="Arial" w:cs="Arial"/>
        </w:rPr>
        <w:t xml:space="preserve">and </w:t>
      </w:r>
      <w:r w:rsidR="00845D56" w:rsidRPr="00C42421">
        <w:rPr>
          <w:rFonts w:ascii="Arial" w:hAnsi="Arial" w:cs="Arial"/>
        </w:rPr>
        <w:t xml:space="preserve">left frontal alpha power </w:t>
      </w:r>
      <w:r w:rsidRPr="00C42421">
        <w:rPr>
          <w:rFonts w:ascii="Arial" w:hAnsi="Arial" w:cs="Arial"/>
        </w:rPr>
        <w:t xml:space="preserve">was moderated by </w:t>
      </w:r>
      <w:r w:rsidR="00845D56" w:rsidRPr="00C42421">
        <w:rPr>
          <w:rFonts w:ascii="Arial" w:hAnsi="Arial" w:cs="Arial"/>
        </w:rPr>
        <w:t>recen</w:t>
      </w:r>
      <w:r w:rsidR="00171DA2" w:rsidRPr="00C42421">
        <w:rPr>
          <w:rFonts w:ascii="Arial" w:hAnsi="Arial" w:cs="Arial"/>
        </w:rPr>
        <w:t>t</w:t>
      </w:r>
      <w:r w:rsidR="00845D56" w:rsidRPr="00C42421">
        <w:rPr>
          <w:rFonts w:ascii="Arial" w:hAnsi="Arial" w:cs="Arial"/>
        </w:rPr>
        <w:t xml:space="preserve"> cannabis use. </w:t>
      </w:r>
      <w:r w:rsidR="008C245B" w:rsidRPr="00C42421">
        <w:rPr>
          <w:rFonts w:ascii="Arial" w:hAnsi="Arial" w:cs="Arial"/>
        </w:rPr>
        <w:t xml:space="preserve">The simple slope of Beck Anxiety Inventory on </w:t>
      </w:r>
      <w:r w:rsidR="00171DA2" w:rsidRPr="00C42421">
        <w:rPr>
          <w:rFonts w:ascii="Arial" w:hAnsi="Arial" w:cs="Arial"/>
        </w:rPr>
        <w:t xml:space="preserve">the </w:t>
      </w:r>
      <w:r w:rsidR="008C245B" w:rsidRPr="00C42421">
        <w:rPr>
          <w:rFonts w:ascii="Arial" w:hAnsi="Arial" w:cs="Arial"/>
        </w:rPr>
        <w:t xml:space="preserve">recency of cannabis use (Days since use) was significant at low </w:t>
      </w:r>
      <w:r w:rsidR="00D9256C" w:rsidRPr="00C42421">
        <w:rPr>
          <w:rFonts w:ascii="Arial" w:hAnsi="Arial" w:cs="Arial"/>
        </w:rPr>
        <w:t xml:space="preserve">(-1 SD) </w:t>
      </w:r>
      <w:r w:rsidR="008C245B" w:rsidRPr="00C42421">
        <w:rPr>
          <w:rFonts w:ascii="Arial" w:hAnsi="Arial" w:cs="Arial"/>
        </w:rPr>
        <w:t>days since use, i.e., 1</w:t>
      </w:r>
      <w:r w:rsidR="00D9256C" w:rsidRPr="00C42421">
        <w:rPr>
          <w:rFonts w:ascii="Arial" w:hAnsi="Arial" w:cs="Arial"/>
        </w:rPr>
        <w:t>.00</w:t>
      </w:r>
      <w:r w:rsidR="008C245B" w:rsidRPr="00C42421">
        <w:rPr>
          <w:rFonts w:ascii="Arial" w:hAnsi="Arial" w:cs="Arial"/>
        </w:rPr>
        <w:t xml:space="preserve"> day</w:t>
      </w:r>
      <w:r w:rsidR="00D9256C" w:rsidRPr="00C42421">
        <w:rPr>
          <w:rFonts w:ascii="Arial" w:hAnsi="Arial" w:cs="Arial"/>
        </w:rPr>
        <w:t>s</w:t>
      </w:r>
      <w:r w:rsidR="008C245B" w:rsidRPr="00C42421">
        <w:rPr>
          <w:rFonts w:ascii="Arial" w:hAnsi="Arial" w:cs="Arial"/>
        </w:rPr>
        <w:t xml:space="preserve">, (β = 0.14, SE = 0.001, t = 4.14, p &lt; </w:t>
      </w:r>
      <w:r w:rsidR="00BF2004" w:rsidRPr="00C42421">
        <w:rPr>
          <w:rFonts w:ascii="Arial" w:hAnsi="Arial" w:cs="Arial"/>
        </w:rPr>
        <w:t>0</w:t>
      </w:r>
      <w:r w:rsidR="008C245B" w:rsidRPr="00C42421">
        <w:rPr>
          <w:rFonts w:ascii="Arial" w:hAnsi="Arial" w:cs="Arial"/>
        </w:rPr>
        <w:t xml:space="preserve">.001) but not at a longer </w:t>
      </w:r>
      <w:r w:rsidR="00D9256C" w:rsidRPr="00C42421">
        <w:rPr>
          <w:rFonts w:ascii="Arial" w:hAnsi="Arial" w:cs="Arial"/>
        </w:rPr>
        <w:t xml:space="preserve">(+1 SD) days </w:t>
      </w:r>
      <w:r w:rsidR="008C245B" w:rsidRPr="00C42421">
        <w:rPr>
          <w:rFonts w:ascii="Arial" w:hAnsi="Arial" w:cs="Arial"/>
        </w:rPr>
        <w:t>since use, i.e., 10.17 days, (β = -0.001, SE = 0.001, t = -0.26, p = 0.79</w:t>
      </w:r>
      <w:r w:rsidR="00FE6498" w:rsidRPr="00C42421">
        <w:rPr>
          <w:rFonts w:ascii="Arial" w:hAnsi="Arial" w:cs="Arial"/>
        </w:rPr>
        <w:t>5</w:t>
      </w:r>
      <w:r w:rsidR="008C245B" w:rsidRPr="00C42421">
        <w:rPr>
          <w:rFonts w:ascii="Arial" w:hAnsi="Arial" w:cs="Arial"/>
        </w:rPr>
        <w:t xml:space="preserve">), indicating that individuals who have used cannabis more recently show a stronger relationship between Beck Anxiety Inventory and left frontal alpha power. </w:t>
      </w:r>
    </w:p>
    <w:p w14:paraId="515D3C00" w14:textId="77777777" w:rsidR="00C85A2E" w:rsidRDefault="00C85A2E" w:rsidP="00CC419E">
      <w:pPr>
        <w:spacing w:line="480" w:lineRule="auto"/>
        <w:rPr>
          <w:rFonts w:ascii="Arial" w:hAnsi="Arial" w:cs="Arial"/>
          <w:b/>
        </w:rPr>
      </w:pPr>
    </w:p>
    <w:p w14:paraId="55E3B45E" w14:textId="77777777" w:rsidR="00C85A2E" w:rsidRDefault="00C85A2E" w:rsidP="00CC419E">
      <w:pPr>
        <w:spacing w:line="480" w:lineRule="auto"/>
        <w:rPr>
          <w:rFonts w:ascii="Arial" w:hAnsi="Arial" w:cs="Arial"/>
          <w:b/>
        </w:rPr>
      </w:pPr>
    </w:p>
    <w:p w14:paraId="4B9D887C" w14:textId="77777777" w:rsidR="00C85A2E" w:rsidRDefault="00C85A2E" w:rsidP="00CC419E">
      <w:pPr>
        <w:spacing w:line="480" w:lineRule="auto"/>
        <w:rPr>
          <w:rFonts w:ascii="Arial" w:hAnsi="Arial" w:cs="Arial"/>
          <w:b/>
        </w:rPr>
      </w:pPr>
    </w:p>
    <w:p w14:paraId="45240357" w14:textId="23C54C41" w:rsidR="00CC419E" w:rsidRDefault="003E1B93" w:rsidP="00CC419E">
      <w:pPr>
        <w:spacing w:line="480" w:lineRule="auto"/>
        <w:rPr>
          <w:rFonts w:ascii="Arial" w:hAnsi="Arial" w:cs="Arial"/>
        </w:rPr>
      </w:pPr>
      <w:r>
        <w:rPr>
          <w:rFonts w:ascii="Arial" w:hAnsi="Arial" w:cs="Arial"/>
          <w:b/>
          <w:noProof/>
        </w:rPr>
        <w:drawing>
          <wp:inline distT="0" distB="0" distL="0" distR="0" wp14:anchorId="355CCD67" wp14:editId="78E92055">
            <wp:extent cx="5934316" cy="4302923"/>
            <wp:effectExtent l="0" t="0" r="9525" b="0"/>
            <wp:docPr id="27624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23" cy="4316270"/>
                    </a:xfrm>
                    <a:prstGeom prst="rect">
                      <a:avLst/>
                    </a:prstGeom>
                    <a:noFill/>
                  </pic:spPr>
                </pic:pic>
              </a:graphicData>
            </a:graphic>
          </wp:inline>
        </w:drawing>
      </w:r>
      <w:r>
        <w:rPr>
          <w:rFonts w:ascii="Arial" w:hAnsi="Arial" w:cs="Arial"/>
          <w:b/>
        </w:rPr>
        <w:br/>
      </w:r>
      <w:r>
        <w:rPr>
          <w:rFonts w:ascii="Arial" w:hAnsi="Arial" w:cs="Arial"/>
          <w:b/>
        </w:rPr>
        <w:br/>
      </w:r>
      <w:r w:rsidR="00CC419E" w:rsidRPr="008D7761">
        <w:rPr>
          <w:rFonts w:ascii="Arial" w:hAnsi="Arial" w:cs="Arial"/>
          <w:b/>
        </w:rPr>
        <w:t>Supplemental Table</w:t>
      </w:r>
      <w:r>
        <w:rPr>
          <w:rFonts w:ascii="Arial" w:hAnsi="Arial" w:cs="Arial"/>
          <w:b/>
        </w:rPr>
        <w:t xml:space="preserve"> 1</w:t>
      </w:r>
      <w:r w:rsidR="00CC419E" w:rsidRPr="008D7761">
        <w:rPr>
          <w:rFonts w:ascii="Arial" w:hAnsi="Arial" w:cs="Arial"/>
        </w:rPr>
        <w:t>. Demographics</w:t>
      </w:r>
      <w:r w:rsidR="00CC419E">
        <w:rPr>
          <w:rFonts w:ascii="Arial" w:hAnsi="Arial" w:cs="Arial"/>
        </w:rPr>
        <w:t xml:space="preserve"> of the Low and High cannabis use groups. CUDIT = Cannabis Use Disorder Identification Test; MAST = Michigan Alcohol Screening Test, short form. </w:t>
      </w:r>
    </w:p>
    <w:p w14:paraId="53E443F0" w14:textId="77777777" w:rsidR="003E1B93" w:rsidRDefault="003E1B93" w:rsidP="00CC419E">
      <w:pPr>
        <w:spacing w:line="480" w:lineRule="auto"/>
        <w:rPr>
          <w:rFonts w:ascii="Arial" w:hAnsi="Arial" w:cs="Arial"/>
        </w:rPr>
      </w:pPr>
    </w:p>
    <w:p w14:paraId="4BD8ADFE" w14:textId="77777777" w:rsidR="003E1B93" w:rsidRDefault="003E1B93" w:rsidP="00CC419E">
      <w:pPr>
        <w:spacing w:line="480" w:lineRule="auto"/>
        <w:rPr>
          <w:rFonts w:ascii="Arial" w:hAnsi="Arial" w:cs="Arial"/>
        </w:rPr>
      </w:pPr>
    </w:p>
    <w:p w14:paraId="24FF4BDF" w14:textId="77777777" w:rsidR="003E1B93" w:rsidRDefault="003E1B93" w:rsidP="00CC419E">
      <w:pPr>
        <w:spacing w:line="480" w:lineRule="auto"/>
        <w:rPr>
          <w:rFonts w:ascii="Arial" w:hAnsi="Arial" w:cs="Arial"/>
        </w:rPr>
      </w:pPr>
    </w:p>
    <w:p w14:paraId="50A9649F" w14:textId="77777777" w:rsidR="003E1B93" w:rsidRDefault="003E1B93" w:rsidP="00CC419E">
      <w:pPr>
        <w:spacing w:line="480" w:lineRule="auto"/>
        <w:rPr>
          <w:rFonts w:ascii="Arial" w:hAnsi="Arial" w:cs="Arial"/>
        </w:rPr>
      </w:pPr>
    </w:p>
    <w:p w14:paraId="0B14B7B8" w14:textId="77777777" w:rsidR="00857C46" w:rsidRDefault="00857C46"/>
    <w:sectPr w:rsidR="00857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9E"/>
    <w:rsid w:val="00106483"/>
    <w:rsid w:val="00171DA2"/>
    <w:rsid w:val="00180209"/>
    <w:rsid w:val="003C46CB"/>
    <w:rsid w:val="003E1B93"/>
    <w:rsid w:val="006B1B36"/>
    <w:rsid w:val="006C1846"/>
    <w:rsid w:val="006D65C5"/>
    <w:rsid w:val="00845D56"/>
    <w:rsid w:val="00857C46"/>
    <w:rsid w:val="00887B2C"/>
    <w:rsid w:val="008C245B"/>
    <w:rsid w:val="008D2CBB"/>
    <w:rsid w:val="00902089"/>
    <w:rsid w:val="00B748A4"/>
    <w:rsid w:val="00BD5448"/>
    <w:rsid w:val="00BF2004"/>
    <w:rsid w:val="00C42421"/>
    <w:rsid w:val="00C85A2E"/>
    <w:rsid w:val="00CC419E"/>
    <w:rsid w:val="00CF07BD"/>
    <w:rsid w:val="00D11973"/>
    <w:rsid w:val="00D9256C"/>
    <w:rsid w:val="00EA4FC3"/>
    <w:rsid w:val="00FE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266B"/>
  <w15:chartTrackingRefBased/>
  <w15:docId w15:val="{532779BC-5406-4B56-A65F-3D64ABB0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Conor</dc:creator>
  <cp:keywords/>
  <dc:description/>
  <cp:lastModifiedBy>Lori Kunath</cp:lastModifiedBy>
  <cp:revision>2</cp:revision>
  <dcterms:created xsi:type="dcterms:W3CDTF">2025-06-17T02:12:00Z</dcterms:created>
  <dcterms:modified xsi:type="dcterms:W3CDTF">2025-06-17T02:12:00Z</dcterms:modified>
</cp:coreProperties>
</file>