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BD69D" w14:textId="77777777" w:rsidR="00DC504A" w:rsidRDefault="00DC504A" w:rsidP="00DC504A">
      <w:pPr>
        <w:rPr>
          <w:rFonts w:ascii="Arial" w:hAnsi="Arial" w:cs="Arial"/>
        </w:rPr>
      </w:pPr>
      <w:r w:rsidRPr="00DC504A">
        <w:rPr>
          <w:rFonts w:ascii="Arial" w:hAnsi="Arial" w:cs="Arial"/>
        </w:rPr>
        <w:t>Supplementary Information for</w:t>
      </w:r>
      <w:r>
        <w:rPr>
          <w:rFonts w:ascii="Arial" w:hAnsi="Arial" w:cs="Arial"/>
        </w:rPr>
        <w:t>:</w:t>
      </w:r>
    </w:p>
    <w:p w14:paraId="45CBEE6B" w14:textId="0C4D25B2" w:rsidR="00E834A8" w:rsidRPr="00DC504A" w:rsidRDefault="00DC504A" w:rsidP="00DC504A">
      <w:pPr>
        <w:rPr>
          <w:rFonts w:ascii="Arial" w:hAnsi="Arial" w:cs="Arial"/>
        </w:rPr>
      </w:pPr>
      <w:r w:rsidRPr="00DC504A">
        <w:rPr>
          <w:rFonts w:ascii="Arial" w:hAnsi="Arial" w:cs="Arial"/>
        </w:rPr>
        <w:t xml:space="preserve"> </w:t>
      </w:r>
    </w:p>
    <w:p w14:paraId="56ACAB18" w14:textId="77777777" w:rsidR="00DC504A" w:rsidRPr="00DC504A" w:rsidRDefault="00DC504A" w:rsidP="00DC504A">
      <w:pPr>
        <w:rPr>
          <w:rFonts w:ascii="Arial" w:eastAsia="Aptos" w:hAnsi="Arial" w:cs="Arial"/>
          <w:sz w:val="36"/>
          <w:szCs w:val="36"/>
        </w:rPr>
      </w:pPr>
      <w:r w:rsidRPr="00DC504A">
        <w:rPr>
          <w:rFonts w:ascii="Arial" w:eastAsia="Arial" w:hAnsi="Arial" w:cs="Arial"/>
          <w:color w:val="1D1C1D"/>
          <w:sz w:val="32"/>
          <w:szCs w:val="32"/>
        </w:rPr>
        <w:t xml:space="preserve">Exploring the neuroprotective effects of phytocannabinoids on oxygen-glucose deprived neurons in an </w:t>
      </w:r>
      <w:r w:rsidRPr="00DC504A">
        <w:rPr>
          <w:rFonts w:ascii="Arial" w:eastAsia="Arial" w:hAnsi="Arial" w:cs="Arial"/>
          <w:i/>
          <w:iCs/>
          <w:color w:val="1D1C1D"/>
          <w:sz w:val="32"/>
          <w:szCs w:val="32"/>
        </w:rPr>
        <w:t xml:space="preserve">in-vitro </w:t>
      </w:r>
      <w:r w:rsidRPr="00DC504A">
        <w:rPr>
          <w:rFonts w:ascii="Arial" w:eastAsia="Arial" w:hAnsi="Arial" w:cs="Arial"/>
          <w:color w:val="1D1C1D"/>
          <w:sz w:val="32"/>
          <w:szCs w:val="32"/>
        </w:rPr>
        <w:t>model of stroke</w:t>
      </w:r>
    </w:p>
    <w:p w14:paraId="392CA62A" w14:textId="77777777" w:rsidR="00DC504A" w:rsidRPr="00DC504A" w:rsidRDefault="00DC504A" w:rsidP="00DC504A">
      <w:pPr>
        <w:rPr>
          <w:rFonts w:ascii="Arial" w:eastAsia="Arial" w:hAnsi="Arial" w:cs="Arial"/>
          <w:color w:val="1D1C1D"/>
          <w:sz w:val="32"/>
          <w:szCs w:val="32"/>
        </w:rPr>
      </w:pPr>
    </w:p>
    <w:p w14:paraId="00EF6910" w14:textId="37BF0796" w:rsidR="00DC504A" w:rsidRDefault="00DC504A" w:rsidP="00DC504A">
      <w:pPr>
        <w:rPr>
          <w:rFonts w:ascii="Arial" w:eastAsia="Arial" w:hAnsi="Arial" w:cs="Arial"/>
          <w:color w:val="1D1C1D"/>
          <w:lang w:val="it-IT"/>
        </w:rPr>
      </w:pPr>
      <w:r w:rsidRPr="00DC504A">
        <w:rPr>
          <w:rFonts w:ascii="Arial" w:eastAsia="Arial" w:hAnsi="Arial" w:cs="Arial"/>
          <w:color w:val="1D1C1D"/>
          <w:lang w:val="it-IT"/>
        </w:rPr>
        <w:t xml:space="preserve">Bhavya Chatragadda*, Emily </w:t>
      </w:r>
      <w:r w:rsidR="000465FE">
        <w:rPr>
          <w:rFonts w:ascii="Arial" w:eastAsia="Arial" w:hAnsi="Arial" w:cs="Arial"/>
          <w:color w:val="1D1C1D"/>
          <w:lang w:val="it-IT"/>
        </w:rPr>
        <w:t xml:space="preserve">M. </w:t>
      </w:r>
      <w:r w:rsidRPr="00DC504A">
        <w:rPr>
          <w:rFonts w:ascii="Arial" w:eastAsia="Arial" w:hAnsi="Arial" w:cs="Arial"/>
          <w:color w:val="1D1C1D"/>
          <w:lang w:val="it-IT"/>
        </w:rPr>
        <w:t>Potts</w:t>
      </w:r>
      <w:r w:rsidRPr="00DC504A">
        <w:rPr>
          <w:rFonts w:ascii="Arial" w:eastAsia="Arial" w:hAnsi="Arial" w:cs="Arial"/>
          <w:color w:val="1D1C1D"/>
          <w:vertAlign w:val="superscript"/>
          <w:lang w:val="it-IT"/>
        </w:rPr>
        <w:t>*</w:t>
      </w:r>
      <w:r>
        <w:rPr>
          <w:rFonts w:ascii="Arial" w:eastAsia="Arial" w:hAnsi="Arial" w:cs="Arial"/>
          <w:color w:val="1D1C1D"/>
          <w:lang w:val="it-IT"/>
        </w:rPr>
        <w:t>,</w:t>
      </w:r>
      <w:r w:rsidR="00F7663F">
        <w:rPr>
          <w:rFonts w:ascii="Arial" w:eastAsia="Arial" w:hAnsi="Arial" w:cs="Arial"/>
          <w:color w:val="1D1C1D"/>
          <w:lang w:val="it-IT"/>
        </w:rPr>
        <w:t xml:space="preserve"> Alicia Collins,</w:t>
      </w:r>
      <w:r w:rsidRPr="00DC504A">
        <w:rPr>
          <w:rFonts w:ascii="Arial" w:eastAsia="Arial" w:hAnsi="Arial" w:cs="Arial"/>
          <w:color w:val="1D1C1D"/>
          <w:lang w:val="it-IT"/>
        </w:rPr>
        <w:t xml:space="preserve"> Hang Ma, Claudia Fallini</w:t>
      </w:r>
    </w:p>
    <w:p w14:paraId="50E53B06" w14:textId="77777777" w:rsidR="00DC504A" w:rsidRDefault="00DC504A" w:rsidP="00DC504A">
      <w:pPr>
        <w:rPr>
          <w:rFonts w:ascii="Arial" w:eastAsia="Arial" w:hAnsi="Arial" w:cs="Arial"/>
          <w:color w:val="1D1C1D"/>
          <w:lang w:val="it-IT"/>
        </w:rPr>
      </w:pPr>
    </w:p>
    <w:p w14:paraId="4092136B" w14:textId="77777777" w:rsidR="00DC504A" w:rsidRDefault="00DC504A" w:rsidP="00DC504A">
      <w:pPr>
        <w:rPr>
          <w:rFonts w:ascii="Arial" w:eastAsia="Arial" w:hAnsi="Arial" w:cs="Arial"/>
          <w:color w:val="1D1C1D"/>
          <w:lang w:val="it-IT"/>
        </w:rPr>
      </w:pPr>
    </w:p>
    <w:p w14:paraId="74D06976" w14:textId="5A117662" w:rsidR="00DC504A" w:rsidRPr="00806FB7" w:rsidRDefault="00DC504A" w:rsidP="00DC504A">
      <w:pPr>
        <w:rPr>
          <w:rFonts w:ascii="Arial" w:eastAsia="Arial" w:hAnsi="Arial" w:cs="Arial"/>
          <w:color w:val="1D1C1D"/>
        </w:rPr>
      </w:pPr>
      <w:r w:rsidRPr="00806FB7">
        <w:rPr>
          <w:rFonts w:ascii="Arial" w:eastAsia="Arial" w:hAnsi="Arial" w:cs="Arial"/>
          <w:color w:val="1D1C1D"/>
        </w:rPr>
        <w:t>Content:</w:t>
      </w:r>
    </w:p>
    <w:p w14:paraId="300BCE71" w14:textId="199A3F15" w:rsidR="00DC504A" w:rsidRPr="00CD1430" w:rsidRDefault="00DC504A" w:rsidP="00DC504A">
      <w:pPr>
        <w:rPr>
          <w:rFonts w:ascii="Arial" w:eastAsia="Arial" w:hAnsi="Arial" w:cs="Arial"/>
          <w:color w:val="1D1C1D"/>
        </w:rPr>
      </w:pPr>
      <w:r w:rsidRPr="00CD1430">
        <w:rPr>
          <w:rFonts w:ascii="Arial" w:eastAsia="Arial" w:hAnsi="Arial" w:cs="Arial"/>
          <w:b/>
          <w:bCs/>
          <w:color w:val="1D1C1D"/>
        </w:rPr>
        <w:t>Supplementary Figure 1</w:t>
      </w:r>
      <w:r w:rsidR="00CD1430" w:rsidRPr="00CD1430">
        <w:rPr>
          <w:rFonts w:ascii="Arial" w:eastAsia="Arial" w:hAnsi="Arial" w:cs="Arial"/>
          <w:b/>
          <w:bCs/>
          <w:color w:val="1D1C1D"/>
        </w:rPr>
        <w:t>.</w:t>
      </w:r>
      <w:r w:rsidR="00CD1430" w:rsidRPr="00CD1430">
        <w:rPr>
          <w:rFonts w:ascii="Arial" w:eastAsia="Arial" w:hAnsi="Arial" w:cs="Arial"/>
          <w:color w:val="1D1C1D"/>
        </w:rPr>
        <w:t xml:space="preserve"> </w:t>
      </w:r>
      <w:r w:rsidR="00CD1430" w:rsidRPr="00CD1430">
        <w:rPr>
          <w:rFonts w:ascii="Arial" w:eastAsia="Arial" w:hAnsi="Arial" w:cs="Arial"/>
          <w:i/>
          <w:iCs/>
          <w:color w:val="1D1C1D"/>
        </w:rPr>
        <w:t>Characterization of Kolf2.1J iPSC-derived cortical neurons</w:t>
      </w:r>
      <w:r w:rsidR="00CD1430">
        <w:rPr>
          <w:rFonts w:ascii="Arial" w:eastAsia="Arial" w:hAnsi="Arial" w:cs="Arial"/>
          <w:i/>
          <w:iCs/>
          <w:color w:val="1D1C1D"/>
        </w:rPr>
        <w:t>.</w:t>
      </w:r>
    </w:p>
    <w:p w14:paraId="767E3DE5" w14:textId="77777777" w:rsidR="00A54027" w:rsidRDefault="00A54027" w:rsidP="00CD1430">
      <w:pPr>
        <w:rPr>
          <w:rFonts w:ascii="Arial" w:hAnsi="Arial" w:cs="Arial"/>
          <w:b/>
          <w:bCs/>
        </w:rPr>
      </w:pPr>
      <w:r w:rsidRPr="00806FB7">
        <w:rPr>
          <w:rFonts w:ascii="Arial" w:hAnsi="Arial" w:cs="Arial"/>
          <w:b/>
          <w:bCs/>
        </w:rPr>
        <w:t xml:space="preserve">Supplementary Figure 2. </w:t>
      </w:r>
      <w:r w:rsidRPr="00A54027">
        <w:rPr>
          <w:rFonts w:ascii="Arial" w:hAnsi="Arial" w:cs="Arial"/>
          <w:i/>
          <w:iCs/>
        </w:rPr>
        <w:t>Validation of live-cell screening pipeline using sodium arsenite (NaArs) as toxic agent.</w:t>
      </w:r>
    </w:p>
    <w:p w14:paraId="54516A71" w14:textId="77777777" w:rsidR="00A54027" w:rsidRPr="00A54027" w:rsidRDefault="00A54027" w:rsidP="00CD1430">
      <w:pPr>
        <w:rPr>
          <w:rFonts w:ascii="Arial" w:hAnsi="Arial" w:cs="Arial"/>
          <w:i/>
          <w:iCs/>
        </w:rPr>
      </w:pPr>
      <w:r w:rsidRPr="00F601DD">
        <w:rPr>
          <w:rFonts w:ascii="Arial" w:hAnsi="Arial" w:cs="Arial"/>
          <w:b/>
          <w:bCs/>
        </w:rPr>
        <w:t xml:space="preserve">Supplementary Figure 3. </w:t>
      </w:r>
      <w:r w:rsidRPr="00A54027">
        <w:rPr>
          <w:rFonts w:ascii="Arial" w:hAnsi="Arial" w:cs="Arial"/>
          <w:i/>
          <w:iCs/>
        </w:rPr>
        <w:t>Phytocannabinoids modulate neuronal survival after OGD.</w:t>
      </w:r>
    </w:p>
    <w:p w14:paraId="041C42C1" w14:textId="61A36473" w:rsidR="00A54027" w:rsidRDefault="00A54027" w:rsidP="00CD1430">
      <w:pPr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</w:rPr>
        <w:t xml:space="preserve">Supplementary </w:t>
      </w:r>
      <w:r w:rsidRPr="00507A38">
        <w:rPr>
          <w:rFonts w:ascii="Arial" w:hAnsi="Arial" w:cs="Arial"/>
          <w:b/>
          <w:bCs/>
        </w:rPr>
        <w:t>Figure 4.</w:t>
      </w:r>
      <w:r w:rsidRPr="00A54027">
        <w:rPr>
          <w:rFonts w:ascii="Arial" w:hAnsi="Arial" w:cs="Arial"/>
          <w:i/>
          <w:iCs/>
        </w:rPr>
        <w:t xml:space="preserve"> CBGOA treatment does not affect caspase-3 activation.</w:t>
      </w:r>
    </w:p>
    <w:p w14:paraId="3985836C" w14:textId="3ECF6D6F" w:rsidR="00A05056" w:rsidRPr="00A54027" w:rsidRDefault="00A05056" w:rsidP="00CD1430">
      <w:pPr>
        <w:rPr>
          <w:rFonts w:ascii="Arial" w:eastAsia="Arial" w:hAnsi="Arial" w:cs="Arial"/>
          <w:i/>
          <w:iCs/>
          <w:color w:val="1D1C1D"/>
        </w:rPr>
      </w:pPr>
      <w:r w:rsidRPr="00A05056">
        <w:rPr>
          <w:rFonts w:ascii="Arial" w:hAnsi="Arial" w:cs="Arial"/>
          <w:b/>
          <w:bCs/>
        </w:rPr>
        <w:t>Supplementary Table 1.</w:t>
      </w:r>
      <w:r>
        <w:rPr>
          <w:rFonts w:ascii="Arial" w:hAnsi="Arial" w:cs="Arial"/>
          <w:i/>
          <w:iCs/>
        </w:rPr>
        <w:t xml:space="preserve"> </w:t>
      </w:r>
      <w:r w:rsidRPr="00A05056">
        <w:rPr>
          <w:rFonts w:ascii="Arial" w:hAnsi="Arial" w:cs="Arial"/>
          <w:i/>
          <w:iCs/>
        </w:rPr>
        <w:t>List of the</w:t>
      </w:r>
      <w:r w:rsidRPr="00A05056">
        <w:rPr>
          <w:rFonts w:ascii="Arial" w:hAnsi="Arial" w:cs="Arial"/>
          <w:i/>
          <w:iCs/>
          <w:sz w:val="28"/>
          <w:szCs w:val="28"/>
        </w:rPr>
        <w:t xml:space="preserve"> </w:t>
      </w:r>
      <w:r w:rsidRPr="00A05056">
        <w:rPr>
          <w:rFonts w:ascii="Arial" w:eastAsia="Times New Roman" w:hAnsi="Arial" w:cs="Arial"/>
          <w:i/>
          <w:iCs/>
        </w:rPr>
        <w:t>tested phytocannabinoids.</w:t>
      </w:r>
    </w:p>
    <w:p w14:paraId="067B0345" w14:textId="383931F4" w:rsidR="00DC504A" w:rsidRPr="00CD1430" w:rsidRDefault="00DC504A">
      <w:pPr>
        <w:rPr>
          <w:rFonts w:ascii="Arial" w:eastAsia="Arial" w:hAnsi="Arial" w:cs="Arial"/>
          <w:color w:val="1D1C1D"/>
        </w:rPr>
      </w:pPr>
      <w:r w:rsidRPr="00CD1430">
        <w:rPr>
          <w:rFonts w:ascii="Arial" w:eastAsia="Arial" w:hAnsi="Arial" w:cs="Arial"/>
          <w:color w:val="1D1C1D"/>
        </w:rPr>
        <w:br w:type="page"/>
      </w:r>
    </w:p>
    <w:p w14:paraId="053E26D9" w14:textId="000AFF44" w:rsidR="00DC504A" w:rsidRPr="00CD1430" w:rsidRDefault="00DC504A" w:rsidP="00DC504A">
      <w:pPr>
        <w:rPr>
          <w:rFonts w:ascii="Arial" w:eastAsia="Arial" w:hAnsi="Arial" w:cs="Arial"/>
          <w:color w:val="1D1C1D"/>
        </w:rPr>
      </w:pPr>
    </w:p>
    <w:p w14:paraId="78FFBA64" w14:textId="32B67D5A" w:rsidR="00DC504A" w:rsidRPr="00CD1430" w:rsidRDefault="00DC504A" w:rsidP="00DC504A">
      <w:pPr>
        <w:rPr>
          <w:rFonts w:ascii="Arial" w:hAnsi="Arial" w:cs="Arial"/>
        </w:rPr>
      </w:pPr>
    </w:p>
    <w:p w14:paraId="2EB20A73" w14:textId="0482CBE4" w:rsidR="00DC504A" w:rsidRDefault="00DC504A" w:rsidP="00DC504A">
      <w:pPr>
        <w:rPr>
          <w:rFonts w:ascii="Arial" w:hAnsi="Arial" w:cs="Arial"/>
        </w:rPr>
      </w:pPr>
    </w:p>
    <w:p w14:paraId="737ED922" w14:textId="77777777" w:rsidR="005D63B2" w:rsidRPr="00CD1430" w:rsidRDefault="005D63B2" w:rsidP="00DC504A">
      <w:pPr>
        <w:rPr>
          <w:rFonts w:ascii="Arial" w:hAnsi="Arial" w:cs="Arial"/>
        </w:rPr>
      </w:pPr>
    </w:p>
    <w:p w14:paraId="79038C1E" w14:textId="78E12005" w:rsidR="00DC504A" w:rsidRPr="00CD1430" w:rsidRDefault="005D63B2" w:rsidP="00DC504A">
      <w:pPr>
        <w:rPr>
          <w:rFonts w:ascii="Arial" w:hAnsi="Arial" w:cs="Arial"/>
        </w:rPr>
      </w:pPr>
      <w:r>
        <w:rPr>
          <w:rFonts w:ascii="Arial" w:eastAsia="Arial" w:hAnsi="Arial" w:cs="Arial"/>
          <w:noProof/>
          <w:color w:val="1D1C1D"/>
          <w:lang w:val="it-IT"/>
        </w:rPr>
        <w:drawing>
          <wp:inline distT="0" distB="0" distL="0" distR="0" wp14:anchorId="6995DE6F" wp14:editId="25509DE8">
            <wp:extent cx="5943600" cy="3397250"/>
            <wp:effectExtent l="0" t="0" r="0" b="0"/>
            <wp:docPr id="2018729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CD18" w14:textId="71B92FBB" w:rsidR="00806FB7" w:rsidRDefault="00DC504A" w:rsidP="00DC504A">
      <w:pPr>
        <w:rPr>
          <w:rFonts w:ascii="Arial" w:hAnsi="Arial" w:cs="Arial"/>
        </w:rPr>
      </w:pPr>
      <w:r w:rsidRPr="00DC504A">
        <w:rPr>
          <w:rFonts w:ascii="Arial" w:hAnsi="Arial" w:cs="Arial"/>
          <w:b/>
          <w:bCs/>
        </w:rPr>
        <w:t>Supplementary Figure 1. Characterization of Kolf</w:t>
      </w:r>
      <w:r>
        <w:rPr>
          <w:rFonts w:ascii="Arial" w:hAnsi="Arial" w:cs="Arial"/>
          <w:b/>
          <w:bCs/>
        </w:rPr>
        <w:t>2.1J</w:t>
      </w:r>
      <w:r w:rsidRPr="00DC504A">
        <w:rPr>
          <w:rFonts w:ascii="Arial" w:hAnsi="Arial" w:cs="Arial"/>
          <w:b/>
          <w:bCs/>
        </w:rPr>
        <w:t xml:space="preserve"> iPSC-derived cortical neurons.</w:t>
      </w:r>
      <w:r w:rsidRPr="00DC504A">
        <w:rPr>
          <w:rFonts w:ascii="Arial" w:hAnsi="Arial" w:cs="Arial"/>
        </w:rPr>
        <w:t xml:space="preserve"> </w:t>
      </w:r>
      <w:r w:rsidRPr="00DC504A">
        <w:rPr>
          <w:rFonts w:ascii="Arial" w:hAnsi="Arial" w:cs="Arial"/>
          <w:b/>
          <w:bCs/>
        </w:rPr>
        <w:t xml:space="preserve">A. </w:t>
      </w:r>
      <w:r w:rsidRPr="00DC504A">
        <w:rPr>
          <w:rFonts w:ascii="Arial" w:hAnsi="Arial" w:cs="Arial"/>
        </w:rPr>
        <w:t>Immunocytochemistry of Kolf</w:t>
      </w:r>
      <w:r>
        <w:rPr>
          <w:rFonts w:ascii="Arial" w:hAnsi="Arial" w:cs="Arial"/>
        </w:rPr>
        <w:t xml:space="preserve">2.1J </w:t>
      </w:r>
      <w:r w:rsidRPr="00DC504A">
        <w:rPr>
          <w:rFonts w:ascii="Arial" w:hAnsi="Arial" w:cs="Arial"/>
        </w:rPr>
        <w:t xml:space="preserve">iPSCs </w:t>
      </w:r>
      <w:r>
        <w:rPr>
          <w:rFonts w:ascii="Arial" w:hAnsi="Arial" w:cs="Arial"/>
        </w:rPr>
        <w:t xml:space="preserve">expressing the </w:t>
      </w:r>
      <w:r w:rsidRPr="00DC504A">
        <w:rPr>
          <w:rFonts w:ascii="Arial" w:hAnsi="Arial" w:cs="Arial"/>
        </w:rPr>
        <w:t>pluripotency marker Oct4 (</w:t>
      </w:r>
      <w:r w:rsidRPr="00DC504A">
        <w:rPr>
          <w:rFonts w:ascii="Arial" w:hAnsi="Arial" w:cs="Arial"/>
          <w:i/>
          <w:iCs/>
        </w:rPr>
        <w:t>green</w:t>
      </w:r>
      <w:r w:rsidRPr="00DC504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but not the progenitor marker</w:t>
      </w:r>
      <w:r w:rsidRPr="00DC504A">
        <w:rPr>
          <w:rFonts w:ascii="Arial" w:hAnsi="Arial" w:cs="Arial"/>
        </w:rPr>
        <w:t xml:space="preserve"> Nestin (</w:t>
      </w:r>
      <w:r w:rsidRPr="00DC504A">
        <w:rPr>
          <w:rFonts w:ascii="Arial" w:hAnsi="Arial" w:cs="Arial"/>
          <w:i/>
          <w:iCs/>
        </w:rPr>
        <w:t>magenta</w:t>
      </w:r>
      <w:r w:rsidRPr="00DC504A">
        <w:rPr>
          <w:rFonts w:ascii="Arial" w:hAnsi="Arial" w:cs="Arial"/>
        </w:rPr>
        <w:t xml:space="preserve">). </w:t>
      </w:r>
      <w:r>
        <w:rPr>
          <w:rFonts w:ascii="Arial" w:hAnsi="Arial" w:cs="Arial"/>
        </w:rPr>
        <w:t xml:space="preserve">Cells express the red fluorescent protein </w:t>
      </w:r>
      <w:r w:rsidRPr="00DC504A">
        <w:rPr>
          <w:rFonts w:ascii="Arial" w:hAnsi="Arial" w:cs="Arial"/>
        </w:rPr>
        <w:t>mApple</w:t>
      </w:r>
      <w:r w:rsidRPr="00DC504A">
        <w:rPr>
          <w:rFonts w:ascii="Arial" w:hAnsi="Arial" w:cs="Arial"/>
          <w:vertAlign w:val="superscript"/>
        </w:rPr>
        <w:t>NLS</w:t>
      </w:r>
      <w:r>
        <w:rPr>
          <w:rFonts w:ascii="Arial" w:hAnsi="Arial" w:cs="Arial"/>
          <w:vertAlign w:val="superscript"/>
        </w:rPr>
        <w:t xml:space="preserve"> </w:t>
      </w:r>
      <w:r w:rsidRPr="00DC504A">
        <w:rPr>
          <w:rFonts w:ascii="Arial" w:hAnsi="Arial" w:cs="Arial"/>
        </w:rPr>
        <w:t>(</w:t>
      </w:r>
      <w:r w:rsidRPr="00DC504A">
        <w:rPr>
          <w:rFonts w:ascii="Arial" w:hAnsi="Arial" w:cs="Arial"/>
          <w:i/>
          <w:iCs/>
        </w:rPr>
        <w:t>red</w:t>
      </w:r>
      <w:r w:rsidRPr="00DC504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that was integrated in the cell’s genome as part of the differentiation </w:t>
      </w:r>
      <w:r w:rsidRPr="00DC504A">
        <w:rPr>
          <w:rFonts w:ascii="Arial" w:hAnsi="Arial" w:cs="Arial"/>
        </w:rPr>
        <w:t>cassette</w:t>
      </w:r>
      <w:r>
        <w:rPr>
          <w:rFonts w:ascii="Arial" w:hAnsi="Arial" w:cs="Arial"/>
        </w:rPr>
        <w:t xml:space="preserve"> and used as positive selection marker (see </w:t>
      </w:r>
      <w:r w:rsidRPr="00DC504A">
        <w:rPr>
          <w:rFonts w:ascii="Arial" w:hAnsi="Arial" w:cs="Arial"/>
          <w:i/>
          <w:iCs/>
        </w:rPr>
        <w:t>Materials and Methods</w:t>
      </w:r>
      <w:r>
        <w:rPr>
          <w:rFonts w:ascii="Arial" w:hAnsi="Arial" w:cs="Arial"/>
        </w:rPr>
        <w:t xml:space="preserve">). </w:t>
      </w:r>
      <w:r w:rsidRPr="00DC504A">
        <w:rPr>
          <w:rFonts w:ascii="Arial" w:hAnsi="Arial" w:cs="Arial"/>
        </w:rPr>
        <w:t xml:space="preserve">Scale bars 50 µm. </w:t>
      </w:r>
      <w:r w:rsidRPr="00DC504A">
        <w:rPr>
          <w:rFonts w:ascii="Arial" w:hAnsi="Arial" w:cs="Arial"/>
          <w:b/>
          <w:bCs/>
        </w:rPr>
        <w:t>B.</w:t>
      </w:r>
      <w:r w:rsidRPr="00DC504A">
        <w:rPr>
          <w:rFonts w:ascii="Arial" w:hAnsi="Arial" w:cs="Arial"/>
        </w:rPr>
        <w:t xml:space="preserve"> Representative image of differentiated induced cortical neurons (iCNs) stained for MAP2 (</w:t>
      </w:r>
      <w:r w:rsidRPr="00DC504A">
        <w:rPr>
          <w:rFonts w:ascii="Arial" w:hAnsi="Arial" w:cs="Arial"/>
          <w:i/>
          <w:iCs/>
        </w:rPr>
        <w:t>magenta</w:t>
      </w:r>
      <w:r w:rsidRPr="00DC504A">
        <w:rPr>
          <w:rFonts w:ascii="Arial" w:hAnsi="Arial" w:cs="Arial"/>
        </w:rPr>
        <w:t>) and TAU (</w:t>
      </w:r>
      <w:r w:rsidRPr="00DC504A">
        <w:rPr>
          <w:rFonts w:ascii="Arial" w:hAnsi="Arial" w:cs="Arial"/>
          <w:i/>
          <w:iCs/>
        </w:rPr>
        <w:t>green</w:t>
      </w:r>
      <w:r w:rsidRPr="00DC504A">
        <w:rPr>
          <w:rFonts w:ascii="Arial" w:hAnsi="Arial" w:cs="Arial"/>
        </w:rPr>
        <w:t xml:space="preserve">), confirming neuronal identity. Scale bars are 100µm. </w:t>
      </w:r>
      <w:r>
        <w:rPr>
          <w:rFonts w:ascii="Arial" w:hAnsi="Arial" w:cs="Arial"/>
          <w:b/>
          <w:bCs/>
        </w:rPr>
        <w:t>C</w:t>
      </w:r>
      <w:r w:rsidRPr="00DC504A">
        <w:rPr>
          <w:rFonts w:ascii="Arial" w:hAnsi="Arial" w:cs="Arial"/>
          <w:b/>
          <w:bCs/>
        </w:rPr>
        <w:t>.</w:t>
      </w:r>
      <w:r w:rsidRPr="00DC504A">
        <w:rPr>
          <w:rFonts w:ascii="Arial" w:hAnsi="Arial" w:cs="Arial"/>
        </w:rPr>
        <w:t xml:space="preserve"> Mature iCNs </w:t>
      </w:r>
      <w:r>
        <w:rPr>
          <w:rFonts w:ascii="Arial" w:hAnsi="Arial" w:cs="Arial"/>
        </w:rPr>
        <w:t xml:space="preserve">also </w:t>
      </w:r>
      <w:r w:rsidRPr="00DC504A">
        <w:rPr>
          <w:rFonts w:ascii="Arial" w:hAnsi="Arial" w:cs="Arial"/>
        </w:rPr>
        <w:t>express the glutamatergic receptor subunit GluA1 (</w:t>
      </w:r>
      <w:r w:rsidRPr="00DC504A">
        <w:rPr>
          <w:rFonts w:ascii="Arial" w:hAnsi="Arial" w:cs="Arial"/>
          <w:i/>
          <w:iCs/>
        </w:rPr>
        <w:t>green</w:t>
      </w:r>
      <w:r w:rsidRPr="00DC504A">
        <w:rPr>
          <w:rFonts w:ascii="Arial" w:hAnsi="Arial" w:cs="Arial"/>
        </w:rPr>
        <w:t>). Scale bars are 100µm. All nuclei are counterstained with DAPI (</w:t>
      </w:r>
      <w:r w:rsidRPr="00DC504A">
        <w:rPr>
          <w:rFonts w:ascii="Arial" w:hAnsi="Arial" w:cs="Arial"/>
          <w:i/>
          <w:iCs/>
        </w:rPr>
        <w:t>blue</w:t>
      </w:r>
      <w:r w:rsidRPr="00DC504A">
        <w:rPr>
          <w:rFonts w:ascii="Arial" w:hAnsi="Arial" w:cs="Arial"/>
        </w:rPr>
        <w:t xml:space="preserve">). </w:t>
      </w:r>
      <w:r w:rsidR="00B61CFA" w:rsidRPr="00B61CFA">
        <w:rPr>
          <w:rFonts w:ascii="Arial" w:hAnsi="Arial" w:cs="Arial"/>
          <w:b/>
          <w:bCs/>
        </w:rPr>
        <w:t>D.</w:t>
      </w:r>
      <w:r w:rsidR="00B61CFA">
        <w:rPr>
          <w:rFonts w:ascii="Arial" w:hAnsi="Arial" w:cs="Arial"/>
        </w:rPr>
        <w:t xml:space="preserve"> Quantification of the efficiency of neuronal differentiation</w:t>
      </w:r>
      <w:r w:rsidR="005D63B2">
        <w:rPr>
          <w:rFonts w:ascii="Arial" w:hAnsi="Arial" w:cs="Arial"/>
        </w:rPr>
        <w:t xml:space="preserve"> as the percentage of MAP2</w:t>
      </w:r>
      <w:r w:rsidR="005D63B2" w:rsidRPr="005D63B2">
        <w:rPr>
          <w:rFonts w:ascii="Arial" w:hAnsi="Arial" w:cs="Arial"/>
          <w:vertAlign w:val="superscript"/>
        </w:rPr>
        <w:t xml:space="preserve">+ </w:t>
      </w:r>
      <w:r w:rsidR="005D63B2">
        <w:rPr>
          <w:rFonts w:ascii="Arial" w:hAnsi="Arial" w:cs="Arial"/>
        </w:rPr>
        <w:t>cells</w:t>
      </w:r>
      <w:r w:rsidR="00B61CFA">
        <w:rPr>
          <w:rFonts w:ascii="Arial" w:hAnsi="Arial" w:cs="Arial"/>
        </w:rPr>
        <w:t>.</w:t>
      </w:r>
    </w:p>
    <w:p w14:paraId="2E5E6787" w14:textId="77777777" w:rsidR="00806FB7" w:rsidRDefault="00806F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768BDAC" w14:textId="2EC23A5A" w:rsidR="00DC504A" w:rsidRDefault="008E054D" w:rsidP="00DC504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88D43A4" wp14:editId="2DE0B6AD">
            <wp:extent cx="5943600" cy="5834380"/>
            <wp:effectExtent l="0" t="0" r="0" b="0"/>
            <wp:docPr id="1278187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AB705" w14:textId="56C0649D" w:rsidR="00806FB7" w:rsidRPr="00806FB7" w:rsidRDefault="00806FB7" w:rsidP="00806FB7">
      <w:pPr>
        <w:rPr>
          <w:rFonts w:ascii="Arial" w:hAnsi="Arial" w:cs="Arial"/>
        </w:rPr>
      </w:pPr>
      <w:r w:rsidRPr="00806FB7">
        <w:rPr>
          <w:rFonts w:ascii="Arial" w:hAnsi="Arial" w:cs="Arial"/>
          <w:b/>
          <w:bCs/>
        </w:rPr>
        <w:t>Supplementary Figure 2. Validation of live-cell screening pipeline using sodium arsenite (NaArs)</w:t>
      </w:r>
      <w:r>
        <w:rPr>
          <w:rFonts w:ascii="Arial" w:hAnsi="Arial" w:cs="Arial"/>
          <w:b/>
          <w:bCs/>
        </w:rPr>
        <w:t xml:space="preserve"> as toxic agent</w:t>
      </w:r>
      <w:r w:rsidRPr="00806FB7">
        <w:rPr>
          <w:rFonts w:ascii="Arial" w:hAnsi="Arial" w:cs="Arial"/>
          <w:b/>
          <w:bCs/>
        </w:rPr>
        <w:t>. A.</w:t>
      </w:r>
      <w:r w:rsidRPr="00806FB7">
        <w:rPr>
          <w:rFonts w:ascii="Arial" w:hAnsi="Arial" w:cs="Arial"/>
        </w:rPr>
        <w:t xml:space="preserve"> Representative images of live cell analysis pipelines in </w:t>
      </w:r>
      <w:r w:rsidR="008E054D">
        <w:rPr>
          <w:rFonts w:ascii="Arial" w:hAnsi="Arial" w:cs="Arial"/>
        </w:rPr>
        <w:t xml:space="preserve">OGD-exposed neurons with or without </w:t>
      </w:r>
      <w:r w:rsidRPr="00806FB7">
        <w:rPr>
          <w:rFonts w:ascii="Arial" w:hAnsi="Arial" w:cs="Arial"/>
        </w:rPr>
        <w:t>NaArs</w:t>
      </w:r>
      <w:r w:rsidR="008E054D">
        <w:rPr>
          <w:rFonts w:ascii="Arial" w:hAnsi="Arial" w:cs="Arial"/>
        </w:rPr>
        <w:t>, used as a negative control</w:t>
      </w:r>
      <w:r w:rsidRPr="00806FB7">
        <w:rPr>
          <w:rFonts w:ascii="Arial" w:hAnsi="Arial" w:cs="Arial"/>
        </w:rPr>
        <w:t>. From top to bottom, columns show phase contrast of neurons with mApple signal (</w:t>
      </w:r>
      <w:r w:rsidRPr="00806FB7">
        <w:rPr>
          <w:rFonts w:ascii="Arial" w:hAnsi="Arial" w:cs="Arial"/>
          <w:i/>
          <w:iCs/>
        </w:rPr>
        <w:t>red</w:t>
      </w:r>
      <w:r w:rsidRPr="00806FB7">
        <w:rPr>
          <w:rFonts w:ascii="Arial" w:hAnsi="Arial" w:cs="Arial"/>
        </w:rPr>
        <w:t>), raw mApple fluorescence, processed mApple signal (ROF denoise, top-hat filter, despeckle, smooth), binary mask of detected cells, and overlay of mask</w:t>
      </w:r>
      <w:r>
        <w:rPr>
          <w:rFonts w:ascii="Arial" w:hAnsi="Arial" w:cs="Arial"/>
        </w:rPr>
        <w:t xml:space="preserve"> (</w:t>
      </w:r>
      <w:r w:rsidRPr="00806FB7">
        <w:rPr>
          <w:rFonts w:ascii="Arial" w:hAnsi="Arial" w:cs="Arial"/>
          <w:i/>
          <w:iCs/>
        </w:rPr>
        <w:t>red</w:t>
      </w:r>
      <w:r>
        <w:rPr>
          <w:rFonts w:ascii="Arial" w:hAnsi="Arial" w:cs="Arial"/>
        </w:rPr>
        <w:t>)</w:t>
      </w:r>
      <w:r w:rsidRPr="00806FB7">
        <w:rPr>
          <w:rFonts w:ascii="Arial" w:hAnsi="Arial" w:cs="Arial"/>
        </w:rPr>
        <w:t xml:space="preserve"> with phase contrast. Neurons treated with NaArs (20 µM) exhibited markedly reduced survival compared to untreated controls</w:t>
      </w:r>
      <w:r>
        <w:rPr>
          <w:rFonts w:ascii="Arial" w:hAnsi="Arial" w:cs="Arial"/>
        </w:rPr>
        <w:t xml:space="preserve"> 7 days post injury</w:t>
      </w:r>
      <w:r w:rsidRPr="00806FB7">
        <w:rPr>
          <w:rFonts w:ascii="Arial" w:hAnsi="Arial" w:cs="Arial"/>
        </w:rPr>
        <w:t xml:space="preserve">. </w:t>
      </w:r>
      <w:r w:rsidRPr="00806FB7">
        <w:rPr>
          <w:rFonts w:ascii="Arial" w:hAnsi="Arial" w:cs="Arial"/>
          <w:b/>
          <w:bCs/>
        </w:rPr>
        <w:t>B.</w:t>
      </w:r>
      <w:r w:rsidRPr="00806FB7">
        <w:rPr>
          <w:rFonts w:ascii="Arial" w:hAnsi="Arial" w:cs="Arial"/>
        </w:rPr>
        <w:t xml:space="preserve"> Quantification of neuronal survival over a 7-day recovery period shows a rapid decline in survival with </w:t>
      </w:r>
      <w:r w:rsidR="008E054D">
        <w:rPr>
          <w:rFonts w:ascii="Arial" w:hAnsi="Arial" w:cs="Arial"/>
        </w:rPr>
        <w:t>OGD+</w:t>
      </w:r>
      <w:r w:rsidRPr="00806FB7">
        <w:rPr>
          <w:rFonts w:ascii="Arial" w:hAnsi="Arial" w:cs="Arial"/>
        </w:rPr>
        <w:t>NaArs treatment compared to OGD alone. Data are shown as mean ± SEM across independent replicates. Scale bars</w:t>
      </w:r>
      <w:r>
        <w:rPr>
          <w:rFonts w:ascii="Arial" w:hAnsi="Arial" w:cs="Arial"/>
        </w:rPr>
        <w:t>:</w:t>
      </w:r>
      <w:r w:rsidRPr="00806FB7">
        <w:rPr>
          <w:rFonts w:ascii="Arial" w:hAnsi="Arial" w:cs="Arial"/>
        </w:rPr>
        <w:t xml:space="preserve"> 100 µm.</w:t>
      </w:r>
    </w:p>
    <w:p w14:paraId="7CD5E602" w14:textId="786EB740" w:rsidR="00806FB7" w:rsidRDefault="00806FB7" w:rsidP="00DC504A">
      <w:pPr>
        <w:rPr>
          <w:rFonts w:ascii="Arial" w:hAnsi="Arial" w:cs="Arial"/>
        </w:rPr>
      </w:pPr>
    </w:p>
    <w:p w14:paraId="53655F4D" w14:textId="77777777" w:rsidR="00F601DD" w:rsidRDefault="00F601DD" w:rsidP="00DC504A">
      <w:pPr>
        <w:rPr>
          <w:rFonts w:ascii="Arial" w:hAnsi="Arial" w:cs="Arial"/>
        </w:rPr>
      </w:pPr>
    </w:p>
    <w:p w14:paraId="45AAFD44" w14:textId="7297DCB8" w:rsidR="00F601DD" w:rsidRDefault="00F601DD" w:rsidP="00DC504A">
      <w:pPr>
        <w:rPr>
          <w:rFonts w:ascii="Arial" w:hAnsi="Arial" w:cs="Arial"/>
        </w:rPr>
      </w:pPr>
    </w:p>
    <w:p w14:paraId="6FED3B23" w14:textId="3DEEAEEA" w:rsidR="00806FB7" w:rsidRPr="00DC504A" w:rsidRDefault="00E32CA8" w:rsidP="00DC504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9BA8A7" wp14:editId="00297255">
            <wp:extent cx="5939155" cy="2186305"/>
            <wp:effectExtent l="0" t="0" r="4445" b="4445"/>
            <wp:docPr id="1084391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B13BF" w14:textId="09E838DF" w:rsidR="00F601DD" w:rsidRDefault="00F601DD" w:rsidP="00DC504A">
      <w:pPr>
        <w:rPr>
          <w:rFonts w:ascii="Arial" w:hAnsi="Arial" w:cs="Arial"/>
        </w:rPr>
      </w:pPr>
    </w:p>
    <w:p w14:paraId="234C52E9" w14:textId="6A74067A" w:rsidR="001A1D55" w:rsidRDefault="00F601DD" w:rsidP="00DC504A">
      <w:pPr>
        <w:rPr>
          <w:rFonts w:ascii="Arial" w:hAnsi="Arial" w:cs="Arial"/>
        </w:rPr>
      </w:pPr>
      <w:r w:rsidRPr="00F601DD">
        <w:rPr>
          <w:rFonts w:ascii="Arial" w:hAnsi="Arial" w:cs="Arial"/>
          <w:b/>
          <w:bCs/>
        </w:rPr>
        <w:t xml:space="preserve">Supplementary Figure 3. </w:t>
      </w:r>
      <w:r>
        <w:rPr>
          <w:rFonts w:ascii="Arial" w:hAnsi="Arial" w:cs="Arial"/>
          <w:b/>
          <w:bCs/>
        </w:rPr>
        <w:t xml:space="preserve">Phytocannabinoids modulate neuronal survival after OGD. </w:t>
      </w:r>
      <w:r>
        <w:rPr>
          <w:rFonts w:ascii="Arial" w:hAnsi="Arial" w:cs="Arial"/>
        </w:rPr>
        <w:t xml:space="preserve">Quantification of survival of iCNs exposed to OGD and treated with </w:t>
      </w:r>
      <w:r w:rsidR="006D6382">
        <w:rPr>
          <w:rFonts w:ascii="Arial" w:hAnsi="Arial" w:cs="Arial"/>
        </w:rPr>
        <w:t xml:space="preserve">DMSO or </w:t>
      </w:r>
      <w:r>
        <w:rPr>
          <w:rFonts w:ascii="Arial" w:hAnsi="Arial" w:cs="Arial"/>
        </w:rPr>
        <w:t xml:space="preserve">a panel of 28 </w:t>
      </w:r>
      <w:r w:rsidR="00E32CA8">
        <w:rPr>
          <w:rFonts w:ascii="Arial" w:hAnsi="Arial" w:cs="Arial"/>
        </w:rPr>
        <w:t>phytocannabinoids</w:t>
      </w:r>
      <w:r>
        <w:rPr>
          <w:rFonts w:ascii="Arial" w:hAnsi="Arial" w:cs="Arial"/>
        </w:rPr>
        <w:t xml:space="preserve">. Neuronal numbers were evaluated immediately after OGD (Day 0) and after 7 days of recovery. Data is displayed as the percentage of cells still alive at day 7 (n = 3, </w:t>
      </w:r>
      <w:r w:rsidRPr="00F601DD">
        <w:rPr>
          <w:rFonts w:ascii="Arial" w:hAnsi="Arial" w:cs="Arial"/>
        </w:rPr>
        <w:t>one way ANOVA with mixed effects model, not significant).</w:t>
      </w:r>
    </w:p>
    <w:p w14:paraId="34BE6207" w14:textId="77777777" w:rsidR="001A1D55" w:rsidRDefault="001A1D5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FFCA9CC" w14:textId="2401D0AB" w:rsidR="00507A38" w:rsidRDefault="00507A38" w:rsidP="00DC504A">
      <w:pPr>
        <w:rPr>
          <w:rFonts w:ascii="Arial" w:hAnsi="Arial" w:cs="Arial"/>
        </w:rPr>
      </w:pPr>
    </w:p>
    <w:p w14:paraId="09FBA83B" w14:textId="77777777" w:rsidR="00DB2026" w:rsidRDefault="00DB2026" w:rsidP="00DC504A">
      <w:pPr>
        <w:rPr>
          <w:rFonts w:ascii="Arial" w:hAnsi="Arial" w:cs="Arial"/>
        </w:rPr>
      </w:pPr>
    </w:p>
    <w:p w14:paraId="36A4E5CE" w14:textId="77777777" w:rsidR="00DB2026" w:rsidRDefault="00DB2026" w:rsidP="00DC504A">
      <w:pPr>
        <w:rPr>
          <w:rFonts w:ascii="Arial" w:hAnsi="Arial" w:cs="Arial"/>
        </w:rPr>
      </w:pPr>
    </w:p>
    <w:p w14:paraId="75FE4DBC" w14:textId="77777777" w:rsidR="00DB2026" w:rsidRDefault="00DB2026" w:rsidP="00DC504A">
      <w:pPr>
        <w:rPr>
          <w:rFonts w:ascii="Arial" w:hAnsi="Arial" w:cs="Arial"/>
        </w:rPr>
      </w:pPr>
    </w:p>
    <w:p w14:paraId="37669E50" w14:textId="240864CD" w:rsidR="00507A38" w:rsidRDefault="00507A38" w:rsidP="00DC504A">
      <w:pPr>
        <w:rPr>
          <w:rFonts w:ascii="Arial" w:hAnsi="Arial" w:cs="Arial"/>
        </w:rPr>
      </w:pPr>
    </w:p>
    <w:p w14:paraId="4895AB8E" w14:textId="6128702F" w:rsidR="00507A38" w:rsidRDefault="00DB2026" w:rsidP="00DC504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64B488" wp14:editId="41EE838C">
            <wp:extent cx="5943600" cy="2717800"/>
            <wp:effectExtent l="0" t="0" r="0" b="6350"/>
            <wp:docPr id="7442605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13E7" w14:textId="77777777" w:rsidR="00DB2026" w:rsidRDefault="00DB2026" w:rsidP="00DC504A">
      <w:pPr>
        <w:rPr>
          <w:rFonts w:ascii="Arial" w:hAnsi="Arial" w:cs="Arial"/>
          <w:b/>
          <w:bCs/>
        </w:rPr>
      </w:pPr>
    </w:p>
    <w:p w14:paraId="17487D00" w14:textId="37F9116B" w:rsidR="00507A38" w:rsidRDefault="00507A38" w:rsidP="00DC504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Supplementary </w:t>
      </w:r>
      <w:r w:rsidRPr="00507A38">
        <w:rPr>
          <w:rFonts w:ascii="Arial" w:hAnsi="Arial" w:cs="Arial"/>
          <w:b/>
          <w:bCs/>
        </w:rPr>
        <w:t>Figure 4.</w:t>
      </w:r>
      <w:r w:rsidRPr="00507A38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CBGOA </w:t>
      </w:r>
      <w:r w:rsidRPr="00507A38">
        <w:rPr>
          <w:rFonts w:ascii="Arial" w:hAnsi="Arial" w:cs="Arial"/>
          <w:b/>
          <w:bCs/>
        </w:rPr>
        <w:t xml:space="preserve">treatment </w:t>
      </w:r>
      <w:r>
        <w:rPr>
          <w:rFonts w:ascii="Arial" w:hAnsi="Arial" w:cs="Arial"/>
          <w:b/>
          <w:bCs/>
        </w:rPr>
        <w:t xml:space="preserve">does not affect </w:t>
      </w:r>
      <w:r w:rsidRPr="00507A38">
        <w:rPr>
          <w:rFonts w:ascii="Arial" w:hAnsi="Arial" w:cs="Arial"/>
          <w:b/>
          <w:bCs/>
        </w:rPr>
        <w:t>caspase</w:t>
      </w:r>
      <w:r w:rsidR="00DB2026">
        <w:rPr>
          <w:rFonts w:ascii="Arial" w:hAnsi="Arial" w:cs="Arial"/>
          <w:b/>
          <w:bCs/>
        </w:rPr>
        <w:t xml:space="preserve"> </w:t>
      </w:r>
      <w:r w:rsidRPr="00507A38">
        <w:rPr>
          <w:rFonts w:ascii="Arial" w:hAnsi="Arial" w:cs="Arial"/>
          <w:b/>
          <w:bCs/>
        </w:rPr>
        <w:t>3 activation. A.</w:t>
      </w:r>
      <w:r w:rsidRPr="00507A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Representative images of </w:t>
      </w:r>
      <w:r w:rsidRPr="00507A38">
        <w:rPr>
          <w:rFonts w:ascii="Arial" w:hAnsi="Arial" w:cs="Arial"/>
        </w:rPr>
        <w:t xml:space="preserve">untreated and </w:t>
      </w:r>
      <w:r>
        <w:rPr>
          <w:rFonts w:ascii="Arial" w:hAnsi="Arial" w:cs="Arial"/>
        </w:rPr>
        <w:t>CBGOA</w:t>
      </w:r>
      <w:r w:rsidRPr="00507A38">
        <w:rPr>
          <w:rFonts w:ascii="Arial" w:hAnsi="Arial" w:cs="Arial"/>
        </w:rPr>
        <w:t xml:space="preserve">-treated neurons </w:t>
      </w:r>
      <w:r>
        <w:rPr>
          <w:rFonts w:ascii="Arial" w:hAnsi="Arial" w:cs="Arial"/>
        </w:rPr>
        <w:t xml:space="preserve">one day after OGD exposure. Caspase 3 activation was detected using an antibody specific for its </w:t>
      </w:r>
      <w:r w:rsidR="00F02653">
        <w:rPr>
          <w:rFonts w:ascii="Arial" w:hAnsi="Arial" w:cs="Arial"/>
        </w:rPr>
        <w:t xml:space="preserve">cleaved form (Cleaved Casp3, </w:t>
      </w:r>
      <w:r w:rsidR="00F02653" w:rsidRPr="00F02653">
        <w:rPr>
          <w:rFonts w:ascii="Arial" w:hAnsi="Arial" w:cs="Arial"/>
          <w:i/>
          <w:iCs/>
        </w:rPr>
        <w:t>green</w:t>
      </w:r>
      <w:r w:rsidR="00F02653">
        <w:rPr>
          <w:rFonts w:ascii="Arial" w:hAnsi="Arial" w:cs="Arial"/>
        </w:rPr>
        <w:t xml:space="preserve">). DAPI (blue) was used to identify cells and define a mask (indicated by the yellow outline) for quantification. </w:t>
      </w:r>
      <w:r w:rsidRPr="00507A38">
        <w:rPr>
          <w:rFonts w:ascii="Arial" w:hAnsi="Arial" w:cs="Arial"/>
          <w:b/>
          <w:bCs/>
        </w:rPr>
        <w:t xml:space="preserve">B. </w:t>
      </w:r>
      <w:r w:rsidR="00F02653" w:rsidRPr="00507A38">
        <w:rPr>
          <w:rFonts w:ascii="Arial" w:hAnsi="Arial" w:cs="Arial"/>
        </w:rPr>
        <w:t>Quantification of cleaved caspase</w:t>
      </w:r>
      <w:r w:rsidR="00F02653">
        <w:rPr>
          <w:rFonts w:ascii="Arial" w:hAnsi="Arial" w:cs="Arial"/>
        </w:rPr>
        <w:t xml:space="preserve"> </w:t>
      </w:r>
      <w:r w:rsidR="00F02653" w:rsidRPr="00507A38">
        <w:rPr>
          <w:rFonts w:ascii="Arial" w:hAnsi="Arial" w:cs="Arial"/>
        </w:rPr>
        <w:t xml:space="preserve">3 </w:t>
      </w:r>
      <w:proofErr w:type="gramStart"/>
      <w:r w:rsidR="00F02653">
        <w:rPr>
          <w:rFonts w:ascii="Arial" w:hAnsi="Arial" w:cs="Arial"/>
        </w:rPr>
        <w:t>mean</w:t>
      </w:r>
      <w:proofErr w:type="gramEnd"/>
      <w:r w:rsidR="00F02653">
        <w:rPr>
          <w:rFonts w:ascii="Arial" w:hAnsi="Arial" w:cs="Arial"/>
        </w:rPr>
        <w:t xml:space="preserve"> fluorescence intensity (mFI) shows no difference between </w:t>
      </w:r>
      <w:r w:rsidR="00DB2026">
        <w:rPr>
          <w:rFonts w:ascii="Arial" w:hAnsi="Arial" w:cs="Arial"/>
        </w:rPr>
        <w:t>DMSO-</w:t>
      </w:r>
      <w:r w:rsidR="00F02653">
        <w:rPr>
          <w:rFonts w:ascii="Arial" w:hAnsi="Arial" w:cs="Arial"/>
        </w:rPr>
        <w:t xml:space="preserve"> and CBGOA-treated neurons </w:t>
      </w:r>
      <w:r w:rsidR="00F02653" w:rsidRPr="00507A38">
        <w:rPr>
          <w:rFonts w:ascii="Arial" w:hAnsi="Arial" w:cs="Arial"/>
        </w:rPr>
        <w:t xml:space="preserve">at day 1 </w:t>
      </w:r>
      <w:r w:rsidR="00F02653">
        <w:rPr>
          <w:rFonts w:ascii="Arial" w:hAnsi="Arial" w:cs="Arial"/>
        </w:rPr>
        <w:t xml:space="preserve">after OGD </w:t>
      </w:r>
      <w:r w:rsidR="00F02653" w:rsidRPr="00507A38">
        <w:rPr>
          <w:rFonts w:ascii="Arial" w:hAnsi="Arial" w:cs="Arial"/>
        </w:rPr>
        <w:t xml:space="preserve">(ratio paired two-tailed </w:t>
      </w:r>
      <w:r w:rsidR="00F02653" w:rsidRPr="00507A38">
        <w:rPr>
          <w:rFonts w:ascii="Arial" w:hAnsi="Arial" w:cs="Arial"/>
          <w:i/>
          <w:iCs/>
        </w:rPr>
        <w:t>t</w:t>
      </w:r>
      <w:r w:rsidR="00F02653" w:rsidRPr="00507A38">
        <w:rPr>
          <w:rFonts w:ascii="Arial" w:hAnsi="Arial" w:cs="Arial"/>
        </w:rPr>
        <w:t xml:space="preserve">-test; </w:t>
      </w:r>
      <w:r w:rsidR="00F02653" w:rsidRPr="00507A38">
        <w:rPr>
          <w:rFonts w:ascii="Arial" w:hAnsi="Arial" w:cs="Arial"/>
          <w:i/>
          <w:iCs/>
        </w:rPr>
        <w:t>n</w:t>
      </w:r>
      <w:r w:rsidR="00F02653" w:rsidRPr="00507A38">
        <w:rPr>
          <w:rFonts w:ascii="Arial" w:hAnsi="Arial" w:cs="Arial"/>
        </w:rPr>
        <w:t xml:space="preserve"> = </w:t>
      </w:r>
      <w:r w:rsidR="00F02653">
        <w:rPr>
          <w:rFonts w:ascii="Arial" w:hAnsi="Arial" w:cs="Arial"/>
        </w:rPr>
        <w:t>4</w:t>
      </w:r>
      <w:r w:rsidR="00F02653" w:rsidRPr="00507A38">
        <w:rPr>
          <w:rFonts w:ascii="Arial" w:hAnsi="Arial" w:cs="Arial"/>
        </w:rPr>
        <w:t xml:space="preserve">, </w:t>
      </w:r>
      <w:r w:rsidR="00F02653">
        <w:rPr>
          <w:rFonts w:ascii="Arial" w:hAnsi="Arial" w:cs="Arial"/>
        </w:rPr>
        <w:t>p = 0.71</w:t>
      </w:r>
      <w:r w:rsidR="00F02653" w:rsidRPr="00507A38">
        <w:rPr>
          <w:rFonts w:ascii="Arial" w:hAnsi="Arial" w:cs="Arial"/>
        </w:rPr>
        <w:t>).</w:t>
      </w:r>
    </w:p>
    <w:p w14:paraId="60B503AA" w14:textId="192E2C0E" w:rsidR="00507A38" w:rsidRDefault="00507A38" w:rsidP="00DC504A">
      <w:pPr>
        <w:rPr>
          <w:rFonts w:ascii="Arial" w:hAnsi="Arial" w:cs="Arial"/>
        </w:rPr>
      </w:pPr>
    </w:p>
    <w:p w14:paraId="4B1855E0" w14:textId="1EC37C31" w:rsidR="00A05056" w:rsidRDefault="00A0505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785131" w14:textId="77777777" w:rsidR="00A05056" w:rsidRPr="001E10F3" w:rsidRDefault="00A05056" w:rsidP="00A05056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  <w:color w:val="333333"/>
          <w:sz w:val="22"/>
          <w:szCs w:val="22"/>
        </w:rPr>
      </w:pP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1590"/>
        <w:gridCol w:w="3300"/>
        <w:gridCol w:w="2130"/>
        <w:gridCol w:w="2340"/>
      </w:tblGrid>
      <w:tr w:rsidR="00A05056" w:rsidRPr="001E10F3" w14:paraId="28C23BAE" w14:textId="77777777" w:rsidTr="00F5543D">
        <w:trPr>
          <w:trHeight w:val="300"/>
        </w:trPr>
        <w:tc>
          <w:tcPr>
            <w:tcW w:w="1590" w:type="dxa"/>
          </w:tcPr>
          <w:p w14:paraId="70CF8FCD" w14:textId="77777777" w:rsidR="00A05056" w:rsidRPr="001E10F3" w:rsidRDefault="00A05056" w:rsidP="00F5543D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bookmarkStart w:id="0" w:name="_Hlk213683669"/>
            <w:r w:rsidRPr="001E10F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ID Number</w:t>
            </w:r>
          </w:p>
        </w:tc>
        <w:tc>
          <w:tcPr>
            <w:tcW w:w="3300" w:type="dxa"/>
          </w:tcPr>
          <w:p w14:paraId="65CCA4DB" w14:textId="77777777" w:rsidR="00A05056" w:rsidRPr="001E10F3" w:rsidRDefault="00A05056" w:rsidP="00F5543D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1E10F3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Compound Name</w:t>
            </w:r>
          </w:p>
        </w:tc>
        <w:tc>
          <w:tcPr>
            <w:tcW w:w="2130" w:type="dxa"/>
          </w:tcPr>
          <w:p w14:paraId="76DD494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Abbreviation</w:t>
            </w:r>
          </w:p>
        </w:tc>
        <w:tc>
          <w:tcPr>
            <w:tcW w:w="2340" w:type="dxa"/>
          </w:tcPr>
          <w:p w14:paraId="22516CA8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Molecular Weight</w:t>
            </w:r>
          </w:p>
        </w:tc>
      </w:tr>
      <w:tr w:rsidR="00A05056" w:rsidRPr="001E10F3" w14:paraId="2E888A70" w14:textId="77777777" w:rsidTr="00F5543D">
        <w:trPr>
          <w:trHeight w:val="300"/>
        </w:trPr>
        <w:tc>
          <w:tcPr>
            <w:tcW w:w="1590" w:type="dxa"/>
          </w:tcPr>
          <w:p w14:paraId="3E78431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1" w:name="_Hlk213683647"/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3300" w:type="dxa"/>
          </w:tcPr>
          <w:p w14:paraId="26B2FB76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cannabidiolic acid methyl ester</w:t>
            </w:r>
          </w:p>
        </w:tc>
        <w:tc>
          <w:tcPr>
            <w:tcW w:w="2130" w:type="dxa"/>
          </w:tcPr>
          <w:p w14:paraId="3B65AE7E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CAME</w:t>
            </w:r>
          </w:p>
        </w:tc>
        <w:tc>
          <w:tcPr>
            <w:tcW w:w="2340" w:type="dxa"/>
          </w:tcPr>
          <w:p w14:paraId="46E3DC55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372.5</w:t>
            </w:r>
          </w:p>
        </w:tc>
      </w:tr>
      <w:tr w:rsidR="00A05056" w:rsidRPr="001E10F3" w14:paraId="63F104B6" w14:textId="77777777" w:rsidTr="00F5543D">
        <w:trPr>
          <w:trHeight w:val="300"/>
        </w:trPr>
        <w:tc>
          <w:tcPr>
            <w:tcW w:w="1590" w:type="dxa"/>
          </w:tcPr>
          <w:p w14:paraId="4733B132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3300" w:type="dxa"/>
          </w:tcPr>
          <w:p w14:paraId="2521A215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Δ</w:t>
            </w:r>
            <w:r w:rsidRPr="001C5711">
              <w:rPr>
                <w:rFonts w:ascii="Arial" w:eastAsia="Times New Roman" w:hAnsi="Arial" w:cs="Arial"/>
                <w:sz w:val="22"/>
                <w:szCs w:val="22"/>
                <w:vertAlign w:val="superscript"/>
              </w:rPr>
              <w:t>9</w:t>
            </w: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-THCB</w:t>
            </w:r>
          </w:p>
        </w:tc>
        <w:tc>
          <w:tcPr>
            <w:tcW w:w="2130" w:type="dxa"/>
          </w:tcPr>
          <w:p w14:paraId="1653CE15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Δ</w:t>
            </w:r>
            <w:r w:rsidRPr="001C5711">
              <w:rPr>
                <w:rFonts w:ascii="Arial" w:eastAsia="Times New Roman" w:hAnsi="Arial" w:cs="Arial"/>
                <w:sz w:val="22"/>
                <w:szCs w:val="22"/>
                <w:vertAlign w:val="superscript"/>
              </w:rPr>
              <w:t>9</w:t>
            </w: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-THCB</w:t>
            </w:r>
          </w:p>
        </w:tc>
        <w:tc>
          <w:tcPr>
            <w:tcW w:w="2340" w:type="dxa"/>
          </w:tcPr>
          <w:p w14:paraId="2815B5ED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300.4</w:t>
            </w:r>
          </w:p>
        </w:tc>
      </w:tr>
      <w:tr w:rsidR="00A05056" w:rsidRPr="001E10F3" w14:paraId="719E5FEF" w14:textId="77777777" w:rsidTr="00F5543D">
        <w:trPr>
          <w:trHeight w:val="300"/>
        </w:trPr>
        <w:tc>
          <w:tcPr>
            <w:tcW w:w="1590" w:type="dxa"/>
          </w:tcPr>
          <w:p w14:paraId="304E9C20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</w:t>
            </w:r>
          </w:p>
        </w:tc>
        <w:tc>
          <w:tcPr>
            <w:tcW w:w="3300" w:type="dxa"/>
          </w:tcPr>
          <w:p w14:paraId="52C84194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cannabinol</w:t>
            </w:r>
          </w:p>
        </w:tc>
        <w:tc>
          <w:tcPr>
            <w:tcW w:w="2130" w:type="dxa"/>
          </w:tcPr>
          <w:p w14:paraId="6788AF51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CBN</w:t>
            </w:r>
          </w:p>
        </w:tc>
        <w:tc>
          <w:tcPr>
            <w:tcW w:w="2340" w:type="dxa"/>
          </w:tcPr>
          <w:p w14:paraId="01BAAD7E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310.43</w:t>
            </w:r>
          </w:p>
        </w:tc>
      </w:tr>
      <w:tr w:rsidR="00A05056" w:rsidRPr="001E10F3" w14:paraId="05B74961" w14:textId="77777777" w:rsidTr="00F5543D">
        <w:trPr>
          <w:trHeight w:val="300"/>
        </w:trPr>
        <w:tc>
          <w:tcPr>
            <w:tcW w:w="1590" w:type="dxa"/>
          </w:tcPr>
          <w:p w14:paraId="63D357A0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4</w:t>
            </w:r>
          </w:p>
        </w:tc>
        <w:tc>
          <w:tcPr>
            <w:tcW w:w="3300" w:type="dxa"/>
          </w:tcPr>
          <w:p w14:paraId="3DD57303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cannabinodiol</w:t>
            </w:r>
          </w:p>
        </w:tc>
        <w:tc>
          <w:tcPr>
            <w:tcW w:w="2130" w:type="dxa"/>
          </w:tcPr>
          <w:p w14:paraId="40AA046B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CBND</w:t>
            </w:r>
          </w:p>
        </w:tc>
        <w:tc>
          <w:tcPr>
            <w:tcW w:w="2340" w:type="dxa"/>
          </w:tcPr>
          <w:p w14:paraId="55785DE7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310.44</w:t>
            </w:r>
          </w:p>
        </w:tc>
      </w:tr>
      <w:tr w:rsidR="00A05056" w:rsidRPr="001E10F3" w14:paraId="075D6EDA" w14:textId="77777777" w:rsidTr="00F5543D">
        <w:trPr>
          <w:trHeight w:val="300"/>
        </w:trPr>
        <w:tc>
          <w:tcPr>
            <w:tcW w:w="1590" w:type="dxa"/>
          </w:tcPr>
          <w:p w14:paraId="6386B546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5</w:t>
            </w:r>
          </w:p>
        </w:tc>
        <w:tc>
          <w:tcPr>
            <w:tcW w:w="3300" w:type="dxa"/>
          </w:tcPr>
          <w:p w14:paraId="41E5309F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cannabicitran</w:t>
            </w:r>
          </w:p>
        </w:tc>
        <w:tc>
          <w:tcPr>
            <w:tcW w:w="2130" w:type="dxa"/>
          </w:tcPr>
          <w:p w14:paraId="108716B6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CBT</w:t>
            </w:r>
          </w:p>
        </w:tc>
        <w:tc>
          <w:tcPr>
            <w:tcW w:w="2340" w:type="dxa"/>
          </w:tcPr>
          <w:p w14:paraId="297EFA84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314.5</w:t>
            </w:r>
          </w:p>
        </w:tc>
      </w:tr>
      <w:tr w:rsidR="00A05056" w:rsidRPr="001E10F3" w14:paraId="6485FC1C" w14:textId="77777777" w:rsidTr="00F5543D">
        <w:trPr>
          <w:trHeight w:val="300"/>
        </w:trPr>
        <w:tc>
          <w:tcPr>
            <w:tcW w:w="1590" w:type="dxa"/>
          </w:tcPr>
          <w:p w14:paraId="26724CF5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6</w:t>
            </w:r>
          </w:p>
        </w:tc>
        <w:tc>
          <w:tcPr>
            <w:tcW w:w="3300" w:type="dxa"/>
          </w:tcPr>
          <w:p w14:paraId="09FF097B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THCA-A</w:t>
            </w:r>
          </w:p>
        </w:tc>
        <w:tc>
          <w:tcPr>
            <w:tcW w:w="2130" w:type="dxa"/>
          </w:tcPr>
          <w:p w14:paraId="181B692F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THCA-A</w:t>
            </w:r>
          </w:p>
        </w:tc>
        <w:tc>
          <w:tcPr>
            <w:tcW w:w="2340" w:type="dxa"/>
          </w:tcPr>
          <w:p w14:paraId="6E9EFE12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358.5</w:t>
            </w:r>
          </w:p>
        </w:tc>
      </w:tr>
      <w:tr w:rsidR="00A05056" w:rsidRPr="001E10F3" w14:paraId="5C9F0010" w14:textId="77777777" w:rsidTr="00F5543D">
        <w:trPr>
          <w:trHeight w:val="300"/>
        </w:trPr>
        <w:tc>
          <w:tcPr>
            <w:tcW w:w="1590" w:type="dxa"/>
          </w:tcPr>
          <w:p w14:paraId="0325BCE1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7</w:t>
            </w:r>
          </w:p>
        </w:tc>
        <w:tc>
          <w:tcPr>
            <w:tcW w:w="3300" w:type="dxa"/>
          </w:tcPr>
          <w:p w14:paraId="59CBBD22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11-nor-9-carboxy-9-THC</w:t>
            </w:r>
          </w:p>
        </w:tc>
        <w:tc>
          <w:tcPr>
            <w:tcW w:w="2130" w:type="dxa"/>
          </w:tcPr>
          <w:p w14:paraId="7823A06F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THCCOOH</w:t>
            </w:r>
          </w:p>
        </w:tc>
        <w:tc>
          <w:tcPr>
            <w:tcW w:w="2340" w:type="dxa"/>
          </w:tcPr>
          <w:p w14:paraId="09CEC66D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344.4</w:t>
            </w:r>
          </w:p>
        </w:tc>
      </w:tr>
      <w:tr w:rsidR="00A05056" w:rsidRPr="001E10F3" w14:paraId="0BD2025F" w14:textId="77777777" w:rsidTr="00F5543D">
        <w:trPr>
          <w:trHeight w:val="300"/>
        </w:trPr>
        <w:tc>
          <w:tcPr>
            <w:tcW w:w="1590" w:type="dxa"/>
          </w:tcPr>
          <w:p w14:paraId="5AD2560E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8</w:t>
            </w:r>
          </w:p>
        </w:tc>
        <w:tc>
          <w:tcPr>
            <w:tcW w:w="3300" w:type="dxa"/>
          </w:tcPr>
          <w:p w14:paraId="523C34AC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cannabidivarin</w:t>
            </w:r>
          </w:p>
        </w:tc>
        <w:tc>
          <w:tcPr>
            <w:tcW w:w="2130" w:type="dxa"/>
          </w:tcPr>
          <w:p w14:paraId="6ABD7F4D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CBDV</w:t>
            </w:r>
          </w:p>
        </w:tc>
        <w:tc>
          <w:tcPr>
            <w:tcW w:w="2340" w:type="dxa"/>
          </w:tcPr>
          <w:p w14:paraId="02C99E7E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286.42</w:t>
            </w:r>
          </w:p>
        </w:tc>
      </w:tr>
      <w:tr w:rsidR="00A05056" w:rsidRPr="001E10F3" w14:paraId="189C44C4" w14:textId="77777777" w:rsidTr="00F5543D">
        <w:trPr>
          <w:trHeight w:val="300"/>
        </w:trPr>
        <w:tc>
          <w:tcPr>
            <w:tcW w:w="1590" w:type="dxa"/>
          </w:tcPr>
          <w:p w14:paraId="12B1ABA4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9</w:t>
            </w:r>
          </w:p>
        </w:tc>
        <w:tc>
          <w:tcPr>
            <w:tcW w:w="3300" w:type="dxa"/>
          </w:tcPr>
          <w:p w14:paraId="451274BB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cannabichromene</w:t>
            </w:r>
          </w:p>
        </w:tc>
        <w:tc>
          <w:tcPr>
            <w:tcW w:w="2130" w:type="dxa"/>
          </w:tcPr>
          <w:p w14:paraId="7015036F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CBC</w:t>
            </w:r>
          </w:p>
        </w:tc>
        <w:tc>
          <w:tcPr>
            <w:tcW w:w="2340" w:type="dxa"/>
          </w:tcPr>
          <w:p w14:paraId="7131A538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314.46</w:t>
            </w:r>
          </w:p>
        </w:tc>
      </w:tr>
      <w:tr w:rsidR="00A05056" w:rsidRPr="001E10F3" w14:paraId="533843F0" w14:textId="77777777" w:rsidTr="00F5543D">
        <w:trPr>
          <w:trHeight w:val="300"/>
        </w:trPr>
        <w:tc>
          <w:tcPr>
            <w:tcW w:w="1590" w:type="dxa"/>
          </w:tcPr>
          <w:p w14:paraId="3E06CA93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10</w:t>
            </w:r>
          </w:p>
        </w:tc>
        <w:tc>
          <w:tcPr>
            <w:tcW w:w="3300" w:type="dxa"/>
          </w:tcPr>
          <w:p w14:paraId="25964C29" w14:textId="773FAC03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11-hydroxy-</w:t>
            </w:r>
            <w:r w:rsidR="002515F3" w:rsidRPr="001E10F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Δ</w:t>
            </w:r>
            <w:r w:rsidR="002515F3" w:rsidRPr="001F4C7E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9</w:t>
            </w: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-THC</w:t>
            </w:r>
          </w:p>
        </w:tc>
        <w:tc>
          <w:tcPr>
            <w:tcW w:w="2130" w:type="dxa"/>
          </w:tcPr>
          <w:p w14:paraId="11F483CF" w14:textId="7D606785" w:rsidR="00A05056" w:rsidRPr="001E10F3" w:rsidRDefault="002515F3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11H-</w:t>
            </w:r>
            <w:r w:rsidRPr="001E10F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Δ</w:t>
            </w:r>
            <w:r w:rsidRPr="001F4C7E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9</w:t>
            </w:r>
            <w:r w:rsidR="00A05056" w:rsidRPr="001E10F3">
              <w:rPr>
                <w:rFonts w:ascii="Arial" w:eastAsia="Times New Roman" w:hAnsi="Arial" w:cs="Arial"/>
                <w:sz w:val="22"/>
                <w:szCs w:val="22"/>
              </w:rPr>
              <w:t>THC</w:t>
            </w:r>
          </w:p>
        </w:tc>
        <w:tc>
          <w:tcPr>
            <w:tcW w:w="2340" w:type="dxa"/>
          </w:tcPr>
          <w:p w14:paraId="6C71578A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330.5</w:t>
            </w:r>
          </w:p>
        </w:tc>
      </w:tr>
      <w:tr w:rsidR="00A05056" w:rsidRPr="001E10F3" w14:paraId="16A507BB" w14:textId="77777777" w:rsidTr="00F5543D">
        <w:trPr>
          <w:trHeight w:val="300"/>
        </w:trPr>
        <w:tc>
          <w:tcPr>
            <w:tcW w:w="1590" w:type="dxa"/>
          </w:tcPr>
          <w:p w14:paraId="3093434D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11</w:t>
            </w:r>
          </w:p>
        </w:tc>
        <w:tc>
          <w:tcPr>
            <w:tcW w:w="3300" w:type="dxa"/>
          </w:tcPr>
          <w:p w14:paraId="1C89B725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tetrahydrocannabivarin</w:t>
            </w:r>
          </w:p>
        </w:tc>
        <w:tc>
          <w:tcPr>
            <w:tcW w:w="2130" w:type="dxa"/>
          </w:tcPr>
          <w:p w14:paraId="6A43B592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THCV</w:t>
            </w:r>
          </w:p>
        </w:tc>
        <w:tc>
          <w:tcPr>
            <w:tcW w:w="2340" w:type="dxa"/>
          </w:tcPr>
          <w:p w14:paraId="4299858B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286.41</w:t>
            </w:r>
          </w:p>
        </w:tc>
      </w:tr>
      <w:tr w:rsidR="00A05056" w:rsidRPr="001E10F3" w14:paraId="0ED0C526" w14:textId="77777777" w:rsidTr="00F5543D">
        <w:trPr>
          <w:trHeight w:val="300"/>
        </w:trPr>
        <w:tc>
          <w:tcPr>
            <w:tcW w:w="1590" w:type="dxa"/>
          </w:tcPr>
          <w:p w14:paraId="5426496E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12</w:t>
            </w:r>
          </w:p>
        </w:tc>
        <w:tc>
          <w:tcPr>
            <w:tcW w:w="3300" w:type="dxa"/>
          </w:tcPr>
          <w:p w14:paraId="5BDBD926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cannabidiolic acid</w:t>
            </w:r>
          </w:p>
        </w:tc>
        <w:tc>
          <w:tcPr>
            <w:tcW w:w="2130" w:type="dxa"/>
          </w:tcPr>
          <w:p w14:paraId="1C267EFE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CBDA</w:t>
            </w:r>
          </w:p>
        </w:tc>
        <w:tc>
          <w:tcPr>
            <w:tcW w:w="2340" w:type="dxa"/>
          </w:tcPr>
          <w:p w14:paraId="0BE2973D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358.5</w:t>
            </w:r>
          </w:p>
        </w:tc>
      </w:tr>
      <w:tr w:rsidR="00A05056" w:rsidRPr="001E10F3" w14:paraId="003597CD" w14:textId="77777777" w:rsidTr="00F5543D">
        <w:trPr>
          <w:trHeight w:val="300"/>
        </w:trPr>
        <w:tc>
          <w:tcPr>
            <w:tcW w:w="1590" w:type="dxa"/>
          </w:tcPr>
          <w:p w14:paraId="7A27E8F1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13</w:t>
            </w:r>
          </w:p>
        </w:tc>
        <w:tc>
          <w:tcPr>
            <w:tcW w:w="3300" w:type="dxa"/>
          </w:tcPr>
          <w:p w14:paraId="682050D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cannabigerovarinic acid</w:t>
            </w:r>
          </w:p>
        </w:tc>
        <w:tc>
          <w:tcPr>
            <w:tcW w:w="2130" w:type="dxa"/>
          </w:tcPr>
          <w:p w14:paraId="3ACA72DE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CBGVA</w:t>
            </w:r>
          </w:p>
        </w:tc>
        <w:tc>
          <w:tcPr>
            <w:tcW w:w="2340" w:type="dxa"/>
          </w:tcPr>
          <w:p w14:paraId="03A586EB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332.4</w:t>
            </w:r>
          </w:p>
        </w:tc>
      </w:tr>
      <w:tr w:rsidR="00A05056" w:rsidRPr="001E10F3" w14:paraId="26EF9438" w14:textId="77777777" w:rsidTr="00F5543D">
        <w:trPr>
          <w:trHeight w:val="300"/>
        </w:trPr>
        <w:tc>
          <w:tcPr>
            <w:tcW w:w="1590" w:type="dxa"/>
          </w:tcPr>
          <w:p w14:paraId="230D5051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14</w:t>
            </w:r>
          </w:p>
        </w:tc>
        <w:tc>
          <w:tcPr>
            <w:tcW w:w="3300" w:type="dxa"/>
          </w:tcPr>
          <w:p w14:paraId="50CEF9C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cannabichromevarin</w:t>
            </w:r>
          </w:p>
        </w:tc>
        <w:tc>
          <w:tcPr>
            <w:tcW w:w="2130" w:type="dxa"/>
          </w:tcPr>
          <w:p w14:paraId="2F516B63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CBCV</w:t>
            </w:r>
          </w:p>
        </w:tc>
        <w:tc>
          <w:tcPr>
            <w:tcW w:w="2340" w:type="dxa"/>
          </w:tcPr>
          <w:p w14:paraId="619186DC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286.4</w:t>
            </w:r>
          </w:p>
        </w:tc>
      </w:tr>
      <w:tr w:rsidR="00A05056" w:rsidRPr="001E10F3" w14:paraId="5982A9DC" w14:textId="77777777" w:rsidTr="00F5543D">
        <w:trPr>
          <w:trHeight w:val="300"/>
        </w:trPr>
        <w:tc>
          <w:tcPr>
            <w:tcW w:w="1590" w:type="dxa"/>
          </w:tcPr>
          <w:p w14:paraId="5015EA34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15</w:t>
            </w:r>
          </w:p>
        </w:tc>
        <w:tc>
          <w:tcPr>
            <w:tcW w:w="3300" w:type="dxa"/>
          </w:tcPr>
          <w:p w14:paraId="73C6C021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cannabigerovarin</w:t>
            </w:r>
          </w:p>
        </w:tc>
        <w:tc>
          <w:tcPr>
            <w:tcW w:w="2130" w:type="dxa"/>
          </w:tcPr>
          <w:p w14:paraId="2AC599C4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CBGV</w:t>
            </w:r>
          </w:p>
        </w:tc>
        <w:tc>
          <w:tcPr>
            <w:tcW w:w="2340" w:type="dxa"/>
          </w:tcPr>
          <w:p w14:paraId="79A8BDB4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288.4</w:t>
            </w:r>
          </w:p>
        </w:tc>
      </w:tr>
      <w:tr w:rsidR="00A05056" w:rsidRPr="001E10F3" w14:paraId="34C375A6" w14:textId="77777777" w:rsidTr="00F5543D">
        <w:trPr>
          <w:trHeight w:val="300"/>
        </w:trPr>
        <w:tc>
          <w:tcPr>
            <w:tcW w:w="1590" w:type="dxa"/>
          </w:tcPr>
          <w:p w14:paraId="04BB465A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16</w:t>
            </w:r>
          </w:p>
        </w:tc>
        <w:tc>
          <w:tcPr>
            <w:tcW w:w="3300" w:type="dxa"/>
          </w:tcPr>
          <w:p w14:paraId="1F868D9D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varinolic acid</w:t>
            </w:r>
          </w:p>
        </w:tc>
        <w:tc>
          <w:tcPr>
            <w:tcW w:w="2130" w:type="dxa"/>
          </w:tcPr>
          <w:p w14:paraId="07F38C3E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Varinolic acid</w:t>
            </w:r>
          </w:p>
        </w:tc>
        <w:tc>
          <w:tcPr>
            <w:tcW w:w="2340" w:type="dxa"/>
          </w:tcPr>
          <w:p w14:paraId="2557CF96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196.2</w:t>
            </w:r>
          </w:p>
        </w:tc>
      </w:tr>
      <w:tr w:rsidR="00A05056" w:rsidRPr="001E10F3" w14:paraId="2042FCC7" w14:textId="77777777" w:rsidTr="00F5543D">
        <w:trPr>
          <w:trHeight w:val="300"/>
        </w:trPr>
        <w:tc>
          <w:tcPr>
            <w:tcW w:w="1590" w:type="dxa"/>
          </w:tcPr>
          <w:p w14:paraId="49853812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17</w:t>
            </w:r>
          </w:p>
        </w:tc>
        <w:tc>
          <w:tcPr>
            <w:tcW w:w="3300" w:type="dxa"/>
          </w:tcPr>
          <w:p w14:paraId="16C4F16B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cannabicyclol</w:t>
            </w:r>
          </w:p>
        </w:tc>
        <w:tc>
          <w:tcPr>
            <w:tcW w:w="2130" w:type="dxa"/>
          </w:tcPr>
          <w:p w14:paraId="1C6E586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CBL</w:t>
            </w:r>
          </w:p>
        </w:tc>
        <w:tc>
          <w:tcPr>
            <w:tcW w:w="2340" w:type="dxa"/>
          </w:tcPr>
          <w:p w14:paraId="50427302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314.47</w:t>
            </w:r>
          </w:p>
        </w:tc>
      </w:tr>
      <w:tr w:rsidR="00A05056" w:rsidRPr="001E10F3" w14:paraId="146D6E67" w14:textId="77777777" w:rsidTr="00F5543D">
        <w:trPr>
          <w:trHeight w:val="300"/>
        </w:trPr>
        <w:tc>
          <w:tcPr>
            <w:tcW w:w="1590" w:type="dxa"/>
          </w:tcPr>
          <w:p w14:paraId="44E82B18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18</w:t>
            </w:r>
          </w:p>
        </w:tc>
        <w:tc>
          <w:tcPr>
            <w:tcW w:w="3300" w:type="dxa"/>
          </w:tcPr>
          <w:p w14:paraId="19CA1887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Δ</w:t>
            </w:r>
            <w:r w:rsidRPr="001C5711">
              <w:rPr>
                <w:rFonts w:ascii="Arial" w:eastAsia="Times New Roman" w:hAnsi="Arial" w:cs="Arial"/>
                <w:sz w:val="22"/>
                <w:szCs w:val="22"/>
                <w:vertAlign w:val="superscript"/>
              </w:rPr>
              <w:t>8</w:t>
            </w: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-THCA-A</w:t>
            </w:r>
          </w:p>
        </w:tc>
        <w:tc>
          <w:tcPr>
            <w:tcW w:w="2130" w:type="dxa"/>
          </w:tcPr>
          <w:p w14:paraId="791BC097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Δ</w:t>
            </w:r>
            <w:r w:rsidRPr="001C5711">
              <w:rPr>
                <w:rFonts w:ascii="Arial" w:eastAsia="Times New Roman" w:hAnsi="Arial" w:cs="Arial"/>
                <w:sz w:val="22"/>
                <w:szCs w:val="22"/>
                <w:vertAlign w:val="superscript"/>
              </w:rPr>
              <w:t>8</w:t>
            </w: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-THCA-A</w:t>
            </w:r>
          </w:p>
        </w:tc>
        <w:tc>
          <w:tcPr>
            <w:tcW w:w="2340" w:type="dxa"/>
          </w:tcPr>
          <w:p w14:paraId="38B860FC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358.5</w:t>
            </w:r>
          </w:p>
        </w:tc>
      </w:tr>
      <w:tr w:rsidR="00A05056" w:rsidRPr="001E10F3" w14:paraId="7B33785E" w14:textId="77777777" w:rsidTr="00F5543D">
        <w:trPr>
          <w:trHeight w:val="300"/>
        </w:trPr>
        <w:tc>
          <w:tcPr>
            <w:tcW w:w="1590" w:type="dxa"/>
          </w:tcPr>
          <w:p w14:paraId="45312A80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19</w:t>
            </w:r>
          </w:p>
        </w:tc>
        <w:tc>
          <w:tcPr>
            <w:tcW w:w="3300" w:type="dxa"/>
          </w:tcPr>
          <w:p w14:paraId="0A385C7A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cannabinol monomethyl ether</w:t>
            </w:r>
          </w:p>
        </w:tc>
        <w:tc>
          <w:tcPr>
            <w:tcW w:w="2130" w:type="dxa"/>
          </w:tcPr>
          <w:p w14:paraId="2F405DFB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CBGM</w:t>
            </w:r>
          </w:p>
        </w:tc>
        <w:tc>
          <w:tcPr>
            <w:tcW w:w="2340" w:type="dxa"/>
          </w:tcPr>
          <w:p w14:paraId="53623FB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324.5</w:t>
            </w:r>
          </w:p>
        </w:tc>
      </w:tr>
      <w:tr w:rsidR="00A05056" w:rsidRPr="001E10F3" w14:paraId="483F44A1" w14:textId="77777777" w:rsidTr="00F5543D">
        <w:trPr>
          <w:trHeight w:val="300"/>
        </w:trPr>
        <w:tc>
          <w:tcPr>
            <w:tcW w:w="1590" w:type="dxa"/>
          </w:tcPr>
          <w:p w14:paraId="009D9807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20</w:t>
            </w:r>
          </w:p>
        </w:tc>
        <w:tc>
          <w:tcPr>
            <w:tcW w:w="3300" w:type="dxa"/>
          </w:tcPr>
          <w:p w14:paraId="38DDEAFB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cannabivarin</w:t>
            </w:r>
          </w:p>
        </w:tc>
        <w:tc>
          <w:tcPr>
            <w:tcW w:w="2130" w:type="dxa"/>
          </w:tcPr>
          <w:p w14:paraId="348C7FFE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CBV</w:t>
            </w:r>
          </w:p>
        </w:tc>
        <w:tc>
          <w:tcPr>
            <w:tcW w:w="2340" w:type="dxa"/>
          </w:tcPr>
          <w:p w14:paraId="0D170C4B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282.4</w:t>
            </w:r>
          </w:p>
        </w:tc>
      </w:tr>
      <w:tr w:rsidR="00A05056" w:rsidRPr="001E10F3" w14:paraId="4FE79E61" w14:textId="77777777" w:rsidTr="00F5543D">
        <w:trPr>
          <w:trHeight w:val="300"/>
        </w:trPr>
        <w:tc>
          <w:tcPr>
            <w:tcW w:w="1590" w:type="dxa"/>
          </w:tcPr>
          <w:p w14:paraId="3E38B4D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21</w:t>
            </w:r>
          </w:p>
        </w:tc>
        <w:tc>
          <w:tcPr>
            <w:tcW w:w="3300" w:type="dxa"/>
          </w:tcPr>
          <w:p w14:paraId="207EB2F0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cannabigerorcinic acid</w:t>
            </w:r>
          </w:p>
        </w:tc>
        <w:tc>
          <w:tcPr>
            <w:tcW w:w="2130" w:type="dxa"/>
          </w:tcPr>
          <w:p w14:paraId="37A36D51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CBGOA</w:t>
            </w:r>
          </w:p>
        </w:tc>
        <w:tc>
          <w:tcPr>
            <w:tcW w:w="2340" w:type="dxa"/>
          </w:tcPr>
          <w:p w14:paraId="13A584E2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304.4</w:t>
            </w:r>
          </w:p>
        </w:tc>
      </w:tr>
      <w:tr w:rsidR="00A05056" w:rsidRPr="001E10F3" w14:paraId="579BD10D" w14:textId="77777777" w:rsidTr="00F5543D">
        <w:trPr>
          <w:trHeight w:val="300"/>
        </w:trPr>
        <w:tc>
          <w:tcPr>
            <w:tcW w:w="1590" w:type="dxa"/>
          </w:tcPr>
          <w:p w14:paraId="03B3C5A2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22</w:t>
            </w:r>
          </w:p>
        </w:tc>
        <w:tc>
          <w:tcPr>
            <w:tcW w:w="3300" w:type="dxa"/>
          </w:tcPr>
          <w:p w14:paraId="22B19BE3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6α-hydroxy cannabidiol</w:t>
            </w:r>
          </w:p>
        </w:tc>
        <w:tc>
          <w:tcPr>
            <w:tcW w:w="2130" w:type="dxa"/>
          </w:tcPr>
          <w:p w14:paraId="12B62A9C" w14:textId="7C15A8D4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6H</w:t>
            </w:r>
            <w:r w:rsidR="00A651CD">
              <w:rPr>
                <w:rFonts w:ascii="Arial" w:eastAsia="Times New Roman" w:hAnsi="Arial" w:cs="Arial"/>
                <w:sz w:val="22"/>
                <w:szCs w:val="22"/>
              </w:rPr>
              <w:t>-</w:t>
            </w: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CBD</w:t>
            </w:r>
          </w:p>
        </w:tc>
        <w:tc>
          <w:tcPr>
            <w:tcW w:w="2340" w:type="dxa"/>
          </w:tcPr>
          <w:p w14:paraId="718D5FA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330.5</w:t>
            </w:r>
          </w:p>
        </w:tc>
      </w:tr>
      <w:tr w:rsidR="00A05056" w:rsidRPr="001E10F3" w14:paraId="38497CF1" w14:textId="77777777" w:rsidTr="00F5543D">
        <w:trPr>
          <w:trHeight w:val="300"/>
        </w:trPr>
        <w:tc>
          <w:tcPr>
            <w:tcW w:w="1590" w:type="dxa"/>
          </w:tcPr>
          <w:p w14:paraId="0FAFC6E7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23</w:t>
            </w:r>
          </w:p>
        </w:tc>
        <w:tc>
          <w:tcPr>
            <w:tcW w:w="3300" w:type="dxa"/>
          </w:tcPr>
          <w:p w14:paraId="656E43F6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cannabigerol</w:t>
            </w:r>
          </w:p>
        </w:tc>
        <w:tc>
          <w:tcPr>
            <w:tcW w:w="2130" w:type="dxa"/>
          </w:tcPr>
          <w:p w14:paraId="52322F7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CBG</w:t>
            </w:r>
          </w:p>
        </w:tc>
        <w:tc>
          <w:tcPr>
            <w:tcW w:w="2340" w:type="dxa"/>
          </w:tcPr>
          <w:p w14:paraId="6A541F81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316.48</w:t>
            </w:r>
          </w:p>
        </w:tc>
      </w:tr>
      <w:tr w:rsidR="00A05056" w:rsidRPr="001E10F3" w14:paraId="3F640681" w14:textId="77777777" w:rsidTr="00F5543D">
        <w:trPr>
          <w:trHeight w:val="300"/>
        </w:trPr>
        <w:tc>
          <w:tcPr>
            <w:tcW w:w="1590" w:type="dxa"/>
          </w:tcPr>
          <w:p w14:paraId="764B04A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24</w:t>
            </w:r>
          </w:p>
        </w:tc>
        <w:tc>
          <w:tcPr>
            <w:tcW w:w="3300" w:type="dxa"/>
          </w:tcPr>
          <w:p w14:paraId="36FEC2CD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cannabigerolic acid</w:t>
            </w:r>
          </w:p>
        </w:tc>
        <w:tc>
          <w:tcPr>
            <w:tcW w:w="2130" w:type="dxa"/>
          </w:tcPr>
          <w:p w14:paraId="6684129B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CBGA</w:t>
            </w:r>
          </w:p>
        </w:tc>
        <w:tc>
          <w:tcPr>
            <w:tcW w:w="2340" w:type="dxa"/>
          </w:tcPr>
          <w:p w14:paraId="73CA9FDE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360.49</w:t>
            </w:r>
          </w:p>
        </w:tc>
      </w:tr>
      <w:tr w:rsidR="00A05056" w:rsidRPr="001E10F3" w14:paraId="225774E1" w14:textId="77777777" w:rsidTr="00F5543D">
        <w:trPr>
          <w:trHeight w:val="300"/>
        </w:trPr>
        <w:tc>
          <w:tcPr>
            <w:tcW w:w="1590" w:type="dxa"/>
          </w:tcPr>
          <w:p w14:paraId="7B5A4A44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25</w:t>
            </w:r>
          </w:p>
        </w:tc>
        <w:tc>
          <w:tcPr>
            <w:tcW w:w="3300" w:type="dxa"/>
          </w:tcPr>
          <w:p w14:paraId="51E016E0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cannabidibutol</w:t>
            </w:r>
          </w:p>
        </w:tc>
        <w:tc>
          <w:tcPr>
            <w:tcW w:w="2130" w:type="dxa"/>
          </w:tcPr>
          <w:p w14:paraId="1CDA791A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CBDB</w:t>
            </w:r>
          </w:p>
        </w:tc>
        <w:tc>
          <w:tcPr>
            <w:tcW w:w="2340" w:type="dxa"/>
          </w:tcPr>
          <w:p w14:paraId="0464993D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300.4</w:t>
            </w:r>
          </w:p>
        </w:tc>
      </w:tr>
      <w:tr w:rsidR="00A05056" w:rsidRPr="001E10F3" w14:paraId="31D3BB5C" w14:textId="77777777" w:rsidTr="00F5543D">
        <w:trPr>
          <w:trHeight w:val="300"/>
        </w:trPr>
        <w:tc>
          <w:tcPr>
            <w:tcW w:w="1590" w:type="dxa"/>
          </w:tcPr>
          <w:p w14:paraId="102BACAA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26</w:t>
            </w:r>
          </w:p>
        </w:tc>
        <w:tc>
          <w:tcPr>
            <w:tcW w:w="3300" w:type="dxa"/>
          </w:tcPr>
          <w:p w14:paraId="768BAFD3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cannabidiphorol</w:t>
            </w:r>
          </w:p>
        </w:tc>
        <w:tc>
          <w:tcPr>
            <w:tcW w:w="2130" w:type="dxa"/>
          </w:tcPr>
          <w:p w14:paraId="67E52916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CBDP</w:t>
            </w:r>
          </w:p>
        </w:tc>
        <w:tc>
          <w:tcPr>
            <w:tcW w:w="2340" w:type="dxa"/>
          </w:tcPr>
          <w:p w14:paraId="5D661F83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342.5</w:t>
            </w:r>
          </w:p>
        </w:tc>
      </w:tr>
      <w:tr w:rsidR="00A05056" w:rsidRPr="001E10F3" w14:paraId="429F51AD" w14:textId="77777777" w:rsidTr="00F5543D">
        <w:trPr>
          <w:trHeight w:val="300"/>
        </w:trPr>
        <w:tc>
          <w:tcPr>
            <w:tcW w:w="1590" w:type="dxa"/>
          </w:tcPr>
          <w:p w14:paraId="22C778F0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27</w:t>
            </w:r>
          </w:p>
        </w:tc>
        <w:tc>
          <w:tcPr>
            <w:tcW w:w="3300" w:type="dxa"/>
          </w:tcPr>
          <w:p w14:paraId="597751B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Δ</w:t>
            </w:r>
            <w:r w:rsidRPr="001C5711">
              <w:rPr>
                <w:rFonts w:ascii="Arial" w:eastAsia="Times New Roman" w:hAnsi="Arial" w:cs="Arial"/>
                <w:sz w:val="22"/>
                <w:szCs w:val="22"/>
                <w:vertAlign w:val="superscript"/>
              </w:rPr>
              <w:t>9</w:t>
            </w: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-THCP</w:t>
            </w:r>
          </w:p>
        </w:tc>
        <w:tc>
          <w:tcPr>
            <w:tcW w:w="2130" w:type="dxa"/>
          </w:tcPr>
          <w:p w14:paraId="51870B6F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Δ</w:t>
            </w:r>
            <w:r w:rsidRPr="001C5711">
              <w:rPr>
                <w:rFonts w:ascii="Arial" w:eastAsia="Times New Roman" w:hAnsi="Arial" w:cs="Arial"/>
                <w:sz w:val="22"/>
                <w:szCs w:val="22"/>
                <w:vertAlign w:val="superscript"/>
              </w:rPr>
              <w:t>9</w:t>
            </w: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-THCP</w:t>
            </w:r>
          </w:p>
        </w:tc>
        <w:tc>
          <w:tcPr>
            <w:tcW w:w="2340" w:type="dxa"/>
          </w:tcPr>
          <w:p w14:paraId="44CE8A60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342.5</w:t>
            </w:r>
          </w:p>
        </w:tc>
      </w:tr>
      <w:tr w:rsidR="00A05056" w:rsidRPr="001E10F3" w14:paraId="249BF898" w14:textId="77777777" w:rsidTr="00F5543D">
        <w:trPr>
          <w:trHeight w:val="300"/>
        </w:trPr>
        <w:tc>
          <w:tcPr>
            <w:tcW w:w="1590" w:type="dxa"/>
          </w:tcPr>
          <w:p w14:paraId="750D3AA7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28</w:t>
            </w:r>
          </w:p>
        </w:tc>
        <w:tc>
          <w:tcPr>
            <w:tcW w:w="3300" w:type="dxa"/>
          </w:tcPr>
          <w:p w14:paraId="17900C96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 xml:space="preserve">cannabidiol </w:t>
            </w:r>
          </w:p>
        </w:tc>
        <w:tc>
          <w:tcPr>
            <w:tcW w:w="2130" w:type="dxa"/>
          </w:tcPr>
          <w:p w14:paraId="0C3F89F9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CBD</w:t>
            </w:r>
          </w:p>
        </w:tc>
        <w:tc>
          <w:tcPr>
            <w:tcW w:w="2340" w:type="dxa"/>
          </w:tcPr>
          <w:p w14:paraId="7C9CC0C3" w14:textId="77777777" w:rsidR="00A05056" w:rsidRPr="001E10F3" w:rsidRDefault="00A05056" w:rsidP="00F55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0F3">
              <w:rPr>
                <w:rFonts w:ascii="Arial" w:eastAsia="Times New Roman" w:hAnsi="Arial" w:cs="Arial"/>
                <w:sz w:val="22"/>
                <w:szCs w:val="22"/>
              </w:rPr>
              <w:t>314.47</w:t>
            </w:r>
          </w:p>
        </w:tc>
      </w:tr>
    </w:tbl>
    <w:bookmarkEnd w:id="0"/>
    <w:bookmarkEnd w:id="1"/>
    <w:p w14:paraId="0E9CAD86" w14:textId="4A50FD62" w:rsidR="00A05056" w:rsidRPr="00A05056" w:rsidRDefault="00A05056" w:rsidP="00A05056">
      <w:pPr>
        <w:spacing w:before="220" w:after="220"/>
        <w:rPr>
          <w:rFonts w:ascii="Arial" w:eastAsia="Arial" w:hAnsi="Arial" w:cs="Arial"/>
          <w:b/>
          <w:bCs/>
          <w:color w:val="000000" w:themeColor="text1"/>
        </w:rPr>
      </w:pPr>
      <w:r w:rsidRPr="00A05056">
        <w:rPr>
          <w:rFonts w:ascii="Arial" w:eastAsia="Times New Roman" w:hAnsi="Arial" w:cs="Arial"/>
          <w:b/>
          <w:bCs/>
        </w:rPr>
        <w:t xml:space="preserve">Supplementary Table 1. List of the tested phytocannabinoids. </w:t>
      </w:r>
      <w:r w:rsidRPr="00A05056">
        <w:rPr>
          <w:rFonts w:ascii="Arial" w:eastAsia="Times New Roman" w:hAnsi="Arial" w:cs="Arial"/>
        </w:rPr>
        <w:t xml:space="preserve">Compound ID number used throughout the study is shown, together with full name, abbreviation, and molecular weight. </w:t>
      </w:r>
      <w:r w:rsidRPr="00A05056">
        <w:rPr>
          <w:rFonts w:ascii="Arial" w:eastAsia="Times New Roman" w:hAnsi="Arial" w:cs="Arial"/>
          <w:b/>
          <w:bCs/>
        </w:rPr>
        <w:t xml:space="preserve"> </w:t>
      </w:r>
    </w:p>
    <w:p w14:paraId="4C8025F6" w14:textId="77777777" w:rsidR="00DC504A" w:rsidRDefault="00DC504A" w:rsidP="00DC504A">
      <w:pPr>
        <w:rPr>
          <w:rFonts w:ascii="Arial" w:hAnsi="Arial" w:cs="Arial"/>
        </w:rPr>
      </w:pPr>
    </w:p>
    <w:p w14:paraId="60E37A9F" w14:textId="7E1B2F80" w:rsidR="00B61CFA" w:rsidRPr="00F601DD" w:rsidRDefault="00B61CFA" w:rsidP="00DC504A">
      <w:pPr>
        <w:rPr>
          <w:rFonts w:ascii="Arial" w:hAnsi="Arial" w:cs="Arial"/>
        </w:rPr>
      </w:pPr>
    </w:p>
    <w:sectPr w:rsidR="00B61CFA" w:rsidRPr="00F601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04A"/>
    <w:rsid w:val="00016950"/>
    <w:rsid w:val="000465FE"/>
    <w:rsid w:val="00057608"/>
    <w:rsid w:val="001A1D55"/>
    <w:rsid w:val="001C41A1"/>
    <w:rsid w:val="001C5711"/>
    <w:rsid w:val="001E7CA0"/>
    <w:rsid w:val="002515F3"/>
    <w:rsid w:val="002E1F74"/>
    <w:rsid w:val="00350F1E"/>
    <w:rsid w:val="0036511D"/>
    <w:rsid w:val="0047224C"/>
    <w:rsid w:val="00482C3D"/>
    <w:rsid w:val="00507A38"/>
    <w:rsid w:val="0052665A"/>
    <w:rsid w:val="005D63B2"/>
    <w:rsid w:val="00633AD7"/>
    <w:rsid w:val="0065059F"/>
    <w:rsid w:val="006D6382"/>
    <w:rsid w:val="007220E8"/>
    <w:rsid w:val="00777631"/>
    <w:rsid w:val="007870AC"/>
    <w:rsid w:val="007954EE"/>
    <w:rsid w:val="007E44F2"/>
    <w:rsid w:val="00806FB7"/>
    <w:rsid w:val="008C5B3D"/>
    <w:rsid w:val="008E054D"/>
    <w:rsid w:val="0096611E"/>
    <w:rsid w:val="00980BEB"/>
    <w:rsid w:val="009A1545"/>
    <w:rsid w:val="009E0DCC"/>
    <w:rsid w:val="00A05056"/>
    <w:rsid w:val="00A10079"/>
    <w:rsid w:val="00A220C6"/>
    <w:rsid w:val="00A54027"/>
    <w:rsid w:val="00A651CD"/>
    <w:rsid w:val="00AA4E61"/>
    <w:rsid w:val="00AF1DF6"/>
    <w:rsid w:val="00B61CFA"/>
    <w:rsid w:val="00BC578F"/>
    <w:rsid w:val="00CD1430"/>
    <w:rsid w:val="00CF6E69"/>
    <w:rsid w:val="00D36E0D"/>
    <w:rsid w:val="00DB2026"/>
    <w:rsid w:val="00DC504A"/>
    <w:rsid w:val="00E32CA8"/>
    <w:rsid w:val="00E834A8"/>
    <w:rsid w:val="00E96856"/>
    <w:rsid w:val="00ED6CFC"/>
    <w:rsid w:val="00F02653"/>
    <w:rsid w:val="00F5543D"/>
    <w:rsid w:val="00F601DD"/>
    <w:rsid w:val="00F661BB"/>
    <w:rsid w:val="00F7663F"/>
    <w:rsid w:val="00FD5D24"/>
    <w:rsid w:val="00FE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182AD"/>
  <w15:chartTrackingRefBased/>
  <w15:docId w15:val="{6D72E945-A11D-4348-98C3-8762B8258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0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0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0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0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0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0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0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0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0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0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0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0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0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0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0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0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0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0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0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0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0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0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0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0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0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0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0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0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04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A05056"/>
    <w:pPr>
      <w:spacing w:after="0" w:line="240" w:lineRule="auto"/>
    </w:pPr>
    <w:rPr>
      <w:rFonts w:eastAsiaTheme="minorEastAsia"/>
      <w:kern w:val="0"/>
      <w:lang w:eastAsia="ja-JP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659</Words>
  <Characters>3917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Fallini</dc:creator>
  <cp:keywords/>
  <dc:description/>
  <cp:lastModifiedBy>Claudia Fallini</cp:lastModifiedBy>
  <cp:revision>3</cp:revision>
  <dcterms:created xsi:type="dcterms:W3CDTF">2025-12-30T17:24:00Z</dcterms:created>
  <dcterms:modified xsi:type="dcterms:W3CDTF">2026-01-06T18:49:00Z</dcterms:modified>
</cp:coreProperties>
</file>