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C32F6" w14:textId="77777777" w:rsidR="007113E0" w:rsidRDefault="007113E0" w:rsidP="00441A2D">
      <w:r>
        <w:t>Supplemental Figures</w:t>
      </w:r>
    </w:p>
    <w:p w14:paraId="65CAC229" w14:textId="77777777" w:rsidR="00460370" w:rsidRDefault="00460370" w:rsidP="003A0165">
      <w:pPr>
        <w:rPr>
          <w:rFonts w:ascii="Calibri" w:eastAsia="Calibri" w:hAnsi="Calibri" w:cs="Calibri"/>
          <w:sz w:val="24"/>
          <w:szCs w:val="24"/>
        </w:rPr>
      </w:pPr>
    </w:p>
    <w:p w14:paraId="1F7FE6D7" w14:textId="7C018D4A" w:rsidR="00460370" w:rsidRDefault="003C66EE" w:rsidP="003A0165">
      <w:pPr>
        <w:rPr>
          <w:rFonts w:ascii="Calibri" w:eastAsia="Calibri" w:hAnsi="Calibri" w:cs="Calibri"/>
          <w:sz w:val="24"/>
          <w:szCs w:val="24"/>
        </w:rPr>
      </w:pPr>
      <w:r w:rsidRPr="003C66EE">
        <w:rPr>
          <w:rFonts w:ascii="Calibri" w:eastAsia="Calibri" w:hAnsi="Calibri" w:cs="Calibri"/>
          <w:noProof/>
          <w:sz w:val="24"/>
          <w:szCs w:val="24"/>
          <w:lang w:val="en-US" w:eastAsia="en-US"/>
        </w:rPr>
        <w:drawing>
          <wp:inline distT="0" distB="0" distL="0" distR="0" wp14:anchorId="62963E53" wp14:editId="039C508D">
            <wp:extent cx="5943600" cy="5146040"/>
            <wp:effectExtent l="0" t="0" r="0" b="0"/>
            <wp:docPr id="477195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950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B96D0" w14:textId="6754A02F" w:rsidR="00CB2202" w:rsidRPr="00695613" w:rsidRDefault="00460370" w:rsidP="00BF11A6">
      <w:pPr>
        <w:pStyle w:val="Caption"/>
        <w:spacing w:line="480" w:lineRule="auto"/>
        <w:rPr>
          <w:b/>
          <w:i w:val="0"/>
          <w:color w:val="FF0000"/>
        </w:rPr>
      </w:pPr>
      <w:r>
        <w:rPr>
          <w:b/>
          <w:bCs/>
          <w:i w:val="0"/>
          <w:color w:val="000000" w:themeColor="text1"/>
        </w:rPr>
        <w:t>S</w:t>
      </w:r>
      <w:r w:rsidR="00B1533D">
        <w:rPr>
          <w:b/>
          <w:bCs/>
          <w:i w:val="0"/>
          <w:color w:val="000000" w:themeColor="text1"/>
        </w:rPr>
        <w:t xml:space="preserve">upplemental Figure </w:t>
      </w:r>
      <w:r>
        <w:rPr>
          <w:b/>
          <w:bCs/>
          <w:i w:val="0"/>
          <w:color w:val="000000" w:themeColor="text1"/>
        </w:rPr>
        <w:t>1</w:t>
      </w:r>
      <w:r w:rsidRPr="009F38C6">
        <w:rPr>
          <w:b/>
          <w:bCs/>
          <w:i w:val="0"/>
          <w:color w:val="000000" w:themeColor="text1"/>
        </w:rPr>
        <w:t xml:space="preserve">: </w:t>
      </w:r>
      <w:r w:rsidR="00BF11A6">
        <w:rPr>
          <w:b/>
          <w:bCs/>
          <w:i w:val="0"/>
          <w:color w:val="000000" w:themeColor="text1"/>
        </w:rPr>
        <w:t xml:space="preserve">Sex interacted with group and THC in the tail flick assay and rectal temperature recordings, respectively. </w:t>
      </w:r>
      <w:r w:rsidR="00CB2202">
        <w:rPr>
          <w:i w:val="0"/>
          <w:color w:val="000000" w:themeColor="text1"/>
        </w:rPr>
        <w:t xml:space="preserve">Across all panels, left side graphs represent female data while right side graphs represent male data. </w:t>
      </w:r>
      <w:r w:rsidR="00CB2202" w:rsidRPr="00A17A36">
        <w:rPr>
          <w:i w:val="0"/>
          <w:color w:val="000000" w:themeColor="text1"/>
        </w:rPr>
        <w:t>Bar plots represent means, and individual points are shown</w:t>
      </w:r>
      <w:r w:rsidR="00CB2202">
        <w:rPr>
          <w:i w:val="0"/>
          <w:color w:val="000000" w:themeColor="text1"/>
        </w:rPr>
        <w:t xml:space="preserve"> ± S.E.M. </w:t>
      </w:r>
      <w:r w:rsidR="00CB2202" w:rsidRPr="00A17A36">
        <w:rPr>
          <w:i w:val="0"/>
          <w:color w:val="000000" w:themeColor="text1"/>
        </w:rPr>
        <w:t xml:space="preserve">Significant main effects of </w:t>
      </w:r>
      <w:r w:rsidR="00CB2202">
        <w:rPr>
          <w:i w:val="0"/>
          <w:color w:val="000000" w:themeColor="text1"/>
        </w:rPr>
        <w:t xml:space="preserve">gene and </w:t>
      </w:r>
      <w:r w:rsidR="00CB2202" w:rsidRPr="00A17A36">
        <w:rPr>
          <w:i w:val="0"/>
          <w:color w:val="000000" w:themeColor="text1"/>
        </w:rPr>
        <w:t xml:space="preserve">sex are indicated by </w:t>
      </w:r>
      <w:r w:rsidR="00CB2202">
        <w:rPr>
          <w:i w:val="0"/>
          <w:color w:val="FF0000"/>
        </w:rPr>
        <w:t>#</w:t>
      </w:r>
      <w:r w:rsidR="00CB2202" w:rsidRPr="00A17A36">
        <w:rPr>
          <w:i w:val="0"/>
          <w:color w:val="000000" w:themeColor="text1"/>
        </w:rPr>
        <w:t>p&lt;0.</w:t>
      </w:r>
      <w:r w:rsidR="00CB2202">
        <w:rPr>
          <w:i w:val="0"/>
          <w:color w:val="000000" w:themeColor="text1"/>
        </w:rPr>
        <w:t xml:space="preserve">1, </w:t>
      </w:r>
      <w:r w:rsidR="00CB2202" w:rsidRPr="00426E3B">
        <w:rPr>
          <w:i w:val="0"/>
          <w:color w:val="FF0000"/>
        </w:rPr>
        <w:t>*</w:t>
      </w:r>
      <w:r w:rsidR="00CB2202">
        <w:rPr>
          <w:i w:val="0"/>
          <w:color w:val="FF0000"/>
        </w:rPr>
        <w:t>*</w:t>
      </w:r>
      <w:r w:rsidR="00CB2202" w:rsidRPr="00A17A36">
        <w:rPr>
          <w:i w:val="0"/>
          <w:color w:val="000000" w:themeColor="text1"/>
        </w:rPr>
        <w:t>p&lt;0.0</w:t>
      </w:r>
      <w:r w:rsidR="00CB2202">
        <w:rPr>
          <w:i w:val="0"/>
          <w:color w:val="000000" w:themeColor="text1"/>
        </w:rPr>
        <w:t>1</w:t>
      </w:r>
      <w:r w:rsidR="00CB2202" w:rsidRPr="00A17A36">
        <w:rPr>
          <w:i w:val="0"/>
          <w:color w:val="000000" w:themeColor="text1"/>
        </w:rPr>
        <w:t xml:space="preserve">, </w:t>
      </w:r>
      <w:r w:rsidR="00CB2202" w:rsidRPr="00426E3B">
        <w:rPr>
          <w:i w:val="0"/>
          <w:color w:val="FF0000"/>
        </w:rPr>
        <w:t>***</w:t>
      </w:r>
      <w:r w:rsidR="00CB2202" w:rsidRPr="00A17A36">
        <w:rPr>
          <w:i w:val="0"/>
          <w:color w:val="000000" w:themeColor="text1"/>
        </w:rPr>
        <w:t>p&lt;0.001</w:t>
      </w:r>
      <w:r w:rsidR="00CB2202">
        <w:rPr>
          <w:i w:val="0"/>
          <w:color w:val="000000" w:themeColor="text1"/>
        </w:rPr>
        <w:t>.</w:t>
      </w:r>
      <w:r w:rsidR="00695613">
        <w:rPr>
          <w:i w:val="0"/>
          <w:color w:val="000000" w:themeColor="text1"/>
        </w:rPr>
        <w:t xml:space="preserve"> </w:t>
      </w:r>
      <w:r w:rsidR="0094049A" w:rsidRPr="00EA3AFA">
        <w:rPr>
          <w:i w:val="0"/>
          <w:color w:val="FF0000"/>
        </w:rPr>
        <w:t>†</w:t>
      </w:r>
      <w:r w:rsidR="00695613">
        <w:rPr>
          <w:i w:val="0"/>
          <w:color w:val="000000" w:themeColor="text1"/>
        </w:rPr>
        <w:t xml:space="preserve">= significant difference in group within dose. </w:t>
      </w:r>
      <w:r w:rsidR="00695613" w:rsidRPr="00695613">
        <w:rPr>
          <w:b/>
          <w:i w:val="0"/>
          <w:color w:val="FF0000"/>
          <w:sz w:val="22"/>
        </w:rPr>
        <w:t>ǂ</w:t>
      </w:r>
      <w:r w:rsidR="00695613">
        <w:rPr>
          <w:i w:val="0"/>
          <w:color w:val="000000" w:themeColor="text1"/>
        </w:rPr>
        <w:t xml:space="preserve"> = significant difference in sex within group. </w:t>
      </w:r>
    </w:p>
    <w:p w14:paraId="4BE9B1F5" w14:textId="5793790F" w:rsidR="0089677C" w:rsidRPr="00B1533D" w:rsidRDefault="00CB2202" w:rsidP="00B1533D">
      <w:pPr>
        <w:spacing w:line="480" w:lineRule="auto"/>
        <w:ind w:firstLine="720"/>
        <w:rPr>
          <w:iCs/>
          <w:color w:val="000000" w:themeColor="text1"/>
          <w:sz w:val="18"/>
          <w:szCs w:val="18"/>
        </w:rPr>
      </w:pPr>
      <w:r w:rsidRPr="00B1533D">
        <w:rPr>
          <w:b/>
          <w:bCs/>
          <w:iCs/>
          <w:color w:val="000000" w:themeColor="text1"/>
          <w:sz w:val="18"/>
          <w:szCs w:val="18"/>
        </w:rPr>
        <w:t>A</w:t>
      </w:r>
      <w:r w:rsidR="00B1533D">
        <w:rPr>
          <w:b/>
          <w:bCs/>
          <w:iCs/>
          <w:color w:val="000000" w:themeColor="text1"/>
          <w:sz w:val="18"/>
          <w:szCs w:val="18"/>
        </w:rPr>
        <w:t xml:space="preserve"> - </w:t>
      </w:r>
      <w:r w:rsidRPr="00B1533D">
        <w:rPr>
          <w:iCs/>
          <w:color w:val="000000" w:themeColor="text1"/>
          <w:sz w:val="18"/>
          <w:szCs w:val="18"/>
        </w:rPr>
        <w:t>No main effect of sex was observed but sex interacted with group on tail flick time outcome in the tail flick assay</w:t>
      </w:r>
      <w:r w:rsidR="0089677C" w:rsidRPr="00B1533D">
        <w:rPr>
          <w:iCs/>
          <w:color w:val="000000" w:themeColor="text1"/>
          <w:sz w:val="18"/>
          <w:szCs w:val="18"/>
        </w:rPr>
        <w:t xml:space="preserve"> </w:t>
      </w:r>
      <w:proofErr w:type="gramStart"/>
      <w:r w:rsidR="0089677C" w:rsidRPr="00B1533D">
        <w:rPr>
          <w:iCs/>
          <w:color w:val="000000" w:themeColor="text1"/>
          <w:sz w:val="18"/>
          <w:szCs w:val="18"/>
        </w:rPr>
        <w:t>F(2,115)=</w:t>
      </w:r>
      <w:proofErr w:type="gramEnd"/>
      <w:r w:rsidR="0089677C" w:rsidRPr="00B1533D">
        <w:rPr>
          <w:iCs/>
          <w:color w:val="000000" w:themeColor="text1"/>
          <w:sz w:val="18"/>
          <w:szCs w:val="18"/>
        </w:rPr>
        <w:t>15.051, p&lt;0.001] where F344 rats had lower tail flick times relative to the other groups in males only (</w:t>
      </w:r>
      <w:proofErr w:type="spellStart"/>
      <w:r w:rsidR="0089677C" w:rsidRPr="00B1533D">
        <w:rPr>
          <w:iCs/>
          <w:color w:val="000000" w:themeColor="text1"/>
          <w:sz w:val="18"/>
          <w:szCs w:val="18"/>
        </w:rPr>
        <w:t>ps</w:t>
      </w:r>
      <w:proofErr w:type="spellEnd"/>
      <w:r w:rsidR="0089677C" w:rsidRPr="00B1533D">
        <w:rPr>
          <w:iCs/>
          <w:color w:val="000000" w:themeColor="text1"/>
          <w:sz w:val="18"/>
          <w:szCs w:val="18"/>
        </w:rPr>
        <w:t>&lt;0.001). Further group comparisons revealed</w:t>
      </w:r>
      <w:r w:rsidR="00B1533D">
        <w:rPr>
          <w:iCs/>
          <w:color w:val="000000" w:themeColor="text1"/>
          <w:sz w:val="18"/>
          <w:szCs w:val="18"/>
        </w:rPr>
        <w:t xml:space="preserve"> that </w:t>
      </w:r>
      <w:r w:rsidR="0089677C" w:rsidRPr="00B1533D">
        <w:rPr>
          <w:iCs/>
          <w:color w:val="000000" w:themeColor="text1"/>
          <w:sz w:val="18"/>
          <w:szCs w:val="18"/>
        </w:rPr>
        <w:t xml:space="preserve">males had higher tail flick time relative to females in WT </w:t>
      </w:r>
      <w:r w:rsidR="0089677C" w:rsidRPr="00B1533D">
        <w:rPr>
          <w:iCs/>
          <w:color w:val="000000" w:themeColor="text1"/>
          <w:sz w:val="18"/>
          <w:szCs w:val="18"/>
        </w:rPr>
        <w:lastRenderedPageBreak/>
        <w:t xml:space="preserve">(p&lt;0.001) and TG (p=0.002) groups, whereas females had higher tail flick times relative to males within the F344 group (p&lt;0.001). </w:t>
      </w:r>
    </w:p>
    <w:p w14:paraId="02785B5F" w14:textId="403B9B73" w:rsidR="003C66EE" w:rsidRPr="00B1533D" w:rsidRDefault="003C66EE" w:rsidP="00B1533D">
      <w:pPr>
        <w:spacing w:line="480" w:lineRule="auto"/>
        <w:ind w:firstLine="720"/>
        <w:rPr>
          <w:iCs/>
          <w:color w:val="000000" w:themeColor="text1"/>
          <w:sz w:val="18"/>
          <w:szCs w:val="18"/>
        </w:rPr>
      </w:pPr>
      <w:r w:rsidRPr="00B1533D">
        <w:rPr>
          <w:b/>
          <w:bCs/>
          <w:iCs/>
          <w:color w:val="000000" w:themeColor="text1"/>
          <w:sz w:val="18"/>
          <w:szCs w:val="18"/>
        </w:rPr>
        <w:t>B</w:t>
      </w:r>
      <w:r w:rsidR="00B1533D">
        <w:rPr>
          <w:b/>
          <w:bCs/>
          <w:iCs/>
          <w:color w:val="000000" w:themeColor="text1"/>
          <w:sz w:val="18"/>
          <w:szCs w:val="18"/>
        </w:rPr>
        <w:t xml:space="preserve"> - </w:t>
      </w:r>
      <w:r w:rsidRPr="00B1533D">
        <w:rPr>
          <w:iCs/>
          <w:color w:val="000000" w:themeColor="text1"/>
          <w:sz w:val="18"/>
          <w:szCs w:val="18"/>
        </w:rPr>
        <w:t>No main effect of sex was observed on rectal temperature, but sex interacted with THC [</w:t>
      </w:r>
      <w:proofErr w:type="gramStart"/>
      <w:r w:rsidRPr="00B1533D">
        <w:rPr>
          <w:iCs/>
          <w:color w:val="000000" w:themeColor="text1"/>
          <w:sz w:val="18"/>
          <w:szCs w:val="18"/>
        </w:rPr>
        <w:t>F(2,115)=</w:t>
      </w:r>
      <w:proofErr w:type="gramEnd"/>
      <w:r w:rsidRPr="00B1533D">
        <w:rPr>
          <w:iCs/>
          <w:color w:val="000000" w:themeColor="text1"/>
          <w:sz w:val="18"/>
          <w:szCs w:val="18"/>
        </w:rPr>
        <w:t>6.502, p=0.002]. Post hoc analyses revealed that 3 mg/kg THC reduced body temperature relative to 0.3 mg/kg THC and vehicle in females only (</w:t>
      </w:r>
      <w:proofErr w:type="spellStart"/>
      <w:r w:rsidRPr="00B1533D">
        <w:rPr>
          <w:iCs/>
          <w:color w:val="000000" w:themeColor="text1"/>
          <w:sz w:val="18"/>
          <w:szCs w:val="18"/>
        </w:rPr>
        <w:t>ps</w:t>
      </w:r>
      <w:proofErr w:type="spellEnd"/>
      <w:r w:rsidRPr="00B1533D">
        <w:rPr>
          <w:iCs/>
          <w:color w:val="000000" w:themeColor="text1"/>
          <w:sz w:val="18"/>
          <w:szCs w:val="18"/>
        </w:rPr>
        <w:t>&lt;0.001) while 3 mg/kg THC tended to reduce body temperature relative to 0.3 mg/kg THC in males (p=0.069). Further group comparisons revealed that males had lower body temperature relative to females when treated within VEH (p=0.012) or 0.3 mg/kg THC (trend; p=0.074), though females had lower temperatures than males when treated with 3 mg/kg THC. No main effect of sex or interactions of sex with group, or THC and group were observed (F&lt;2.176, ns).</w:t>
      </w:r>
    </w:p>
    <w:p w14:paraId="63A6598B" w14:textId="5E55F8B1" w:rsidR="003C66EE" w:rsidRDefault="003C66EE" w:rsidP="0089677C">
      <w:pPr>
        <w:spacing w:line="480" w:lineRule="auto"/>
      </w:pPr>
    </w:p>
    <w:p w14:paraId="396ED070" w14:textId="5F5CEF73" w:rsidR="00CB2202" w:rsidRPr="00CB2202" w:rsidRDefault="00CB2202" w:rsidP="00CB2202"/>
    <w:p w14:paraId="15C3D877" w14:textId="77777777" w:rsidR="00CB2202" w:rsidRPr="00CB2202" w:rsidRDefault="00CB2202" w:rsidP="00CB2202"/>
    <w:p w14:paraId="0AE87349" w14:textId="77777777" w:rsidR="00460370" w:rsidRDefault="00460370" w:rsidP="003A0165">
      <w:pPr>
        <w:rPr>
          <w:rFonts w:ascii="Calibri" w:eastAsia="Calibri" w:hAnsi="Calibri" w:cs="Calibri"/>
          <w:sz w:val="24"/>
          <w:szCs w:val="24"/>
        </w:rPr>
      </w:pPr>
    </w:p>
    <w:p w14:paraId="5256D0FD" w14:textId="77777777" w:rsidR="00460370" w:rsidRDefault="00460370" w:rsidP="003A0165">
      <w:pPr>
        <w:rPr>
          <w:rFonts w:ascii="Calibri" w:eastAsia="Calibri" w:hAnsi="Calibri" w:cs="Calibri"/>
          <w:sz w:val="24"/>
          <w:szCs w:val="24"/>
        </w:rPr>
      </w:pPr>
    </w:p>
    <w:p w14:paraId="747DA06D" w14:textId="4E2CE54C" w:rsidR="00460370" w:rsidRDefault="00CB2202" w:rsidP="00460370">
      <w:pPr>
        <w:jc w:val="center"/>
        <w:rPr>
          <w:rFonts w:ascii="Calibri" w:eastAsia="Calibri" w:hAnsi="Calibri" w:cs="Calibri"/>
          <w:sz w:val="24"/>
          <w:szCs w:val="24"/>
        </w:rPr>
      </w:pPr>
      <w:r w:rsidRPr="00CB2202">
        <w:rPr>
          <w:rFonts w:ascii="Calibri" w:eastAsia="Calibri" w:hAnsi="Calibri" w:cs="Calibri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B65671B" wp14:editId="6C31501F">
            <wp:extent cx="4749165" cy="8229600"/>
            <wp:effectExtent l="0" t="0" r="635" b="0"/>
            <wp:docPr id="1666811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114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87F6" w14:textId="3B3E431B" w:rsidR="00DB14DC" w:rsidRDefault="00460370" w:rsidP="00BF11A6">
      <w:pPr>
        <w:pStyle w:val="Caption"/>
        <w:spacing w:line="480" w:lineRule="auto"/>
        <w:rPr>
          <w:i w:val="0"/>
          <w:color w:val="000000" w:themeColor="text1"/>
        </w:rPr>
      </w:pPr>
      <w:r w:rsidRPr="009F38C6">
        <w:rPr>
          <w:b/>
          <w:bCs/>
          <w:i w:val="0"/>
          <w:color w:val="000000" w:themeColor="text1"/>
        </w:rPr>
        <w:lastRenderedPageBreak/>
        <w:t xml:space="preserve">S3 </w:t>
      </w:r>
      <w:proofErr w:type="gramStart"/>
      <w:r w:rsidRPr="009F38C6">
        <w:rPr>
          <w:b/>
          <w:bCs/>
          <w:i w:val="0"/>
          <w:color w:val="000000" w:themeColor="text1"/>
        </w:rPr>
        <w:t xml:space="preserve">-  </w:t>
      </w:r>
      <w:r w:rsidR="00BF11A6">
        <w:rPr>
          <w:b/>
          <w:bCs/>
          <w:i w:val="0"/>
          <w:color w:val="000000" w:themeColor="text1"/>
        </w:rPr>
        <w:t>Sex</w:t>
      </w:r>
      <w:proofErr w:type="gramEnd"/>
      <w:r w:rsidR="00BF11A6">
        <w:rPr>
          <w:b/>
          <w:bCs/>
          <w:i w:val="0"/>
          <w:color w:val="000000" w:themeColor="text1"/>
        </w:rPr>
        <w:t xml:space="preserve"> interacted with group and THC in some instances in the</w:t>
      </w:r>
      <w:r w:rsidRPr="009F38C6">
        <w:rPr>
          <w:b/>
          <w:bCs/>
          <w:i w:val="0"/>
          <w:color w:val="000000" w:themeColor="text1"/>
        </w:rPr>
        <w:t xml:space="preserve"> Behavioral Pattern Monitor (BPM).</w:t>
      </w:r>
      <w:r w:rsidRPr="009F38C6">
        <w:rPr>
          <w:i w:val="0"/>
          <w:color w:val="000000" w:themeColor="text1"/>
        </w:rPr>
        <w:t xml:space="preserve"> </w:t>
      </w:r>
      <w:r w:rsidR="00DB14DC">
        <w:rPr>
          <w:i w:val="0"/>
          <w:color w:val="000000" w:themeColor="text1"/>
        </w:rPr>
        <w:t xml:space="preserve">Across all panels, left side graphs represent </w:t>
      </w:r>
      <w:r w:rsidR="00025F64">
        <w:rPr>
          <w:i w:val="0"/>
          <w:color w:val="000000" w:themeColor="text1"/>
        </w:rPr>
        <w:t>female</w:t>
      </w:r>
      <w:r w:rsidR="00DB14DC">
        <w:rPr>
          <w:i w:val="0"/>
          <w:color w:val="000000" w:themeColor="text1"/>
        </w:rPr>
        <w:t xml:space="preserve"> data</w:t>
      </w:r>
      <w:r w:rsidR="00025F64">
        <w:rPr>
          <w:i w:val="0"/>
          <w:color w:val="000000" w:themeColor="text1"/>
        </w:rPr>
        <w:t xml:space="preserve">, right side graphs represent male data, and significance bars between these graphs refer to main effects if sex. </w:t>
      </w:r>
      <w:r w:rsidR="00DB14DC" w:rsidRPr="00A17A36">
        <w:rPr>
          <w:i w:val="0"/>
          <w:color w:val="000000" w:themeColor="text1"/>
        </w:rPr>
        <w:t>Bar plots represent means, and individual points are shown</w:t>
      </w:r>
      <w:r w:rsidR="00DB14DC">
        <w:rPr>
          <w:i w:val="0"/>
          <w:color w:val="000000" w:themeColor="text1"/>
        </w:rPr>
        <w:t xml:space="preserve"> ± S.E.M. Significant main effects are indicated by</w:t>
      </w:r>
      <w:r w:rsidR="00DB14DC" w:rsidRPr="00690EBA">
        <w:rPr>
          <w:i w:val="0"/>
          <w:color w:val="000000" w:themeColor="text1"/>
        </w:rPr>
        <w:t xml:space="preserve">, </w:t>
      </w:r>
      <w:r w:rsidR="00DB14DC" w:rsidRPr="002D35D9">
        <w:rPr>
          <w:i w:val="0"/>
          <w:color w:val="FF0000"/>
        </w:rPr>
        <w:t>*</w:t>
      </w:r>
      <w:r w:rsidR="00DB14DC" w:rsidRPr="00690EBA">
        <w:rPr>
          <w:i w:val="0"/>
          <w:color w:val="000000" w:themeColor="text1"/>
        </w:rPr>
        <w:t xml:space="preserve">p&lt;0.05, </w:t>
      </w:r>
      <w:r w:rsidR="00DB14DC" w:rsidRPr="002D35D9">
        <w:rPr>
          <w:i w:val="0"/>
          <w:color w:val="FF0000"/>
        </w:rPr>
        <w:t>***</w:t>
      </w:r>
      <w:r w:rsidR="00DB14DC" w:rsidRPr="00690EBA">
        <w:rPr>
          <w:i w:val="0"/>
          <w:color w:val="000000" w:themeColor="text1"/>
        </w:rPr>
        <w:t>p&lt;0.001.</w:t>
      </w:r>
      <w:r w:rsidR="00143EBA">
        <w:rPr>
          <w:i w:val="0"/>
          <w:color w:val="000000" w:themeColor="text1"/>
        </w:rPr>
        <w:t xml:space="preserve"> </w:t>
      </w:r>
      <w:r w:rsidR="00EA3AFA" w:rsidRPr="00EA3AFA">
        <w:rPr>
          <w:i w:val="0"/>
          <w:color w:val="FF0000"/>
        </w:rPr>
        <w:t>†</w:t>
      </w:r>
      <w:r w:rsidR="00143EBA">
        <w:rPr>
          <w:i w:val="0"/>
          <w:color w:val="000000" w:themeColor="text1"/>
        </w:rPr>
        <w:t>= significant difference in group within dose</w:t>
      </w:r>
      <w:r w:rsidR="00695613">
        <w:rPr>
          <w:i w:val="0"/>
          <w:color w:val="000000" w:themeColor="text1"/>
        </w:rPr>
        <w:t xml:space="preserve"> </w:t>
      </w:r>
      <w:r w:rsidR="00695613" w:rsidRPr="00695613">
        <w:rPr>
          <w:b/>
          <w:i w:val="0"/>
          <w:color w:val="FF0000"/>
          <w:sz w:val="22"/>
        </w:rPr>
        <w:t>£</w:t>
      </w:r>
      <w:r w:rsidR="00695613">
        <w:rPr>
          <w:b/>
          <w:i w:val="0"/>
          <w:color w:val="FF0000"/>
          <w:sz w:val="22"/>
        </w:rPr>
        <w:t xml:space="preserve"> </w:t>
      </w:r>
      <w:r w:rsidR="00695613">
        <w:rPr>
          <w:i w:val="0"/>
          <w:color w:val="000000" w:themeColor="text1"/>
        </w:rPr>
        <w:t>= significant effect of sex within dose</w:t>
      </w:r>
    </w:p>
    <w:p w14:paraId="6D3B276D" w14:textId="2BABB27A" w:rsidR="00DB14DC" w:rsidRPr="00B1533D" w:rsidRDefault="00DB14DC" w:rsidP="00BF11A6">
      <w:pPr>
        <w:spacing w:line="480" w:lineRule="auto"/>
        <w:ind w:firstLine="720"/>
        <w:rPr>
          <w:iCs/>
          <w:color w:val="000000" w:themeColor="text1"/>
          <w:sz w:val="18"/>
          <w:szCs w:val="18"/>
        </w:rPr>
      </w:pPr>
      <w:r w:rsidRPr="00B1533D">
        <w:rPr>
          <w:b/>
          <w:bCs/>
          <w:iCs/>
          <w:color w:val="000000" w:themeColor="text1"/>
          <w:sz w:val="18"/>
          <w:szCs w:val="18"/>
        </w:rPr>
        <w:t>A</w:t>
      </w:r>
      <w:r w:rsidR="00B1533D">
        <w:rPr>
          <w:b/>
          <w:bCs/>
          <w:iCs/>
          <w:color w:val="000000" w:themeColor="text1"/>
          <w:sz w:val="18"/>
          <w:szCs w:val="18"/>
        </w:rPr>
        <w:t xml:space="preserve"> - </w:t>
      </w:r>
      <w:r w:rsidRPr="00B1533D">
        <w:rPr>
          <w:iCs/>
          <w:color w:val="000000" w:themeColor="text1"/>
          <w:sz w:val="18"/>
          <w:szCs w:val="18"/>
        </w:rPr>
        <w:t xml:space="preserve">A main effect of sex was observed </w:t>
      </w:r>
      <w:r w:rsidR="0089677C" w:rsidRPr="00B1533D">
        <w:rPr>
          <w:iCs/>
          <w:color w:val="000000" w:themeColor="text1"/>
          <w:sz w:val="18"/>
          <w:szCs w:val="18"/>
        </w:rPr>
        <w:t xml:space="preserve">on counts in the BPM </w:t>
      </w:r>
      <w:r w:rsidR="003C66EE" w:rsidRPr="00B1533D">
        <w:rPr>
          <w:iCs/>
          <w:color w:val="000000" w:themeColor="text1"/>
          <w:sz w:val="18"/>
          <w:szCs w:val="18"/>
        </w:rPr>
        <w:t>[</w:t>
      </w:r>
      <w:proofErr w:type="gramStart"/>
      <w:r w:rsidRPr="00B1533D">
        <w:rPr>
          <w:iCs/>
          <w:color w:val="000000" w:themeColor="text1"/>
          <w:sz w:val="18"/>
          <w:szCs w:val="18"/>
        </w:rPr>
        <w:t>F(1,115)=</w:t>
      </w:r>
      <w:proofErr w:type="gramEnd"/>
      <w:r w:rsidRPr="00B1533D">
        <w:rPr>
          <w:iCs/>
          <w:color w:val="000000" w:themeColor="text1"/>
          <w:sz w:val="18"/>
          <w:szCs w:val="18"/>
        </w:rPr>
        <w:t>17.827, p&lt;0.001</w:t>
      </w:r>
      <w:r w:rsidR="003C66EE" w:rsidRPr="00B1533D">
        <w:rPr>
          <w:iCs/>
          <w:color w:val="000000" w:themeColor="text1"/>
          <w:sz w:val="18"/>
          <w:szCs w:val="18"/>
        </w:rPr>
        <w:t>]</w:t>
      </w:r>
      <w:r w:rsidRPr="00B1533D">
        <w:rPr>
          <w:iCs/>
          <w:color w:val="000000" w:themeColor="text1"/>
          <w:sz w:val="18"/>
          <w:szCs w:val="18"/>
        </w:rPr>
        <w:t xml:space="preserve">, with post hoc analyses revealing that females had higher counts compared to males. </w:t>
      </w:r>
    </w:p>
    <w:p w14:paraId="11F7EB99" w14:textId="061A2527" w:rsidR="00B6627E" w:rsidRPr="00B1533D" w:rsidRDefault="00025F64" w:rsidP="00B1533D">
      <w:pPr>
        <w:spacing w:line="480" w:lineRule="auto"/>
        <w:ind w:firstLine="720"/>
        <w:rPr>
          <w:iCs/>
          <w:color w:val="000000" w:themeColor="text1"/>
          <w:sz w:val="18"/>
          <w:szCs w:val="18"/>
        </w:rPr>
      </w:pPr>
      <w:r w:rsidRPr="00B1533D">
        <w:rPr>
          <w:b/>
          <w:bCs/>
          <w:iCs/>
          <w:color w:val="000000" w:themeColor="text1"/>
          <w:sz w:val="18"/>
          <w:szCs w:val="18"/>
        </w:rPr>
        <w:t>B -</w:t>
      </w:r>
      <w:r w:rsidRPr="00B1533D">
        <w:rPr>
          <w:iCs/>
          <w:color w:val="000000" w:themeColor="text1"/>
          <w:sz w:val="18"/>
          <w:szCs w:val="18"/>
        </w:rPr>
        <w:t xml:space="preserve"> A main effect of sex was</w:t>
      </w:r>
      <w:r w:rsidR="0089677C" w:rsidRPr="00B1533D">
        <w:rPr>
          <w:iCs/>
          <w:color w:val="000000" w:themeColor="text1"/>
          <w:sz w:val="18"/>
          <w:szCs w:val="18"/>
        </w:rPr>
        <w:t xml:space="preserve"> </w:t>
      </w:r>
      <w:r w:rsidRPr="00B1533D">
        <w:rPr>
          <w:iCs/>
          <w:color w:val="000000" w:themeColor="text1"/>
          <w:sz w:val="18"/>
          <w:szCs w:val="18"/>
        </w:rPr>
        <w:t xml:space="preserve">observed </w:t>
      </w:r>
      <w:r w:rsidR="0089677C" w:rsidRPr="00B1533D">
        <w:rPr>
          <w:iCs/>
          <w:color w:val="000000" w:themeColor="text1"/>
          <w:sz w:val="18"/>
          <w:szCs w:val="18"/>
        </w:rPr>
        <w:t xml:space="preserve">on transitions in the BPM </w:t>
      </w:r>
      <w:r w:rsidR="003C66EE" w:rsidRPr="00B1533D">
        <w:rPr>
          <w:iCs/>
          <w:color w:val="000000" w:themeColor="text1"/>
          <w:sz w:val="18"/>
          <w:szCs w:val="18"/>
        </w:rPr>
        <w:t>[</w:t>
      </w:r>
      <w:proofErr w:type="gramStart"/>
      <w:r w:rsidRPr="00B1533D">
        <w:rPr>
          <w:iCs/>
          <w:color w:val="000000" w:themeColor="text1"/>
          <w:sz w:val="18"/>
          <w:szCs w:val="18"/>
        </w:rPr>
        <w:t>F(1,115)=</w:t>
      </w:r>
      <w:proofErr w:type="gramEnd"/>
      <w:r w:rsidRPr="00B1533D">
        <w:rPr>
          <w:iCs/>
          <w:color w:val="000000" w:themeColor="text1"/>
          <w:sz w:val="18"/>
          <w:szCs w:val="18"/>
        </w:rPr>
        <w:t>15.338, p&lt;0.001</w:t>
      </w:r>
      <w:r w:rsidR="003C66EE" w:rsidRPr="00B1533D">
        <w:rPr>
          <w:iCs/>
          <w:color w:val="000000" w:themeColor="text1"/>
          <w:sz w:val="18"/>
          <w:szCs w:val="18"/>
        </w:rPr>
        <w:t>]</w:t>
      </w:r>
      <w:r w:rsidRPr="00B1533D">
        <w:rPr>
          <w:iCs/>
          <w:color w:val="000000" w:themeColor="text1"/>
          <w:sz w:val="18"/>
          <w:szCs w:val="18"/>
        </w:rPr>
        <w:t xml:space="preserve">, with post hoc analyses revealing that females had higher transitions than males. Additionally, a group and sex interaction </w:t>
      </w:r>
      <w:proofErr w:type="gramStart"/>
      <w:r w:rsidRPr="00B1533D">
        <w:rPr>
          <w:iCs/>
          <w:color w:val="000000" w:themeColor="text1"/>
          <w:sz w:val="18"/>
          <w:szCs w:val="18"/>
        </w:rPr>
        <w:t>was</w:t>
      </w:r>
      <w:proofErr w:type="gramEnd"/>
      <w:r w:rsidRPr="00B1533D">
        <w:rPr>
          <w:iCs/>
          <w:color w:val="000000" w:themeColor="text1"/>
          <w:sz w:val="18"/>
          <w:szCs w:val="18"/>
        </w:rPr>
        <w:t xml:space="preserve"> observed </w:t>
      </w:r>
      <w:r w:rsidR="003C66EE" w:rsidRPr="00B1533D">
        <w:rPr>
          <w:iCs/>
          <w:color w:val="000000" w:themeColor="text1"/>
          <w:sz w:val="18"/>
          <w:szCs w:val="18"/>
        </w:rPr>
        <w:t>[</w:t>
      </w:r>
      <w:proofErr w:type="gramStart"/>
      <w:r w:rsidRPr="00B1533D">
        <w:rPr>
          <w:iCs/>
          <w:color w:val="000000" w:themeColor="text1"/>
          <w:sz w:val="18"/>
          <w:szCs w:val="18"/>
        </w:rPr>
        <w:t>F(2,115)=</w:t>
      </w:r>
      <w:proofErr w:type="gramEnd"/>
      <w:r w:rsidRPr="00B1533D">
        <w:rPr>
          <w:iCs/>
          <w:color w:val="000000" w:themeColor="text1"/>
          <w:sz w:val="18"/>
          <w:szCs w:val="18"/>
        </w:rPr>
        <w:t>2.575, p=0.081</w:t>
      </w:r>
      <w:r w:rsidR="003C66EE" w:rsidRPr="00B1533D">
        <w:rPr>
          <w:iCs/>
          <w:color w:val="000000" w:themeColor="text1"/>
          <w:sz w:val="18"/>
          <w:szCs w:val="18"/>
        </w:rPr>
        <w:t>]</w:t>
      </w:r>
      <w:r w:rsidRPr="00B1533D">
        <w:rPr>
          <w:iCs/>
          <w:color w:val="000000" w:themeColor="text1"/>
          <w:sz w:val="18"/>
          <w:szCs w:val="18"/>
        </w:rPr>
        <w:t xml:space="preserve">, with post hoc analyses revealing that WT rats had higher transitions relative to TG rats in females only (p=0.045). Further group comparisons revealed that females had higher transitions than males in WT (p&lt;0.001) and TG (p=0.015) groups only.  </w:t>
      </w:r>
    </w:p>
    <w:p w14:paraId="6E623B12" w14:textId="76B97544" w:rsidR="00025F64" w:rsidRPr="00B1533D" w:rsidRDefault="00B6627E" w:rsidP="00B1533D">
      <w:pPr>
        <w:spacing w:line="480" w:lineRule="auto"/>
        <w:ind w:firstLine="720"/>
        <w:rPr>
          <w:iCs/>
          <w:color w:val="000000" w:themeColor="text1"/>
          <w:sz w:val="18"/>
          <w:szCs w:val="18"/>
        </w:rPr>
      </w:pPr>
      <w:r w:rsidRPr="00B1533D">
        <w:rPr>
          <w:b/>
          <w:bCs/>
          <w:iCs/>
          <w:color w:val="000000" w:themeColor="text1"/>
          <w:sz w:val="18"/>
          <w:szCs w:val="18"/>
        </w:rPr>
        <w:t>C -</w:t>
      </w:r>
      <w:r w:rsidRPr="00B1533D">
        <w:rPr>
          <w:iCs/>
          <w:color w:val="000000" w:themeColor="text1"/>
          <w:sz w:val="18"/>
          <w:szCs w:val="18"/>
        </w:rPr>
        <w:t xml:space="preserve"> A main effect of sex was observed </w:t>
      </w:r>
      <w:r w:rsidR="0089677C" w:rsidRPr="00B1533D">
        <w:rPr>
          <w:iCs/>
          <w:color w:val="000000" w:themeColor="text1"/>
          <w:sz w:val="18"/>
          <w:szCs w:val="18"/>
        </w:rPr>
        <w:t xml:space="preserve">on distance travelled in the BPM </w:t>
      </w:r>
      <w:r w:rsidR="003C66EE" w:rsidRPr="00B1533D">
        <w:rPr>
          <w:iCs/>
          <w:color w:val="000000" w:themeColor="text1"/>
          <w:sz w:val="18"/>
          <w:szCs w:val="18"/>
        </w:rPr>
        <w:t>[</w:t>
      </w:r>
      <w:proofErr w:type="gramStart"/>
      <w:r w:rsidRPr="00B1533D">
        <w:rPr>
          <w:iCs/>
          <w:color w:val="000000" w:themeColor="text1"/>
          <w:sz w:val="18"/>
          <w:szCs w:val="18"/>
        </w:rPr>
        <w:t>F(1,115)=</w:t>
      </w:r>
      <w:proofErr w:type="gramEnd"/>
      <w:r w:rsidRPr="00B1533D">
        <w:rPr>
          <w:iCs/>
          <w:color w:val="000000" w:themeColor="text1"/>
          <w:sz w:val="18"/>
          <w:szCs w:val="18"/>
        </w:rPr>
        <w:t>14.606, p&lt;0.001</w:t>
      </w:r>
      <w:r w:rsidR="003C66EE" w:rsidRPr="00B1533D">
        <w:rPr>
          <w:iCs/>
          <w:color w:val="000000" w:themeColor="text1"/>
          <w:sz w:val="18"/>
          <w:szCs w:val="18"/>
        </w:rPr>
        <w:t xml:space="preserve">], </w:t>
      </w:r>
      <w:r w:rsidRPr="00B1533D">
        <w:rPr>
          <w:iCs/>
          <w:color w:val="000000" w:themeColor="text1"/>
          <w:sz w:val="18"/>
          <w:szCs w:val="18"/>
        </w:rPr>
        <w:t>with post hoc analyses rev</w:t>
      </w:r>
      <w:r w:rsidR="00EA3AFA">
        <w:rPr>
          <w:iCs/>
          <w:color w:val="000000" w:themeColor="text1"/>
          <w:sz w:val="18"/>
          <w:szCs w:val="18"/>
        </w:rPr>
        <w:t>e</w:t>
      </w:r>
      <w:r w:rsidRPr="00B1533D">
        <w:rPr>
          <w:iCs/>
          <w:color w:val="000000" w:themeColor="text1"/>
          <w:sz w:val="18"/>
          <w:szCs w:val="18"/>
        </w:rPr>
        <w:t xml:space="preserve">aling that females travelled a higher distance relative to males. </w:t>
      </w:r>
      <w:r w:rsidR="00025F64" w:rsidRPr="00B1533D">
        <w:rPr>
          <w:iCs/>
          <w:color w:val="000000" w:themeColor="text1"/>
          <w:sz w:val="18"/>
          <w:szCs w:val="18"/>
        </w:rPr>
        <w:t xml:space="preserve">A trending group x sex interaction was also observed </w:t>
      </w:r>
      <w:r w:rsidR="003C66EE" w:rsidRPr="00B1533D">
        <w:rPr>
          <w:iCs/>
          <w:color w:val="000000" w:themeColor="text1"/>
          <w:sz w:val="18"/>
          <w:szCs w:val="18"/>
        </w:rPr>
        <w:t>[</w:t>
      </w:r>
      <w:proofErr w:type="gramStart"/>
      <w:r w:rsidR="00025F64" w:rsidRPr="00B1533D">
        <w:rPr>
          <w:iCs/>
          <w:color w:val="000000" w:themeColor="text1"/>
          <w:sz w:val="18"/>
          <w:szCs w:val="18"/>
        </w:rPr>
        <w:t>F(2,115)=</w:t>
      </w:r>
      <w:proofErr w:type="gramEnd"/>
      <w:r w:rsidR="00025F64" w:rsidRPr="00B1533D">
        <w:rPr>
          <w:iCs/>
          <w:color w:val="000000" w:themeColor="text1"/>
          <w:sz w:val="18"/>
          <w:szCs w:val="18"/>
        </w:rPr>
        <w:t>2.438, p=0.092</w:t>
      </w:r>
      <w:r w:rsidR="003C66EE" w:rsidRPr="00B1533D">
        <w:rPr>
          <w:iCs/>
          <w:color w:val="000000" w:themeColor="text1"/>
          <w:sz w:val="18"/>
          <w:szCs w:val="18"/>
        </w:rPr>
        <w:t>]</w:t>
      </w:r>
      <w:r w:rsidR="00025F64" w:rsidRPr="00B1533D">
        <w:rPr>
          <w:iCs/>
          <w:color w:val="000000" w:themeColor="text1"/>
          <w:sz w:val="18"/>
          <w:szCs w:val="18"/>
        </w:rPr>
        <w:t xml:space="preserve">, with post hoc analyses revealing that WT rats travelled higher distances relative to TG rats in females only (p=0.040). Further group comparisons revealed that females travelled higher distances than males in WT (p&lt;0.001) and TG (p=0.017) groups only. </w:t>
      </w:r>
    </w:p>
    <w:p w14:paraId="7C6CC359" w14:textId="5470BE2A" w:rsidR="00B6627E" w:rsidRPr="00B1533D" w:rsidRDefault="00B6627E" w:rsidP="00B1533D">
      <w:pPr>
        <w:spacing w:line="480" w:lineRule="auto"/>
        <w:ind w:firstLine="720"/>
        <w:rPr>
          <w:iCs/>
          <w:color w:val="000000" w:themeColor="text1"/>
          <w:sz w:val="18"/>
          <w:szCs w:val="18"/>
        </w:rPr>
      </w:pPr>
      <w:r w:rsidRPr="00B1533D">
        <w:rPr>
          <w:b/>
          <w:bCs/>
          <w:iCs/>
          <w:color w:val="000000" w:themeColor="text1"/>
          <w:sz w:val="18"/>
          <w:szCs w:val="18"/>
        </w:rPr>
        <w:t>D -</w:t>
      </w:r>
      <w:r w:rsidRPr="00B1533D">
        <w:rPr>
          <w:iCs/>
          <w:color w:val="000000" w:themeColor="text1"/>
          <w:sz w:val="18"/>
          <w:szCs w:val="18"/>
        </w:rPr>
        <w:t xml:space="preserve"> A main effect of sex was observed </w:t>
      </w:r>
      <w:r w:rsidR="0089677C" w:rsidRPr="00B1533D">
        <w:rPr>
          <w:iCs/>
          <w:color w:val="000000" w:themeColor="text1"/>
          <w:sz w:val="18"/>
          <w:szCs w:val="18"/>
        </w:rPr>
        <w:t xml:space="preserve">on pokes in the BPM </w:t>
      </w:r>
      <w:r w:rsidR="003C66EE" w:rsidRPr="00B1533D">
        <w:rPr>
          <w:iCs/>
          <w:color w:val="000000" w:themeColor="text1"/>
          <w:sz w:val="18"/>
          <w:szCs w:val="18"/>
        </w:rPr>
        <w:t>[</w:t>
      </w:r>
      <w:proofErr w:type="gramStart"/>
      <w:r w:rsidRPr="00B1533D">
        <w:rPr>
          <w:iCs/>
          <w:color w:val="000000" w:themeColor="text1"/>
          <w:sz w:val="18"/>
          <w:szCs w:val="18"/>
        </w:rPr>
        <w:t>F(1,115)=</w:t>
      </w:r>
      <w:proofErr w:type="gramEnd"/>
      <w:r w:rsidRPr="00B1533D">
        <w:rPr>
          <w:iCs/>
          <w:color w:val="000000" w:themeColor="text1"/>
          <w:sz w:val="18"/>
          <w:szCs w:val="18"/>
        </w:rPr>
        <w:t>54.159, p&lt;0.001</w:t>
      </w:r>
      <w:r w:rsidR="003C66EE" w:rsidRPr="00B1533D">
        <w:rPr>
          <w:iCs/>
          <w:color w:val="000000" w:themeColor="text1"/>
          <w:sz w:val="18"/>
          <w:szCs w:val="18"/>
        </w:rPr>
        <w:t>]</w:t>
      </w:r>
      <w:r w:rsidRPr="00B1533D">
        <w:rPr>
          <w:iCs/>
          <w:color w:val="000000" w:themeColor="text1"/>
          <w:sz w:val="18"/>
          <w:szCs w:val="18"/>
        </w:rPr>
        <w:t>, with post hoc analyses revealing that females had higher pokes compared to males. The effect of THC appeared dependent on sex [</w:t>
      </w:r>
      <w:proofErr w:type="gramStart"/>
      <w:r w:rsidRPr="00B1533D">
        <w:rPr>
          <w:iCs/>
          <w:color w:val="000000" w:themeColor="text1"/>
          <w:sz w:val="18"/>
          <w:szCs w:val="18"/>
        </w:rPr>
        <w:t>F(2,115)=</w:t>
      </w:r>
      <w:proofErr w:type="gramEnd"/>
      <w:r w:rsidRPr="00B1533D">
        <w:rPr>
          <w:iCs/>
          <w:color w:val="000000" w:themeColor="text1"/>
          <w:sz w:val="18"/>
          <w:szCs w:val="18"/>
        </w:rPr>
        <w:t>3.396, p=0.037], with post hoc analyses revealing that 3 mg/kg THC reduced pokes relative to 0.3 mg/kg THC (p=0.002) and vehicle (p=0.008) in females only. Further group comparisons revealed that males had decreased pokes relative to females across VEH and THC doses (</w:t>
      </w:r>
      <w:proofErr w:type="spellStart"/>
      <w:r w:rsidRPr="00B1533D">
        <w:rPr>
          <w:iCs/>
          <w:color w:val="000000" w:themeColor="text1"/>
          <w:sz w:val="18"/>
          <w:szCs w:val="18"/>
        </w:rPr>
        <w:t>ps</w:t>
      </w:r>
      <w:proofErr w:type="spellEnd"/>
      <w:r w:rsidRPr="00B1533D">
        <w:rPr>
          <w:iCs/>
          <w:color w:val="000000" w:themeColor="text1"/>
          <w:sz w:val="18"/>
          <w:szCs w:val="18"/>
        </w:rPr>
        <w:t>&lt;0.05-0.001). No main or interactive effects of group were observed (F&lt;2.254, ns).</w:t>
      </w:r>
    </w:p>
    <w:p w14:paraId="2F754874" w14:textId="201A4C3D" w:rsidR="00CB2202" w:rsidRPr="00B1533D" w:rsidRDefault="00B6627E" w:rsidP="00B1533D">
      <w:pPr>
        <w:spacing w:line="480" w:lineRule="auto"/>
        <w:ind w:firstLine="720"/>
        <w:rPr>
          <w:iCs/>
          <w:color w:val="000000" w:themeColor="text1"/>
          <w:sz w:val="18"/>
          <w:szCs w:val="18"/>
        </w:rPr>
      </w:pPr>
      <w:r w:rsidRPr="00B1533D">
        <w:rPr>
          <w:b/>
          <w:bCs/>
          <w:iCs/>
          <w:color w:val="000000" w:themeColor="text1"/>
          <w:sz w:val="18"/>
          <w:szCs w:val="18"/>
        </w:rPr>
        <w:t>E -</w:t>
      </w:r>
      <w:r w:rsidRPr="00B1533D">
        <w:rPr>
          <w:iCs/>
          <w:color w:val="000000" w:themeColor="text1"/>
          <w:sz w:val="18"/>
          <w:szCs w:val="18"/>
        </w:rPr>
        <w:t xml:space="preserve"> </w:t>
      </w:r>
      <w:r w:rsidR="00CB2202" w:rsidRPr="00B1533D">
        <w:rPr>
          <w:iCs/>
          <w:color w:val="000000" w:themeColor="text1"/>
          <w:sz w:val="18"/>
          <w:szCs w:val="18"/>
        </w:rPr>
        <w:t>No main or interactive effects of sex were observed on rearing behavior</w:t>
      </w:r>
      <w:r w:rsidR="0089677C" w:rsidRPr="00B1533D">
        <w:rPr>
          <w:iCs/>
          <w:color w:val="000000" w:themeColor="text1"/>
          <w:sz w:val="18"/>
          <w:szCs w:val="18"/>
        </w:rPr>
        <w:t xml:space="preserve"> in the BPM</w:t>
      </w:r>
      <w:r w:rsidR="00CB2202" w:rsidRPr="00B1533D">
        <w:rPr>
          <w:iCs/>
          <w:color w:val="000000" w:themeColor="text1"/>
          <w:sz w:val="18"/>
          <w:szCs w:val="18"/>
        </w:rPr>
        <w:t xml:space="preserve"> (F&lt;1.695, ns).</w:t>
      </w:r>
    </w:p>
    <w:p w14:paraId="19CF85C8" w14:textId="66F009C6" w:rsidR="00CB2202" w:rsidRPr="00B1533D" w:rsidRDefault="00CB2202" w:rsidP="00B1533D">
      <w:pPr>
        <w:spacing w:line="480" w:lineRule="auto"/>
        <w:ind w:firstLine="720"/>
        <w:rPr>
          <w:iCs/>
          <w:color w:val="000000" w:themeColor="text1"/>
          <w:sz w:val="18"/>
          <w:szCs w:val="18"/>
        </w:rPr>
      </w:pPr>
      <w:r w:rsidRPr="00B1533D">
        <w:rPr>
          <w:b/>
          <w:bCs/>
          <w:iCs/>
          <w:color w:val="000000" w:themeColor="text1"/>
          <w:sz w:val="18"/>
          <w:szCs w:val="18"/>
        </w:rPr>
        <w:t>F -</w:t>
      </w:r>
      <w:r w:rsidRPr="00B1533D">
        <w:rPr>
          <w:iCs/>
          <w:color w:val="000000" w:themeColor="text1"/>
          <w:sz w:val="18"/>
          <w:szCs w:val="18"/>
        </w:rPr>
        <w:t xml:space="preserve"> A main effect of sex was observed </w:t>
      </w:r>
      <w:r w:rsidR="0089677C" w:rsidRPr="00B1533D">
        <w:rPr>
          <w:iCs/>
          <w:color w:val="000000" w:themeColor="text1"/>
          <w:sz w:val="18"/>
          <w:szCs w:val="18"/>
        </w:rPr>
        <w:t xml:space="preserve">on spatial d in the BPM </w:t>
      </w:r>
      <w:r w:rsidR="003C66EE" w:rsidRPr="00B1533D">
        <w:rPr>
          <w:iCs/>
          <w:color w:val="000000" w:themeColor="text1"/>
          <w:sz w:val="18"/>
          <w:szCs w:val="18"/>
        </w:rPr>
        <w:t>[</w:t>
      </w:r>
      <w:proofErr w:type="gramStart"/>
      <w:r w:rsidRPr="00B1533D">
        <w:rPr>
          <w:iCs/>
          <w:color w:val="000000" w:themeColor="text1"/>
          <w:sz w:val="18"/>
          <w:szCs w:val="18"/>
        </w:rPr>
        <w:t>F(1,115)=</w:t>
      </w:r>
      <w:proofErr w:type="gramEnd"/>
      <w:r w:rsidRPr="00B1533D">
        <w:rPr>
          <w:iCs/>
          <w:color w:val="000000" w:themeColor="text1"/>
          <w:sz w:val="18"/>
          <w:szCs w:val="18"/>
        </w:rPr>
        <w:t>6.520, p=0.012</w:t>
      </w:r>
      <w:r w:rsidR="003C66EE" w:rsidRPr="00B1533D">
        <w:rPr>
          <w:iCs/>
          <w:color w:val="000000" w:themeColor="text1"/>
          <w:sz w:val="18"/>
          <w:szCs w:val="18"/>
        </w:rPr>
        <w:t xml:space="preserve">], </w:t>
      </w:r>
      <w:r w:rsidRPr="00B1533D">
        <w:rPr>
          <w:iCs/>
          <w:color w:val="000000" w:themeColor="text1"/>
          <w:sz w:val="18"/>
          <w:szCs w:val="18"/>
        </w:rPr>
        <w:t>with post hoc analyses revealing that females had higher spatial d relative to males. No interaction between group and sex was seen (F&lt;2.176, ns).</w:t>
      </w:r>
    </w:p>
    <w:p w14:paraId="4CB08A52" w14:textId="41694E2D" w:rsidR="00025F64" w:rsidRPr="00B1533D" w:rsidRDefault="00025F64" w:rsidP="00025F64">
      <w:pPr>
        <w:spacing w:line="480" w:lineRule="auto"/>
        <w:rPr>
          <w:iCs/>
          <w:color w:val="000000" w:themeColor="text1"/>
          <w:sz w:val="18"/>
          <w:szCs w:val="18"/>
        </w:rPr>
      </w:pPr>
    </w:p>
    <w:p w14:paraId="1D553AAF" w14:textId="77777777" w:rsidR="00460370" w:rsidRPr="00B1533D" w:rsidRDefault="00460370" w:rsidP="003A0165">
      <w:pPr>
        <w:rPr>
          <w:iCs/>
          <w:color w:val="000000" w:themeColor="text1"/>
          <w:sz w:val="18"/>
          <w:szCs w:val="18"/>
        </w:rPr>
      </w:pPr>
    </w:p>
    <w:p w14:paraId="2012CFE3" w14:textId="77777777" w:rsidR="00460370" w:rsidRPr="003A0165" w:rsidRDefault="00460370" w:rsidP="003A0165">
      <w:pPr>
        <w:rPr>
          <w:rFonts w:ascii="Calibri" w:eastAsia="Calibri" w:hAnsi="Calibri" w:cs="Calibri"/>
          <w:sz w:val="24"/>
          <w:szCs w:val="24"/>
        </w:rPr>
      </w:pPr>
    </w:p>
    <w:sectPr w:rsidR="00460370" w:rsidRPr="003A016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C9E8C76-66AA-6A49-8AA0-0E2206A35B1C}"/>
    <w:embedBold r:id="rId2" w:fontKey="{1DF7219D-192F-C34B-B896-825EEA7AAF06}"/>
    <w:embedItalic r:id="rId3" w:fontKey="{54D85736-0A4D-4040-810E-47D011FB1840}"/>
    <w:embedBoldItalic r:id="rId4" w:fontKey="{34222607-C03E-9740-BF70-599DFB1DD5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B05F084-CA22-3E40-985A-14543DA895FD}"/>
    <w:embedBold r:id="rId6" w:fontKey="{32D14660-6918-6A46-917C-33362C430170}"/>
    <w:embedItalic r:id="rId7" w:fontKey="{3DA3328C-7F0E-FE42-9063-3D3CE852E5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AD012A9B-0CD5-B74A-A2E1-69FC74AD68A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D0953CBD-7C72-F346-83AD-D68F8437446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CA6593DC-2BD6-4F46-AE68-EAB1CDDCB152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8FA98731-5D45-4D48-A81B-41C23F3BFB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B00EA675-581B-DA45-BF3E-8FE0067F37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3B2A0E5-515E-D844-901E-AEFAEDBD2B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724FC"/>
    <w:multiLevelType w:val="hybridMultilevel"/>
    <w:tmpl w:val="1F58F96A"/>
    <w:lvl w:ilvl="0" w:tplc="11BCB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42F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EA8D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FAA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C8D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3E4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01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C48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800F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B05E7D"/>
    <w:multiLevelType w:val="hybridMultilevel"/>
    <w:tmpl w:val="600AC63A"/>
    <w:lvl w:ilvl="0" w:tplc="20B89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443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56E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120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284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7612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546D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14E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6C3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1532D8"/>
    <w:multiLevelType w:val="hybridMultilevel"/>
    <w:tmpl w:val="693C9EFA"/>
    <w:lvl w:ilvl="0" w:tplc="67AEF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C24A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229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409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D80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A6C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348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E27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ED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14D74AC"/>
    <w:multiLevelType w:val="hybridMultilevel"/>
    <w:tmpl w:val="66A2D5B8"/>
    <w:lvl w:ilvl="0" w:tplc="6E54F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ACD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6C6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14F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7A8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044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00F9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6D8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CC4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3D65D8"/>
    <w:multiLevelType w:val="hybridMultilevel"/>
    <w:tmpl w:val="CAA21E38"/>
    <w:lvl w:ilvl="0" w:tplc="8AA8D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1233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BE0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3662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922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DE7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8884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EC8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9A32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46585D"/>
    <w:multiLevelType w:val="hybridMultilevel"/>
    <w:tmpl w:val="B47C79DA"/>
    <w:lvl w:ilvl="0" w:tplc="B51ED2C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44A01"/>
    <w:multiLevelType w:val="hybridMultilevel"/>
    <w:tmpl w:val="B0765350"/>
    <w:lvl w:ilvl="0" w:tplc="A40A7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349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0A7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267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8E8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1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5EA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4E0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F29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47E3365"/>
    <w:multiLevelType w:val="hybridMultilevel"/>
    <w:tmpl w:val="B04CC7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1B570D"/>
    <w:multiLevelType w:val="hybridMultilevel"/>
    <w:tmpl w:val="E91426B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B9395C"/>
    <w:multiLevelType w:val="multilevel"/>
    <w:tmpl w:val="5E2050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75766"/>
    <w:multiLevelType w:val="hybridMultilevel"/>
    <w:tmpl w:val="515209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4749A2"/>
    <w:multiLevelType w:val="hybridMultilevel"/>
    <w:tmpl w:val="3A8089B4"/>
    <w:lvl w:ilvl="0" w:tplc="57168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922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E67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9A94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42F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D83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A83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600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52D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4FA2B5B"/>
    <w:multiLevelType w:val="hybridMultilevel"/>
    <w:tmpl w:val="E03E57E2"/>
    <w:lvl w:ilvl="0" w:tplc="E990FD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065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744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6A6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B01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2C5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946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988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783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8740C63"/>
    <w:multiLevelType w:val="hybridMultilevel"/>
    <w:tmpl w:val="B5C6FD2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FC9472B"/>
    <w:multiLevelType w:val="hybridMultilevel"/>
    <w:tmpl w:val="20445522"/>
    <w:lvl w:ilvl="0" w:tplc="7786C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A28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7AE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887F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B81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1423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3298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EE4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867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57022E6"/>
    <w:multiLevelType w:val="hybridMultilevel"/>
    <w:tmpl w:val="0AB63DE0"/>
    <w:lvl w:ilvl="0" w:tplc="1FFEB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7ED4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14C2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8A4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EA46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B0E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C42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F47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58B9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F6340EE"/>
    <w:multiLevelType w:val="hybridMultilevel"/>
    <w:tmpl w:val="41D02044"/>
    <w:lvl w:ilvl="0" w:tplc="29761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A83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8A42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9A0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002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F47E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509E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8C7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DC3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3122306"/>
    <w:multiLevelType w:val="hybridMultilevel"/>
    <w:tmpl w:val="CB0C417A"/>
    <w:lvl w:ilvl="0" w:tplc="3D5C4A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B2E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DAA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0E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A9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8C2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A83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A9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8E1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495116F"/>
    <w:multiLevelType w:val="hybridMultilevel"/>
    <w:tmpl w:val="26108C6E"/>
    <w:lvl w:ilvl="0" w:tplc="CB980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C690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B4F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B83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C20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3E1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145B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2AF8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685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4CB2519"/>
    <w:multiLevelType w:val="multilevel"/>
    <w:tmpl w:val="E4E48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9A8584F"/>
    <w:multiLevelType w:val="hybridMultilevel"/>
    <w:tmpl w:val="37AE797E"/>
    <w:lvl w:ilvl="0" w:tplc="57F24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DA4F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1A98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5EE0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88AA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0EC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922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3632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821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61469CF"/>
    <w:multiLevelType w:val="hybridMultilevel"/>
    <w:tmpl w:val="E8E894F8"/>
    <w:lvl w:ilvl="0" w:tplc="9D38DE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2CE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D2FC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428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9EEC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5E9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225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B6E7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F06A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75B6669"/>
    <w:multiLevelType w:val="hybridMultilevel"/>
    <w:tmpl w:val="3048ABCE"/>
    <w:lvl w:ilvl="0" w:tplc="7E26E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6A3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E45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CEF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1CC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A6A6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5E8E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E2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A8C4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C623FE3"/>
    <w:multiLevelType w:val="hybridMultilevel"/>
    <w:tmpl w:val="53183502"/>
    <w:lvl w:ilvl="0" w:tplc="00E834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1C3E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7AD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EAA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4AC5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AEC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16FC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44E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EC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FE35E2"/>
    <w:multiLevelType w:val="hybridMultilevel"/>
    <w:tmpl w:val="B044BD44"/>
    <w:lvl w:ilvl="0" w:tplc="73108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4C2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A2A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48C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04C9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B83D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5A81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5EDA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BC12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9C70AD3"/>
    <w:multiLevelType w:val="hybridMultilevel"/>
    <w:tmpl w:val="EF2AAA3A"/>
    <w:lvl w:ilvl="0" w:tplc="F6142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FA5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8AA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927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663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840B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AEA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248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64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18066739">
    <w:abstractNumId w:val="19"/>
  </w:num>
  <w:num w:numId="2" w16cid:durableId="952398529">
    <w:abstractNumId w:val="9"/>
  </w:num>
  <w:num w:numId="3" w16cid:durableId="1905098098">
    <w:abstractNumId w:val="18"/>
  </w:num>
  <w:num w:numId="4" w16cid:durableId="2068262365">
    <w:abstractNumId w:val="23"/>
  </w:num>
  <w:num w:numId="5" w16cid:durableId="1193491311">
    <w:abstractNumId w:val="16"/>
  </w:num>
  <w:num w:numId="6" w16cid:durableId="1294023359">
    <w:abstractNumId w:val="17"/>
  </w:num>
  <w:num w:numId="7" w16cid:durableId="1091780379">
    <w:abstractNumId w:val="2"/>
  </w:num>
  <w:num w:numId="8" w16cid:durableId="729306926">
    <w:abstractNumId w:val="24"/>
  </w:num>
  <w:num w:numId="9" w16cid:durableId="219631984">
    <w:abstractNumId w:val="4"/>
  </w:num>
  <w:num w:numId="10" w16cid:durableId="738140564">
    <w:abstractNumId w:val="6"/>
  </w:num>
  <w:num w:numId="11" w16cid:durableId="1931113310">
    <w:abstractNumId w:val="21"/>
  </w:num>
  <w:num w:numId="12" w16cid:durableId="1177888669">
    <w:abstractNumId w:val="20"/>
  </w:num>
  <w:num w:numId="13" w16cid:durableId="141391404">
    <w:abstractNumId w:val="3"/>
  </w:num>
  <w:num w:numId="14" w16cid:durableId="1006519650">
    <w:abstractNumId w:val="0"/>
  </w:num>
  <w:num w:numId="15" w16cid:durableId="246766146">
    <w:abstractNumId w:val="14"/>
  </w:num>
  <w:num w:numId="16" w16cid:durableId="1514152674">
    <w:abstractNumId w:val="25"/>
  </w:num>
  <w:num w:numId="17" w16cid:durableId="1329404743">
    <w:abstractNumId w:val="11"/>
  </w:num>
  <w:num w:numId="18" w16cid:durableId="331839646">
    <w:abstractNumId w:val="22"/>
  </w:num>
  <w:num w:numId="19" w16cid:durableId="1376807963">
    <w:abstractNumId w:val="15"/>
  </w:num>
  <w:num w:numId="20" w16cid:durableId="1878278832">
    <w:abstractNumId w:val="1"/>
  </w:num>
  <w:num w:numId="21" w16cid:durableId="1370908569">
    <w:abstractNumId w:val="12"/>
  </w:num>
  <w:num w:numId="22" w16cid:durableId="1903363609">
    <w:abstractNumId w:val="13"/>
  </w:num>
  <w:num w:numId="23" w16cid:durableId="2047097284">
    <w:abstractNumId w:val="8"/>
  </w:num>
  <w:num w:numId="24" w16cid:durableId="2139644423">
    <w:abstractNumId w:val="5"/>
  </w:num>
  <w:num w:numId="25" w16cid:durableId="2094353285">
    <w:abstractNumId w:val="7"/>
  </w:num>
  <w:num w:numId="26" w16cid:durableId="20118275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embedTrueTypeFont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azxxzd92vawxoeaazd52a2wwf5tse2ewx0e&quot;&gt;My EndNote Library&lt;record-ids&gt;&lt;item&gt;14&lt;/item&gt;&lt;item&gt;15&lt;/item&gt;&lt;item&gt;16&lt;/item&gt;&lt;item&gt;18&lt;/item&gt;&lt;item&gt;24&lt;/item&gt;&lt;item&gt;34&lt;/item&gt;&lt;item&gt;36&lt;/item&gt;&lt;item&gt;41&lt;/item&gt;&lt;item&gt;54&lt;/item&gt;&lt;item&gt;57&lt;/item&gt;&lt;item&gt;58&lt;/item&gt;&lt;item&gt;59&lt;/item&gt;&lt;item&gt;60&lt;/item&gt;&lt;item&gt;61&lt;/item&gt;&lt;item&gt;62&lt;/item&gt;&lt;item&gt;63&lt;/item&gt;&lt;item&gt;64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8&lt;/item&gt;&lt;item&gt;79&lt;/item&gt;&lt;item&gt;80&lt;/item&gt;&lt;item&gt;81&lt;/item&gt;&lt;item&gt;82&lt;/item&gt;&lt;item&gt;83&lt;/item&gt;&lt;item&gt;84&lt;/item&gt;&lt;/record-ids&gt;&lt;/item&gt;&lt;/Libraries&gt;"/>
  </w:docVars>
  <w:rsids>
    <w:rsidRoot w:val="0093699D"/>
    <w:rsid w:val="00000AB2"/>
    <w:rsid w:val="000038B4"/>
    <w:rsid w:val="00006F83"/>
    <w:rsid w:val="00007393"/>
    <w:rsid w:val="00025F64"/>
    <w:rsid w:val="00027119"/>
    <w:rsid w:val="00043249"/>
    <w:rsid w:val="00053BC0"/>
    <w:rsid w:val="00060C1E"/>
    <w:rsid w:val="00072E21"/>
    <w:rsid w:val="0008370F"/>
    <w:rsid w:val="00083B07"/>
    <w:rsid w:val="00085379"/>
    <w:rsid w:val="00093E3A"/>
    <w:rsid w:val="000A1069"/>
    <w:rsid w:val="000A3C15"/>
    <w:rsid w:val="000B620E"/>
    <w:rsid w:val="000B6AAE"/>
    <w:rsid w:val="000D0BBA"/>
    <w:rsid w:val="000F17F1"/>
    <w:rsid w:val="000F29E9"/>
    <w:rsid w:val="001003C7"/>
    <w:rsid w:val="0011060A"/>
    <w:rsid w:val="00116C26"/>
    <w:rsid w:val="00121E36"/>
    <w:rsid w:val="001273E9"/>
    <w:rsid w:val="001305BE"/>
    <w:rsid w:val="00142EB4"/>
    <w:rsid w:val="00143EBA"/>
    <w:rsid w:val="00157635"/>
    <w:rsid w:val="00161883"/>
    <w:rsid w:val="00171F90"/>
    <w:rsid w:val="001A63F1"/>
    <w:rsid w:val="001B030A"/>
    <w:rsid w:val="001C291A"/>
    <w:rsid w:val="001C3E25"/>
    <w:rsid w:val="001C6C13"/>
    <w:rsid w:val="001D032C"/>
    <w:rsid w:val="001D0DC7"/>
    <w:rsid w:val="001D2BB5"/>
    <w:rsid w:val="001E14C0"/>
    <w:rsid w:val="001E3C30"/>
    <w:rsid w:val="001E52B8"/>
    <w:rsid w:val="001F2C9D"/>
    <w:rsid w:val="001F3FC0"/>
    <w:rsid w:val="001F4AE8"/>
    <w:rsid w:val="002222B3"/>
    <w:rsid w:val="002267CF"/>
    <w:rsid w:val="00227087"/>
    <w:rsid w:val="0022710B"/>
    <w:rsid w:val="002326EA"/>
    <w:rsid w:val="00236EF1"/>
    <w:rsid w:val="002616FB"/>
    <w:rsid w:val="002B456C"/>
    <w:rsid w:val="002B472D"/>
    <w:rsid w:val="002C5148"/>
    <w:rsid w:val="002D35D9"/>
    <w:rsid w:val="002D51D2"/>
    <w:rsid w:val="002E4938"/>
    <w:rsid w:val="002E5429"/>
    <w:rsid w:val="002E725A"/>
    <w:rsid w:val="0030120C"/>
    <w:rsid w:val="003254BC"/>
    <w:rsid w:val="00330F00"/>
    <w:rsid w:val="0034394D"/>
    <w:rsid w:val="00343F95"/>
    <w:rsid w:val="00351F29"/>
    <w:rsid w:val="00357DE1"/>
    <w:rsid w:val="003647AE"/>
    <w:rsid w:val="00366643"/>
    <w:rsid w:val="00373416"/>
    <w:rsid w:val="00380AB4"/>
    <w:rsid w:val="00381450"/>
    <w:rsid w:val="00382C2C"/>
    <w:rsid w:val="003968AE"/>
    <w:rsid w:val="003A0165"/>
    <w:rsid w:val="003A7E02"/>
    <w:rsid w:val="003B59CB"/>
    <w:rsid w:val="003C66EE"/>
    <w:rsid w:val="003D060B"/>
    <w:rsid w:val="003D22A3"/>
    <w:rsid w:val="003D33C0"/>
    <w:rsid w:val="003E7475"/>
    <w:rsid w:val="003F617D"/>
    <w:rsid w:val="004017D9"/>
    <w:rsid w:val="00404190"/>
    <w:rsid w:val="004059C3"/>
    <w:rsid w:val="00420BC4"/>
    <w:rsid w:val="00426E3B"/>
    <w:rsid w:val="00431FA1"/>
    <w:rsid w:val="00441A2D"/>
    <w:rsid w:val="004462C3"/>
    <w:rsid w:val="00450C72"/>
    <w:rsid w:val="00452B08"/>
    <w:rsid w:val="00460370"/>
    <w:rsid w:val="00465AAC"/>
    <w:rsid w:val="00482B63"/>
    <w:rsid w:val="00487150"/>
    <w:rsid w:val="00491B4E"/>
    <w:rsid w:val="004A3FC8"/>
    <w:rsid w:val="004A5F52"/>
    <w:rsid w:val="004D3EFF"/>
    <w:rsid w:val="004D6624"/>
    <w:rsid w:val="004E39DA"/>
    <w:rsid w:val="004E5E11"/>
    <w:rsid w:val="004F2093"/>
    <w:rsid w:val="004F6E5A"/>
    <w:rsid w:val="0051378C"/>
    <w:rsid w:val="005156C1"/>
    <w:rsid w:val="00524979"/>
    <w:rsid w:val="0052592C"/>
    <w:rsid w:val="005260D1"/>
    <w:rsid w:val="00536BCE"/>
    <w:rsid w:val="00543724"/>
    <w:rsid w:val="00554FCE"/>
    <w:rsid w:val="005713CD"/>
    <w:rsid w:val="00574BF1"/>
    <w:rsid w:val="00575E80"/>
    <w:rsid w:val="00595826"/>
    <w:rsid w:val="0059589E"/>
    <w:rsid w:val="005C62D6"/>
    <w:rsid w:val="005E32E0"/>
    <w:rsid w:val="005E76B7"/>
    <w:rsid w:val="005F2B52"/>
    <w:rsid w:val="005F4B07"/>
    <w:rsid w:val="005F72FC"/>
    <w:rsid w:val="006162DB"/>
    <w:rsid w:val="0061675F"/>
    <w:rsid w:val="006177BC"/>
    <w:rsid w:val="00617824"/>
    <w:rsid w:val="006215FE"/>
    <w:rsid w:val="006237FD"/>
    <w:rsid w:val="00623E7F"/>
    <w:rsid w:val="00633418"/>
    <w:rsid w:val="0063546C"/>
    <w:rsid w:val="00641858"/>
    <w:rsid w:val="00650791"/>
    <w:rsid w:val="00650D75"/>
    <w:rsid w:val="006545C0"/>
    <w:rsid w:val="006658EE"/>
    <w:rsid w:val="006670B1"/>
    <w:rsid w:val="006719CC"/>
    <w:rsid w:val="0067582D"/>
    <w:rsid w:val="00675B02"/>
    <w:rsid w:val="00690EBA"/>
    <w:rsid w:val="0069268C"/>
    <w:rsid w:val="00693B30"/>
    <w:rsid w:val="006950DF"/>
    <w:rsid w:val="00695613"/>
    <w:rsid w:val="006B2975"/>
    <w:rsid w:val="006B7797"/>
    <w:rsid w:val="006D27AF"/>
    <w:rsid w:val="006D362F"/>
    <w:rsid w:val="006E0450"/>
    <w:rsid w:val="006E20E6"/>
    <w:rsid w:val="006F2C15"/>
    <w:rsid w:val="006F68BA"/>
    <w:rsid w:val="0070090B"/>
    <w:rsid w:val="007054CA"/>
    <w:rsid w:val="007113E0"/>
    <w:rsid w:val="00711888"/>
    <w:rsid w:val="00711A71"/>
    <w:rsid w:val="007425DE"/>
    <w:rsid w:val="007517ED"/>
    <w:rsid w:val="00756A9B"/>
    <w:rsid w:val="00774404"/>
    <w:rsid w:val="007779F6"/>
    <w:rsid w:val="0078025E"/>
    <w:rsid w:val="007817E8"/>
    <w:rsid w:val="00795B1C"/>
    <w:rsid w:val="007B5C7A"/>
    <w:rsid w:val="007C56E0"/>
    <w:rsid w:val="007D1E7A"/>
    <w:rsid w:val="007E388F"/>
    <w:rsid w:val="007F1EFA"/>
    <w:rsid w:val="00806A48"/>
    <w:rsid w:val="00815A2A"/>
    <w:rsid w:val="0081741D"/>
    <w:rsid w:val="008346C7"/>
    <w:rsid w:val="00835785"/>
    <w:rsid w:val="00842796"/>
    <w:rsid w:val="008437A3"/>
    <w:rsid w:val="00844022"/>
    <w:rsid w:val="00846548"/>
    <w:rsid w:val="00857444"/>
    <w:rsid w:val="00861A89"/>
    <w:rsid w:val="00862EE8"/>
    <w:rsid w:val="008836AC"/>
    <w:rsid w:val="00890448"/>
    <w:rsid w:val="0089677C"/>
    <w:rsid w:val="008E2D9C"/>
    <w:rsid w:val="008E3F39"/>
    <w:rsid w:val="008F0D82"/>
    <w:rsid w:val="009029D2"/>
    <w:rsid w:val="00907F01"/>
    <w:rsid w:val="00912430"/>
    <w:rsid w:val="009218B5"/>
    <w:rsid w:val="009243BE"/>
    <w:rsid w:val="00931522"/>
    <w:rsid w:val="00932C99"/>
    <w:rsid w:val="0093699D"/>
    <w:rsid w:val="0094049A"/>
    <w:rsid w:val="00954FB4"/>
    <w:rsid w:val="00964F03"/>
    <w:rsid w:val="0096697B"/>
    <w:rsid w:val="00971906"/>
    <w:rsid w:val="00977311"/>
    <w:rsid w:val="00983FCF"/>
    <w:rsid w:val="009C7EFE"/>
    <w:rsid w:val="009F203E"/>
    <w:rsid w:val="009F7CC9"/>
    <w:rsid w:val="00A03DA0"/>
    <w:rsid w:val="00A114A0"/>
    <w:rsid w:val="00A12AA2"/>
    <w:rsid w:val="00A16138"/>
    <w:rsid w:val="00A17A36"/>
    <w:rsid w:val="00A202D1"/>
    <w:rsid w:val="00A25F71"/>
    <w:rsid w:val="00A371D7"/>
    <w:rsid w:val="00A503A2"/>
    <w:rsid w:val="00A51DA2"/>
    <w:rsid w:val="00A55C50"/>
    <w:rsid w:val="00A62522"/>
    <w:rsid w:val="00A65F87"/>
    <w:rsid w:val="00A7171C"/>
    <w:rsid w:val="00A8458F"/>
    <w:rsid w:val="00A970E9"/>
    <w:rsid w:val="00AA784C"/>
    <w:rsid w:val="00AB0AAD"/>
    <w:rsid w:val="00AB0E19"/>
    <w:rsid w:val="00AD5EBF"/>
    <w:rsid w:val="00AE1508"/>
    <w:rsid w:val="00AF6B9C"/>
    <w:rsid w:val="00B1533D"/>
    <w:rsid w:val="00B229A8"/>
    <w:rsid w:val="00B34955"/>
    <w:rsid w:val="00B35CEE"/>
    <w:rsid w:val="00B3703F"/>
    <w:rsid w:val="00B37665"/>
    <w:rsid w:val="00B50406"/>
    <w:rsid w:val="00B51D24"/>
    <w:rsid w:val="00B6408B"/>
    <w:rsid w:val="00B6627E"/>
    <w:rsid w:val="00B86513"/>
    <w:rsid w:val="00BA1C4C"/>
    <w:rsid w:val="00BB1CB5"/>
    <w:rsid w:val="00BB281B"/>
    <w:rsid w:val="00BB3E44"/>
    <w:rsid w:val="00BC4A0B"/>
    <w:rsid w:val="00BC59C8"/>
    <w:rsid w:val="00BE103D"/>
    <w:rsid w:val="00BF11A6"/>
    <w:rsid w:val="00C00915"/>
    <w:rsid w:val="00C07AA2"/>
    <w:rsid w:val="00C07D60"/>
    <w:rsid w:val="00C10F35"/>
    <w:rsid w:val="00C15AFB"/>
    <w:rsid w:val="00C1669B"/>
    <w:rsid w:val="00C17551"/>
    <w:rsid w:val="00C2225F"/>
    <w:rsid w:val="00C312D9"/>
    <w:rsid w:val="00C36340"/>
    <w:rsid w:val="00C43F82"/>
    <w:rsid w:val="00C55C62"/>
    <w:rsid w:val="00C62741"/>
    <w:rsid w:val="00C7422F"/>
    <w:rsid w:val="00C80D43"/>
    <w:rsid w:val="00C8447E"/>
    <w:rsid w:val="00C855AB"/>
    <w:rsid w:val="00C91C32"/>
    <w:rsid w:val="00CA119B"/>
    <w:rsid w:val="00CB2202"/>
    <w:rsid w:val="00CB2C3B"/>
    <w:rsid w:val="00CC18FC"/>
    <w:rsid w:val="00CD1013"/>
    <w:rsid w:val="00CD18F1"/>
    <w:rsid w:val="00CD1BC0"/>
    <w:rsid w:val="00CD5672"/>
    <w:rsid w:val="00CE3C69"/>
    <w:rsid w:val="00D018B4"/>
    <w:rsid w:val="00D227FA"/>
    <w:rsid w:val="00D40D7C"/>
    <w:rsid w:val="00D46BFD"/>
    <w:rsid w:val="00D56078"/>
    <w:rsid w:val="00D60AD0"/>
    <w:rsid w:val="00D66513"/>
    <w:rsid w:val="00D702A4"/>
    <w:rsid w:val="00D7446B"/>
    <w:rsid w:val="00D747C8"/>
    <w:rsid w:val="00D8018B"/>
    <w:rsid w:val="00D8232C"/>
    <w:rsid w:val="00D850ED"/>
    <w:rsid w:val="00D97B6E"/>
    <w:rsid w:val="00DB14DC"/>
    <w:rsid w:val="00DB15D9"/>
    <w:rsid w:val="00DC096D"/>
    <w:rsid w:val="00DC280B"/>
    <w:rsid w:val="00DD531B"/>
    <w:rsid w:val="00DE320B"/>
    <w:rsid w:val="00DF5DBE"/>
    <w:rsid w:val="00E114E2"/>
    <w:rsid w:val="00E231A0"/>
    <w:rsid w:val="00E245F4"/>
    <w:rsid w:val="00E27D65"/>
    <w:rsid w:val="00E31A8B"/>
    <w:rsid w:val="00E31E98"/>
    <w:rsid w:val="00E7192C"/>
    <w:rsid w:val="00E73557"/>
    <w:rsid w:val="00E77D99"/>
    <w:rsid w:val="00E81B37"/>
    <w:rsid w:val="00E82DA3"/>
    <w:rsid w:val="00E85393"/>
    <w:rsid w:val="00E87180"/>
    <w:rsid w:val="00E90D83"/>
    <w:rsid w:val="00E97CF0"/>
    <w:rsid w:val="00EA3AFA"/>
    <w:rsid w:val="00EA437A"/>
    <w:rsid w:val="00EC0414"/>
    <w:rsid w:val="00EF4014"/>
    <w:rsid w:val="00F025F2"/>
    <w:rsid w:val="00F027FF"/>
    <w:rsid w:val="00F03365"/>
    <w:rsid w:val="00F03DC7"/>
    <w:rsid w:val="00F1015B"/>
    <w:rsid w:val="00F158E8"/>
    <w:rsid w:val="00F21582"/>
    <w:rsid w:val="00F2325E"/>
    <w:rsid w:val="00F3173D"/>
    <w:rsid w:val="00F515A8"/>
    <w:rsid w:val="00F526CD"/>
    <w:rsid w:val="00F556C5"/>
    <w:rsid w:val="00F64C61"/>
    <w:rsid w:val="00F66727"/>
    <w:rsid w:val="00F75C8E"/>
    <w:rsid w:val="00F8073C"/>
    <w:rsid w:val="00F819CE"/>
    <w:rsid w:val="00F96166"/>
    <w:rsid w:val="00F96BD4"/>
    <w:rsid w:val="00FC2703"/>
    <w:rsid w:val="00FC668E"/>
    <w:rsid w:val="00FC780B"/>
    <w:rsid w:val="00FD057F"/>
    <w:rsid w:val="00FD7D45"/>
    <w:rsid w:val="00FF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B9272"/>
  <w15:docId w15:val="{2747842C-915F-C341-A1A4-FC513B770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2A1E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1E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1E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1E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1EA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E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EA5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3755B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CC076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076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0B2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F1584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242CFC"/>
    <w:rPr>
      <w:i/>
      <w:iCs/>
    </w:rPr>
  </w:style>
  <w:style w:type="paragraph" w:styleId="NormalWeb">
    <w:name w:val="Normal (Web)"/>
    <w:basedOn w:val="Normal"/>
    <w:uiPriority w:val="99"/>
    <w:unhideWhenUsed/>
    <w:rsid w:val="00A44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220DD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3206A"/>
    <w:rPr>
      <w:color w:val="605E5C"/>
      <w:shd w:val="clear" w:color="auto" w:fill="E1DFDD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237F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D46BFD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227087"/>
    <w:pPr>
      <w:jc w:val="center"/>
    </w:pPr>
    <w:rPr>
      <w:lang w:val="en-GB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27087"/>
    <w:rPr>
      <w:lang w:val="en-GB"/>
    </w:rPr>
  </w:style>
  <w:style w:type="paragraph" w:customStyle="1" w:styleId="EndNoteBibliography">
    <w:name w:val="EndNote Bibliography"/>
    <w:basedOn w:val="Normal"/>
    <w:link w:val="EndNoteBibliographyChar"/>
    <w:rsid w:val="00227087"/>
    <w:pPr>
      <w:spacing w:line="240" w:lineRule="auto"/>
    </w:pPr>
    <w:rPr>
      <w:lang w:val="en-GB"/>
    </w:rPr>
  </w:style>
  <w:style w:type="character" w:customStyle="1" w:styleId="EndNoteBibliographyChar">
    <w:name w:val="EndNote Bibliography Char"/>
    <w:basedOn w:val="DefaultParagraphFont"/>
    <w:link w:val="EndNoteBibliography"/>
    <w:rsid w:val="00227087"/>
    <w:rPr>
      <w:lang w:val="en-GB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227087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795B1C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C7422F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0F17F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07393"/>
    <w:rPr>
      <w:b/>
      <w:bCs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E871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09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44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2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95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16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5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844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52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0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57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89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6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159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1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2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5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31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49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numbering" Target="numbering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Yn42wJRDrQ4YW8t35UGt3wOffA==">CgMxLjAyDmguZTAweTJqcHh0M2IwOAByITE1VG9CbjJVcExSX1V6U2dHR0NEeG5NYjRsYl80ejljbA==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9ACC962-E17C-49C9-82A8-7C2D8B5E4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632</Words>
  <Characters>3657</Characters>
  <Application>Microsoft Office Word</Application>
  <DocSecurity>0</DocSecurity>
  <Lines>52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Sunitha</dc:creator>
  <cp:lastModifiedBy>Vemuri, Sunitha</cp:lastModifiedBy>
  <cp:revision>2</cp:revision>
  <dcterms:created xsi:type="dcterms:W3CDTF">2025-05-22T18:31:00Z</dcterms:created>
  <dcterms:modified xsi:type="dcterms:W3CDTF">2025-05-22T18:31:00Z</dcterms:modified>
</cp:coreProperties>
</file>