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53D9E" w14:textId="50AC1246" w:rsidR="001A2A3E" w:rsidRPr="00FC51A4" w:rsidRDefault="001A2A3E" w:rsidP="001A2A3E">
      <w:pPr>
        <w:spacing w:after="0" w:line="480" w:lineRule="auto"/>
        <w:jc w:val="center"/>
        <w:rPr>
          <w:rFonts w:ascii="Times New Roman" w:eastAsia="Times New Roman" w:hAnsi="Times New Roman" w:cs="Times New Roman"/>
          <w:b/>
          <w:sz w:val="44"/>
          <w:szCs w:val="44"/>
        </w:rPr>
      </w:pPr>
      <w:r w:rsidRPr="00FC51A4">
        <w:rPr>
          <w:rFonts w:ascii="Times New Roman" w:eastAsia="Times New Roman" w:hAnsi="Times New Roman" w:cs="Times New Roman"/>
          <w:b/>
          <w:sz w:val="44"/>
          <w:szCs w:val="44"/>
        </w:rPr>
        <w:t xml:space="preserve">Targeting the antioxidant, antimicrobial and anti-inflammatory activity of non-psychotropic </w:t>
      </w:r>
      <w:r w:rsidRPr="00FC51A4">
        <w:rPr>
          <w:rFonts w:ascii="Times New Roman" w:eastAsia="Times New Roman" w:hAnsi="Times New Roman" w:cs="Times New Roman"/>
          <w:b/>
          <w:i/>
          <w:iCs/>
          <w:sz w:val="44"/>
          <w:szCs w:val="44"/>
        </w:rPr>
        <w:t>Cannabis sativa</w:t>
      </w:r>
      <w:r w:rsidRPr="00FC51A4">
        <w:rPr>
          <w:rFonts w:ascii="Times New Roman" w:eastAsia="Times New Roman" w:hAnsi="Times New Roman" w:cs="Times New Roman"/>
          <w:b/>
          <w:sz w:val="44"/>
          <w:szCs w:val="44"/>
        </w:rPr>
        <w:t xml:space="preserve"> L.: a comparison with chemotype V</w:t>
      </w:r>
    </w:p>
    <w:p w14:paraId="71E8A29E" w14:textId="77777777" w:rsidR="005C2151" w:rsidRPr="00FC51A4" w:rsidRDefault="00000000">
      <w:pPr>
        <w:spacing w:after="0" w:line="480" w:lineRule="auto"/>
        <w:jc w:val="center"/>
        <w:rPr>
          <w:rFonts w:ascii="Times New Roman" w:eastAsia="Times New Roman" w:hAnsi="Times New Roman" w:cs="Times New Roman"/>
          <w:sz w:val="24"/>
          <w:szCs w:val="24"/>
          <w:vertAlign w:val="superscript"/>
          <w:lang w:val="it-IT"/>
        </w:rPr>
      </w:pPr>
      <w:r w:rsidRPr="00FC51A4">
        <w:rPr>
          <w:rFonts w:ascii="Times New Roman" w:eastAsia="Times New Roman" w:hAnsi="Times New Roman" w:cs="Times New Roman"/>
          <w:sz w:val="24"/>
          <w:szCs w:val="24"/>
          <w:lang w:val="it-IT"/>
        </w:rPr>
        <w:t>Chiara Ceresa</w:t>
      </w:r>
      <w:r w:rsidRPr="00FC51A4">
        <w:rPr>
          <w:rFonts w:ascii="Times New Roman" w:eastAsia="Times New Roman" w:hAnsi="Times New Roman" w:cs="Times New Roman"/>
          <w:sz w:val="24"/>
          <w:szCs w:val="24"/>
          <w:vertAlign w:val="superscript"/>
          <w:lang w:val="it-IT"/>
        </w:rPr>
        <w:t>1</w:t>
      </w:r>
      <w:r w:rsidRPr="00FC51A4">
        <w:rPr>
          <w:rFonts w:ascii="Times New Roman" w:eastAsia="Times New Roman" w:hAnsi="Times New Roman" w:cs="Times New Roman"/>
          <w:sz w:val="17"/>
          <w:szCs w:val="17"/>
          <w:lang w:val="it-IT"/>
        </w:rPr>
        <w:t xml:space="preserve"> </w:t>
      </w:r>
      <w:r w:rsidRPr="00FC51A4">
        <w:rPr>
          <w:rFonts w:ascii="Times New Roman" w:eastAsia="Times New Roman" w:hAnsi="Times New Roman" w:cs="Times New Roman"/>
          <w:sz w:val="24"/>
          <w:szCs w:val="24"/>
          <w:vertAlign w:val="superscript"/>
          <w:lang w:val="it-IT"/>
        </w:rPr>
        <w:t>†</w:t>
      </w:r>
      <w:r w:rsidRPr="00FC51A4">
        <w:rPr>
          <w:rFonts w:ascii="Times New Roman" w:eastAsia="Times New Roman" w:hAnsi="Times New Roman" w:cs="Times New Roman"/>
          <w:sz w:val="24"/>
          <w:szCs w:val="24"/>
          <w:lang w:val="it-IT"/>
        </w:rPr>
        <w:t>, Martina Delsignore</w:t>
      </w:r>
      <w:r w:rsidRPr="00FC51A4">
        <w:rPr>
          <w:rFonts w:ascii="Times New Roman" w:eastAsia="Times New Roman" w:hAnsi="Times New Roman" w:cs="Times New Roman"/>
          <w:sz w:val="24"/>
          <w:szCs w:val="24"/>
          <w:vertAlign w:val="superscript"/>
          <w:lang w:val="it-IT"/>
        </w:rPr>
        <w:t>1,3†</w:t>
      </w:r>
      <w:r w:rsidRPr="00FC51A4">
        <w:rPr>
          <w:rFonts w:ascii="Times New Roman" w:eastAsia="Times New Roman" w:hAnsi="Times New Roman" w:cs="Times New Roman"/>
          <w:sz w:val="24"/>
          <w:szCs w:val="24"/>
          <w:lang w:val="it-IT"/>
        </w:rPr>
        <w:t>, Matej Maly</w:t>
      </w:r>
      <w:r w:rsidRPr="00FC51A4">
        <w:rPr>
          <w:rFonts w:ascii="Times New Roman" w:eastAsia="Times New Roman" w:hAnsi="Times New Roman" w:cs="Times New Roman"/>
          <w:sz w:val="24"/>
          <w:szCs w:val="24"/>
          <w:vertAlign w:val="superscript"/>
          <w:lang w:val="it-IT"/>
        </w:rPr>
        <w:t>2</w:t>
      </w:r>
      <w:r w:rsidRPr="00FC51A4">
        <w:rPr>
          <w:rFonts w:ascii="Times New Roman" w:eastAsia="Times New Roman" w:hAnsi="Times New Roman" w:cs="Times New Roman"/>
          <w:sz w:val="24"/>
          <w:szCs w:val="24"/>
          <w:lang w:val="it-IT"/>
        </w:rPr>
        <w:t>,</w:t>
      </w:r>
      <w:r w:rsidRPr="00FC51A4">
        <w:rPr>
          <w:rFonts w:ascii="Times New Roman" w:eastAsia="Times New Roman" w:hAnsi="Times New Roman" w:cs="Times New Roman"/>
          <w:sz w:val="24"/>
          <w:szCs w:val="24"/>
          <w:vertAlign w:val="superscript"/>
          <w:lang w:val="it-IT"/>
        </w:rPr>
        <w:t xml:space="preserve"> </w:t>
      </w:r>
      <w:r w:rsidRPr="00FC51A4">
        <w:rPr>
          <w:rFonts w:ascii="Times New Roman" w:eastAsia="Times New Roman" w:hAnsi="Times New Roman" w:cs="Times New Roman"/>
          <w:sz w:val="24"/>
          <w:szCs w:val="24"/>
          <w:lang w:val="it-IT"/>
        </w:rPr>
        <w:t>Francesca Carrà</w:t>
      </w:r>
      <w:r w:rsidRPr="00FC51A4">
        <w:rPr>
          <w:rFonts w:ascii="Times New Roman" w:eastAsia="Times New Roman" w:hAnsi="Times New Roman" w:cs="Times New Roman"/>
          <w:sz w:val="24"/>
          <w:szCs w:val="24"/>
          <w:vertAlign w:val="superscript"/>
          <w:lang w:val="it-IT"/>
        </w:rPr>
        <w:t>1</w:t>
      </w:r>
      <w:r w:rsidRPr="00FC51A4">
        <w:rPr>
          <w:rFonts w:ascii="Times New Roman" w:eastAsia="Times New Roman" w:hAnsi="Times New Roman" w:cs="Times New Roman"/>
          <w:sz w:val="24"/>
          <w:szCs w:val="24"/>
          <w:lang w:val="it-IT"/>
        </w:rPr>
        <w:t>, František Beneš</w:t>
      </w:r>
      <w:r w:rsidRPr="00FC51A4">
        <w:rPr>
          <w:rFonts w:ascii="Times New Roman" w:eastAsia="Times New Roman" w:hAnsi="Times New Roman" w:cs="Times New Roman"/>
          <w:sz w:val="24"/>
          <w:szCs w:val="24"/>
          <w:vertAlign w:val="superscript"/>
          <w:lang w:val="it-IT"/>
        </w:rPr>
        <w:t>2</w:t>
      </w:r>
      <w:r w:rsidRPr="00FC51A4">
        <w:rPr>
          <w:rFonts w:ascii="Times New Roman" w:eastAsia="Times New Roman" w:hAnsi="Times New Roman" w:cs="Times New Roman"/>
          <w:sz w:val="24"/>
          <w:szCs w:val="24"/>
          <w:lang w:val="it-IT"/>
        </w:rPr>
        <w:t>, Andrea Chiara Sansotera</w:t>
      </w:r>
      <w:r w:rsidRPr="00FC51A4">
        <w:rPr>
          <w:rFonts w:ascii="Times New Roman" w:eastAsia="Times New Roman" w:hAnsi="Times New Roman" w:cs="Times New Roman"/>
          <w:sz w:val="24"/>
          <w:szCs w:val="24"/>
          <w:vertAlign w:val="superscript"/>
          <w:lang w:val="it-IT"/>
        </w:rPr>
        <w:t>1</w:t>
      </w:r>
      <w:r w:rsidRPr="00FC51A4">
        <w:rPr>
          <w:rFonts w:ascii="Times New Roman" w:eastAsia="Times New Roman" w:hAnsi="Times New Roman" w:cs="Times New Roman"/>
          <w:sz w:val="17"/>
          <w:szCs w:val="17"/>
          <w:lang w:val="it-IT"/>
        </w:rPr>
        <w:t xml:space="preserve">, </w:t>
      </w:r>
      <w:r w:rsidRPr="00FC51A4">
        <w:rPr>
          <w:rFonts w:ascii="Times New Roman" w:eastAsia="Times New Roman" w:hAnsi="Times New Roman" w:cs="Times New Roman"/>
          <w:sz w:val="24"/>
          <w:szCs w:val="24"/>
          <w:lang w:val="it-IT"/>
        </w:rPr>
        <w:t>Aurora Camola</w:t>
      </w:r>
      <w:r w:rsidRPr="00FC51A4">
        <w:rPr>
          <w:rFonts w:ascii="Times New Roman" w:eastAsia="Times New Roman" w:hAnsi="Times New Roman" w:cs="Times New Roman"/>
          <w:sz w:val="24"/>
          <w:szCs w:val="24"/>
          <w:vertAlign w:val="superscript"/>
          <w:lang w:val="it-IT"/>
        </w:rPr>
        <w:t>1</w:t>
      </w:r>
      <w:r w:rsidRPr="00FC51A4">
        <w:rPr>
          <w:rFonts w:ascii="Times New Roman" w:eastAsia="Times New Roman" w:hAnsi="Times New Roman" w:cs="Times New Roman"/>
          <w:sz w:val="24"/>
          <w:szCs w:val="24"/>
          <w:lang w:val="it-IT"/>
        </w:rPr>
        <w:t>, Marco Arlorio</w:t>
      </w:r>
      <w:r w:rsidRPr="00FC51A4">
        <w:rPr>
          <w:rFonts w:ascii="Times New Roman" w:eastAsia="Times New Roman" w:hAnsi="Times New Roman" w:cs="Times New Roman"/>
          <w:sz w:val="24"/>
          <w:szCs w:val="24"/>
          <w:vertAlign w:val="superscript"/>
          <w:lang w:val="it-IT"/>
        </w:rPr>
        <w:t>1</w:t>
      </w:r>
      <w:r w:rsidRPr="00FC51A4">
        <w:rPr>
          <w:rFonts w:ascii="Times New Roman" w:eastAsia="Times New Roman" w:hAnsi="Times New Roman" w:cs="Times New Roman"/>
          <w:sz w:val="24"/>
          <w:szCs w:val="24"/>
          <w:lang w:val="it-IT"/>
        </w:rPr>
        <w:t>, Chiara Porta</w:t>
      </w:r>
      <w:r w:rsidRPr="00FC51A4">
        <w:rPr>
          <w:rFonts w:ascii="Times New Roman" w:eastAsia="Times New Roman" w:hAnsi="Times New Roman" w:cs="Times New Roman"/>
          <w:sz w:val="24"/>
          <w:szCs w:val="24"/>
          <w:vertAlign w:val="superscript"/>
          <w:lang w:val="it-IT"/>
        </w:rPr>
        <w:t>1,3</w:t>
      </w:r>
      <w:r w:rsidRPr="00FC51A4">
        <w:rPr>
          <w:rFonts w:ascii="Times New Roman" w:eastAsia="Times New Roman" w:hAnsi="Times New Roman" w:cs="Times New Roman"/>
          <w:sz w:val="24"/>
          <w:szCs w:val="24"/>
          <w:lang w:val="it-IT"/>
        </w:rPr>
        <w:t>, Letizia Fracchia</w:t>
      </w:r>
      <w:r w:rsidRPr="00FC51A4">
        <w:rPr>
          <w:rFonts w:ascii="Times New Roman" w:eastAsia="Times New Roman" w:hAnsi="Times New Roman" w:cs="Times New Roman"/>
          <w:sz w:val="24"/>
          <w:szCs w:val="24"/>
          <w:vertAlign w:val="superscript"/>
          <w:lang w:val="it-IT"/>
        </w:rPr>
        <w:t>1</w:t>
      </w:r>
      <w:r w:rsidRPr="00FC51A4">
        <w:rPr>
          <w:rFonts w:ascii="Times New Roman" w:eastAsia="Times New Roman" w:hAnsi="Times New Roman" w:cs="Times New Roman"/>
          <w:sz w:val="24"/>
          <w:szCs w:val="24"/>
          <w:lang w:val="it-IT"/>
        </w:rPr>
        <w:t>, Vincenzo Disca</w:t>
      </w:r>
      <w:r w:rsidRPr="00FC51A4">
        <w:rPr>
          <w:rFonts w:ascii="Times New Roman" w:eastAsia="Times New Roman" w:hAnsi="Times New Roman" w:cs="Times New Roman"/>
          <w:sz w:val="24"/>
          <w:szCs w:val="24"/>
          <w:vertAlign w:val="superscript"/>
          <w:lang w:val="it-IT"/>
        </w:rPr>
        <w:t xml:space="preserve">1* </w:t>
      </w:r>
      <w:r w:rsidRPr="00FC51A4">
        <w:rPr>
          <w:rFonts w:ascii="Times New Roman" w:eastAsia="Times New Roman" w:hAnsi="Times New Roman" w:cs="Times New Roman"/>
          <w:sz w:val="24"/>
          <w:szCs w:val="24"/>
          <w:lang w:val="it-IT"/>
        </w:rPr>
        <w:t>and Federica Pollastro</w:t>
      </w:r>
      <w:r w:rsidRPr="00FC51A4">
        <w:rPr>
          <w:rFonts w:ascii="Times New Roman" w:eastAsia="Times New Roman" w:hAnsi="Times New Roman" w:cs="Times New Roman"/>
          <w:sz w:val="24"/>
          <w:szCs w:val="24"/>
          <w:vertAlign w:val="superscript"/>
          <w:lang w:val="it-IT"/>
        </w:rPr>
        <w:t>1*</w:t>
      </w:r>
    </w:p>
    <w:p w14:paraId="04B36BBB" w14:textId="77777777" w:rsidR="005C2151" w:rsidRPr="00FC51A4" w:rsidRDefault="00000000">
      <w:pPr>
        <w:spacing w:before="120" w:after="280" w:line="480" w:lineRule="auto"/>
        <w:jc w:val="both"/>
        <w:rPr>
          <w:rFonts w:ascii="Times New Roman" w:eastAsia="Times New Roman" w:hAnsi="Times New Roman" w:cs="Times New Roman"/>
          <w:sz w:val="24"/>
          <w:szCs w:val="24"/>
        </w:rPr>
      </w:pPr>
      <w:bookmarkStart w:id="0" w:name="_heading=h.77tr0f72mhtm" w:colFirst="0" w:colLast="0"/>
      <w:bookmarkEnd w:id="0"/>
      <w:r w:rsidRPr="00FC51A4">
        <w:rPr>
          <w:rFonts w:ascii="Times New Roman" w:eastAsia="Times New Roman" w:hAnsi="Times New Roman" w:cs="Times New Roman"/>
          <w:sz w:val="24"/>
          <w:szCs w:val="24"/>
          <w:vertAlign w:val="superscript"/>
        </w:rPr>
        <w:t>1</w:t>
      </w:r>
      <w:r w:rsidRPr="00FC51A4">
        <w:rPr>
          <w:rFonts w:ascii="Times New Roman" w:eastAsia="Times New Roman" w:hAnsi="Times New Roman" w:cs="Times New Roman"/>
          <w:sz w:val="24"/>
          <w:szCs w:val="24"/>
        </w:rPr>
        <w:t xml:space="preserve">University of Piemonte Orientale, Department of Pharmaceutical Sciences, </w:t>
      </w:r>
      <w:proofErr w:type="spellStart"/>
      <w:proofErr w:type="gramStart"/>
      <w:r w:rsidRPr="00FC51A4">
        <w:rPr>
          <w:rFonts w:ascii="Times New Roman" w:eastAsia="Times New Roman" w:hAnsi="Times New Roman" w:cs="Times New Roman"/>
          <w:sz w:val="24"/>
          <w:szCs w:val="24"/>
        </w:rPr>
        <w:t>L.go</w:t>
      </w:r>
      <w:proofErr w:type="spellEnd"/>
      <w:proofErr w:type="gramEnd"/>
      <w:r w:rsidRPr="00FC51A4">
        <w:rPr>
          <w:rFonts w:ascii="Times New Roman" w:eastAsia="Times New Roman" w:hAnsi="Times New Roman" w:cs="Times New Roman"/>
          <w:sz w:val="24"/>
          <w:szCs w:val="24"/>
        </w:rPr>
        <w:t xml:space="preserve"> </w:t>
      </w:r>
      <w:proofErr w:type="spellStart"/>
      <w:r w:rsidRPr="00FC51A4">
        <w:rPr>
          <w:rFonts w:ascii="Times New Roman" w:eastAsia="Times New Roman" w:hAnsi="Times New Roman" w:cs="Times New Roman"/>
          <w:sz w:val="24"/>
          <w:szCs w:val="24"/>
        </w:rPr>
        <w:t>Donegani</w:t>
      </w:r>
      <w:proofErr w:type="spellEnd"/>
      <w:r w:rsidRPr="00FC51A4">
        <w:rPr>
          <w:rFonts w:ascii="Times New Roman" w:eastAsia="Times New Roman" w:hAnsi="Times New Roman" w:cs="Times New Roman"/>
          <w:sz w:val="24"/>
          <w:szCs w:val="24"/>
        </w:rPr>
        <w:t xml:space="preserve"> 2, 28100 Novara, Italy.</w:t>
      </w:r>
    </w:p>
    <w:p w14:paraId="7238A0CC" w14:textId="77777777"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vertAlign w:val="superscript"/>
        </w:rPr>
        <w:t>2</w:t>
      </w:r>
      <w:r w:rsidRPr="00FC51A4">
        <w:rPr>
          <w:rFonts w:ascii="Times New Roman" w:eastAsia="Times New Roman" w:hAnsi="Times New Roman" w:cs="Times New Roman"/>
          <w:sz w:val="24"/>
          <w:szCs w:val="24"/>
        </w:rPr>
        <w:t xml:space="preserve">University of Chemistry and Technology in Prague, Department of Food Analysis and Nutrition, </w:t>
      </w:r>
      <w:proofErr w:type="spellStart"/>
      <w:r w:rsidRPr="00FC51A4">
        <w:rPr>
          <w:rFonts w:ascii="Times New Roman" w:eastAsia="Times New Roman" w:hAnsi="Times New Roman" w:cs="Times New Roman"/>
          <w:sz w:val="24"/>
          <w:szCs w:val="24"/>
        </w:rPr>
        <w:t>Technická</w:t>
      </w:r>
      <w:proofErr w:type="spellEnd"/>
      <w:r w:rsidRPr="00FC51A4">
        <w:rPr>
          <w:rFonts w:ascii="Times New Roman" w:eastAsia="Times New Roman" w:hAnsi="Times New Roman" w:cs="Times New Roman"/>
          <w:sz w:val="24"/>
          <w:szCs w:val="24"/>
        </w:rPr>
        <w:t xml:space="preserve"> 5, 166 28 Prague 6, Czech Republic</w:t>
      </w:r>
    </w:p>
    <w:p w14:paraId="017DB756" w14:textId="77777777"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vertAlign w:val="superscript"/>
        </w:rPr>
        <w:t>3</w:t>
      </w:r>
      <w:r w:rsidRPr="00FC51A4">
        <w:rPr>
          <w:rFonts w:ascii="Times New Roman" w:eastAsia="Times New Roman" w:hAnsi="Times New Roman" w:cs="Times New Roman"/>
          <w:sz w:val="24"/>
          <w:szCs w:val="24"/>
        </w:rPr>
        <w:t>University of Piemonte Orientale, Center for Translational Research on Autoimmune &amp; Allergic Diseases (CAAD), C.so Trieste 15/A, 28100 Novara, Italy.</w:t>
      </w:r>
    </w:p>
    <w:p w14:paraId="60FA993A" w14:textId="77777777" w:rsidR="00213C75" w:rsidRPr="00FC51A4" w:rsidRDefault="00213C75">
      <w:pPr>
        <w:spacing w:before="120" w:after="280" w:line="480" w:lineRule="auto"/>
        <w:jc w:val="both"/>
        <w:rPr>
          <w:rFonts w:ascii="Times New Roman" w:eastAsia="Times New Roman" w:hAnsi="Times New Roman" w:cs="Times New Roman"/>
          <w:sz w:val="24"/>
          <w:szCs w:val="24"/>
        </w:rPr>
      </w:pPr>
    </w:p>
    <w:p w14:paraId="58BE8477" w14:textId="6E88461E" w:rsidR="00213C75" w:rsidRPr="00FC51A4" w:rsidRDefault="00213C75" w:rsidP="00213C75">
      <w:pPr>
        <w:spacing w:before="120" w:after="280" w:line="480" w:lineRule="auto"/>
        <w:jc w:val="both"/>
        <w:rPr>
          <w:rFonts w:ascii="Times New Roman" w:eastAsia="Times New Roman" w:hAnsi="Times New Roman" w:cs="Times New Roman"/>
          <w:bCs/>
          <w:sz w:val="24"/>
          <w:szCs w:val="24"/>
        </w:rPr>
      </w:pPr>
      <w:r w:rsidRPr="00FC51A4">
        <w:rPr>
          <w:rFonts w:ascii="Times New Roman" w:eastAsia="Times New Roman" w:hAnsi="Times New Roman" w:cs="Times New Roman"/>
          <w:b/>
          <w:sz w:val="24"/>
          <w:szCs w:val="24"/>
        </w:rPr>
        <w:t xml:space="preserve">*Corresponding authors: </w:t>
      </w:r>
      <w:r w:rsidR="003A143D" w:rsidRPr="003A143D">
        <w:rPr>
          <w:rFonts w:ascii="Times New Roman" w:hAnsi="Times New Roman" w:cs="Times New Roman"/>
        </w:rPr>
        <w:t>vincenzo.disca@uniupo.it; federica.pollastro@uniupo.it</w:t>
      </w:r>
    </w:p>
    <w:p w14:paraId="4EEF1038" w14:textId="77777777" w:rsidR="005C2151" w:rsidRPr="00FC51A4" w:rsidRDefault="005C2151">
      <w:pPr>
        <w:spacing w:before="120" w:after="280" w:line="480" w:lineRule="auto"/>
        <w:jc w:val="both"/>
        <w:rPr>
          <w:rFonts w:ascii="Times New Roman" w:eastAsia="Times New Roman" w:hAnsi="Times New Roman" w:cs="Times New Roman"/>
          <w:b/>
          <w:sz w:val="24"/>
          <w:szCs w:val="24"/>
        </w:rPr>
      </w:pPr>
    </w:p>
    <w:p w14:paraId="444E141A" w14:textId="77777777" w:rsidR="005C2151" w:rsidRPr="00FC51A4" w:rsidRDefault="005C2151">
      <w:pPr>
        <w:spacing w:before="120" w:after="280" w:line="480" w:lineRule="auto"/>
        <w:jc w:val="both"/>
        <w:rPr>
          <w:rFonts w:ascii="Times New Roman" w:eastAsia="Times New Roman" w:hAnsi="Times New Roman" w:cs="Times New Roman"/>
          <w:b/>
          <w:sz w:val="24"/>
          <w:szCs w:val="24"/>
        </w:rPr>
      </w:pPr>
    </w:p>
    <w:p w14:paraId="026613FF" w14:textId="77777777" w:rsidR="005C2151" w:rsidRPr="00FC51A4" w:rsidRDefault="005C2151">
      <w:pPr>
        <w:spacing w:before="120" w:after="280" w:line="480" w:lineRule="auto"/>
        <w:jc w:val="both"/>
        <w:rPr>
          <w:rFonts w:ascii="Times New Roman" w:eastAsia="Times New Roman" w:hAnsi="Times New Roman" w:cs="Times New Roman"/>
          <w:b/>
          <w:sz w:val="24"/>
          <w:szCs w:val="24"/>
        </w:rPr>
      </w:pPr>
    </w:p>
    <w:p w14:paraId="2AA778DC" w14:textId="77777777" w:rsidR="001F0068" w:rsidRPr="00FC51A4" w:rsidRDefault="001F0068" w:rsidP="001F0068">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lastRenderedPageBreak/>
        <w:t>List of Abbreviations</w:t>
      </w:r>
    </w:p>
    <w:p w14:paraId="6D273AD5" w14:textId="0C36C3AB"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LPC: Low Pressure Chromatography</w:t>
      </w:r>
    </w:p>
    <w:p w14:paraId="1508FCAF" w14:textId="5A7F19DB"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TLC: Thin Layer Chromatography</w:t>
      </w:r>
    </w:p>
    <w:p w14:paraId="14D2906E" w14:textId="5D41EE7A"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HPLC:</w:t>
      </w:r>
      <w:r w:rsidRPr="00FC51A4">
        <w:rPr>
          <w:rFonts w:ascii="Times New Roman" w:eastAsia="Times New Roman" w:hAnsi="Times New Roman" w:cs="Times New Roman"/>
          <w:bCs/>
          <w:sz w:val="24"/>
          <w:szCs w:val="24"/>
        </w:rPr>
        <w:tab/>
        <w:t>High-Performance Liquid Chromatography</w:t>
      </w:r>
    </w:p>
    <w:p w14:paraId="6CFB910B" w14:textId="419DE3A2"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HRMS: High-Resolution Mass Spectrometry</w:t>
      </w:r>
    </w:p>
    <w:p w14:paraId="0363C24F" w14:textId="09693506" w:rsidR="002051C6"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UHPLC: Ultra-High Performance Liquid Chromatography</w:t>
      </w:r>
    </w:p>
    <w:p w14:paraId="13948032" w14:textId="1D528FCF"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MHB: Mueller-Hinton Broth</w:t>
      </w:r>
    </w:p>
    <w:p w14:paraId="4306B84F" w14:textId="5743201D"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TSB: Tryptic Soy Broth</w:t>
      </w:r>
    </w:p>
    <w:p w14:paraId="73D986BD" w14:textId="09510A13"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MHA: Mueller-Hinton Agar</w:t>
      </w:r>
    </w:p>
    <w:p w14:paraId="7B12EAE8" w14:textId="16D7A6A9"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TSA: Tryptic Soy Agar</w:t>
      </w:r>
    </w:p>
    <w:p w14:paraId="1FCAB600" w14:textId="0A39DB0E"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DMEM: Dulbecco’s Modified Eagle Medium</w:t>
      </w:r>
    </w:p>
    <w:p w14:paraId="3EB4F13F" w14:textId="6DC93C47"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FBS: Fetal Bovine Serum</w:t>
      </w:r>
    </w:p>
    <w:p w14:paraId="3E97D029" w14:textId="5D2ACA7F"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CBD: Cannabidiol</w:t>
      </w:r>
    </w:p>
    <w:p w14:paraId="6119794D" w14:textId="7A46BF4A"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CBG: Cannabigerol</w:t>
      </w:r>
    </w:p>
    <w:p w14:paraId="294F78F5" w14:textId="3B6106BA"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CBC: Cannabichromene</w:t>
      </w:r>
    </w:p>
    <w:p w14:paraId="68E01DC0" w14:textId="3EDB8928"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DPPH: 2,2-Diphenyl-1-picrylhydrazyl</w:t>
      </w:r>
    </w:p>
    <w:p w14:paraId="78E24B47" w14:textId="63FCC7A1" w:rsidR="001F0068" w:rsidRPr="00FC51A4" w:rsidRDefault="001F0068" w:rsidP="001F0068">
      <w:pPr>
        <w:spacing w:before="120" w:after="280" w:line="480" w:lineRule="auto"/>
        <w:rPr>
          <w:rFonts w:ascii="Times New Roman" w:eastAsia="Times New Roman" w:hAnsi="Times New Roman" w:cs="Times New Roman"/>
          <w:bCs/>
          <w:sz w:val="24"/>
          <w:szCs w:val="24"/>
          <w:lang w:val="es-ES"/>
        </w:rPr>
      </w:pPr>
      <w:r w:rsidRPr="00FC51A4">
        <w:rPr>
          <w:rFonts w:ascii="Times New Roman" w:eastAsia="Times New Roman" w:hAnsi="Times New Roman" w:cs="Times New Roman"/>
          <w:bCs/>
          <w:sz w:val="24"/>
          <w:szCs w:val="24"/>
          <w:lang w:val="es-ES"/>
        </w:rPr>
        <w:t>ABTS: 2,2'-Azino-bis(3-ethylbenzothiazoline-6-sulfonic acid)</w:t>
      </w:r>
    </w:p>
    <w:p w14:paraId="1C6EDEA7" w14:textId="56E01BCE"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lastRenderedPageBreak/>
        <w:t>FRAP: Ferric Reducing Antioxidant Power</w:t>
      </w:r>
    </w:p>
    <w:p w14:paraId="646069E2" w14:textId="6FDF0A73"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TE: Trolox Equivalent</w:t>
      </w:r>
    </w:p>
    <w:p w14:paraId="61CAEC4D" w14:textId="085CB517"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ESI: Electrospray Ionization</w:t>
      </w:r>
    </w:p>
    <w:p w14:paraId="40D820B6" w14:textId="382181C6"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FWHM: Full Width at Half Maximum</w:t>
      </w:r>
    </w:p>
    <w:p w14:paraId="3E6BBEAF" w14:textId="40B6F6DB"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XIC: Extracted Ion Chromatogram</w:t>
      </w:r>
    </w:p>
    <w:p w14:paraId="467F0DE0" w14:textId="4C797BEB"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MIC: Minimum Inhibitory Concentration</w:t>
      </w:r>
    </w:p>
    <w:p w14:paraId="13441D19" w14:textId="677DAFFF"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MRSA: Methicillin-Resistant Staphylococcus aureus</w:t>
      </w:r>
    </w:p>
    <w:p w14:paraId="371D0FF0" w14:textId="001DDA38"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DMSO: Dimethyl Sulfoxide</w:t>
      </w:r>
    </w:p>
    <w:p w14:paraId="70F94B71" w14:textId="264018D0"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MBC: Minimum Bactericidal Concentration</w:t>
      </w:r>
    </w:p>
    <w:p w14:paraId="26D0256A" w14:textId="355C9AA3"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CFU: Colony Forming Unit</w:t>
      </w:r>
    </w:p>
    <w:p w14:paraId="1A3814A0" w14:textId="2E73325A"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OD: Optical Density</w:t>
      </w:r>
    </w:p>
    <w:p w14:paraId="747BEBAE" w14:textId="2EEC11D1"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qPCR: Quantitative Polymerase Chain Reaction</w:t>
      </w:r>
    </w:p>
    <w:p w14:paraId="510D5CD5" w14:textId="4AAB4AAC"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ANOVA: Analysis of Variance</w:t>
      </w:r>
    </w:p>
    <w:p w14:paraId="6A9D772A" w14:textId="285C7CA1" w:rsidR="001F0068" w:rsidRPr="00FC51A4" w:rsidRDefault="001F0068" w:rsidP="001F0068">
      <w:pPr>
        <w:spacing w:before="120" w:after="280" w:line="480" w:lineRule="auto"/>
        <w:rPr>
          <w:rFonts w:ascii="Times New Roman" w:eastAsia="Times New Roman" w:hAnsi="Times New Roman" w:cs="Times New Roman"/>
          <w:bCs/>
          <w:sz w:val="24"/>
          <w:szCs w:val="24"/>
        </w:rPr>
      </w:pPr>
      <w:r w:rsidRPr="00FC51A4">
        <w:rPr>
          <w:rFonts w:ascii="Times New Roman" w:eastAsia="Times New Roman" w:hAnsi="Times New Roman" w:cs="Times New Roman"/>
          <w:bCs/>
          <w:sz w:val="24"/>
          <w:szCs w:val="24"/>
        </w:rPr>
        <w:t xml:space="preserve">HSD: Honestly Significant Difference </w:t>
      </w:r>
    </w:p>
    <w:p w14:paraId="5ECB7C66" w14:textId="77777777" w:rsidR="001F0068" w:rsidRPr="00FC51A4" w:rsidRDefault="001F0068">
      <w:pPr>
        <w:spacing w:before="120" w:after="280" w:line="480" w:lineRule="auto"/>
        <w:jc w:val="both"/>
        <w:rPr>
          <w:rFonts w:ascii="Times New Roman" w:eastAsia="Times New Roman" w:hAnsi="Times New Roman" w:cs="Times New Roman"/>
          <w:b/>
          <w:sz w:val="24"/>
          <w:szCs w:val="24"/>
        </w:rPr>
      </w:pPr>
    </w:p>
    <w:p w14:paraId="08764B75" w14:textId="77777777" w:rsidR="001F0068" w:rsidRDefault="001F0068">
      <w:pPr>
        <w:spacing w:before="120" w:after="280" w:line="480" w:lineRule="auto"/>
        <w:jc w:val="both"/>
        <w:rPr>
          <w:rFonts w:ascii="Times New Roman" w:eastAsia="Times New Roman" w:hAnsi="Times New Roman" w:cs="Times New Roman"/>
          <w:b/>
          <w:sz w:val="24"/>
          <w:szCs w:val="24"/>
        </w:rPr>
      </w:pPr>
    </w:p>
    <w:p w14:paraId="02E3D6A6" w14:textId="77777777" w:rsidR="003F30AB" w:rsidRPr="00FC51A4" w:rsidRDefault="003F30AB">
      <w:pPr>
        <w:spacing w:before="120" w:after="280" w:line="480" w:lineRule="auto"/>
        <w:jc w:val="both"/>
        <w:rPr>
          <w:rFonts w:ascii="Times New Roman" w:eastAsia="Times New Roman" w:hAnsi="Times New Roman" w:cs="Times New Roman"/>
          <w:b/>
          <w:sz w:val="24"/>
          <w:szCs w:val="24"/>
        </w:rPr>
      </w:pPr>
    </w:p>
    <w:p w14:paraId="6D7D7DC6" w14:textId="35F1632B" w:rsidR="00485722" w:rsidRPr="00FC51A4" w:rsidRDefault="00485722">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lastRenderedPageBreak/>
        <w:t>1. MATERIALS AND METHODS</w:t>
      </w:r>
    </w:p>
    <w:p w14:paraId="02DA7D00" w14:textId="77777777" w:rsidR="005C2151" w:rsidRPr="00FC51A4" w:rsidRDefault="00000000">
      <w:pPr>
        <w:spacing w:before="120" w:after="280" w:line="480" w:lineRule="auto"/>
        <w:ind w:left="720"/>
        <w:jc w:val="both"/>
        <w:rPr>
          <w:rFonts w:ascii="Times New Roman" w:eastAsia="Times New Roman" w:hAnsi="Times New Roman" w:cs="Times New Roman"/>
          <w:b/>
          <w:sz w:val="24"/>
          <w:szCs w:val="24"/>
        </w:rPr>
      </w:pPr>
      <w:bookmarkStart w:id="1" w:name="_heading=h.1ob567auzwiu" w:colFirst="0" w:colLast="0"/>
      <w:bookmarkEnd w:id="1"/>
      <w:r w:rsidRPr="00FC51A4">
        <w:rPr>
          <w:rFonts w:ascii="Times New Roman" w:eastAsia="Times New Roman" w:hAnsi="Times New Roman" w:cs="Times New Roman"/>
          <w:b/>
          <w:sz w:val="24"/>
          <w:szCs w:val="24"/>
        </w:rPr>
        <w:t>1.1 General experimental procedures</w:t>
      </w:r>
    </w:p>
    <w:p w14:paraId="12FA0D91" w14:textId="57B6DCE9"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Caudex" w:hAnsi="Times New Roman" w:cs="Times New Roman"/>
          <w:sz w:val="24"/>
          <w:szCs w:val="24"/>
        </w:rPr>
        <w:t xml:space="preserve">Silica gel 60 (0.063−0.200 mm) and Celite® 545 (0.02−0.1 mm), used for low-pressure liquid chromatography (LPC), were purchased from </w:t>
      </w:r>
      <w:proofErr w:type="spellStart"/>
      <w:r w:rsidRPr="00FC51A4">
        <w:rPr>
          <w:rFonts w:ascii="Times New Roman" w:eastAsia="Caudex" w:hAnsi="Times New Roman" w:cs="Times New Roman"/>
          <w:sz w:val="24"/>
          <w:szCs w:val="24"/>
        </w:rPr>
        <w:t>Macherey</w:t>
      </w:r>
      <w:proofErr w:type="spellEnd"/>
      <w:r w:rsidRPr="00FC51A4">
        <w:rPr>
          <w:rFonts w:ascii="Times New Roman" w:eastAsia="Caudex" w:hAnsi="Times New Roman" w:cs="Times New Roman"/>
          <w:sz w:val="24"/>
          <w:szCs w:val="24"/>
        </w:rPr>
        <w:t>-Nagel (</w:t>
      </w:r>
      <w:proofErr w:type="spellStart"/>
      <w:r w:rsidRPr="00FC51A4">
        <w:rPr>
          <w:rFonts w:ascii="Times New Roman" w:eastAsia="Caudex" w:hAnsi="Times New Roman" w:cs="Times New Roman"/>
          <w:sz w:val="24"/>
          <w:szCs w:val="24"/>
        </w:rPr>
        <w:t>Düren</w:t>
      </w:r>
      <w:proofErr w:type="spellEnd"/>
      <w:r w:rsidRPr="00FC51A4">
        <w:rPr>
          <w:rFonts w:ascii="Times New Roman" w:eastAsia="Caudex" w:hAnsi="Times New Roman" w:cs="Times New Roman"/>
          <w:sz w:val="24"/>
          <w:szCs w:val="24"/>
        </w:rPr>
        <w:t>, Germany). Purifications were monitored by TLC 60 F254 (0.25 mm) plates purchased from Merck (Darmstadt, Germany) and visualized by staining with 5% H</w:t>
      </w:r>
      <w:r w:rsidRPr="00FC51A4">
        <w:rPr>
          <w:rFonts w:ascii="Times New Roman" w:eastAsia="Times New Roman" w:hAnsi="Times New Roman" w:cs="Times New Roman"/>
          <w:sz w:val="24"/>
          <w:szCs w:val="24"/>
          <w:vertAlign w:val="subscript"/>
        </w:rPr>
        <w:t>2</w:t>
      </w:r>
      <w:r w:rsidRPr="00FC51A4">
        <w:rPr>
          <w:rFonts w:ascii="Times New Roman" w:eastAsia="Times New Roman" w:hAnsi="Times New Roman" w:cs="Times New Roman"/>
          <w:sz w:val="24"/>
          <w:szCs w:val="24"/>
        </w:rPr>
        <w:t>SO</w:t>
      </w:r>
      <w:r w:rsidRPr="00FC51A4">
        <w:rPr>
          <w:rFonts w:ascii="Times New Roman" w:eastAsia="Times New Roman" w:hAnsi="Times New Roman" w:cs="Times New Roman"/>
          <w:sz w:val="24"/>
          <w:szCs w:val="24"/>
          <w:vertAlign w:val="subscript"/>
        </w:rPr>
        <w:t>4</w:t>
      </w:r>
      <w:r w:rsidRPr="00FC51A4">
        <w:rPr>
          <w:rFonts w:ascii="Times New Roman" w:eastAsia="Times New Roman" w:hAnsi="Times New Roman" w:cs="Times New Roman"/>
          <w:sz w:val="24"/>
          <w:szCs w:val="24"/>
        </w:rPr>
        <w:t xml:space="preserve"> in EtOH and heating. Organic solvents and reagents were supplied by Sigma-Aldrich (Milan, Italy). Anhydrous ethanol was supplied by Carlo-Erba (Milan, Italy). </w:t>
      </w:r>
      <w:r w:rsidRPr="00FC51A4">
        <w:rPr>
          <w:rFonts w:ascii="Times New Roman" w:eastAsia="Times New Roman" w:hAnsi="Times New Roman" w:cs="Times New Roman"/>
          <w:sz w:val="24"/>
          <w:szCs w:val="24"/>
          <w:vertAlign w:val="superscript"/>
        </w:rPr>
        <w:t>1</w:t>
      </w:r>
      <w:r w:rsidRPr="00FC51A4">
        <w:rPr>
          <w:rFonts w:ascii="Times New Roman" w:eastAsia="Times New Roman" w:hAnsi="Times New Roman" w:cs="Times New Roman"/>
          <w:sz w:val="24"/>
          <w:szCs w:val="24"/>
        </w:rPr>
        <w:t xml:space="preserve">H (400 MHz) spectra were measured on Bruker 400 spectrometers (Bruker, Billerica, MA, USA). A HPLC JASCO </w:t>
      </w:r>
      <w:proofErr w:type="spellStart"/>
      <w:r w:rsidRPr="00FC51A4">
        <w:rPr>
          <w:rFonts w:ascii="Times New Roman" w:eastAsia="Times New Roman" w:hAnsi="Times New Roman" w:cs="Times New Roman"/>
          <w:sz w:val="24"/>
          <w:szCs w:val="24"/>
        </w:rPr>
        <w:t>Hichrom</w:t>
      </w:r>
      <w:proofErr w:type="spellEnd"/>
      <w:r w:rsidRPr="00FC51A4">
        <w:rPr>
          <w:rFonts w:ascii="Times New Roman" w:eastAsia="Times New Roman" w:hAnsi="Times New Roman" w:cs="Times New Roman"/>
          <w:sz w:val="24"/>
          <w:szCs w:val="24"/>
        </w:rPr>
        <w:t xml:space="preserve"> silica (250 × 25 mm), UV-vis detector-2075 plus (Oklahoma, Japan) was used. Chemical shifts were referenced to the residual solvent signal (CDCl</w:t>
      </w:r>
      <w:r w:rsidRPr="00FC51A4">
        <w:rPr>
          <w:rFonts w:ascii="Times New Roman" w:eastAsia="Times New Roman" w:hAnsi="Times New Roman" w:cs="Times New Roman"/>
          <w:sz w:val="24"/>
          <w:szCs w:val="24"/>
          <w:vertAlign w:val="subscript"/>
        </w:rPr>
        <w:t>3</w:t>
      </w:r>
      <w:r w:rsidRPr="00FC51A4">
        <w:rPr>
          <w:rFonts w:ascii="Times New Roman" w:eastAsia="Times New Roman" w:hAnsi="Times New Roman" w:cs="Times New Roman"/>
          <w:sz w:val="24"/>
          <w:szCs w:val="24"/>
        </w:rPr>
        <w:t xml:space="preserve">: </w:t>
      </w:r>
      <w:proofErr w:type="spellStart"/>
      <w:r w:rsidRPr="00FC51A4">
        <w:rPr>
          <w:rFonts w:ascii="Times New Roman" w:eastAsia="Times New Roman" w:hAnsi="Times New Roman" w:cs="Times New Roman"/>
          <w:i/>
          <w:sz w:val="24"/>
          <w:szCs w:val="24"/>
        </w:rPr>
        <w:t>δ</w:t>
      </w:r>
      <w:r w:rsidRPr="00FC51A4">
        <w:rPr>
          <w:rFonts w:ascii="Times New Roman" w:eastAsia="Times New Roman" w:hAnsi="Times New Roman" w:cs="Times New Roman"/>
          <w:sz w:val="24"/>
          <w:szCs w:val="24"/>
          <w:vertAlign w:val="subscript"/>
        </w:rPr>
        <w:t>H</w:t>
      </w:r>
      <w:proofErr w:type="spellEnd"/>
      <w:r w:rsidRPr="00FC51A4">
        <w:rPr>
          <w:rFonts w:ascii="Times New Roman" w:eastAsia="Times New Roman" w:hAnsi="Times New Roman" w:cs="Times New Roman"/>
          <w:sz w:val="24"/>
          <w:szCs w:val="24"/>
        </w:rPr>
        <w:t xml:space="preserve"> = 7.26). Spectrophotometric analyses were carried out on a Shimadzu UV-1900 272 spectrophotometer (Shimadzu, Tokyo, Japan). </w:t>
      </w:r>
      <w:r w:rsidR="006D0090" w:rsidRPr="00FC51A4">
        <w:rPr>
          <w:rFonts w:ascii="Times New Roman" w:eastAsia="Times New Roman" w:hAnsi="Times New Roman" w:cs="Times New Roman"/>
          <w:sz w:val="24"/>
          <w:szCs w:val="24"/>
        </w:rPr>
        <w:t xml:space="preserve">A Shimadzu UV-1900 272 spectrophotometer (Shimadzu, Tokyo, Japan) was utilized for the antioxidant activity assays. </w:t>
      </w:r>
      <w:r w:rsidRPr="00FC51A4">
        <w:rPr>
          <w:rFonts w:ascii="Times New Roman" w:eastAsia="Times New Roman" w:hAnsi="Times New Roman" w:cs="Times New Roman"/>
          <w:sz w:val="24"/>
          <w:szCs w:val="24"/>
        </w:rPr>
        <w:t>A Q-</w:t>
      </w:r>
      <w:proofErr w:type="spellStart"/>
      <w:r w:rsidRPr="00FC51A4">
        <w:rPr>
          <w:rFonts w:ascii="Times New Roman" w:eastAsia="Times New Roman" w:hAnsi="Times New Roman" w:cs="Times New Roman"/>
          <w:sz w:val="24"/>
          <w:szCs w:val="24"/>
        </w:rPr>
        <w:t>Exactive</w:t>
      </w:r>
      <w:proofErr w:type="spellEnd"/>
      <w:r w:rsidRPr="00FC51A4">
        <w:rPr>
          <w:rFonts w:ascii="Times New Roman" w:eastAsia="Times New Roman" w:hAnsi="Times New Roman" w:cs="Times New Roman"/>
          <w:sz w:val="24"/>
          <w:szCs w:val="24"/>
        </w:rPr>
        <w:t xml:space="preserve"> Plus </w:t>
      </w:r>
      <w:r w:rsidR="001F0068" w:rsidRPr="00FC51A4">
        <w:rPr>
          <w:rFonts w:ascii="Times New Roman" w:eastAsia="Times New Roman" w:hAnsi="Times New Roman" w:cs="Times New Roman"/>
          <w:sz w:val="24"/>
          <w:szCs w:val="24"/>
        </w:rPr>
        <w:t>H</w:t>
      </w:r>
      <w:r w:rsidRPr="00FC51A4">
        <w:rPr>
          <w:rFonts w:ascii="Times New Roman" w:eastAsia="Times New Roman" w:hAnsi="Times New Roman" w:cs="Times New Roman"/>
          <w:sz w:val="24"/>
          <w:szCs w:val="24"/>
        </w:rPr>
        <w:t>R</w:t>
      </w:r>
      <w:r w:rsidR="001F0068" w:rsidRPr="00FC51A4">
        <w:rPr>
          <w:rFonts w:ascii="Times New Roman" w:eastAsia="Times New Roman" w:hAnsi="Times New Roman" w:cs="Times New Roman"/>
          <w:sz w:val="24"/>
          <w:szCs w:val="24"/>
        </w:rPr>
        <w:t>MS</w:t>
      </w:r>
      <w:r w:rsidRPr="00FC51A4">
        <w:rPr>
          <w:rFonts w:ascii="Times New Roman" w:eastAsia="Times New Roman" w:hAnsi="Times New Roman" w:cs="Times New Roman"/>
          <w:sz w:val="24"/>
          <w:szCs w:val="24"/>
        </w:rPr>
        <w:t xml:space="preserve"> Hybrid Quadrupole Orbitrap™ Mass Spectrometer equipped with a Vanquish™ Duo UHPLC system (Waltham, MA, USA) was used for quantification of cannabinoids and flavonoids. Xcalibur™ 4.0 (Thermo Scientific, San José, California) </w:t>
      </w:r>
      <w:r w:rsidR="006D0090" w:rsidRPr="00FC51A4">
        <w:rPr>
          <w:rFonts w:ascii="Times New Roman" w:eastAsia="Times New Roman" w:hAnsi="Times New Roman" w:cs="Times New Roman"/>
          <w:sz w:val="24"/>
          <w:szCs w:val="24"/>
        </w:rPr>
        <w:t>was employed</w:t>
      </w:r>
      <w:r w:rsidRPr="00FC51A4">
        <w:rPr>
          <w:rFonts w:ascii="Times New Roman" w:eastAsia="Times New Roman" w:hAnsi="Times New Roman" w:cs="Times New Roman"/>
          <w:sz w:val="24"/>
          <w:szCs w:val="24"/>
        </w:rPr>
        <w:t xml:space="preserve"> for the calculation of the exact mass of the analytes and data processing. </w:t>
      </w:r>
    </w:p>
    <w:p w14:paraId="1DE73FBC"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1.2 Bacterial strains and reagents</w:t>
      </w:r>
    </w:p>
    <w:p w14:paraId="4B84C16C" w14:textId="240977F1"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i/>
          <w:sz w:val="24"/>
          <w:szCs w:val="24"/>
        </w:rPr>
        <w:t>Staphylococcus aureus</w:t>
      </w:r>
      <w:r w:rsidRPr="00FC51A4">
        <w:rPr>
          <w:rFonts w:ascii="Times New Roman" w:eastAsia="Times New Roman" w:hAnsi="Times New Roman" w:cs="Times New Roman"/>
          <w:sz w:val="24"/>
          <w:szCs w:val="24"/>
        </w:rPr>
        <w:t xml:space="preserve"> ATCC 6538, methicillin-resistant </w:t>
      </w:r>
      <w:r w:rsidRPr="00FC51A4">
        <w:rPr>
          <w:rFonts w:ascii="Times New Roman" w:eastAsia="Times New Roman" w:hAnsi="Times New Roman" w:cs="Times New Roman"/>
          <w:i/>
          <w:sz w:val="24"/>
          <w:szCs w:val="24"/>
        </w:rPr>
        <w:t>Staphylococcus aureus</w:t>
      </w:r>
      <w:r w:rsidRPr="00FC51A4">
        <w:rPr>
          <w:rFonts w:ascii="Times New Roman" w:eastAsia="Times New Roman" w:hAnsi="Times New Roman" w:cs="Times New Roman"/>
          <w:sz w:val="24"/>
          <w:szCs w:val="24"/>
        </w:rPr>
        <w:t xml:space="preserve"> (MRSA) ATCC 43300, </w:t>
      </w:r>
      <w:r w:rsidRPr="00FC51A4">
        <w:rPr>
          <w:rFonts w:ascii="Times New Roman" w:eastAsia="Times New Roman" w:hAnsi="Times New Roman" w:cs="Times New Roman"/>
          <w:i/>
          <w:sz w:val="24"/>
          <w:szCs w:val="24"/>
        </w:rPr>
        <w:t>Staphylococcus epidermidis</w:t>
      </w:r>
      <w:r w:rsidRPr="00FC51A4">
        <w:rPr>
          <w:rFonts w:ascii="Times New Roman" w:eastAsia="Times New Roman" w:hAnsi="Times New Roman" w:cs="Times New Roman"/>
          <w:sz w:val="24"/>
          <w:szCs w:val="24"/>
        </w:rPr>
        <w:t xml:space="preserve"> ATCC 12228, </w:t>
      </w:r>
      <w:r w:rsidRPr="00FC51A4">
        <w:rPr>
          <w:rFonts w:ascii="Times New Roman" w:eastAsia="Times New Roman" w:hAnsi="Times New Roman" w:cs="Times New Roman"/>
          <w:i/>
          <w:sz w:val="24"/>
          <w:szCs w:val="24"/>
        </w:rPr>
        <w:t>Bacillus cereus</w:t>
      </w:r>
      <w:r w:rsidRPr="00FC51A4">
        <w:rPr>
          <w:rFonts w:ascii="Times New Roman" w:eastAsia="Times New Roman" w:hAnsi="Times New Roman" w:cs="Times New Roman"/>
          <w:sz w:val="24"/>
          <w:szCs w:val="24"/>
        </w:rPr>
        <w:t xml:space="preserve"> ATCC 10876, </w:t>
      </w:r>
      <w:r w:rsidRPr="00FC51A4">
        <w:rPr>
          <w:rFonts w:ascii="Times New Roman" w:eastAsia="Times New Roman" w:hAnsi="Times New Roman" w:cs="Times New Roman"/>
          <w:i/>
          <w:sz w:val="24"/>
          <w:szCs w:val="24"/>
        </w:rPr>
        <w:t>Listeria monocytogenes</w:t>
      </w:r>
      <w:r w:rsidRPr="00FC51A4">
        <w:rPr>
          <w:rFonts w:ascii="Times New Roman" w:eastAsia="Times New Roman" w:hAnsi="Times New Roman" w:cs="Times New Roman"/>
          <w:sz w:val="24"/>
          <w:szCs w:val="24"/>
        </w:rPr>
        <w:t xml:space="preserve"> ATCC 19115, </w:t>
      </w:r>
      <w:r w:rsidRPr="00FC51A4">
        <w:rPr>
          <w:rFonts w:ascii="Times New Roman" w:eastAsia="Times New Roman" w:hAnsi="Times New Roman" w:cs="Times New Roman"/>
          <w:i/>
          <w:sz w:val="24"/>
          <w:szCs w:val="24"/>
        </w:rPr>
        <w:t>Escherichia coli</w:t>
      </w:r>
      <w:r w:rsidRPr="00FC51A4">
        <w:rPr>
          <w:rFonts w:ascii="Times New Roman" w:eastAsia="Times New Roman" w:hAnsi="Times New Roman" w:cs="Times New Roman"/>
          <w:sz w:val="24"/>
          <w:szCs w:val="24"/>
        </w:rPr>
        <w:t xml:space="preserve"> ATCC 25922 and </w:t>
      </w:r>
      <w:r w:rsidRPr="00FC51A4">
        <w:rPr>
          <w:rFonts w:ascii="Times New Roman" w:eastAsia="Times New Roman" w:hAnsi="Times New Roman" w:cs="Times New Roman"/>
          <w:i/>
          <w:sz w:val="24"/>
          <w:szCs w:val="24"/>
        </w:rPr>
        <w:t>Salmonella enterica</w:t>
      </w:r>
      <w:r w:rsidRPr="00FC51A4">
        <w:rPr>
          <w:rFonts w:ascii="Times New Roman" w:eastAsia="Times New Roman" w:hAnsi="Times New Roman" w:cs="Times New Roman"/>
          <w:sz w:val="24"/>
          <w:szCs w:val="24"/>
        </w:rPr>
        <w:t xml:space="preserve"> ATCC 13311 were obtained from the American Type Culture Collection (ATCC - Manassas, VA, USA). Bacteria were cultured in Mueller-Hinton Broth (MHB), Tryptic Soy Broth (TSB), Mueller-Hinton Agar (MHA) and Tryptic Soy Agar (TSA) supplied by </w:t>
      </w:r>
      <w:proofErr w:type="spellStart"/>
      <w:r w:rsidRPr="00FC51A4">
        <w:rPr>
          <w:rFonts w:ascii="Times New Roman" w:eastAsia="Times New Roman" w:hAnsi="Times New Roman" w:cs="Times New Roman"/>
          <w:sz w:val="24"/>
          <w:szCs w:val="24"/>
        </w:rPr>
        <w:t>Scharlab</w:t>
      </w:r>
      <w:proofErr w:type="spellEnd"/>
      <w:r w:rsidRPr="00FC51A4">
        <w:rPr>
          <w:rFonts w:ascii="Times New Roman" w:eastAsia="Times New Roman" w:hAnsi="Times New Roman" w:cs="Times New Roman"/>
          <w:sz w:val="24"/>
          <w:szCs w:val="24"/>
        </w:rPr>
        <w:t xml:space="preserve"> (Barcelona, Spain). </w:t>
      </w:r>
      <w:r w:rsidR="002051C6" w:rsidRPr="00FC51A4">
        <w:rPr>
          <w:rFonts w:ascii="Times New Roman" w:eastAsia="Times New Roman" w:hAnsi="Times New Roman" w:cs="Times New Roman"/>
          <w:sz w:val="24"/>
          <w:szCs w:val="24"/>
        </w:rPr>
        <w:t xml:space="preserve">Stock solutions of </w:t>
      </w:r>
      <w:r w:rsidR="002051C6" w:rsidRPr="00FC51A4">
        <w:rPr>
          <w:rFonts w:ascii="Times New Roman" w:eastAsia="Times New Roman" w:hAnsi="Times New Roman" w:cs="Times New Roman"/>
          <w:sz w:val="24"/>
          <w:szCs w:val="24"/>
        </w:rPr>
        <w:lastRenderedPageBreak/>
        <w:t xml:space="preserve">ciprofloxacin (200 µg/mL) (Sigma-Aldrich, Milan, Italy), tetracycline (400 µg/mL) (Sigma-Aldrich, </w:t>
      </w:r>
      <w:proofErr w:type="spellStart"/>
      <w:r w:rsidR="002051C6" w:rsidRPr="00FC51A4">
        <w:rPr>
          <w:rFonts w:ascii="Times New Roman" w:eastAsia="Times New Roman" w:hAnsi="Times New Roman" w:cs="Times New Roman"/>
          <w:sz w:val="24"/>
          <w:szCs w:val="24"/>
        </w:rPr>
        <w:t>Milan,Italy</w:t>
      </w:r>
      <w:proofErr w:type="spellEnd"/>
      <w:r w:rsidR="002051C6" w:rsidRPr="00FC51A4">
        <w:rPr>
          <w:rFonts w:ascii="Times New Roman" w:eastAsia="Times New Roman" w:hAnsi="Times New Roman" w:cs="Times New Roman"/>
          <w:sz w:val="24"/>
          <w:szCs w:val="24"/>
        </w:rPr>
        <w:t>), linezolid (400 µg/mL) (Tokyo Chemical Industry Co., Ltd.) and methicillin (3.2 mg/mL) (Sigma-Aldrich, Milan, Italy) were prepared in DMSO (Sigma-Aldrich, Milan, Italy), stored at 4 °C, and subsequently diluted in sterile deionized water to the working concentrations before the assays.</w:t>
      </w:r>
    </w:p>
    <w:p w14:paraId="3EFD39EE"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1.3 Cell cultures and reagents</w:t>
      </w:r>
    </w:p>
    <w:p w14:paraId="13A4364E" w14:textId="77777777"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Murine RAW 264.7 macrophage cells were maintained in Dulbecco’s Modified Eagle’s Medium with High Glucose (DMEM; </w:t>
      </w:r>
      <w:proofErr w:type="spellStart"/>
      <w:r w:rsidRPr="00FC51A4">
        <w:rPr>
          <w:rFonts w:ascii="Times New Roman" w:eastAsia="Times New Roman" w:hAnsi="Times New Roman" w:cs="Times New Roman"/>
          <w:sz w:val="24"/>
          <w:szCs w:val="24"/>
        </w:rPr>
        <w:t>EuroClone</w:t>
      </w:r>
      <w:proofErr w:type="spellEnd"/>
      <w:r w:rsidRPr="00FC51A4">
        <w:rPr>
          <w:rFonts w:ascii="Times New Roman" w:eastAsia="Times New Roman" w:hAnsi="Times New Roman" w:cs="Times New Roman"/>
          <w:sz w:val="24"/>
          <w:szCs w:val="24"/>
        </w:rPr>
        <w:t xml:space="preserve"> S.p.A., Assago, MI, Italy), supplemented with 10% Fetal Bovine Serum (FBS; </w:t>
      </w:r>
      <w:proofErr w:type="spellStart"/>
      <w:r w:rsidRPr="00FC51A4">
        <w:rPr>
          <w:rFonts w:ascii="Times New Roman" w:eastAsia="Times New Roman" w:hAnsi="Times New Roman" w:cs="Times New Roman"/>
          <w:sz w:val="24"/>
          <w:szCs w:val="24"/>
        </w:rPr>
        <w:t>EuroClone</w:t>
      </w:r>
      <w:proofErr w:type="spellEnd"/>
      <w:r w:rsidRPr="00FC51A4">
        <w:rPr>
          <w:rFonts w:ascii="Times New Roman" w:eastAsia="Times New Roman" w:hAnsi="Times New Roman" w:cs="Times New Roman"/>
          <w:sz w:val="24"/>
          <w:szCs w:val="24"/>
        </w:rPr>
        <w:t xml:space="preserve">), 100 U/mL penicillin, 100 µg/mL streptomycin (both from </w:t>
      </w:r>
      <w:proofErr w:type="spellStart"/>
      <w:r w:rsidRPr="00FC51A4">
        <w:rPr>
          <w:rFonts w:ascii="Times New Roman" w:eastAsia="Times New Roman" w:hAnsi="Times New Roman" w:cs="Times New Roman"/>
          <w:sz w:val="24"/>
          <w:szCs w:val="24"/>
        </w:rPr>
        <w:t>EuroClone</w:t>
      </w:r>
      <w:proofErr w:type="spellEnd"/>
      <w:r w:rsidRPr="00FC51A4">
        <w:rPr>
          <w:rFonts w:ascii="Times New Roman" w:eastAsia="Times New Roman" w:hAnsi="Times New Roman" w:cs="Times New Roman"/>
          <w:sz w:val="24"/>
          <w:szCs w:val="24"/>
        </w:rPr>
        <w:t>), and 2 mM L-glutamine (</w:t>
      </w:r>
      <w:proofErr w:type="spellStart"/>
      <w:r w:rsidRPr="00FC51A4">
        <w:rPr>
          <w:rFonts w:ascii="Times New Roman" w:eastAsia="Times New Roman" w:hAnsi="Times New Roman" w:cs="Times New Roman"/>
          <w:sz w:val="24"/>
          <w:szCs w:val="24"/>
        </w:rPr>
        <w:t>EuroClone</w:t>
      </w:r>
      <w:proofErr w:type="spellEnd"/>
      <w:r w:rsidRPr="00FC51A4">
        <w:rPr>
          <w:rFonts w:ascii="Times New Roman" w:eastAsia="Times New Roman" w:hAnsi="Times New Roman" w:cs="Times New Roman"/>
          <w:sz w:val="24"/>
          <w:szCs w:val="24"/>
        </w:rPr>
        <w:t>). Cells were cultured at 37 °C in a humidified incubator with 5% CO</w:t>
      </w:r>
      <w:r w:rsidRPr="00FC51A4">
        <w:rPr>
          <w:rFonts w:ascii="Times New Roman" w:eastAsia="Times New Roman" w:hAnsi="Times New Roman" w:cs="Times New Roman"/>
          <w:sz w:val="24"/>
          <w:szCs w:val="24"/>
          <w:vertAlign w:val="subscript"/>
        </w:rPr>
        <w:t>2</w:t>
      </w:r>
      <w:r w:rsidRPr="00FC51A4">
        <w:rPr>
          <w:rFonts w:ascii="Times New Roman" w:eastAsia="Times New Roman" w:hAnsi="Times New Roman" w:cs="Times New Roman"/>
          <w:sz w:val="24"/>
          <w:szCs w:val="24"/>
        </w:rPr>
        <w:t xml:space="preserve">. Mycoplasma contamination was routinely checked using the </w:t>
      </w:r>
      <w:proofErr w:type="spellStart"/>
      <w:r w:rsidRPr="00FC51A4">
        <w:rPr>
          <w:rFonts w:ascii="Times New Roman" w:eastAsia="Times New Roman" w:hAnsi="Times New Roman" w:cs="Times New Roman"/>
          <w:sz w:val="24"/>
          <w:szCs w:val="24"/>
        </w:rPr>
        <w:t>MycoBlue</w:t>
      </w:r>
      <w:proofErr w:type="spellEnd"/>
      <w:r w:rsidRPr="00FC51A4">
        <w:rPr>
          <w:rFonts w:ascii="Times New Roman" w:eastAsia="Times New Roman" w:hAnsi="Times New Roman" w:cs="Times New Roman"/>
          <w:sz w:val="24"/>
          <w:szCs w:val="24"/>
        </w:rPr>
        <w:t xml:space="preserve"> Mycoplasma Detector (</w:t>
      </w:r>
      <w:proofErr w:type="spellStart"/>
      <w:r w:rsidRPr="00FC51A4">
        <w:rPr>
          <w:rFonts w:ascii="Times New Roman" w:eastAsia="Times New Roman" w:hAnsi="Times New Roman" w:cs="Times New Roman"/>
          <w:sz w:val="24"/>
          <w:szCs w:val="24"/>
        </w:rPr>
        <w:t>Vazyme</w:t>
      </w:r>
      <w:proofErr w:type="spellEnd"/>
      <w:r w:rsidRPr="00FC51A4">
        <w:rPr>
          <w:rFonts w:ascii="Times New Roman" w:eastAsia="Times New Roman" w:hAnsi="Times New Roman" w:cs="Times New Roman"/>
          <w:sz w:val="24"/>
          <w:szCs w:val="24"/>
        </w:rPr>
        <w:t xml:space="preserve"> Biotech Co., Ltd., Nanjing, China).</w:t>
      </w:r>
    </w:p>
    <w:p w14:paraId="1DC415D2" w14:textId="77777777" w:rsidR="005C2151" w:rsidRDefault="00000000">
      <w:pPr>
        <w:spacing w:before="120" w:after="280" w:line="480" w:lineRule="auto"/>
        <w:jc w:val="both"/>
        <w:rPr>
          <w:rFonts w:ascii="Times New Roman" w:eastAsia="Times New Roman" w:hAnsi="Times New Roman" w:cs="Times New Roman"/>
          <w:sz w:val="24"/>
          <w:szCs w:val="24"/>
        </w:rPr>
      </w:pPr>
      <w:proofErr w:type="spellStart"/>
      <w:r w:rsidRPr="00FC51A4">
        <w:rPr>
          <w:rFonts w:ascii="Times New Roman" w:eastAsia="Times New Roman" w:hAnsi="Times New Roman" w:cs="Times New Roman"/>
          <w:sz w:val="24"/>
          <w:szCs w:val="24"/>
        </w:rPr>
        <w:t>AlamarBlue</w:t>
      </w:r>
      <w:proofErr w:type="spellEnd"/>
      <w:r w:rsidRPr="00FC51A4">
        <w:rPr>
          <w:rFonts w:ascii="Times New Roman" w:eastAsia="Times New Roman" w:hAnsi="Times New Roman" w:cs="Times New Roman"/>
          <w:sz w:val="24"/>
          <w:szCs w:val="24"/>
        </w:rPr>
        <w:t xml:space="preserve">™ reagent was purchased from Bio-Rad Laboratories, Inc. (Hercules, CA, USA). Fluorescence measurements were performed using a TECAN SPARK spectrophotometer (TECAN Group Ltd., </w:t>
      </w:r>
      <w:proofErr w:type="spellStart"/>
      <w:r w:rsidRPr="00FC51A4">
        <w:rPr>
          <w:rFonts w:ascii="Times New Roman" w:eastAsia="Times New Roman" w:hAnsi="Times New Roman" w:cs="Times New Roman"/>
          <w:sz w:val="24"/>
          <w:szCs w:val="24"/>
        </w:rPr>
        <w:t>Männedorf</w:t>
      </w:r>
      <w:proofErr w:type="spellEnd"/>
      <w:r w:rsidRPr="00FC51A4">
        <w:rPr>
          <w:rFonts w:ascii="Times New Roman" w:eastAsia="Times New Roman" w:hAnsi="Times New Roman" w:cs="Times New Roman"/>
          <w:sz w:val="24"/>
          <w:szCs w:val="24"/>
        </w:rPr>
        <w:t xml:space="preserve">, Switzerland). Dimethyl sulfoxide (DMSO) was purchased from Carlo Erba Reagents S.A.S. (Milan, Italy). Lipopolysaccharide (LPS) from </w:t>
      </w:r>
      <w:r w:rsidRPr="00FC51A4">
        <w:rPr>
          <w:rFonts w:ascii="Times New Roman" w:eastAsia="Times New Roman" w:hAnsi="Times New Roman" w:cs="Times New Roman"/>
          <w:i/>
          <w:sz w:val="24"/>
          <w:szCs w:val="24"/>
        </w:rPr>
        <w:t xml:space="preserve">Salmonella abortus </w:t>
      </w:r>
      <w:proofErr w:type="spellStart"/>
      <w:r w:rsidRPr="00FC51A4">
        <w:rPr>
          <w:rFonts w:ascii="Times New Roman" w:eastAsia="Times New Roman" w:hAnsi="Times New Roman" w:cs="Times New Roman"/>
          <w:i/>
          <w:sz w:val="24"/>
          <w:szCs w:val="24"/>
        </w:rPr>
        <w:t>equi</w:t>
      </w:r>
      <w:proofErr w:type="spellEnd"/>
      <w:r w:rsidRPr="00FC51A4">
        <w:rPr>
          <w:rFonts w:ascii="Times New Roman" w:eastAsia="Times New Roman" w:hAnsi="Times New Roman" w:cs="Times New Roman"/>
          <w:sz w:val="24"/>
          <w:szCs w:val="24"/>
        </w:rPr>
        <w:t xml:space="preserve"> S-form (TLRGRADE®) was purchased from Enzo Life Sciences (Catalog number ALX-581-009, Farmingdale, NY, USA). RNA was extracted using </w:t>
      </w:r>
      <w:proofErr w:type="spellStart"/>
      <w:r w:rsidRPr="00FC51A4">
        <w:rPr>
          <w:rFonts w:ascii="Times New Roman" w:eastAsia="Times New Roman" w:hAnsi="Times New Roman" w:cs="Times New Roman"/>
          <w:sz w:val="24"/>
          <w:szCs w:val="24"/>
        </w:rPr>
        <w:t>PUREzol</w:t>
      </w:r>
      <w:proofErr w:type="spellEnd"/>
      <w:r w:rsidRPr="00FC51A4">
        <w:rPr>
          <w:rFonts w:ascii="Times New Roman" w:eastAsia="Times New Roman" w:hAnsi="Times New Roman" w:cs="Times New Roman"/>
          <w:sz w:val="24"/>
          <w:szCs w:val="24"/>
        </w:rPr>
        <w:t xml:space="preserve"> reagent (Bio-Rad Laboratories, Inc., Hercules, CA, USA), and RNA purity was assessed using a </w:t>
      </w:r>
      <w:proofErr w:type="spellStart"/>
      <w:r w:rsidRPr="00FC51A4">
        <w:rPr>
          <w:rFonts w:ascii="Times New Roman" w:eastAsia="Times New Roman" w:hAnsi="Times New Roman" w:cs="Times New Roman"/>
          <w:sz w:val="24"/>
          <w:szCs w:val="24"/>
        </w:rPr>
        <w:t>NanoDrop</w:t>
      </w:r>
      <w:proofErr w:type="spellEnd"/>
      <w:r w:rsidRPr="00FC51A4">
        <w:rPr>
          <w:rFonts w:ascii="Times New Roman" w:eastAsia="Times New Roman" w:hAnsi="Times New Roman" w:cs="Times New Roman"/>
          <w:sz w:val="24"/>
          <w:szCs w:val="24"/>
        </w:rPr>
        <w:t xml:space="preserve"> spectrophotometer (Thermo Fisher Scientific, Madison, WI, USA). The High-Capacity cDNA Reverse Transcription Kit was purchased from Thermo Fisher Scientific. </w:t>
      </w:r>
      <w:proofErr w:type="spellStart"/>
      <w:r w:rsidRPr="00FC51A4">
        <w:rPr>
          <w:rFonts w:ascii="Times New Roman" w:eastAsia="Times New Roman" w:hAnsi="Times New Roman" w:cs="Times New Roman"/>
          <w:sz w:val="24"/>
          <w:szCs w:val="24"/>
        </w:rPr>
        <w:t>SsoAdvanced</w:t>
      </w:r>
      <w:proofErr w:type="spellEnd"/>
      <w:r w:rsidRPr="00FC51A4">
        <w:rPr>
          <w:rFonts w:ascii="Times New Roman" w:eastAsia="Times New Roman" w:hAnsi="Times New Roman" w:cs="Times New Roman"/>
          <w:sz w:val="24"/>
          <w:szCs w:val="24"/>
        </w:rPr>
        <w:t xml:space="preserve"> Universal SYBR Green </w:t>
      </w:r>
      <w:proofErr w:type="spellStart"/>
      <w:r w:rsidRPr="00FC51A4">
        <w:rPr>
          <w:rFonts w:ascii="Times New Roman" w:eastAsia="Times New Roman" w:hAnsi="Times New Roman" w:cs="Times New Roman"/>
          <w:sz w:val="24"/>
          <w:szCs w:val="24"/>
        </w:rPr>
        <w:t>Supermix</w:t>
      </w:r>
      <w:proofErr w:type="spellEnd"/>
      <w:r w:rsidRPr="00FC51A4">
        <w:rPr>
          <w:rFonts w:ascii="Times New Roman" w:eastAsia="Times New Roman" w:hAnsi="Times New Roman" w:cs="Times New Roman"/>
          <w:sz w:val="24"/>
          <w:szCs w:val="24"/>
        </w:rPr>
        <w:t xml:space="preserve"> and the CFX96 thermocycler were purchased from Bio-Rad Laboratories, Inc. Primer sets for all amplicons were designed using the IDT Primer Quest Tool (Integrated DNA Technologies, IDTNA).</w:t>
      </w:r>
    </w:p>
    <w:p w14:paraId="314A62E6" w14:textId="77777777" w:rsidR="003F30AB" w:rsidRPr="00FC51A4" w:rsidRDefault="003F30AB">
      <w:pPr>
        <w:spacing w:before="120" w:after="280" w:line="480" w:lineRule="auto"/>
        <w:jc w:val="both"/>
        <w:rPr>
          <w:rFonts w:ascii="Times New Roman" w:eastAsia="Times New Roman" w:hAnsi="Times New Roman" w:cs="Times New Roman"/>
          <w:sz w:val="24"/>
          <w:szCs w:val="24"/>
        </w:rPr>
      </w:pPr>
    </w:p>
    <w:p w14:paraId="0685D7B5"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lastRenderedPageBreak/>
        <w:t>1.4 Plant material</w:t>
      </w:r>
    </w:p>
    <w:p w14:paraId="57B0F9FE" w14:textId="39D47F4D"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i/>
          <w:sz w:val="24"/>
          <w:szCs w:val="24"/>
        </w:rPr>
        <w:t>Cannabis sativa</w:t>
      </w:r>
      <w:r w:rsidRPr="00FC51A4">
        <w:rPr>
          <w:rFonts w:ascii="Times New Roman" w:eastAsia="Times New Roman" w:hAnsi="Times New Roman" w:cs="Times New Roman"/>
          <w:sz w:val="24"/>
          <w:szCs w:val="24"/>
        </w:rPr>
        <w:t xml:space="preserve"> inflorescences have been supplied by </w:t>
      </w:r>
      <w:proofErr w:type="spellStart"/>
      <w:r w:rsidRPr="00FC51A4">
        <w:rPr>
          <w:rFonts w:ascii="Times New Roman" w:eastAsia="Times New Roman" w:hAnsi="Times New Roman" w:cs="Times New Roman"/>
          <w:sz w:val="24"/>
          <w:szCs w:val="24"/>
        </w:rPr>
        <w:t>Canvasalus</w:t>
      </w:r>
      <w:proofErr w:type="spellEnd"/>
      <w:r w:rsidRPr="00FC51A4">
        <w:rPr>
          <w:rFonts w:ascii="Times New Roman" w:eastAsia="Times New Roman" w:hAnsi="Times New Roman" w:cs="Times New Roman"/>
          <w:sz w:val="24"/>
          <w:szCs w:val="24"/>
        </w:rPr>
        <w:t xml:space="preserve"> </w:t>
      </w:r>
      <w:proofErr w:type="spellStart"/>
      <w:r w:rsidRPr="00FC51A4">
        <w:rPr>
          <w:rFonts w:ascii="Times New Roman" w:eastAsia="Times New Roman" w:hAnsi="Times New Roman" w:cs="Times New Roman"/>
          <w:sz w:val="24"/>
          <w:szCs w:val="24"/>
        </w:rPr>
        <w:t>S.r.l</w:t>
      </w:r>
      <w:proofErr w:type="spellEnd"/>
      <w:r w:rsidRPr="00FC51A4">
        <w:rPr>
          <w:rFonts w:ascii="Times New Roman" w:eastAsia="Times New Roman" w:hAnsi="Times New Roman" w:cs="Times New Roman"/>
          <w:sz w:val="24"/>
          <w:szCs w:val="24"/>
        </w:rPr>
        <w:t>. (</w:t>
      </w:r>
      <w:proofErr w:type="spellStart"/>
      <w:r w:rsidRPr="00FC51A4">
        <w:rPr>
          <w:rFonts w:ascii="Times New Roman" w:eastAsia="Times New Roman" w:hAnsi="Times New Roman" w:cs="Times New Roman"/>
          <w:sz w:val="24"/>
          <w:szCs w:val="24"/>
        </w:rPr>
        <w:t>Monselice</w:t>
      </w:r>
      <w:proofErr w:type="spellEnd"/>
      <w:r w:rsidRPr="00FC51A4">
        <w:rPr>
          <w:rFonts w:ascii="Times New Roman" w:eastAsia="Times New Roman" w:hAnsi="Times New Roman" w:cs="Times New Roman"/>
          <w:sz w:val="24"/>
          <w:szCs w:val="24"/>
        </w:rPr>
        <w:t xml:space="preserve">, PD, Italy): </w:t>
      </w:r>
      <w:r w:rsidRPr="00FC51A4">
        <w:rPr>
          <w:rFonts w:ascii="Times New Roman" w:eastAsia="Times New Roman" w:hAnsi="Times New Roman" w:cs="Times New Roman"/>
          <w:i/>
          <w:sz w:val="24"/>
          <w:szCs w:val="24"/>
        </w:rPr>
        <w:t>C. sativa</w:t>
      </w:r>
      <w:r w:rsidRPr="00FC51A4">
        <w:rPr>
          <w:rFonts w:ascii="Times New Roman" w:eastAsia="Times New Roman" w:hAnsi="Times New Roman" w:cs="Times New Roman"/>
          <w:sz w:val="24"/>
          <w:szCs w:val="24"/>
        </w:rPr>
        <w:t xml:space="preserve"> III chemotype CBD rich (Cs-CBD05/2022 and Cs-Carmagnola20), </w:t>
      </w:r>
      <w:r w:rsidRPr="00FC51A4">
        <w:rPr>
          <w:rFonts w:ascii="Times New Roman" w:eastAsia="Times New Roman" w:hAnsi="Times New Roman" w:cs="Times New Roman"/>
          <w:i/>
          <w:sz w:val="24"/>
          <w:szCs w:val="24"/>
        </w:rPr>
        <w:t>C. sativa</w:t>
      </w:r>
      <w:r w:rsidRPr="00FC51A4">
        <w:rPr>
          <w:rFonts w:ascii="Times New Roman" w:eastAsia="Times New Roman" w:hAnsi="Times New Roman" w:cs="Times New Roman"/>
          <w:sz w:val="24"/>
          <w:szCs w:val="24"/>
        </w:rPr>
        <w:t xml:space="preserve"> IV chemotype CBG rich (Cs-CBG12/2022), </w:t>
      </w:r>
      <w:r w:rsidRPr="00FC51A4">
        <w:rPr>
          <w:rFonts w:ascii="Times New Roman" w:eastAsia="Times New Roman" w:hAnsi="Times New Roman" w:cs="Times New Roman"/>
          <w:i/>
          <w:sz w:val="24"/>
          <w:szCs w:val="24"/>
        </w:rPr>
        <w:t>C. sativa</w:t>
      </w:r>
      <w:r w:rsidRPr="00FC51A4">
        <w:rPr>
          <w:rFonts w:ascii="Times New Roman" w:eastAsia="Times New Roman" w:hAnsi="Times New Roman" w:cs="Times New Roman"/>
          <w:sz w:val="24"/>
          <w:szCs w:val="24"/>
        </w:rPr>
        <w:t xml:space="preserve"> chemotype CBC rich (Cs-CBC01/2023), </w:t>
      </w:r>
      <w:r w:rsidRPr="00FC51A4">
        <w:rPr>
          <w:rFonts w:ascii="Times New Roman" w:eastAsia="Times New Roman" w:hAnsi="Times New Roman" w:cs="Times New Roman"/>
          <w:i/>
          <w:sz w:val="24"/>
          <w:szCs w:val="24"/>
        </w:rPr>
        <w:t>C. sativa</w:t>
      </w:r>
      <w:r w:rsidRPr="00FC51A4">
        <w:rPr>
          <w:rFonts w:ascii="Times New Roman" w:eastAsia="Times New Roman" w:hAnsi="Times New Roman" w:cs="Times New Roman"/>
          <w:sz w:val="24"/>
          <w:szCs w:val="24"/>
        </w:rPr>
        <w:t xml:space="preserve"> V chemotype (Cs-nocann02/2022). Vouchers specimens of </w:t>
      </w:r>
      <w:r w:rsidR="009A160C" w:rsidRPr="00FC51A4">
        <w:rPr>
          <w:rFonts w:ascii="Times New Roman" w:eastAsia="Times New Roman" w:hAnsi="Times New Roman" w:cs="Times New Roman"/>
          <w:sz w:val="24"/>
          <w:szCs w:val="24"/>
        </w:rPr>
        <w:t>vegetable</w:t>
      </w:r>
      <w:r w:rsidRPr="00FC51A4">
        <w:rPr>
          <w:rFonts w:ascii="Times New Roman" w:eastAsia="Times New Roman" w:hAnsi="Times New Roman" w:cs="Times New Roman"/>
          <w:sz w:val="24"/>
          <w:szCs w:val="24"/>
        </w:rPr>
        <w:t xml:space="preserve"> material are stored in Novara Laboratories.</w:t>
      </w:r>
    </w:p>
    <w:p w14:paraId="3B736ACD"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bookmarkStart w:id="2" w:name="_heading=h.unjzk4yw4kzg" w:colFirst="0" w:colLast="0"/>
      <w:bookmarkEnd w:id="2"/>
      <w:r w:rsidRPr="00FC51A4">
        <w:rPr>
          <w:rFonts w:ascii="Times New Roman" w:eastAsia="Times New Roman" w:hAnsi="Times New Roman" w:cs="Times New Roman"/>
          <w:b/>
          <w:sz w:val="24"/>
          <w:szCs w:val="24"/>
        </w:rPr>
        <w:t>1.5 Extraction of cannabis inflorescences</w:t>
      </w:r>
    </w:p>
    <w:p w14:paraId="55D51908" w14:textId="4D9E3C67"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Ethanolic extracts were obtained from 100 g of each </w:t>
      </w:r>
      <w:bookmarkStart w:id="3" w:name="_Hlk205126381"/>
      <w:r w:rsidRPr="00FC51A4">
        <w:rPr>
          <w:rFonts w:ascii="Times New Roman" w:eastAsia="Times New Roman" w:hAnsi="Times New Roman" w:cs="Times New Roman"/>
          <w:sz w:val="24"/>
          <w:szCs w:val="24"/>
        </w:rPr>
        <w:t xml:space="preserve">chemotype inflorescences </w:t>
      </w:r>
      <w:bookmarkEnd w:id="3"/>
      <w:r w:rsidRPr="00FC51A4">
        <w:rPr>
          <w:rFonts w:ascii="Times New Roman" w:eastAsia="Times New Roman" w:hAnsi="Times New Roman" w:cs="Times New Roman"/>
          <w:sz w:val="24"/>
          <w:szCs w:val="24"/>
        </w:rPr>
        <w:t xml:space="preserve">(homogenized hemp). The samples were extracted with ethanol (inflorescences/ethanol ratio 1:5 w/v, 2 x 12 h) in a macerator at room temperature. After the extraction, the vegetal material was removed by filtration using Whatman No 42-filter paper. The solvent was evaporated at reduced pressure to </w:t>
      </w:r>
      <w:r w:rsidR="007F5C9B" w:rsidRPr="00FC51A4">
        <w:rPr>
          <w:rFonts w:ascii="Times New Roman" w:eastAsia="Times New Roman" w:hAnsi="Times New Roman" w:cs="Times New Roman"/>
          <w:sz w:val="24"/>
          <w:szCs w:val="24"/>
        </w:rPr>
        <w:t>obtain each crude extract</w:t>
      </w:r>
      <w:r w:rsidRPr="00FC51A4">
        <w:rPr>
          <w:rFonts w:ascii="Times New Roman" w:eastAsia="Times New Roman" w:hAnsi="Times New Roman" w:cs="Times New Roman"/>
          <w:sz w:val="24"/>
          <w:szCs w:val="24"/>
        </w:rPr>
        <w:t xml:space="preserve"> (Table 1). </w:t>
      </w:r>
    </w:p>
    <w:p w14:paraId="6B2E2A96" w14:textId="77777777"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The extraction yield was expressed in % as: </w:t>
      </w:r>
    </w:p>
    <w:p w14:paraId="65249ECC" w14:textId="77777777" w:rsidR="005C2151" w:rsidRPr="00FC51A4" w:rsidRDefault="00000000">
      <w:pPr>
        <w:spacing w:before="120" w:after="280"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(g of ethanolic extract) / (g of homogenized hemp) * 100</w:t>
      </w:r>
    </w:p>
    <w:p w14:paraId="48ECDDF0"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1.6 Cannabinoids isolation</w:t>
      </w:r>
    </w:p>
    <w:p w14:paraId="420B1442" w14:textId="1BA551CF"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i/>
          <w:sz w:val="24"/>
          <w:szCs w:val="24"/>
        </w:rPr>
        <w:t xml:space="preserve">C. sativa </w:t>
      </w:r>
      <w:r w:rsidRPr="00FC51A4">
        <w:rPr>
          <w:rFonts w:ascii="Times New Roman" w:eastAsia="Times New Roman" w:hAnsi="Times New Roman" w:cs="Times New Roman"/>
          <w:sz w:val="24"/>
          <w:szCs w:val="24"/>
        </w:rPr>
        <w:t>inflorescences (57 g) belonging to chemotype III (voucher specimen Cs-Carmagnola20) were extracted with acetone (inflorescences/acetone ratio 1:10 w/v) in a vertical percolator at room temperature, affording 4 g (7%) of a dark green syrup after evaporation of the solvent at reduced pressure. This was later dissolved at 45 °C in 30 mL of MeOH (with a raw extract/MeOH ratio corresponding to 1:10 w/v) and left at 8 °C to condense fatty acids and waxes. After 12 h, the solution was vacuum filtered with cold MeOH (50 mL) in a sintered funnel protected by a bed of stratified Celite</w:t>
      </w:r>
      <w:r w:rsidRPr="00FC51A4">
        <w:rPr>
          <w:rFonts w:ascii="Times New Roman" w:eastAsia="Times New Roman" w:hAnsi="Times New Roman" w:cs="Times New Roman"/>
          <w:i/>
          <w:sz w:val="24"/>
          <w:szCs w:val="24"/>
        </w:rPr>
        <w:t>®</w:t>
      </w:r>
      <w:r w:rsidRPr="00FC51A4">
        <w:rPr>
          <w:rFonts w:ascii="Times New Roman" w:eastAsia="Times New Roman" w:hAnsi="Times New Roman" w:cs="Times New Roman"/>
          <w:sz w:val="24"/>
          <w:szCs w:val="24"/>
        </w:rPr>
        <w:t xml:space="preserve">, obtaining 2.9 g of the residual methanolic fraction. This latter portion was filtered through </w:t>
      </w:r>
      <w:r w:rsidRPr="00FC51A4">
        <w:rPr>
          <w:rFonts w:ascii="Times New Roman" w:eastAsia="Times New Roman" w:hAnsi="Times New Roman" w:cs="Times New Roman"/>
          <w:sz w:val="24"/>
          <w:szCs w:val="24"/>
        </w:rPr>
        <w:lastRenderedPageBreak/>
        <w:t xml:space="preserve">solid-phase extraction on C-18 silica gel (30 g) </w:t>
      </w:r>
      <w:proofErr w:type="gramStart"/>
      <w:r w:rsidRPr="00FC51A4">
        <w:rPr>
          <w:rFonts w:ascii="Times New Roman" w:eastAsia="Times New Roman" w:hAnsi="Times New Roman" w:cs="Times New Roman"/>
          <w:sz w:val="24"/>
          <w:szCs w:val="24"/>
        </w:rPr>
        <w:t>to remove</w:t>
      </w:r>
      <w:proofErr w:type="gramEnd"/>
      <w:r w:rsidRPr="00FC51A4">
        <w:rPr>
          <w:rFonts w:ascii="Times New Roman" w:eastAsia="Times New Roman" w:hAnsi="Times New Roman" w:cs="Times New Roman"/>
          <w:sz w:val="24"/>
          <w:szCs w:val="24"/>
        </w:rPr>
        <w:t xml:space="preserve"> pigments and unsaturated fatty acids.</w:t>
      </w:r>
      <w:r w:rsidRPr="00FC51A4">
        <w:rPr>
          <w:rFonts w:ascii="Times New Roman" w:eastAsia="Times New Roman" w:hAnsi="Times New Roman" w:cs="Times New Roman"/>
          <w:i/>
          <w:sz w:val="24"/>
          <w:szCs w:val="24"/>
        </w:rPr>
        <w:t xml:space="preserve"> </w:t>
      </w:r>
      <w:r w:rsidRPr="00FC51A4">
        <w:rPr>
          <w:rFonts w:ascii="Times New Roman" w:eastAsia="Times New Roman" w:hAnsi="Times New Roman" w:cs="Times New Roman"/>
          <w:sz w:val="24"/>
          <w:szCs w:val="24"/>
        </w:rPr>
        <w:t>For this purpose, the fraction was charged on 25 g C-18 silica gel</w:t>
      </w:r>
      <w:r w:rsidRPr="00FC51A4">
        <w:rPr>
          <w:rFonts w:ascii="Times New Roman" w:eastAsia="Times New Roman" w:hAnsi="Times New Roman" w:cs="Times New Roman"/>
          <w:i/>
          <w:sz w:val="24"/>
          <w:szCs w:val="24"/>
        </w:rPr>
        <w:t xml:space="preserve"> </w:t>
      </w:r>
      <w:r w:rsidRPr="00FC51A4">
        <w:rPr>
          <w:rFonts w:ascii="Times New Roman" w:eastAsia="Times New Roman" w:hAnsi="Times New Roman" w:cs="Times New Roman"/>
          <w:sz w:val="24"/>
          <w:szCs w:val="24"/>
        </w:rPr>
        <w:t>(with a raw extract/stationary phase ratio of 1:10 w/w), packed with MeOH in a sintered funnel (4 × 10 cm) with a side arm for vacuum. Elution with MeOH (100 mL) gave 2.4 g of the purified fraction after evaporation of the solvent at reduced pressure. Once the fraction was dried, it was heated at 130 °C under stirring for 45 °C in a paraffin bath to achieve the decarboxylation followed by TLC (silica PE/</w:t>
      </w:r>
      <w:proofErr w:type="spellStart"/>
      <w:r w:rsidRPr="00FC51A4">
        <w:rPr>
          <w:rFonts w:ascii="Times New Roman" w:eastAsia="Times New Roman" w:hAnsi="Times New Roman" w:cs="Times New Roman"/>
          <w:sz w:val="24"/>
          <w:szCs w:val="24"/>
        </w:rPr>
        <w:t>EtOAc</w:t>
      </w:r>
      <w:proofErr w:type="spellEnd"/>
      <w:r w:rsidRPr="00FC51A4">
        <w:rPr>
          <w:rFonts w:ascii="Times New Roman" w:eastAsia="Times New Roman" w:hAnsi="Times New Roman" w:cs="Times New Roman"/>
          <w:sz w:val="24"/>
          <w:szCs w:val="24"/>
        </w:rPr>
        <w:t xml:space="preserve"> 70:30 v/v). This latter decarboxylated fraction was fractionated by LPC on silica gel (50 g, PE–</w:t>
      </w:r>
      <w:proofErr w:type="spellStart"/>
      <w:r w:rsidRPr="00FC51A4">
        <w:rPr>
          <w:rFonts w:ascii="Times New Roman" w:eastAsia="Times New Roman" w:hAnsi="Times New Roman" w:cs="Times New Roman"/>
          <w:sz w:val="24"/>
          <w:szCs w:val="24"/>
        </w:rPr>
        <w:t>EtOAc</w:t>
      </w:r>
      <w:proofErr w:type="spellEnd"/>
      <w:r w:rsidRPr="00FC51A4">
        <w:rPr>
          <w:rFonts w:ascii="Times New Roman" w:eastAsia="Times New Roman" w:hAnsi="Times New Roman" w:cs="Times New Roman"/>
          <w:sz w:val="24"/>
          <w:szCs w:val="24"/>
        </w:rPr>
        <w:t xml:space="preserve"> gradient from 90:10 to 20:80 v/v) to afford three fractions (I, II, and III). Fraction I (745 mg) was further purified with HPLC (250 × 25 mm silica, PE–</w:t>
      </w:r>
      <w:proofErr w:type="spellStart"/>
      <w:r w:rsidRPr="00FC51A4">
        <w:rPr>
          <w:rFonts w:ascii="Times New Roman" w:eastAsia="Times New Roman" w:hAnsi="Times New Roman" w:cs="Times New Roman"/>
          <w:sz w:val="24"/>
          <w:szCs w:val="24"/>
        </w:rPr>
        <w:t>EtOAc</w:t>
      </w:r>
      <w:proofErr w:type="spellEnd"/>
      <w:r w:rsidRPr="00FC51A4">
        <w:rPr>
          <w:rFonts w:ascii="Times New Roman" w:eastAsia="Times New Roman" w:hAnsi="Times New Roman" w:cs="Times New Roman"/>
          <w:sz w:val="24"/>
          <w:szCs w:val="24"/>
        </w:rPr>
        <w:t xml:space="preserve"> gradient from 90:10 to 80:20 v/v) to afford 180 mg of CBD 1 (Choi et al., 2004) as a white powder, 35 mg of CBC 3 (Claussen et al., 1966) as brownish powder, and 88 mg of CBG 2 (Choi et al., 2004) as a white powder. All the isolated compounds were identified according to </w:t>
      </w:r>
      <w:r w:rsidRPr="00FC51A4">
        <w:rPr>
          <w:rFonts w:ascii="Times New Roman" w:eastAsia="Times New Roman" w:hAnsi="Times New Roman" w:cs="Times New Roman"/>
          <w:sz w:val="24"/>
          <w:szCs w:val="24"/>
          <w:vertAlign w:val="superscript"/>
        </w:rPr>
        <w:t>1</w:t>
      </w:r>
      <w:r w:rsidRPr="00FC51A4">
        <w:rPr>
          <w:rFonts w:ascii="Times New Roman" w:eastAsia="Times New Roman" w:hAnsi="Times New Roman" w:cs="Times New Roman"/>
          <w:sz w:val="24"/>
          <w:szCs w:val="24"/>
        </w:rPr>
        <w:t>H NMR previously described in the literature. NMR data of the isolated compounds are shown in Fig. S</w:t>
      </w:r>
      <w:r w:rsidR="00CC1ED9" w:rsidRPr="00FC51A4">
        <w:rPr>
          <w:rFonts w:ascii="Times New Roman" w:eastAsia="Times New Roman" w:hAnsi="Times New Roman" w:cs="Times New Roman"/>
          <w:sz w:val="24"/>
          <w:szCs w:val="24"/>
        </w:rPr>
        <w:t>2</w:t>
      </w:r>
      <w:r w:rsidRPr="00FC51A4">
        <w:rPr>
          <w:rFonts w:ascii="Times New Roman" w:eastAsia="Times New Roman" w:hAnsi="Times New Roman" w:cs="Times New Roman"/>
          <w:sz w:val="24"/>
          <w:szCs w:val="24"/>
        </w:rPr>
        <w:t>-S</w:t>
      </w:r>
      <w:r w:rsidR="00CC1ED9" w:rsidRPr="00FC51A4">
        <w:rPr>
          <w:rFonts w:ascii="Times New Roman" w:eastAsia="Times New Roman" w:hAnsi="Times New Roman" w:cs="Times New Roman"/>
          <w:sz w:val="24"/>
          <w:szCs w:val="24"/>
        </w:rPr>
        <w:t>4</w:t>
      </w:r>
      <w:r w:rsidRPr="00FC51A4">
        <w:rPr>
          <w:rFonts w:ascii="Times New Roman" w:eastAsia="Times New Roman" w:hAnsi="Times New Roman" w:cs="Times New Roman"/>
          <w:sz w:val="24"/>
          <w:szCs w:val="24"/>
        </w:rPr>
        <w:t>.</w:t>
      </w:r>
    </w:p>
    <w:p w14:paraId="3E14FA2C"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 xml:space="preserve">1.7 Antioxidant activity </w:t>
      </w:r>
      <w:proofErr w:type="gramStart"/>
      <w:r w:rsidRPr="00FC51A4">
        <w:rPr>
          <w:rFonts w:ascii="Times New Roman" w:eastAsia="Times New Roman" w:hAnsi="Times New Roman" w:cs="Times New Roman"/>
          <w:b/>
          <w:sz w:val="24"/>
          <w:szCs w:val="24"/>
        </w:rPr>
        <w:t>assays</w:t>
      </w:r>
      <w:proofErr w:type="gramEnd"/>
    </w:p>
    <w:p w14:paraId="120739C7" w14:textId="5B7784C8" w:rsidR="00062D26" w:rsidRPr="00FC51A4" w:rsidRDefault="00000000">
      <w:pPr>
        <w:spacing w:before="120" w:after="280" w:line="480" w:lineRule="auto"/>
        <w:jc w:val="both"/>
        <w:rPr>
          <w:rFonts w:ascii="Times New Roman" w:eastAsia="Times New Roman" w:hAnsi="Times New Roman" w:cs="Times New Roman"/>
          <w:sz w:val="24"/>
          <w:szCs w:val="24"/>
        </w:rPr>
      </w:pPr>
      <w:bookmarkStart w:id="4" w:name="_heading=h.6tn70ef0chk2" w:colFirst="0" w:colLast="0"/>
      <w:bookmarkEnd w:id="4"/>
      <w:r w:rsidRPr="00FC51A4">
        <w:rPr>
          <w:rFonts w:ascii="Times New Roman" w:eastAsia="Times New Roman" w:hAnsi="Times New Roman" w:cs="Times New Roman"/>
          <w:sz w:val="24"/>
          <w:szCs w:val="24"/>
        </w:rPr>
        <w:t>The assessment of radical scavenging activity was assessed by different assay: the inhibition of the DPPH</w:t>
      </w:r>
      <w:r w:rsidRPr="00FC51A4">
        <w:rPr>
          <w:rFonts w:ascii="Times New Roman" w:eastAsia="Times New Roman" w:hAnsi="Times New Roman" w:cs="Times New Roman"/>
          <w:sz w:val="24"/>
          <w:szCs w:val="24"/>
          <w:vertAlign w:val="superscript"/>
        </w:rPr>
        <w:t>•</w:t>
      </w:r>
      <w:r w:rsidRPr="00FC51A4">
        <w:rPr>
          <w:rFonts w:ascii="Times New Roman" w:eastAsia="Times New Roman" w:hAnsi="Times New Roman" w:cs="Times New Roman"/>
          <w:sz w:val="24"/>
          <w:szCs w:val="24"/>
        </w:rPr>
        <w:t xml:space="preserve"> and ABTS</w:t>
      </w:r>
      <w:r w:rsidRPr="00FC51A4">
        <w:rPr>
          <w:rFonts w:ascii="Times New Roman" w:eastAsia="Times New Roman" w:hAnsi="Times New Roman" w:cs="Times New Roman"/>
          <w:sz w:val="24"/>
          <w:szCs w:val="24"/>
          <w:vertAlign w:val="superscript"/>
        </w:rPr>
        <w:t>•+</w:t>
      </w:r>
      <w:r w:rsidRPr="00FC51A4">
        <w:rPr>
          <w:rFonts w:ascii="Times New Roman" w:eastAsia="Times New Roman" w:hAnsi="Times New Roman" w:cs="Times New Roman"/>
          <w:sz w:val="24"/>
          <w:szCs w:val="24"/>
        </w:rPr>
        <w:t xml:space="preserve"> radicals, and by the Ferric ion antioxidant power (FRAP) following the methodology reported elsewhere (Disca et al., 2024; Jaouhari et al., 2024). </w:t>
      </w:r>
      <w:r w:rsidR="00062D26" w:rsidRPr="00FC51A4">
        <w:rPr>
          <w:rFonts w:ascii="Times New Roman" w:eastAsia="Times New Roman" w:hAnsi="Times New Roman" w:cs="Times New Roman"/>
          <w:sz w:val="24"/>
          <w:szCs w:val="24"/>
        </w:rPr>
        <w:t>For each assay all the crude extracts and pure cannabinoids tested were solubilized in ethanol (1 mg/mL) and opportunely diluted when necessary.</w:t>
      </w:r>
      <w:r w:rsidR="00AE0473" w:rsidRPr="00FC51A4">
        <w:rPr>
          <w:rFonts w:ascii="Times New Roman" w:eastAsia="Times New Roman" w:hAnsi="Times New Roman" w:cs="Times New Roman"/>
          <w:sz w:val="24"/>
          <w:szCs w:val="24"/>
        </w:rPr>
        <w:t xml:space="preserve"> All the assays were conducted in triplicate.</w:t>
      </w:r>
      <w:r w:rsidR="00062D26" w:rsidRPr="00FC51A4">
        <w:rPr>
          <w:rFonts w:ascii="Times New Roman" w:eastAsia="Times New Roman" w:hAnsi="Times New Roman" w:cs="Times New Roman"/>
          <w:sz w:val="24"/>
          <w:szCs w:val="24"/>
        </w:rPr>
        <w:t xml:space="preserve"> For DPPH• assay 700 µL of opportunely diluted sample or methanol (control) was added to the same volume of a 100 µmol/L DPPH• methanolic solution. This solution was shaken vigorously and left in the dark at room temperature for 30 min, after which the absorbance was read at 515 nm</w:t>
      </w:r>
      <w:r w:rsidR="006D0090" w:rsidRPr="00FC51A4">
        <w:rPr>
          <w:rFonts w:ascii="Times New Roman" w:eastAsia="Times New Roman" w:hAnsi="Times New Roman" w:cs="Times New Roman"/>
          <w:sz w:val="24"/>
          <w:szCs w:val="24"/>
        </w:rPr>
        <w:t>.</w:t>
      </w:r>
      <w:r w:rsidR="00062D26" w:rsidRPr="00FC51A4">
        <w:rPr>
          <w:rFonts w:ascii="Times New Roman" w:eastAsia="Times New Roman" w:hAnsi="Times New Roman" w:cs="Times New Roman"/>
          <w:sz w:val="24"/>
          <w:szCs w:val="24"/>
        </w:rPr>
        <w:t xml:space="preserve"> </w:t>
      </w:r>
      <w:r w:rsidR="00AE0473" w:rsidRPr="00FC51A4">
        <w:rPr>
          <w:rFonts w:ascii="Times New Roman" w:eastAsia="Times New Roman" w:hAnsi="Times New Roman" w:cs="Times New Roman"/>
          <w:sz w:val="24"/>
          <w:szCs w:val="24"/>
        </w:rPr>
        <w:t xml:space="preserve">Results </w:t>
      </w:r>
      <w:r w:rsidR="00062D26" w:rsidRPr="00FC51A4">
        <w:rPr>
          <w:rFonts w:ascii="Times New Roman" w:eastAsia="Times New Roman" w:hAnsi="Times New Roman" w:cs="Times New Roman"/>
          <w:sz w:val="24"/>
          <w:szCs w:val="24"/>
        </w:rPr>
        <w:t xml:space="preserve">were expressed as g of Trolox equivalents (TE) per kg of crude extracts through a calibration curve. ABTS+ was prepared by reacting a 7 mmol/L ABTS solution with 2.45 mM potassium persulphate, followed by incubation for 16 h in the dark at room temperature. Prior to initiating the assay, the ABTS solution was diluted </w:t>
      </w:r>
      <w:r w:rsidR="00062D26" w:rsidRPr="00FC51A4">
        <w:rPr>
          <w:rFonts w:ascii="Times New Roman" w:eastAsia="Times New Roman" w:hAnsi="Times New Roman" w:cs="Times New Roman"/>
          <w:sz w:val="24"/>
          <w:szCs w:val="24"/>
        </w:rPr>
        <w:lastRenderedPageBreak/>
        <w:t xml:space="preserve">with ethanol to an absorbance of 0.700 ± 0.02 at 734 nm. 10 µL of each sample was mixed with 1 mL of ABTS+ solution and it was let react for 6 minutes. Absorbance was read at 734 </w:t>
      </w:r>
      <w:proofErr w:type="gramStart"/>
      <w:r w:rsidR="00062D26" w:rsidRPr="00FC51A4">
        <w:rPr>
          <w:rFonts w:ascii="Times New Roman" w:eastAsia="Times New Roman" w:hAnsi="Times New Roman" w:cs="Times New Roman"/>
          <w:sz w:val="24"/>
          <w:szCs w:val="24"/>
        </w:rPr>
        <w:t>nm</w:t>
      </w:r>
      <w:proofErr w:type="gramEnd"/>
      <w:r w:rsidR="00062D26" w:rsidRPr="00FC51A4">
        <w:rPr>
          <w:rFonts w:ascii="Times New Roman" w:eastAsia="Times New Roman" w:hAnsi="Times New Roman" w:cs="Times New Roman"/>
          <w:sz w:val="24"/>
          <w:szCs w:val="24"/>
        </w:rPr>
        <w:t xml:space="preserve"> and results</w:t>
      </w:r>
      <w:r w:rsidR="00AE0473" w:rsidRPr="00FC51A4">
        <w:rPr>
          <w:rFonts w:ascii="Times New Roman" w:eastAsia="Times New Roman" w:hAnsi="Times New Roman" w:cs="Times New Roman"/>
          <w:sz w:val="24"/>
          <w:szCs w:val="24"/>
        </w:rPr>
        <w:t xml:space="preserve"> </w:t>
      </w:r>
      <w:r w:rsidR="00062D26" w:rsidRPr="00FC51A4">
        <w:rPr>
          <w:rFonts w:ascii="Times New Roman" w:eastAsia="Times New Roman" w:hAnsi="Times New Roman" w:cs="Times New Roman"/>
          <w:sz w:val="24"/>
          <w:szCs w:val="24"/>
        </w:rPr>
        <w:t xml:space="preserve">were expressed as g of TE per kg of crude extract through a calibration curve. Finally, </w:t>
      </w:r>
      <w:bookmarkStart w:id="5" w:name="_Hlk205540420"/>
      <w:r w:rsidR="00062D26" w:rsidRPr="00FC51A4">
        <w:rPr>
          <w:rFonts w:ascii="Times New Roman" w:eastAsia="Times New Roman" w:hAnsi="Times New Roman" w:cs="Times New Roman"/>
          <w:sz w:val="24"/>
          <w:szCs w:val="24"/>
        </w:rPr>
        <w:t xml:space="preserve">for the FRAP assay the reactive solution was freshly prepared with </w:t>
      </w:r>
      <w:r w:rsidR="00AE0473" w:rsidRPr="00FC51A4">
        <w:rPr>
          <w:rFonts w:ascii="Times New Roman" w:eastAsia="Times New Roman" w:hAnsi="Times New Roman" w:cs="Times New Roman"/>
          <w:sz w:val="24"/>
          <w:szCs w:val="24"/>
        </w:rPr>
        <w:t>50</w:t>
      </w:r>
      <w:r w:rsidR="00062D26" w:rsidRPr="00FC51A4">
        <w:rPr>
          <w:rFonts w:ascii="Times New Roman" w:eastAsia="Times New Roman" w:hAnsi="Times New Roman" w:cs="Times New Roman"/>
          <w:sz w:val="24"/>
          <w:szCs w:val="24"/>
        </w:rPr>
        <w:t xml:space="preserve"> mL of 300 mmol/L acetate buffer (pH 3.6), 5 mL of 10 mmol/L 2,4,6-tripyridyl-s-triazine in 40 mmol/L HCl and </w:t>
      </w:r>
      <w:r w:rsidR="00AE0473" w:rsidRPr="00FC51A4">
        <w:rPr>
          <w:rFonts w:ascii="Times New Roman" w:eastAsia="Times New Roman" w:hAnsi="Times New Roman" w:cs="Times New Roman"/>
          <w:sz w:val="24"/>
          <w:szCs w:val="24"/>
        </w:rPr>
        <w:t>5</w:t>
      </w:r>
      <w:r w:rsidR="00062D26" w:rsidRPr="00FC51A4">
        <w:rPr>
          <w:rFonts w:ascii="Times New Roman" w:eastAsia="Times New Roman" w:hAnsi="Times New Roman" w:cs="Times New Roman"/>
          <w:sz w:val="24"/>
          <w:szCs w:val="24"/>
        </w:rPr>
        <w:t xml:space="preserve"> mL 20 mmol/L FeCl</w:t>
      </w:r>
      <w:r w:rsidR="00062D26" w:rsidRPr="00FC51A4">
        <w:rPr>
          <w:rFonts w:ascii="Times New Roman" w:eastAsia="Times New Roman" w:hAnsi="Times New Roman" w:cs="Times New Roman"/>
          <w:sz w:val="24"/>
          <w:szCs w:val="24"/>
          <w:vertAlign w:val="subscript"/>
        </w:rPr>
        <w:t>3</w:t>
      </w:r>
      <w:r w:rsidR="00062D26" w:rsidRPr="00FC51A4">
        <w:rPr>
          <w:rFonts w:ascii="Times New Roman" w:eastAsia="Times New Roman" w:hAnsi="Times New Roman" w:cs="Times New Roman"/>
          <w:sz w:val="24"/>
          <w:szCs w:val="24"/>
        </w:rPr>
        <w:t>·6H2O in distilled water. Samples (</w:t>
      </w:r>
      <w:r w:rsidR="007844AA" w:rsidRPr="00FC51A4">
        <w:rPr>
          <w:rFonts w:ascii="Times New Roman" w:eastAsia="Times New Roman" w:hAnsi="Times New Roman" w:cs="Times New Roman"/>
          <w:sz w:val="24"/>
          <w:szCs w:val="24"/>
        </w:rPr>
        <w:t>50 µ</w:t>
      </w:r>
      <w:r w:rsidR="00062D26" w:rsidRPr="00FC51A4">
        <w:rPr>
          <w:rFonts w:ascii="Times New Roman" w:eastAsia="Times New Roman" w:hAnsi="Times New Roman" w:cs="Times New Roman"/>
          <w:sz w:val="24"/>
          <w:szCs w:val="24"/>
        </w:rPr>
        <w:t xml:space="preserve">L) or opportunely diluted samples were mixed with </w:t>
      </w:r>
      <w:r w:rsidR="00AE0473" w:rsidRPr="00FC51A4">
        <w:rPr>
          <w:rFonts w:ascii="Times New Roman" w:eastAsia="Times New Roman" w:hAnsi="Times New Roman" w:cs="Times New Roman"/>
          <w:sz w:val="24"/>
          <w:szCs w:val="24"/>
        </w:rPr>
        <w:t>1.5</w:t>
      </w:r>
      <w:r w:rsidR="00062D26" w:rsidRPr="00FC51A4">
        <w:rPr>
          <w:rFonts w:ascii="Times New Roman" w:eastAsia="Times New Roman" w:hAnsi="Times New Roman" w:cs="Times New Roman"/>
          <w:sz w:val="24"/>
          <w:szCs w:val="24"/>
        </w:rPr>
        <w:t xml:space="preserve"> mL of the FRAP reactive solution. Absorbance was read at 593 nm after </w:t>
      </w:r>
      <w:r w:rsidR="00AE0473" w:rsidRPr="00FC51A4">
        <w:rPr>
          <w:rFonts w:ascii="Times New Roman" w:eastAsia="Times New Roman" w:hAnsi="Times New Roman" w:cs="Times New Roman"/>
          <w:sz w:val="24"/>
          <w:szCs w:val="24"/>
        </w:rPr>
        <w:t>6</w:t>
      </w:r>
      <w:r w:rsidR="00062D26" w:rsidRPr="00FC51A4">
        <w:rPr>
          <w:rFonts w:ascii="Times New Roman" w:eastAsia="Times New Roman" w:hAnsi="Times New Roman" w:cs="Times New Roman"/>
          <w:sz w:val="24"/>
          <w:szCs w:val="24"/>
        </w:rPr>
        <w:t xml:space="preserve"> minutes </w:t>
      </w:r>
      <w:r w:rsidR="00AE0473" w:rsidRPr="00FC51A4">
        <w:rPr>
          <w:rFonts w:ascii="Times New Roman" w:eastAsia="Times New Roman" w:hAnsi="Times New Roman" w:cs="Times New Roman"/>
          <w:sz w:val="24"/>
          <w:szCs w:val="24"/>
        </w:rPr>
        <w:t xml:space="preserve">and </w:t>
      </w:r>
      <w:r w:rsidR="00062D26" w:rsidRPr="00FC51A4">
        <w:rPr>
          <w:rFonts w:ascii="Times New Roman" w:eastAsia="Times New Roman" w:hAnsi="Times New Roman" w:cs="Times New Roman"/>
          <w:sz w:val="24"/>
          <w:szCs w:val="24"/>
        </w:rPr>
        <w:t xml:space="preserve">results were expressed as g of TE per kg of crude extract through a calibration curve. </w:t>
      </w:r>
    </w:p>
    <w:bookmarkEnd w:id="5"/>
    <w:p w14:paraId="168B1620" w14:textId="231C5C22"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1.8 Quantitative analysis of cannabinoids and non-cannabinoid phenolic compounds with UHPLC-HRMS</w:t>
      </w:r>
    </w:p>
    <w:p w14:paraId="7D146FB0" w14:textId="0F4B4CD6" w:rsidR="00062D26" w:rsidRPr="00FC51A4" w:rsidRDefault="00062D26" w:rsidP="00062D26">
      <w:pPr>
        <w:spacing w:before="120" w:after="280" w:line="480" w:lineRule="auto"/>
        <w:jc w:val="both"/>
        <w:rPr>
          <w:rFonts w:ascii="Times New Roman" w:eastAsia="Times New Roman" w:hAnsi="Times New Roman" w:cs="Times New Roman"/>
          <w:sz w:val="24"/>
          <w:szCs w:val="24"/>
          <w:lang w:val="en-US"/>
        </w:rPr>
      </w:pPr>
      <w:bookmarkStart w:id="6" w:name="_heading=h.sy9usloat0wv" w:colFirst="0" w:colLast="0"/>
      <w:bookmarkEnd w:id="6"/>
      <w:r w:rsidRPr="00FC51A4">
        <w:rPr>
          <w:rFonts w:ascii="Times New Roman" w:eastAsia="Cardo" w:hAnsi="Times New Roman" w:cs="Times New Roman"/>
          <w:sz w:val="24"/>
          <w:szCs w:val="24"/>
          <w:lang w:val="en-US"/>
        </w:rPr>
        <w:t xml:space="preserve">Phytochemical investigation of samples occurred by UHPLC-HRMS following the method described by Benes et al., (2024). The chromatographic separation was performed using a </w:t>
      </w:r>
      <w:proofErr w:type="spellStart"/>
      <w:r w:rsidRPr="00FC51A4">
        <w:rPr>
          <w:rFonts w:ascii="Times New Roman" w:eastAsia="Cardo" w:hAnsi="Times New Roman" w:cs="Times New Roman"/>
          <w:sz w:val="24"/>
          <w:szCs w:val="24"/>
          <w:lang w:val="en-US"/>
        </w:rPr>
        <w:t>Acquity</w:t>
      </w:r>
      <w:proofErr w:type="spellEnd"/>
      <w:r w:rsidRPr="00FC51A4">
        <w:rPr>
          <w:rFonts w:ascii="Times New Roman" w:eastAsia="Cardo" w:hAnsi="Times New Roman" w:cs="Times New Roman"/>
          <w:sz w:val="24"/>
          <w:szCs w:val="24"/>
          <w:lang w:val="en-US"/>
        </w:rPr>
        <w:t> </w:t>
      </w:r>
      <w:hyperlink r:id="rId7" w:tooltip="Learn more about UPLC from ScienceDirect's AI-generated Topic Pages" w:history="1">
        <w:r w:rsidRPr="00FC51A4">
          <w:rPr>
            <w:rStyle w:val="Collegamentoipertestuale"/>
            <w:rFonts w:ascii="Times New Roman" w:eastAsia="Cardo" w:hAnsi="Times New Roman" w:cs="Times New Roman"/>
            <w:color w:val="auto"/>
            <w:sz w:val="24"/>
            <w:szCs w:val="24"/>
            <w:u w:val="none"/>
            <w:lang w:val="en-US"/>
          </w:rPr>
          <w:t>UPLC</w:t>
        </w:r>
      </w:hyperlink>
      <w:r w:rsidRPr="00FC51A4">
        <w:rPr>
          <w:rFonts w:ascii="Times New Roman" w:eastAsia="Cardo" w:hAnsi="Times New Roman" w:cs="Times New Roman"/>
          <w:sz w:val="24"/>
          <w:szCs w:val="24"/>
          <w:lang w:val="en-US"/>
        </w:rPr>
        <w:t> BEH C18 (100 × 2.1 mm; 1.7 </w:t>
      </w:r>
      <w:r w:rsidRPr="00FC51A4">
        <w:rPr>
          <w:rFonts w:ascii="Times New Roman" w:eastAsia="Cardo" w:hAnsi="Times New Roman" w:cs="Times New Roman"/>
          <w:sz w:val="24"/>
          <w:szCs w:val="24"/>
          <w:lang w:val="it-IT"/>
        </w:rPr>
        <w:t>μ</w:t>
      </w:r>
      <w:r w:rsidRPr="00FC51A4">
        <w:rPr>
          <w:rFonts w:ascii="Times New Roman" w:eastAsia="Cardo" w:hAnsi="Times New Roman" w:cs="Times New Roman"/>
          <w:sz w:val="24"/>
          <w:szCs w:val="24"/>
          <w:lang w:val="en-US"/>
        </w:rPr>
        <w:t xml:space="preserve">m, Waters, USA) column maintained at 70 °C. The mobile phase A was made of water and MeOH (95:5, v/v) with 5 mM ammonium </w:t>
      </w:r>
      <w:proofErr w:type="spellStart"/>
      <w:r w:rsidRPr="00FC51A4">
        <w:rPr>
          <w:rFonts w:ascii="Times New Roman" w:eastAsia="Cardo" w:hAnsi="Times New Roman" w:cs="Times New Roman"/>
          <w:sz w:val="24"/>
          <w:szCs w:val="24"/>
          <w:lang w:val="en-US"/>
        </w:rPr>
        <w:t>formate</w:t>
      </w:r>
      <w:proofErr w:type="spellEnd"/>
      <w:r w:rsidRPr="00FC51A4">
        <w:rPr>
          <w:rFonts w:ascii="Times New Roman" w:eastAsia="Cardo" w:hAnsi="Times New Roman" w:cs="Times New Roman"/>
          <w:sz w:val="24"/>
          <w:szCs w:val="24"/>
          <w:lang w:val="en-US"/>
        </w:rPr>
        <w:t xml:space="preserve"> and 0.1% formic acid all UHPLC grade while mobile phase B was isopropyl alcohol, MeOH and water (65:30:5, v/v/v) with 5 mM ammonium </w:t>
      </w:r>
      <w:proofErr w:type="spellStart"/>
      <w:r w:rsidRPr="00FC51A4">
        <w:rPr>
          <w:rFonts w:ascii="Times New Roman" w:eastAsia="Cardo" w:hAnsi="Times New Roman" w:cs="Times New Roman"/>
          <w:sz w:val="24"/>
          <w:szCs w:val="24"/>
          <w:lang w:val="en-US"/>
        </w:rPr>
        <w:t>formate</w:t>
      </w:r>
      <w:proofErr w:type="spellEnd"/>
      <w:r w:rsidRPr="00FC51A4">
        <w:rPr>
          <w:rFonts w:ascii="Times New Roman" w:eastAsia="Cardo" w:hAnsi="Times New Roman" w:cs="Times New Roman"/>
          <w:sz w:val="24"/>
          <w:szCs w:val="24"/>
          <w:lang w:val="en-US"/>
        </w:rPr>
        <w:t xml:space="preserve"> and 0.1% formic acid all UHPLC grade at the flow rate of 0.300 mL/min. The total run time was 16 minutes with a 3 </w:t>
      </w:r>
      <w:r w:rsidRPr="00FC51A4">
        <w:rPr>
          <w:rFonts w:ascii="Times New Roman" w:eastAsia="Cardo" w:hAnsi="Times New Roman" w:cs="Times New Roman"/>
          <w:sz w:val="24"/>
          <w:szCs w:val="24"/>
        </w:rPr>
        <w:t>μ</w:t>
      </w:r>
      <w:r w:rsidRPr="00FC51A4">
        <w:rPr>
          <w:rFonts w:ascii="Times New Roman" w:eastAsia="Cardo" w:hAnsi="Times New Roman" w:cs="Times New Roman"/>
          <w:sz w:val="24"/>
          <w:szCs w:val="24"/>
          <w:lang w:val="en-US"/>
        </w:rPr>
        <w:t>L injection volume and gradient elution: 5% B, increase to 60% B by 1 minute, increase to 70% B by 11 minutes, rapid increase to 100% B in 0.5 minutes, isocratic elution for 2 minutes and return to initial conditions for 2.5 minutes. Cannabinoids and non-cannabinoid phenolic compounds were identified by orbital trap mass spectrometer with the following ESI± parameters: sheath/aux gas (N</w:t>
      </w:r>
      <w:r w:rsidRPr="00FC51A4">
        <w:rPr>
          <w:rFonts w:ascii="Times New Roman" w:eastAsia="Cardo" w:hAnsi="Times New Roman" w:cs="Times New Roman"/>
          <w:sz w:val="24"/>
          <w:szCs w:val="24"/>
          <w:vertAlign w:val="subscript"/>
          <w:lang w:val="en-US"/>
        </w:rPr>
        <w:t>2</w:t>
      </w:r>
      <w:r w:rsidRPr="00FC51A4">
        <w:rPr>
          <w:rFonts w:ascii="Times New Roman" w:eastAsia="Cardo" w:hAnsi="Times New Roman" w:cs="Times New Roman"/>
          <w:sz w:val="24"/>
          <w:szCs w:val="24"/>
          <w:lang w:val="en-US"/>
        </w:rPr>
        <w:t xml:space="preserve">) flow of 45/10 arb. U., aux gas temperature of 300 °C, spray voltage of 3.5 kV and S-lens RF level of 55. The mass spectrometer operated in Full scan mode: 70,000 FWHM resolution, 100–1,000 m/z scan range, AGC target 2e5, </w:t>
      </w:r>
      <w:proofErr w:type="spellStart"/>
      <w:r w:rsidRPr="00FC51A4">
        <w:rPr>
          <w:rFonts w:ascii="Times New Roman" w:eastAsia="Cardo" w:hAnsi="Times New Roman" w:cs="Times New Roman"/>
          <w:sz w:val="24"/>
          <w:szCs w:val="24"/>
          <w:lang w:val="en-US"/>
        </w:rPr>
        <w:t>maxIT</w:t>
      </w:r>
      <w:proofErr w:type="spellEnd"/>
      <w:r w:rsidRPr="00FC51A4">
        <w:rPr>
          <w:rFonts w:ascii="Times New Roman" w:eastAsia="Cardo" w:hAnsi="Times New Roman" w:cs="Times New Roman"/>
          <w:sz w:val="24"/>
          <w:szCs w:val="24"/>
          <w:lang w:val="en-US"/>
        </w:rPr>
        <w:t xml:space="preserve"> 50 </w:t>
      </w:r>
      <w:proofErr w:type="spellStart"/>
      <w:r w:rsidRPr="00FC51A4">
        <w:rPr>
          <w:rFonts w:ascii="Times New Roman" w:eastAsia="Cardo" w:hAnsi="Times New Roman" w:cs="Times New Roman"/>
          <w:sz w:val="24"/>
          <w:szCs w:val="24"/>
          <w:lang w:val="en-US"/>
        </w:rPr>
        <w:t>ms.</w:t>
      </w:r>
      <w:proofErr w:type="spellEnd"/>
      <w:r w:rsidRPr="00FC51A4">
        <w:rPr>
          <w:rFonts w:ascii="Times New Roman" w:eastAsia="Cardo" w:hAnsi="Times New Roman" w:cs="Times New Roman"/>
          <w:sz w:val="24"/>
          <w:szCs w:val="24"/>
          <w:lang w:val="en-US"/>
        </w:rPr>
        <w:t xml:space="preserve"> Identification and quantification were carried out utilizing Xcalibur™ 4.0 with each relative standard compound and calibration curve (39 cannabinoids, 12 flavonoids, the dihydrostilbenoid </w:t>
      </w:r>
      <w:proofErr w:type="spellStart"/>
      <w:r w:rsidRPr="00FC51A4">
        <w:rPr>
          <w:rFonts w:ascii="Times New Roman" w:eastAsia="Cardo" w:hAnsi="Times New Roman" w:cs="Times New Roman"/>
          <w:sz w:val="24"/>
          <w:szCs w:val="24"/>
          <w:lang w:val="en-US"/>
        </w:rPr>
        <w:t>canniprene</w:t>
      </w:r>
      <w:proofErr w:type="spellEnd"/>
      <w:r w:rsidRPr="00FC51A4">
        <w:rPr>
          <w:rFonts w:ascii="Times New Roman" w:eastAsia="Cardo" w:hAnsi="Times New Roman" w:cs="Times New Roman"/>
          <w:sz w:val="24"/>
          <w:szCs w:val="24"/>
          <w:lang w:val="en-US"/>
        </w:rPr>
        <w:t xml:space="preserve"> </w:t>
      </w:r>
      <w:r w:rsidRPr="00FC51A4">
        <w:rPr>
          <w:rFonts w:ascii="Times New Roman" w:eastAsia="Cardo" w:hAnsi="Times New Roman" w:cs="Times New Roman"/>
          <w:sz w:val="24"/>
          <w:szCs w:val="24"/>
          <w:lang w:val="en-US"/>
        </w:rPr>
        <w:lastRenderedPageBreak/>
        <w:t>and the dihydrophenanthrene 5-methoxy-dihydrodenbinobin).</w:t>
      </w:r>
      <w:r w:rsidR="00CC1ED9" w:rsidRPr="00FC51A4">
        <w:rPr>
          <w:rFonts w:ascii="Times New Roman" w:eastAsia="Cardo" w:hAnsi="Times New Roman" w:cs="Times New Roman"/>
          <w:sz w:val="24"/>
          <w:szCs w:val="24"/>
          <w:lang w:val="en-US"/>
        </w:rPr>
        <w:t xml:space="preserve"> </w:t>
      </w:r>
      <w:proofErr w:type="gramStart"/>
      <w:r w:rsidR="00CC1ED9" w:rsidRPr="00FC51A4">
        <w:rPr>
          <w:rFonts w:ascii="Times New Roman" w:eastAsia="Cardo" w:hAnsi="Times New Roman" w:cs="Times New Roman"/>
          <w:sz w:val="24"/>
          <w:szCs w:val="24"/>
          <w:lang w:val="en-US"/>
        </w:rPr>
        <w:t>Figure</w:t>
      </w:r>
      <w:proofErr w:type="gramEnd"/>
      <w:r w:rsidR="00CC1ED9" w:rsidRPr="00FC51A4">
        <w:rPr>
          <w:rFonts w:ascii="Times New Roman" w:eastAsia="Cardo" w:hAnsi="Times New Roman" w:cs="Times New Roman"/>
          <w:sz w:val="24"/>
          <w:szCs w:val="24"/>
          <w:lang w:val="en-US"/>
        </w:rPr>
        <w:t xml:space="preserve"> of the XICs </w:t>
      </w:r>
      <w:proofErr w:type="gramStart"/>
      <w:r w:rsidR="00CC1ED9" w:rsidRPr="00FC51A4">
        <w:rPr>
          <w:rFonts w:ascii="Times New Roman" w:eastAsia="Cardo" w:hAnsi="Times New Roman" w:cs="Times New Roman"/>
          <w:sz w:val="24"/>
          <w:szCs w:val="24"/>
          <w:lang w:val="en-US"/>
        </w:rPr>
        <w:t>are</w:t>
      </w:r>
      <w:proofErr w:type="gramEnd"/>
      <w:r w:rsidR="00CC1ED9" w:rsidRPr="00FC51A4">
        <w:rPr>
          <w:rFonts w:ascii="Times New Roman" w:eastAsia="Cardo" w:hAnsi="Times New Roman" w:cs="Times New Roman"/>
          <w:sz w:val="24"/>
          <w:szCs w:val="24"/>
          <w:lang w:val="en-US"/>
        </w:rPr>
        <w:t xml:space="preserve"> shown in Figure S1. </w:t>
      </w:r>
      <w:r w:rsidRPr="00FC51A4">
        <w:rPr>
          <w:rFonts w:ascii="Times New Roman" w:eastAsia="Cardo" w:hAnsi="Times New Roman" w:cs="Times New Roman"/>
          <w:sz w:val="24"/>
          <w:szCs w:val="24"/>
          <w:lang w:val="en-US"/>
        </w:rPr>
        <w:t xml:space="preserve">The limits of quantification (LOQs), representing the lowest points of calibration, were 0.50–1 mg/kg. The calibration curves were linear up to 50 mg/kg (R² ≥ 0.999). The measurement uncertainty, expressed as relative standard deviation (RSD), was 6–12%. </w:t>
      </w:r>
    </w:p>
    <w:p w14:paraId="59C011B0"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1.9 MICs determination</w:t>
      </w:r>
    </w:p>
    <w:p w14:paraId="3873771D" w14:textId="36D17C7B" w:rsidR="005C2151" w:rsidRPr="00FC51A4" w:rsidRDefault="002051C6">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The antibacterial activity of CS extracts (CS1, CS2, CS3, CS4) pure cannabinoids (CBD, CBG, CBC) and antibiotics (tetracycline, ciprofloxacin, linezolid, methicillin) was evaluated in 96-well microtiter plates by the broth microdilution method described by Wiegand et al., (2008) with minor changes. Stock solutions of CS extracts (20 mg/mL in DMSO) and pure cannabinoids (2 mg/mL in DMSO) were diluted in sterile deionized water to obtain the desired working concentrations. Afterward, bacterial suspensions (~5 × 10</w:t>
      </w:r>
      <w:r w:rsidRPr="00FC51A4">
        <w:rPr>
          <w:rFonts w:ascii="Times New Roman" w:eastAsia="Times New Roman" w:hAnsi="Times New Roman" w:cs="Times New Roman"/>
          <w:sz w:val="24"/>
          <w:szCs w:val="24"/>
          <w:vertAlign w:val="superscript"/>
        </w:rPr>
        <w:t>5</w:t>
      </w:r>
      <w:r w:rsidRPr="00FC51A4">
        <w:rPr>
          <w:rFonts w:ascii="Times New Roman" w:eastAsia="Times New Roman" w:hAnsi="Times New Roman" w:cs="Times New Roman"/>
          <w:sz w:val="24"/>
          <w:szCs w:val="24"/>
        </w:rPr>
        <w:t xml:space="preserve"> Colony Forming Unit per mL—CFU/mL) in MHB (</w:t>
      </w:r>
      <w:r w:rsidRPr="00FC51A4">
        <w:rPr>
          <w:rFonts w:ascii="Times New Roman" w:eastAsia="Times New Roman" w:hAnsi="Times New Roman" w:cs="Times New Roman"/>
          <w:i/>
          <w:sz w:val="24"/>
          <w:szCs w:val="24"/>
        </w:rPr>
        <w:t>S. aureus</w:t>
      </w:r>
      <w:r w:rsidRPr="00FC51A4">
        <w:rPr>
          <w:rFonts w:ascii="Times New Roman" w:eastAsia="Times New Roman" w:hAnsi="Times New Roman" w:cs="Times New Roman"/>
          <w:sz w:val="24"/>
          <w:szCs w:val="24"/>
        </w:rPr>
        <w:t xml:space="preserve">, MRSA, </w:t>
      </w:r>
      <w:r w:rsidRPr="00FC51A4">
        <w:rPr>
          <w:rFonts w:ascii="Times New Roman" w:eastAsia="Times New Roman" w:hAnsi="Times New Roman" w:cs="Times New Roman"/>
          <w:i/>
          <w:sz w:val="24"/>
          <w:szCs w:val="24"/>
        </w:rPr>
        <w:t>S. epidermidis</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B. cereus</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E. coli</w:t>
      </w:r>
      <w:r w:rsidRPr="00FC51A4">
        <w:rPr>
          <w:rFonts w:ascii="Times New Roman" w:eastAsia="Times New Roman" w:hAnsi="Times New Roman" w:cs="Times New Roman"/>
          <w:sz w:val="24"/>
          <w:szCs w:val="24"/>
        </w:rPr>
        <w:t xml:space="preserve"> and </w:t>
      </w:r>
      <w:r w:rsidRPr="00FC51A4">
        <w:rPr>
          <w:rFonts w:ascii="Times New Roman" w:eastAsia="Times New Roman" w:hAnsi="Times New Roman" w:cs="Times New Roman"/>
          <w:i/>
          <w:sz w:val="24"/>
          <w:szCs w:val="24"/>
        </w:rPr>
        <w:t>S. enterica</w:t>
      </w:r>
      <w:r w:rsidRPr="00FC51A4">
        <w:rPr>
          <w:rFonts w:ascii="Times New Roman" w:eastAsia="Times New Roman" w:hAnsi="Times New Roman" w:cs="Times New Roman"/>
          <w:sz w:val="24"/>
          <w:szCs w:val="24"/>
        </w:rPr>
        <w:t>) or TSB (</w:t>
      </w:r>
      <w:r w:rsidRPr="00FC51A4">
        <w:rPr>
          <w:rFonts w:ascii="Times New Roman" w:eastAsia="Times New Roman" w:hAnsi="Times New Roman" w:cs="Times New Roman"/>
          <w:i/>
          <w:sz w:val="24"/>
          <w:szCs w:val="24"/>
        </w:rPr>
        <w:t>L. monocytogenes</w:t>
      </w:r>
      <w:r w:rsidRPr="00FC51A4">
        <w:rPr>
          <w:rFonts w:ascii="Times New Roman" w:eastAsia="Times New Roman" w:hAnsi="Times New Roman" w:cs="Times New Roman"/>
          <w:sz w:val="24"/>
          <w:szCs w:val="24"/>
        </w:rPr>
        <w:t>) were mixed with CS extracts (final concentrations from 1.25 to 100 µg/mL) and pure compounds (final concentrations from 1.25 to 10 µg/mL) (test wells), antibiotics (used as negative control of growth, final concentrations: tetracycline from 0.25 to 2 µg/mL; ciprofloxacin from 0.063 to 1 µg/mL; linezolid from 0.25 to 2 µg/mL; methicillin from 0.5 to 16 µg/mL), or 0.5% v/v DMSO (used as a positive control for growth) and incubated for 16–20 h at 37 °C.</w:t>
      </w:r>
    </w:p>
    <w:p w14:paraId="40AD55C6" w14:textId="6F4DB031" w:rsidR="005C2151" w:rsidRPr="00FC51A4" w:rsidRDefault="002051C6">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Furthermore, blank wells containing cannabinoid solutions and sterile growth medium were prepared and incubated under the same conditions to monitor for any aggregation, precipitation, or turbidity due solely to the compounds. The MIC was defined as the lowest concentration of the compound that inhibited visible bacterial growth, as observed with the unaided eye, by comparing each well with the positive control of growth and blank controls. The assays were performed in triplicate and repeated in three independent experiments (n = 9). </w:t>
      </w:r>
    </w:p>
    <w:p w14:paraId="54C05649"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bookmarkStart w:id="7" w:name="_heading=h.ixuhcfmx9wlk" w:colFirst="0" w:colLast="0"/>
      <w:bookmarkEnd w:id="7"/>
      <w:r w:rsidRPr="00FC51A4">
        <w:rPr>
          <w:rFonts w:ascii="Times New Roman" w:eastAsia="Times New Roman" w:hAnsi="Times New Roman" w:cs="Times New Roman"/>
          <w:b/>
          <w:sz w:val="24"/>
          <w:szCs w:val="24"/>
        </w:rPr>
        <w:t>1.10 MBCs determination</w:t>
      </w:r>
    </w:p>
    <w:p w14:paraId="3DFD0AFF" w14:textId="3B88DD9B" w:rsidR="002051C6" w:rsidRPr="00FC51A4" w:rsidRDefault="002051C6" w:rsidP="002051C6">
      <w:pPr>
        <w:spacing w:before="120" w:after="280" w:line="480" w:lineRule="auto"/>
        <w:jc w:val="both"/>
        <w:rPr>
          <w:rFonts w:ascii="Times New Roman" w:eastAsia="Times New Roman" w:hAnsi="Times New Roman" w:cs="Times New Roman"/>
          <w:sz w:val="24"/>
          <w:szCs w:val="24"/>
        </w:rPr>
      </w:pPr>
      <w:bookmarkStart w:id="8" w:name="_heading=h.7h18tgpe41a6" w:colFirst="0" w:colLast="0"/>
      <w:bookmarkEnd w:id="8"/>
      <w:r w:rsidRPr="00FC51A4">
        <w:rPr>
          <w:rFonts w:ascii="Times New Roman" w:eastAsia="Times New Roman" w:hAnsi="Times New Roman" w:cs="Times New Roman"/>
          <w:sz w:val="24"/>
          <w:szCs w:val="24"/>
        </w:rPr>
        <w:lastRenderedPageBreak/>
        <w:t xml:space="preserve">The MBCs of CS extracts (CS1, CS2, CS3, CS4) </w:t>
      </w:r>
      <w:r w:rsidR="003F30AB" w:rsidRPr="00FC51A4">
        <w:rPr>
          <w:rFonts w:ascii="Times New Roman" w:eastAsia="Times New Roman" w:hAnsi="Times New Roman" w:cs="Times New Roman"/>
          <w:sz w:val="24"/>
          <w:szCs w:val="24"/>
        </w:rPr>
        <w:t>were</w:t>
      </w:r>
      <w:r w:rsidRPr="00FC51A4">
        <w:rPr>
          <w:rFonts w:ascii="Times New Roman" w:eastAsia="Times New Roman" w:hAnsi="Times New Roman" w:cs="Times New Roman"/>
          <w:sz w:val="24"/>
          <w:szCs w:val="24"/>
        </w:rPr>
        <w:t xml:space="preserve"> determined as described by Mohammad et al., (2017)</w:t>
      </w:r>
      <w:r w:rsidRPr="00FC51A4">
        <w:rPr>
          <w:rFonts w:ascii="Times New Roman" w:eastAsia="Times New Roman" w:hAnsi="Times New Roman" w:cs="Times New Roman"/>
          <w:i/>
          <w:sz w:val="24"/>
          <w:szCs w:val="24"/>
        </w:rPr>
        <w:t xml:space="preserve">. </w:t>
      </w:r>
      <w:r w:rsidRPr="00FC51A4">
        <w:rPr>
          <w:rFonts w:ascii="Times New Roman" w:eastAsia="Times New Roman" w:hAnsi="Times New Roman" w:cs="Times New Roman"/>
          <w:sz w:val="24"/>
          <w:szCs w:val="24"/>
        </w:rPr>
        <w:t xml:space="preserve">Briefly, 20-µL aliquots from wells showing no visible growth (from the MIC up to the highest concentration tested) in the 96-well microtiter plate (where the MIC was determined) were transferred onto MHA or TSA plates and incubated at 37 °C for 24 h. </w:t>
      </w:r>
    </w:p>
    <w:p w14:paraId="2E3CAE9B" w14:textId="77777777" w:rsidR="005C2151" w:rsidRPr="00FC51A4" w:rsidRDefault="00000000">
      <w:pPr>
        <w:spacing w:before="120" w:after="280" w:line="480" w:lineRule="auto"/>
        <w:jc w:val="both"/>
        <w:rPr>
          <w:rFonts w:ascii="Times New Roman" w:eastAsia="Times New Roman" w:hAnsi="Times New Roman" w:cs="Times New Roman"/>
          <w:i/>
          <w:sz w:val="24"/>
          <w:szCs w:val="24"/>
        </w:rPr>
      </w:pPr>
      <w:r w:rsidRPr="00FC51A4">
        <w:rPr>
          <w:rFonts w:ascii="Times New Roman" w:eastAsia="Times New Roman" w:hAnsi="Times New Roman" w:cs="Times New Roman"/>
          <w:sz w:val="24"/>
          <w:szCs w:val="24"/>
        </w:rPr>
        <w:t xml:space="preserve">The MBC was defined as the lowest concentration of the compound that killed 99.9% of the bacterial population. Assays were conducted in duplicate and repeated in two independent experiments (n = 4). </w:t>
      </w:r>
    </w:p>
    <w:p w14:paraId="690338E9"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1.11 Time-kill assay</w:t>
      </w:r>
    </w:p>
    <w:p w14:paraId="4B6F3EEB" w14:textId="77777777" w:rsidR="002051C6" w:rsidRPr="00FC51A4" w:rsidRDefault="002051C6" w:rsidP="002051C6">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The time-kill assay was performed in 96-well microtiter plates for CS extracts (CS1, CS2, CS3, CS4) and control antibiotic against MRSA ATCC 43300, following the method described by Brunelli et al., (2023). Stock solutions of CS extracts (4 mg/mL in DMSO) were diluted in sterile deionized water to obtain the desired working solutions. Afterwards, bacterial suspensions (~2 × 10</w:t>
      </w:r>
      <w:r w:rsidRPr="00FC51A4">
        <w:rPr>
          <w:rFonts w:ascii="Times New Roman" w:eastAsia="Times New Roman" w:hAnsi="Times New Roman" w:cs="Times New Roman"/>
          <w:sz w:val="24"/>
          <w:szCs w:val="24"/>
          <w:vertAlign w:val="superscript"/>
        </w:rPr>
        <w:t>6</w:t>
      </w:r>
      <w:r w:rsidRPr="00FC51A4">
        <w:rPr>
          <w:rFonts w:ascii="Times New Roman" w:eastAsia="Times New Roman" w:hAnsi="Times New Roman" w:cs="Times New Roman"/>
          <w:sz w:val="24"/>
          <w:szCs w:val="24"/>
        </w:rPr>
        <w:t xml:space="preserve"> CFU/mL) in MHB were mixed with CS extracts (final concentration 4 × MIC, test wells), ciprofloxacin (final concentration 4 × MIC, used as bactericidal agent), or 0.5% v/v DMSO (positive control for growth) for 24 h at 37 °C. Aliquots (20 </w:t>
      </w:r>
      <w:proofErr w:type="spellStart"/>
      <w:r w:rsidRPr="00FC51A4">
        <w:rPr>
          <w:rFonts w:ascii="Times New Roman" w:eastAsia="Times New Roman" w:hAnsi="Times New Roman" w:cs="Times New Roman"/>
          <w:sz w:val="24"/>
          <w:szCs w:val="24"/>
        </w:rPr>
        <w:t>μL</w:t>
      </w:r>
      <w:proofErr w:type="spellEnd"/>
      <w:r w:rsidRPr="00FC51A4">
        <w:rPr>
          <w:rFonts w:ascii="Times New Roman" w:eastAsia="Times New Roman" w:hAnsi="Times New Roman" w:cs="Times New Roman"/>
          <w:sz w:val="24"/>
          <w:szCs w:val="24"/>
        </w:rPr>
        <w:t xml:space="preserve">) of each sample were collected at 0, 2, 4, 6, 8, 18 and 24 h, serially diluted in 0.9% w/v NaCl, plated onto MHA, and incubated at 37 °C for 18 h before colony counting. </w:t>
      </w:r>
    </w:p>
    <w:p w14:paraId="343EAFDC"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1.12 Cell viability</w:t>
      </w:r>
    </w:p>
    <w:p w14:paraId="63ED4FB4" w14:textId="260BA8E5"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Cell viability was assessed using </w:t>
      </w:r>
      <w:proofErr w:type="spellStart"/>
      <w:r w:rsidRPr="00FC51A4">
        <w:rPr>
          <w:rFonts w:ascii="Times New Roman" w:eastAsia="Times New Roman" w:hAnsi="Times New Roman" w:cs="Times New Roman"/>
          <w:sz w:val="24"/>
          <w:szCs w:val="24"/>
        </w:rPr>
        <w:t>AlamarBlue</w:t>
      </w:r>
      <w:proofErr w:type="spellEnd"/>
      <w:r w:rsidRPr="00FC51A4">
        <w:rPr>
          <w:rFonts w:ascii="Times New Roman" w:eastAsia="Times New Roman" w:hAnsi="Times New Roman" w:cs="Times New Roman"/>
          <w:sz w:val="24"/>
          <w:szCs w:val="24"/>
        </w:rPr>
        <w:t xml:space="preserve">™ reagent (Bio-Rad), according to manufacturer's instructions. Briefly, cells were seeded at 1 × 10⁵ cells/well in 96-well plates and incubated overnight. Cells were treated with increasing concentrations of </w:t>
      </w:r>
      <w:r w:rsidR="002051C6" w:rsidRPr="00FC51A4">
        <w:rPr>
          <w:rFonts w:ascii="Times New Roman" w:eastAsia="Times New Roman" w:hAnsi="Times New Roman" w:cs="Times New Roman"/>
          <w:sz w:val="24"/>
          <w:szCs w:val="24"/>
        </w:rPr>
        <w:t>CS</w:t>
      </w:r>
      <w:r w:rsidRPr="00FC51A4">
        <w:rPr>
          <w:rFonts w:ascii="Times New Roman" w:eastAsia="Times New Roman" w:hAnsi="Times New Roman" w:cs="Times New Roman"/>
          <w:sz w:val="24"/>
          <w:szCs w:val="24"/>
        </w:rPr>
        <w:t xml:space="preserve"> extracts (20-100 </w:t>
      </w:r>
      <w:proofErr w:type="gramStart"/>
      <w:r w:rsidRPr="00FC51A4">
        <w:rPr>
          <w:rFonts w:ascii="Times New Roman" w:eastAsia="Times New Roman" w:hAnsi="Times New Roman" w:cs="Times New Roman"/>
          <w:sz w:val="24"/>
          <w:szCs w:val="24"/>
        </w:rPr>
        <w:t>µg</w:t>
      </w:r>
      <w:proofErr w:type="gramEnd"/>
      <w:r w:rsidRPr="00FC51A4">
        <w:rPr>
          <w:rFonts w:ascii="Times New Roman" w:eastAsia="Times New Roman" w:hAnsi="Times New Roman" w:cs="Times New Roman"/>
          <w:sz w:val="24"/>
          <w:szCs w:val="24"/>
        </w:rPr>
        <w:t xml:space="preserve">/mL) or pure CBD (25-100 µM). Following 4h treatment, culture medium was replaced with fresh medium containing 10% (v/v) </w:t>
      </w:r>
      <w:proofErr w:type="spellStart"/>
      <w:r w:rsidRPr="00FC51A4">
        <w:rPr>
          <w:rFonts w:ascii="Times New Roman" w:eastAsia="Times New Roman" w:hAnsi="Times New Roman" w:cs="Times New Roman"/>
          <w:sz w:val="24"/>
          <w:szCs w:val="24"/>
        </w:rPr>
        <w:t>AlamarBlue</w:t>
      </w:r>
      <w:proofErr w:type="spellEnd"/>
      <w:r w:rsidRPr="00FC51A4">
        <w:rPr>
          <w:rFonts w:ascii="Times New Roman" w:eastAsia="Times New Roman" w:hAnsi="Times New Roman" w:cs="Times New Roman"/>
          <w:sz w:val="24"/>
          <w:szCs w:val="24"/>
        </w:rPr>
        <w:t xml:space="preserve">™ reagent. After 3 h of incubation at 37 °C (protected from light), fluorescence was measured using a SPARK TECAN microplate reader (TECAN) with an excitation wavelength of </w:t>
      </w:r>
      <w:r w:rsidRPr="00FC51A4">
        <w:rPr>
          <w:rFonts w:ascii="Times New Roman" w:eastAsia="Times New Roman" w:hAnsi="Times New Roman" w:cs="Times New Roman"/>
          <w:sz w:val="24"/>
          <w:szCs w:val="24"/>
        </w:rPr>
        <w:lastRenderedPageBreak/>
        <w:t>530–560 nm and an emission wavelength of 590 nm. All assays were performed in triplicate and repeated in three independent biological experiments. Cell viability was calculated in comparison to vehicle (DMSO)-treated controls.</w:t>
      </w:r>
    </w:p>
    <w:p w14:paraId="2217A2DB"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 xml:space="preserve">1.13 Cell treatments </w:t>
      </w:r>
    </w:p>
    <w:p w14:paraId="7FCF65B3" w14:textId="523A300F"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RAW 264.7 cells were seeded at 4 × 10⁶ cells/well in 6-well plates and incubated overnight. Cells were pre-treated for 30 minutes with the highest non-cytotoxic concentration of </w:t>
      </w:r>
      <w:r w:rsidR="002051C6" w:rsidRPr="00FC51A4">
        <w:rPr>
          <w:rFonts w:ascii="Times New Roman" w:eastAsia="Times New Roman" w:hAnsi="Times New Roman" w:cs="Times New Roman"/>
          <w:sz w:val="24"/>
          <w:szCs w:val="24"/>
        </w:rPr>
        <w:t>CS</w:t>
      </w:r>
      <w:r w:rsidRPr="00FC51A4">
        <w:rPr>
          <w:rFonts w:ascii="Times New Roman" w:eastAsia="Times New Roman" w:hAnsi="Times New Roman" w:cs="Times New Roman"/>
          <w:sz w:val="24"/>
          <w:szCs w:val="24"/>
        </w:rPr>
        <w:t xml:space="preserve"> extracts (20 </w:t>
      </w:r>
      <w:proofErr w:type="gramStart"/>
      <w:r w:rsidRPr="00FC51A4">
        <w:rPr>
          <w:rFonts w:ascii="Times New Roman" w:eastAsia="Times New Roman" w:hAnsi="Times New Roman" w:cs="Times New Roman"/>
          <w:sz w:val="24"/>
          <w:szCs w:val="24"/>
        </w:rPr>
        <w:t>µg</w:t>
      </w:r>
      <w:proofErr w:type="gramEnd"/>
      <w:r w:rsidRPr="00FC51A4">
        <w:rPr>
          <w:rFonts w:ascii="Times New Roman" w:eastAsia="Times New Roman" w:hAnsi="Times New Roman" w:cs="Times New Roman"/>
          <w:sz w:val="24"/>
          <w:szCs w:val="24"/>
        </w:rPr>
        <w:t xml:space="preserve">/mL for CS1, 60 </w:t>
      </w:r>
      <w:proofErr w:type="gramStart"/>
      <w:r w:rsidRPr="00FC51A4">
        <w:rPr>
          <w:rFonts w:ascii="Times New Roman" w:eastAsia="Times New Roman" w:hAnsi="Times New Roman" w:cs="Times New Roman"/>
          <w:sz w:val="24"/>
          <w:szCs w:val="24"/>
        </w:rPr>
        <w:t>µg</w:t>
      </w:r>
      <w:proofErr w:type="gramEnd"/>
      <w:r w:rsidRPr="00FC51A4">
        <w:rPr>
          <w:rFonts w:ascii="Times New Roman" w:eastAsia="Times New Roman" w:hAnsi="Times New Roman" w:cs="Times New Roman"/>
          <w:sz w:val="24"/>
          <w:szCs w:val="24"/>
        </w:rPr>
        <w:t xml:space="preserve">/mL for CS2, 40 </w:t>
      </w:r>
      <w:proofErr w:type="gramStart"/>
      <w:r w:rsidRPr="00FC51A4">
        <w:rPr>
          <w:rFonts w:ascii="Times New Roman" w:eastAsia="Times New Roman" w:hAnsi="Times New Roman" w:cs="Times New Roman"/>
          <w:sz w:val="24"/>
          <w:szCs w:val="24"/>
        </w:rPr>
        <w:t>µg</w:t>
      </w:r>
      <w:proofErr w:type="gramEnd"/>
      <w:r w:rsidRPr="00FC51A4">
        <w:rPr>
          <w:rFonts w:ascii="Times New Roman" w:eastAsia="Times New Roman" w:hAnsi="Times New Roman" w:cs="Times New Roman"/>
          <w:sz w:val="24"/>
          <w:szCs w:val="24"/>
        </w:rPr>
        <w:t xml:space="preserve">/ml for CS3 and 100 </w:t>
      </w:r>
      <w:proofErr w:type="gramStart"/>
      <w:r w:rsidRPr="00FC51A4">
        <w:rPr>
          <w:rFonts w:ascii="Times New Roman" w:eastAsia="Times New Roman" w:hAnsi="Times New Roman" w:cs="Times New Roman"/>
          <w:sz w:val="24"/>
          <w:szCs w:val="24"/>
        </w:rPr>
        <w:t>µg</w:t>
      </w:r>
      <w:proofErr w:type="gramEnd"/>
      <w:r w:rsidRPr="00FC51A4">
        <w:rPr>
          <w:rFonts w:ascii="Times New Roman" w:eastAsia="Times New Roman" w:hAnsi="Times New Roman" w:cs="Times New Roman"/>
          <w:sz w:val="24"/>
          <w:szCs w:val="24"/>
        </w:rPr>
        <w:t xml:space="preserve">/mL for CS4) or vehicle (0,5% v/v). After pre-treatment, cells were stimulated with 100 ng/mL LPS (Salmonella abortus </w:t>
      </w:r>
      <w:proofErr w:type="spellStart"/>
      <w:r w:rsidRPr="00FC51A4">
        <w:rPr>
          <w:rFonts w:ascii="Times New Roman" w:eastAsia="Times New Roman" w:hAnsi="Times New Roman" w:cs="Times New Roman"/>
          <w:sz w:val="24"/>
          <w:szCs w:val="24"/>
        </w:rPr>
        <w:t>equi</w:t>
      </w:r>
      <w:proofErr w:type="spellEnd"/>
      <w:r w:rsidRPr="00FC51A4">
        <w:rPr>
          <w:rFonts w:ascii="Times New Roman" w:eastAsia="Times New Roman" w:hAnsi="Times New Roman" w:cs="Times New Roman"/>
          <w:sz w:val="24"/>
          <w:szCs w:val="24"/>
        </w:rPr>
        <w:t xml:space="preserve"> S-form; Enzo Life Sciences) for 4 h. Untreated cells were used as control. Cells were lysed with </w:t>
      </w:r>
      <w:proofErr w:type="spellStart"/>
      <w:r w:rsidRPr="00FC51A4">
        <w:rPr>
          <w:rFonts w:ascii="Times New Roman" w:eastAsia="Times New Roman" w:hAnsi="Times New Roman" w:cs="Times New Roman"/>
          <w:sz w:val="24"/>
          <w:szCs w:val="24"/>
        </w:rPr>
        <w:t>PUREzol</w:t>
      </w:r>
      <w:proofErr w:type="spellEnd"/>
      <w:r w:rsidRPr="00FC51A4">
        <w:rPr>
          <w:rFonts w:ascii="Times New Roman" w:eastAsia="Times New Roman" w:hAnsi="Times New Roman" w:cs="Times New Roman"/>
          <w:sz w:val="24"/>
          <w:szCs w:val="24"/>
        </w:rPr>
        <w:t xml:space="preserve"> reagent (Bio-Rad) for downstream RNA extraction and gene expression analysis.</w:t>
      </w:r>
    </w:p>
    <w:p w14:paraId="527D826E" w14:textId="77777777" w:rsidR="005C2151" w:rsidRPr="00FC51A4" w:rsidRDefault="00000000">
      <w:pPr>
        <w:spacing w:before="120" w:after="280" w:line="480" w:lineRule="auto"/>
        <w:jc w:val="both"/>
        <w:rPr>
          <w:rFonts w:ascii="Times New Roman" w:eastAsia="Times New Roman" w:hAnsi="Times New Roman" w:cs="Times New Roman"/>
          <w:b/>
          <w:sz w:val="24"/>
          <w:szCs w:val="24"/>
        </w:rPr>
      </w:pPr>
      <w:r w:rsidRPr="00FC51A4">
        <w:rPr>
          <w:rFonts w:ascii="Times New Roman" w:eastAsia="Times New Roman" w:hAnsi="Times New Roman" w:cs="Times New Roman"/>
          <w:b/>
          <w:sz w:val="24"/>
          <w:szCs w:val="24"/>
        </w:rPr>
        <w:t>1.14 Gene expression analysis</w:t>
      </w:r>
    </w:p>
    <w:p w14:paraId="3401A049" w14:textId="43F34B76"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Cardo" w:hAnsi="Times New Roman" w:cs="Times New Roman"/>
          <w:sz w:val="24"/>
          <w:szCs w:val="24"/>
        </w:rPr>
        <w:t xml:space="preserve">Total RNA was isolated using </w:t>
      </w:r>
      <w:proofErr w:type="spellStart"/>
      <w:r w:rsidRPr="00FC51A4">
        <w:rPr>
          <w:rFonts w:ascii="Times New Roman" w:eastAsia="Cardo" w:hAnsi="Times New Roman" w:cs="Times New Roman"/>
          <w:sz w:val="24"/>
          <w:szCs w:val="24"/>
        </w:rPr>
        <w:t>PUREzol</w:t>
      </w:r>
      <w:proofErr w:type="spellEnd"/>
      <w:r w:rsidRPr="00FC51A4">
        <w:rPr>
          <w:rFonts w:ascii="Times New Roman" w:eastAsia="Cardo" w:hAnsi="Times New Roman" w:cs="Times New Roman"/>
          <w:sz w:val="24"/>
          <w:szCs w:val="24"/>
        </w:rPr>
        <w:t xml:space="preserve"> reagent (Bio-Rad) following the manufacturer’s protocol. Briefly, cells were homogenized in </w:t>
      </w:r>
      <w:proofErr w:type="spellStart"/>
      <w:r w:rsidRPr="00FC51A4">
        <w:rPr>
          <w:rFonts w:ascii="Times New Roman" w:eastAsia="Cardo" w:hAnsi="Times New Roman" w:cs="Times New Roman"/>
          <w:sz w:val="24"/>
          <w:szCs w:val="24"/>
        </w:rPr>
        <w:t>PUREzol</w:t>
      </w:r>
      <w:proofErr w:type="spellEnd"/>
      <w:r w:rsidRPr="00FC51A4">
        <w:rPr>
          <w:rFonts w:ascii="Times New Roman" w:eastAsia="Cardo" w:hAnsi="Times New Roman" w:cs="Times New Roman"/>
          <w:sz w:val="24"/>
          <w:szCs w:val="24"/>
        </w:rPr>
        <w:t xml:space="preserve">, and RNA was phase-separated with chloroform, precipitated with isopropanol, and washed twice with 75% ethanol. The RNA pellet was air-dried and resuspended in RNase-free water. RNA concentration and purity was assessed using a Nanodrop spectrophotometer (Thermo Fisher Scientific). Only samples with </w:t>
      </w:r>
      <w:proofErr w:type="gramStart"/>
      <w:r w:rsidRPr="00FC51A4">
        <w:rPr>
          <w:rFonts w:ascii="Times New Roman" w:eastAsia="Cardo" w:hAnsi="Times New Roman" w:cs="Times New Roman"/>
          <w:sz w:val="24"/>
          <w:szCs w:val="24"/>
        </w:rPr>
        <w:t>a 260</w:t>
      </w:r>
      <w:proofErr w:type="gramEnd"/>
      <w:r w:rsidRPr="00FC51A4">
        <w:rPr>
          <w:rFonts w:ascii="Times New Roman" w:eastAsia="Cardo" w:hAnsi="Times New Roman" w:cs="Times New Roman"/>
          <w:sz w:val="24"/>
          <w:szCs w:val="24"/>
        </w:rPr>
        <w:t xml:space="preserve">/280 and </w:t>
      </w:r>
      <w:proofErr w:type="gramStart"/>
      <w:r w:rsidRPr="00FC51A4">
        <w:rPr>
          <w:rFonts w:ascii="Times New Roman" w:eastAsia="Cardo" w:hAnsi="Times New Roman" w:cs="Times New Roman"/>
          <w:sz w:val="24"/>
          <w:szCs w:val="24"/>
        </w:rPr>
        <w:t>a 260</w:t>
      </w:r>
      <w:proofErr w:type="gramEnd"/>
      <w:r w:rsidRPr="00FC51A4">
        <w:rPr>
          <w:rFonts w:ascii="Times New Roman" w:eastAsia="Cardo" w:hAnsi="Times New Roman" w:cs="Times New Roman"/>
          <w:sz w:val="24"/>
          <w:szCs w:val="24"/>
        </w:rPr>
        <w:t xml:space="preserve">/230 OD ratios &gt; 1.5 were processed further. 2 </w:t>
      </w:r>
      <w:proofErr w:type="spellStart"/>
      <w:r w:rsidRPr="00FC51A4">
        <w:rPr>
          <w:rFonts w:ascii="Times New Roman" w:eastAsia="Cardo" w:hAnsi="Times New Roman" w:cs="Times New Roman"/>
          <w:sz w:val="24"/>
          <w:szCs w:val="24"/>
        </w:rPr>
        <w:t>μg</w:t>
      </w:r>
      <w:proofErr w:type="spellEnd"/>
      <w:r w:rsidRPr="00FC51A4">
        <w:rPr>
          <w:rFonts w:ascii="Times New Roman" w:eastAsia="Cardo" w:hAnsi="Times New Roman" w:cs="Times New Roman"/>
          <w:sz w:val="24"/>
          <w:szCs w:val="24"/>
        </w:rPr>
        <w:t xml:space="preserve"> of total RNA was reverse-transcribed using the High-Capacity cDNA Reverse Transcription Kit (Thermo Fisher Scientific) according to the manufacturer’s instructions. Quantitative PCR (qPCR) was performed in triplicate using </w:t>
      </w:r>
      <w:proofErr w:type="spellStart"/>
      <w:r w:rsidRPr="00FC51A4">
        <w:rPr>
          <w:rFonts w:ascii="Times New Roman" w:eastAsia="Cardo" w:hAnsi="Times New Roman" w:cs="Times New Roman"/>
          <w:sz w:val="24"/>
          <w:szCs w:val="24"/>
        </w:rPr>
        <w:t>SsoAdvanced</w:t>
      </w:r>
      <w:proofErr w:type="spellEnd"/>
      <w:r w:rsidRPr="00FC51A4">
        <w:rPr>
          <w:rFonts w:ascii="Times New Roman" w:eastAsia="Cardo" w:hAnsi="Times New Roman" w:cs="Times New Roman"/>
          <w:sz w:val="24"/>
          <w:szCs w:val="24"/>
        </w:rPr>
        <w:t xml:space="preserve"> Universal SYBR Green </w:t>
      </w:r>
      <w:proofErr w:type="spellStart"/>
      <w:r w:rsidRPr="00FC51A4">
        <w:rPr>
          <w:rFonts w:ascii="Times New Roman" w:eastAsia="Cardo" w:hAnsi="Times New Roman" w:cs="Times New Roman"/>
          <w:sz w:val="24"/>
          <w:szCs w:val="24"/>
        </w:rPr>
        <w:t>Supermix</w:t>
      </w:r>
      <w:proofErr w:type="spellEnd"/>
      <w:r w:rsidRPr="00FC51A4">
        <w:rPr>
          <w:rFonts w:ascii="Times New Roman" w:eastAsia="Cardo" w:hAnsi="Times New Roman" w:cs="Times New Roman"/>
          <w:sz w:val="24"/>
          <w:szCs w:val="24"/>
        </w:rPr>
        <w:t xml:space="preserve"> (Bio-Rad) on a CFX96 thermocycler (Bio-Rad). Gene-specific primers (Table S1) were used for amplification. Inflammatory gene expression levels were normalized to GAPDH as the housekeeping gene and calculated using the 2^(−</w:t>
      </w:r>
      <w:proofErr w:type="spellStart"/>
      <w:r w:rsidRPr="00FC51A4">
        <w:rPr>
          <w:rFonts w:ascii="Times New Roman" w:eastAsia="Cardo" w:hAnsi="Times New Roman" w:cs="Times New Roman"/>
          <w:sz w:val="24"/>
          <w:szCs w:val="24"/>
        </w:rPr>
        <w:t>ΔΔCt</w:t>
      </w:r>
      <w:proofErr w:type="spellEnd"/>
      <w:r w:rsidRPr="00FC51A4">
        <w:rPr>
          <w:rFonts w:ascii="Times New Roman" w:eastAsia="Cardo" w:hAnsi="Times New Roman" w:cs="Times New Roman"/>
          <w:sz w:val="24"/>
          <w:szCs w:val="24"/>
        </w:rPr>
        <w:t>) method</w:t>
      </w:r>
      <w:r w:rsidRPr="00FC51A4">
        <w:rPr>
          <w:rFonts w:ascii="Times New Roman" w:eastAsia="Times New Roman" w:hAnsi="Times New Roman" w:cs="Times New Roman"/>
          <w:b/>
          <w:sz w:val="24"/>
          <w:szCs w:val="24"/>
        </w:rPr>
        <w:t>.</w:t>
      </w:r>
      <w:r w:rsidRPr="00FC51A4">
        <w:rPr>
          <w:rFonts w:ascii="Times New Roman" w:eastAsia="Times New Roman" w:hAnsi="Times New Roman" w:cs="Times New Roman"/>
          <w:sz w:val="24"/>
          <w:szCs w:val="24"/>
        </w:rPr>
        <w:t xml:space="preserve"> Results are shown as fold change relative to untreated cells (controls)</w:t>
      </w:r>
      <w:r w:rsidRPr="00FC51A4">
        <w:rPr>
          <w:rFonts w:ascii="Times New Roman" w:eastAsia="Times New Roman" w:hAnsi="Times New Roman" w:cs="Times New Roman"/>
          <w:b/>
          <w:sz w:val="24"/>
          <w:szCs w:val="24"/>
        </w:rPr>
        <w:t>.</w:t>
      </w:r>
      <w:r w:rsidRPr="00FC51A4">
        <w:rPr>
          <w:rFonts w:ascii="Times New Roman" w:eastAsia="Times New Roman" w:hAnsi="Times New Roman" w:cs="Times New Roman"/>
          <w:sz w:val="24"/>
          <w:szCs w:val="24"/>
        </w:rPr>
        <w:t xml:space="preserve"> </w:t>
      </w:r>
    </w:p>
    <w:p w14:paraId="33F5295C" w14:textId="28B4D5F1" w:rsidR="002F1AFD" w:rsidRPr="00FC51A4" w:rsidRDefault="002F1AFD">
      <w:pPr>
        <w:spacing w:before="120" w:after="280" w:line="480" w:lineRule="auto"/>
        <w:jc w:val="both"/>
        <w:rPr>
          <w:rFonts w:ascii="Times New Roman" w:eastAsia="Times New Roman" w:hAnsi="Times New Roman" w:cs="Times New Roman"/>
          <w:b/>
          <w:bCs/>
          <w:sz w:val="24"/>
          <w:szCs w:val="24"/>
        </w:rPr>
      </w:pPr>
      <w:r w:rsidRPr="00FC51A4">
        <w:rPr>
          <w:rFonts w:ascii="Times New Roman" w:eastAsia="Times New Roman" w:hAnsi="Times New Roman" w:cs="Times New Roman"/>
          <w:b/>
          <w:bCs/>
          <w:sz w:val="24"/>
          <w:szCs w:val="24"/>
        </w:rPr>
        <w:lastRenderedPageBreak/>
        <w:t>1.15 Statistical analysis</w:t>
      </w:r>
    </w:p>
    <w:p w14:paraId="6AB7A79C" w14:textId="53C6E8B7" w:rsidR="00CC1ED9" w:rsidRPr="00FC51A4" w:rsidRDefault="00CC1ED9">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All statistical analyses were performed using R software (version 4.3.1; Boston, USA) or GraphPad Prism (version 10.5.0; San Diego, CA, USA). Results are presented as mean ± standard deviation (SD) from three independent experiments. Differences between groups were assessed by analysis of variance (ANOVA), followed by Tukey’s honest significant difference (HSD) test. A p-value of &lt;0.05 was considered statistically significant.</w:t>
      </w:r>
    </w:p>
    <w:p w14:paraId="61AECDC6" w14:textId="26000B21"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Table S1. Primer sequences used for qPCR </w:t>
      </w:r>
    </w:p>
    <w:tbl>
      <w:tblPr>
        <w:tblStyle w:val="a5"/>
        <w:tblW w:w="9095" w:type="dxa"/>
        <w:jc w:val="center"/>
        <w:tblInd w:w="0" w:type="dxa"/>
        <w:tblBorders>
          <w:top w:val="single" w:sz="4" w:space="0" w:color="7F7F7F"/>
          <w:bottom w:val="single" w:sz="4" w:space="0" w:color="7F7F7F"/>
        </w:tblBorders>
        <w:tblLayout w:type="fixed"/>
        <w:tblLook w:val="06A0" w:firstRow="1" w:lastRow="0" w:firstColumn="1" w:lastColumn="0" w:noHBand="1" w:noVBand="1"/>
      </w:tblPr>
      <w:tblGrid>
        <w:gridCol w:w="883"/>
        <w:gridCol w:w="4362"/>
        <w:gridCol w:w="3850"/>
      </w:tblGrid>
      <w:tr w:rsidR="00FC51A4" w:rsidRPr="00FC51A4" w14:paraId="5C26C53F" w14:textId="77777777" w:rsidTr="005C2151">
        <w:trPr>
          <w:cnfStyle w:val="100000000000" w:firstRow="1" w:lastRow="0" w:firstColumn="0" w:lastColumn="0" w:oddVBand="0" w:evenVBand="0" w:oddHBand="0"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883" w:type="dxa"/>
          </w:tcPr>
          <w:p w14:paraId="0A191F37" w14:textId="77777777" w:rsidR="005C2151" w:rsidRPr="00FC51A4" w:rsidRDefault="00000000">
            <w:pPr>
              <w:spacing w:before="120" w:after="28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Gene</w:t>
            </w:r>
          </w:p>
        </w:tc>
        <w:tc>
          <w:tcPr>
            <w:tcW w:w="4362" w:type="dxa"/>
          </w:tcPr>
          <w:p w14:paraId="00CF453F" w14:textId="77777777" w:rsidR="005C2151" w:rsidRPr="00FC51A4" w:rsidRDefault="00000000">
            <w:pPr>
              <w:spacing w:before="120" w:after="28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Forward</w:t>
            </w:r>
          </w:p>
        </w:tc>
        <w:tc>
          <w:tcPr>
            <w:tcW w:w="3850" w:type="dxa"/>
          </w:tcPr>
          <w:p w14:paraId="2AA02135" w14:textId="77777777" w:rsidR="005C2151" w:rsidRPr="00FC51A4" w:rsidRDefault="00000000">
            <w:pPr>
              <w:spacing w:before="120" w:after="28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Reverse</w:t>
            </w:r>
          </w:p>
        </w:tc>
      </w:tr>
      <w:tr w:rsidR="00FC51A4" w:rsidRPr="00FC51A4" w14:paraId="4CBE3C73" w14:textId="77777777" w:rsidTr="005C2151">
        <w:trPr>
          <w:trHeight w:val="283"/>
          <w:jc w:val="center"/>
        </w:trPr>
        <w:tc>
          <w:tcPr>
            <w:cnfStyle w:val="001000000000" w:firstRow="0" w:lastRow="0" w:firstColumn="1" w:lastColumn="0" w:oddVBand="0" w:evenVBand="0" w:oddHBand="0" w:evenHBand="0" w:firstRowFirstColumn="0" w:firstRowLastColumn="0" w:lastRowFirstColumn="0" w:lastRowLastColumn="0"/>
            <w:tcW w:w="883" w:type="dxa"/>
          </w:tcPr>
          <w:p w14:paraId="5669E2CE" w14:textId="77777777" w:rsidR="005C2151" w:rsidRPr="00FC51A4" w:rsidRDefault="00000000">
            <w:pPr>
              <w:spacing w:before="120" w:after="280" w:line="480" w:lineRule="auto"/>
              <w:jc w:val="both"/>
              <w:rPr>
                <w:rFonts w:ascii="Times New Roman" w:eastAsia="Times New Roman" w:hAnsi="Times New Roman" w:cs="Times New Roman"/>
                <w:i/>
                <w:sz w:val="24"/>
                <w:szCs w:val="24"/>
              </w:rPr>
            </w:pPr>
            <w:proofErr w:type="spellStart"/>
            <w:r w:rsidRPr="00FC51A4">
              <w:rPr>
                <w:rFonts w:ascii="Times New Roman" w:eastAsia="Times New Roman" w:hAnsi="Times New Roman" w:cs="Times New Roman"/>
                <w:i/>
                <w:sz w:val="24"/>
                <w:szCs w:val="24"/>
              </w:rPr>
              <w:t>Gapdh</w:t>
            </w:r>
            <w:proofErr w:type="spellEnd"/>
          </w:p>
        </w:tc>
        <w:tc>
          <w:tcPr>
            <w:tcW w:w="4362" w:type="dxa"/>
          </w:tcPr>
          <w:p w14:paraId="372EE3FC"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TTCAACGGCACAGTCAAG</w:t>
            </w:r>
          </w:p>
        </w:tc>
        <w:tc>
          <w:tcPr>
            <w:tcW w:w="3850" w:type="dxa"/>
            <w:vAlign w:val="center"/>
          </w:tcPr>
          <w:p w14:paraId="1CED0AA6"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CCAGTAGACTCCACGACATA</w:t>
            </w:r>
          </w:p>
        </w:tc>
      </w:tr>
      <w:tr w:rsidR="00FC51A4" w:rsidRPr="00FC51A4" w14:paraId="7A2C8ED1" w14:textId="77777777" w:rsidTr="005C2151">
        <w:trPr>
          <w:trHeight w:val="283"/>
          <w:jc w:val="center"/>
        </w:trPr>
        <w:tc>
          <w:tcPr>
            <w:cnfStyle w:val="001000000000" w:firstRow="0" w:lastRow="0" w:firstColumn="1" w:lastColumn="0" w:oddVBand="0" w:evenVBand="0" w:oddHBand="0" w:evenHBand="0" w:firstRowFirstColumn="0" w:firstRowLastColumn="0" w:lastRowFirstColumn="0" w:lastRowLastColumn="0"/>
            <w:tcW w:w="883" w:type="dxa"/>
          </w:tcPr>
          <w:p w14:paraId="3921DFD2" w14:textId="77777777" w:rsidR="005C2151" w:rsidRPr="00FC51A4" w:rsidRDefault="00000000">
            <w:pPr>
              <w:spacing w:before="120" w:after="280" w:line="480" w:lineRule="auto"/>
              <w:jc w:val="both"/>
              <w:rPr>
                <w:rFonts w:ascii="Times New Roman" w:eastAsia="Times New Roman" w:hAnsi="Times New Roman" w:cs="Times New Roman"/>
                <w:i/>
                <w:sz w:val="24"/>
                <w:szCs w:val="24"/>
              </w:rPr>
            </w:pPr>
            <w:r w:rsidRPr="00FC51A4">
              <w:rPr>
                <w:rFonts w:ascii="Times New Roman" w:eastAsia="Times New Roman" w:hAnsi="Times New Roman" w:cs="Times New Roman"/>
                <w:i/>
                <w:sz w:val="24"/>
                <w:szCs w:val="24"/>
              </w:rPr>
              <w:t>Il1b</w:t>
            </w:r>
          </w:p>
        </w:tc>
        <w:tc>
          <w:tcPr>
            <w:tcW w:w="4362" w:type="dxa"/>
          </w:tcPr>
          <w:p w14:paraId="63943F2C"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AAGTTGACGGACCCCAAAAGAT</w:t>
            </w:r>
          </w:p>
        </w:tc>
        <w:tc>
          <w:tcPr>
            <w:tcW w:w="3850" w:type="dxa"/>
            <w:vAlign w:val="center"/>
          </w:tcPr>
          <w:p w14:paraId="49486A8D"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TGTTGATGTGCTGCTGCGA</w:t>
            </w:r>
          </w:p>
        </w:tc>
      </w:tr>
      <w:tr w:rsidR="00FC51A4" w:rsidRPr="00FC51A4" w14:paraId="0025A51B" w14:textId="77777777" w:rsidTr="005C2151">
        <w:trPr>
          <w:trHeight w:val="283"/>
          <w:jc w:val="center"/>
        </w:trPr>
        <w:tc>
          <w:tcPr>
            <w:cnfStyle w:val="001000000000" w:firstRow="0" w:lastRow="0" w:firstColumn="1" w:lastColumn="0" w:oddVBand="0" w:evenVBand="0" w:oddHBand="0" w:evenHBand="0" w:firstRowFirstColumn="0" w:firstRowLastColumn="0" w:lastRowFirstColumn="0" w:lastRowLastColumn="0"/>
            <w:tcW w:w="883" w:type="dxa"/>
          </w:tcPr>
          <w:p w14:paraId="1A6FE1D6" w14:textId="77777777" w:rsidR="005C2151" w:rsidRPr="00FC51A4" w:rsidRDefault="00000000">
            <w:pPr>
              <w:spacing w:before="120" w:after="280" w:line="480" w:lineRule="auto"/>
              <w:jc w:val="both"/>
              <w:rPr>
                <w:rFonts w:ascii="Times New Roman" w:eastAsia="Times New Roman" w:hAnsi="Times New Roman" w:cs="Times New Roman"/>
                <w:i/>
                <w:sz w:val="24"/>
                <w:szCs w:val="24"/>
              </w:rPr>
            </w:pPr>
            <w:r w:rsidRPr="00FC51A4">
              <w:rPr>
                <w:rFonts w:ascii="Times New Roman" w:eastAsia="Times New Roman" w:hAnsi="Times New Roman" w:cs="Times New Roman"/>
                <w:i/>
                <w:sz w:val="24"/>
                <w:szCs w:val="24"/>
              </w:rPr>
              <w:t>Il6</w:t>
            </w:r>
          </w:p>
        </w:tc>
        <w:tc>
          <w:tcPr>
            <w:tcW w:w="4362" w:type="dxa"/>
          </w:tcPr>
          <w:p w14:paraId="51379699"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GGATACCACTCCCAACAGACCT</w:t>
            </w:r>
          </w:p>
        </w:tc>
        <w:tc>
          <w:tcPr>
            <w:tcW w:w="3850" w:type="dxa"/>
            <w:vAlign w:val="center"/>
          </w:tcPr>
          <w:p w14:paraId="5C994CD6"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GCCATTGCACAACTCTTTTCTC</w:t>
            </w:r>
          </w:p>
        </w:tc>
      </w:tr>
      <w:tr w:rsidR="00FC51A4" w:rsidRPr="00FC51A4" w14:paraId="6E8AC6D1" w14:textId="77777777" w:rsidTr="005C2151">
        <w:trPr>
          <w:trHeight w:val="283"/>
          <w:jc w:val="center"/>
        </w:trPr>
        <w:tc>
          <w:tcPr>
            <w:cnfStyle w:val="001000000000" w:firstRow="0" w:lastRow="0" w:firstColumn="1" w:lastColumn="0" w:oddVBand="0" w:evenVBand="0" w:oddHBand="0" w:evenHBand="0" w:firstRowFirstColumn="0" w:firstRowLastColumn="0" w:lastRowFirstColumn="0" w:lastRowLastColumn="0"/>
            <w:tcW w:w="883" w:type="dxa"/>
          </w:tcPr>
          <w:p w14:paraId="3F3BBDD9" w14:textId="77777777" w:rsidR="005C2151" w:rsidRPr="00FC51A4" w:rsidRDefault="00000000">
            <w:pPr>
              <w:spacing w:before="120" w:after="280" w:line="480" w:lineRule="auto"/>
              <w:jc w:val="both"/>
              <w:rPr>
                <w:rFonts w:ascii="Times New Roman" w:eastAsia="Times New Roman" w:hAnsi="Times New Roman" w:cs="Times New Roman"/>
                <w:i/>
                <w:sz w:val="24"/>
                <w:szCs w:val="24"/>
              </w:rPr>
            </w:pPr>
            <w:r w:rsidRPr="00FC51A4">
              <w:rPr>
                <w:rFonts w:ascii="Times New Roman" w:eastAsia="Times New Roman" w:hAnsi="Times New Roman" w:cs="Times New Roman"/>
                <w:i/>
                <w:sz w:val="24"/>
                <w:szCs w:val="24"/>
              </w:rPr>
              <w:t>Cox2</w:t>
            </w:r>
          </w:p>
          <w:p w14:paraId="71EEFAC8" w14:textId="77777777" w:rsidR="005C2151" w:rsidRPr="00FC51A4" w:rsidRDefault="00000000">
            <w:pPr>
              <w:spacing w:before="120" w:after="280" w:line="480" w:lineRule="auto"/>
              <w:jc w:val="both"/>
              <w:rPr>
                <w:rFonts w:ascii="Times New Roman" w:eastAsia="Times New Roman" w:hAnsi="Times New Roman" w:cs="Times New Roman"/>
                <w:i/>
                <w:sz w:val="24"/>
                <w:szCs w:val="24"/>
              </w:rPr>
            </w:pPr>
            <w:r w:rsidRPr="00FC51A4">
              <w:rPr>
                <w:rFonts w:ascii="Times New Roman" w:eastAsia="Times New Roman" w:hAnsi="Times New Roman" w:cs="Times New Roman"/>
                <w:i/>
                <w:sz w:val="24"/>
                <w:szCs w:val="24"/>
              </w:rPr>
              <w:t>Il10</w:t>
            </w:r>
          </w:p>
          <w:p w14:paraId="7817C7C9" w14:textId="77777777" w:rsidR="005C2151" w:rsidRPr="00FC51A4" w:rsidRDefault="00000000">
            <w:pPr>
              <w:spacing w:before="120" w:after="280" w:line="480" w:lineRule="auto"/>
              <w:jc w:val="both"/>
              <w:rPr>
                <w:rFonts w:ascii="Times New Roman" w:eastAsia="Times New Roman" w:hAnsi="Times New Roman" w:cs="Times New Roman"/>
                <w:i/>
                <w:sz w:val="24"/>
                <w:szCs w:val="24"/>
              </w:rPr>
            </w:pPr>
            <w:r w:rsidRPr="00FC51A4">
              <w:rPr>
                <w:rFonts w:ascii="Times New Roman" w:eastAsia="Times New Roman" w:hAnsi="Times New Roman" w:cs="Times New Roman"/>
                <w:i/>
                <w:sz w:val="24"/>
                <w:szCs w:val="24"/>
              </w:rPr>
              <w:t>Il1ra</w:t>
            </w:r>
          </w:p>
        </w:tc>
        <w:tc>
          <w:tcPr>
            <w:tcW w:w="4362" w:type="dxa"/>
          </w:tcPr>
          <w:p w14:paraId="4358510C"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AATGAGTACCGCAAACGCTTC</w:t>
            </w:r>
          </w:p>
          <w:p w14:paraId="2E2A09E9"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GCAGGACTTTAAGGGTTACTTGG</w:t>
            </w:r>
          </w:p>
          <w:p w14:paraId="1DCAED3D"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TGGCCTAATCCCCATGATGA</w:t>
            </w:r>
          </w:p>
        </w:tc>
        <w:tc>
          <w:tcPr>
            <w:tcW w:w="3850" w:type="dxa"/>
            <w:vAlign w:val="center"/>
          </w:tcPr>
          <w:p w14:paraId="0CFBFC7A"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CAGCCATTTCCTTCTCTCCTGTA</w:t>
            </w:r>
          </w:p>
          <w:p w14:paraId="3A119A74"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GGGGCATCACTTCTACCAGG </w:t>
            </w:r>
          </w:p>
          <w:p w14:paraId="505F2E94" w14:textId="77777777" w:rsidR="005C2151" w:rsidRPr="00FC51A4"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AGACTTCACCCAGATGGCAGAG </w:t>
            </w:r>
          </w:p>
        </w:tc>
      </w:tr>
    </w:tbl>
    <w:p w14:paraId="5CFA4512" w14:textId="77777777" w:rsidR="005C2151" w:rsidRPr="00FC51A4" w:rsidRDefault="005C2151">
      <w:pPr>
        <w:spacing w:line="480" w:lineRule="auto"/>
        <w:rPr>
          <w:rFonts w:ascii="Times New Roman" w:eastAsia="Times New Roman" w:hAnsi="Times New Roman" w:cs="Times New Roman"/>
          <w:sz w:val="24"/>
          <w:szCs w:val="24"/>
        </w:rPr>
      </w:pPr>
    </w:p>
    <w:p w14:paraId="0AA48441" w14:textId="77777777" w:rsidR="00F245B3" w:rsidRPr="00FC51A4" w:rsidRDefault="00F245B3">
      <w:pPr>
        <w:spacing w:line="480" w:lineRule="auto"/>
        <w:rPr>
          <w:rFonts w:ascii="Times New Roman" w:eastAsia="Times New Roman" w:hAnsi="Times New Roman" w:cs="Times New Roman"/>
          <w:sz w:val="24"/>
          <w:szCs w:val="24"/>
        </w:rPr>
      </w:pPr>
    </w:p>
    <w:p w14:paraId="151863F6" w14:textId="77777777" w:rsidR="00F245B3" w:rsidRPr="00FC51A4" w:rsidRDefault="00F245B3">
      <w:pPr>
        <w:spacing w:line="480" w:lineRule="auto"/>
        <w:rPr>
          <w:rFonts w:ascii="Times New Roman" w:eastAsia="Times New Roman" w:hAnsi="Times New Roman" w:cs="Times New Roman"/>
          <w:sz w:val="24"/>
          <w:szCs w:val="24"/>
        </w:rPr>
      </w:pPr>
    </w:p>
    <w:p w14:paraId="44B187D1" w14:textId="77777777" w:rsidR="00F245B3" w:rsidRPr="00FC51A4" w:rsidRDefault="00F245B3">
      <w:pPr>
        <w:spacing w:line="480" w:lineRule="auto"/>
        <w:rPr>
          <w:rFonts w:ascii="Times New Roman" w:eastAsia="Times New Roman" w:hAnsi="Times New Roman" w:cs="Times New Roman"/>
          <w:sz w:val="24"/>
          <w:szCs w:val="24"/>
        </w:rPr>
      </w:pPr>
    </w:p>
    <w:p w14:paraId="73D7AA53" w14:textId="5FB29233" w:rsidR="005C2151" w:rsidRPr="00FC51A4" w:rsidRDefault="00000000">
      <w:pPr>
        <w:spacing w:before="120" w:after="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lastRenderedPageBreak/>
        <w:t>Table S2. Cannabinoids content expressed as mg/</w:t>
      </w:r>
      <w:r w:rsidR="007F5C9B" w:rsidRPr="00FC51A4">
        <w:rPr>
          <w:rFonts w:ascii="Times New Roman" w:eastAsia="Times New Roman" w:hAnsi="Times New Roman" w:cs="Times New Roman"/>
          <w:sz w:val="24"/>
          <w:szCs w:val="24"/>
        </w:rPr>
        <w:t>k</w:t>
      </w:r>
      <w:r w:rsidRPr="00FC51A4">
        <w:rPr>
          <w:rFonts w:ascii="Times New Roman" w:eastAsia="Times New Roman" w:hAnsi="Times New Roman" w:cs="Times New Roman"/>
          <w:sz w:val="24"/>
          <w:szCs w:val="24"/>
        </w:rPr>
        <w:t>g of</w:t>
      </w:r>
      <w:r w:rsidR="007F5C9B" w:rsidRPr="00FC51A4">
        <w:rPr>
          <w:rFonts w:ascii="Times New Roman" w:eastAsia="Times New Roman" w:hAnsi="Times New Roman" w:cs="Times New Roman"/>
          <w:sz w:val="24"/>
          <w:szCs w:val="24"/>
        </w:rPr>
        <w:t xml:space="preserve"> crude</w:t>
      </w:r>
      <w:r w:rsidRPr="00FC51A4">
        <w:rPr>
          <w:rFonts w:ascii="Times New Roman" w:eastAsia="Times New Roman" w:hAnsi="Times New Roman" w:cs="Times New Roman"/>
          <w:sz w:val="24"/>
          <w:szCs w:val="24"/>
        </w:rPr>
        <w:t xml:space="preserve"> extracts. </w:t>
      </w:r>
    </w:p>
    <w:tbl>
      <w:tblPr>
        <w:tblStyle w:val="a6"/>
        <w:tblW w:w="9640" w:type="dxa"/>
        <w:jc w:val="center"/>
        <w:tblInd w:w="0" w:type="dxa"/>
        <w:tblBorders>
          <w:top w:val="single" w:sz="4" w:space="0" w:color="7F7F7F"/>
          <w:bottom w:val="single" w:sz="4" w:space="0" w:color="7F7F7F"/>
        </w:tblBorders>
        <w:tblLayout w:type="fixed"/>
        <w:tblLook w:val="06A0" w:firstRow="1" w:lastRow="0" w:firstColumn="1" w:lastColumn="0" w:noHBand="1" w:noVBand="1"/>
      </w:tblPr>
      <w:tblGrid>
        <w:gridCol w:w="2224"/>
        <w:gridCol w:w="1467"/>
        <w:gridCol w:w="2268"/>
        <w:gridCol w:w="2389"/>
        <w:gridCol w:w="876"/>
        <w:gridCol w:w="416"/>
      </w:tblGrid>
      <w:tr w:rsidR="00FC51A4" w:rsidRPr="00FC51A4" w14:paraId="550093D7" w14:textId="77777777" w:rsidTr="005C2151">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33AE2AF0"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Compound (mg/kg)</w:t>
            </w:r>
          </w:p>
        </w:tc>
        <w:tc>
          <w:tcPr>
            <w:tcW w:w="1467" w:type="dxa"/>
            <w:vAlign w:val="center"/>
          </w:tcPr>
          <w:p w14:paraId="3BB20B89" w14:textId="77777777" w:rsidR="005C2151" w:rsidRPr="00FC51A4"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CS1</w:t>
            </w:r>
          </w:p>
        </w:tc>
        <w:tc>
          <w:tcPr>
            <w:tcW w:w="2268" w:type="dxa"/>
            <w:vAlign w:val="center"/>
          </w:tcPr>
          <w:p w14:paraId="38715226" w14:textId="77777777" w:rsidR="005C2151" w:rsidRPr="00FC51A4"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CS2</w:t>
            </w:r>
          </w:p>
        </w:tc>
        <w:tc>
          <w:tcPr>
            <w:tcW w:w="2389" w:type="dxa"/>
            <w:vAlign w:val="center"/>
          </w:tcPr>
          <w:p w14:paraId="6E694B4D" w14:textId="77777777" w:rsidR="005C2151" w:rsidRPr="00FC51A4"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CS3</w:t>
            </w:r>
          </w:p>
        </w:tc>
        <w:tc>
          <w:tcPr>
            <w:tcW w:w="876" w:type="dxa"/>
            <w:vAlign w:val="center"/>
          </w:tcPr>
          <w:p w14:paraId="587ABE76" w14:textId="77777777" w:rsidR="005C2151" w:rsidRPr="00FC51A4"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CS4</w:t>
            </w:r>
          </w:p>
        </w:tc>
        <w:tc>
          <w:tcPr>
            <w:tcW w:w="416" w:type="dxa"/>
          </w:tcPr>
          <w:p w14:paraId="77E98783" w14:textId="77777777" w:rsidR="005C2151" w:rsidRPr="00FC51A4" w:rsidRDefault="005C2151">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43969020"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123484A3"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CBGO</w:t>
            </w:r>
          </w:p>
        </w:tc>
        <w:tc>
          <w:tcPr>
            <w:tcW w:w="1467" w:type="dxa"/>
            <w:vAlign w:val="center"/>
          </w:tcPr>
          <w:p w14:paraId="03D1196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5.45 ± 0.65</w:t>
            </w:r>
          </w:p>
        </w:tc>
        <w:tc>
          <w:tcPr>
            <w:tcW w:w="2268" w:type="dxa"/>
            <w:vAlign w:val="center"/>
          </w:tcPr>
          <w:p w14:paraId="07C8B3D4"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5.78 ± 0.52</w:t>
            </w:r>
          </w:p>
        </w:tc>
        <w:tc>
          <w:tcPr>
            <w:tcW w:w="2389" w:type="dxa"/>
            <w:vAlign w:val="center"/>
          </w:tcPr>
          <w:p w14:paraId="39A787F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876" w:type="dxa"/>
            <w:vAlign w:val="center"/>
          </w:tcPr>
          <w:p w14:paraId="6B17A7D4"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058E6A74"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1D79014F"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0223E702"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CBGOA</w:t>
            </w:r>
          </w:p>
        </w:tc>
        <w:tc>
          <w:tcPr>
            <w:tcW w:w="1467" w:type="dxa"/>
            <w:vAlign w:val="center"/>
          </w:tcPr>
          <w:p w14:paraId="3661E0D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4.94 ± 0.27</w:t>
            </w:r>
          </w:p>
        </w:tc>
        <w:tc>
          <w:tcPr>
            <w:tcW w:w="2268" w:type="dxa"/>
            <w:vAlign w:val="center"/>
          </w:tcPr>
          <w:p w14:paraId="63FC4D69"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13.59 ± 0.05</w:t>
            </w:r>
          </w:p>
        </w:tc>
        <w:tc>
          <w:tcPr>
            <w:tcW w:w="2389" w:type="dxa"/>
            <w:vAlign w:val="center"/>
          </w:tcPr>
          <w:p w14:paraId="61329EC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5.22 ± 0.15</w:t>
            </w:r>
          </w:p>
        </w:tc>
        <w:tc>
          <w:tcPr>
            <w:tcW w:w="876" w:type="dxa"/>
            <w:vAlign w:val="center"/>
          </w:tcPr>
          <w:p w14:paraId="6E02AFE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782423A9"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0C2040A6"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633F15D"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CBDVA</w:t>
            </w:r>
          </w:p>
        </w:tc>
        <w:tc>
          <w:tcPr>
            <w:tcW w:w="1467" w:type="dxa"/>
            <w:vAlign w:val="center"/>
          </w:tcPr>
          <w:p w14:paraId="51BF696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430.16 ± 11.05</w:t>
            </w:r>
          </w:p>
        </w:tc>
        <w:tc>
          <w:tcPr>
            <w:tcW w:w="2268" w:type="dxa"/>
            <w:vAlign w:val="center"/>
          </w:tcPr>
          <w:p w14:paraId="373C8956"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21.61 ± 0.84</w:t>
            </w:r>
          </w:p>
        </w:tc>
        <w:tc>
          <w:tcPr>
            <w:tcW w:w="2389" w:type="dxa"/>
            <w:vAlign w:val="center"/>
          </w:tcPr>
          <w:p w14:paraId="286D830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30.56 ± 4.51</w:t>
            </w:r>
          </w:p>
        </w:tc>
        <w:tc>
          <w:tcPr>
            <w:tcW w:w="876" w:type="dxa"/>
            <w:vAlign w:val="center"/>
          </w:tcPr>
          <w:p w14:paraId="0C498F9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7.72 ± 0.29</w:t>
            </w:r>
          </w:p>
        </w:tc>
        <w:tc>
          <w:tcPr>
            <w:tcW w:w="416" w:type="dxa"/>
          </w:tcPr>
          <w:p w14:paraId="7D1790F0"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1C2FD9B0"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C5CE4B7"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CBND</w:t>
            </w:r>
          </w:p>
        </w:tc>
        <w:tc>
          <w:tcPr>
            <w:tcW w:w="1467" w:type="dxa"/>
            <w:vAlign w:val="center"/>
          </w:tcPr>
          <w:p w14:paraId="22BF141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570.42 ± 35.63</w:t>
            </w:r>
          </w:p>
        </w:tc>
        <w:tc>
          <w:tcPr>
            <w:tcW w:w="2268" w:type="dxa"/>
            <w:vAlign w:val="center"/>
          </w:tcPr>
          <w:p w14:paraId="1772F83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389" w:type="dxa"/>
            <w:vAlign w:val="center"/>
          </w:tcPr>
          <w:p w14:paraId="30A86C5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876" w:type="dxa"/>
            <w:vAlign w:val="center"/>
          </w:tcPr>
          <w:p w14:paraId="4850CE5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5F09F604"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716EFC76"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2BEED6E"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CBDV</w:t>
            </w:r>
          </w:p>
        </w:tc>
        <w:tc>
          <w:tcPr>
            <w:tcW w:w="1467" w:type="dxa"/>
            <w:vAlign w:val="center"/>
          </w:tcPr>
          <w:p w14:paraId="21A79384"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3662.9 ± 325.29</w:t>
            </w:r>
          </w:p>
        </w:tc>
        <w:tc>
          <w:tcPr>
            <w:tcW w:w="2268" w:type="dxa"/>
            <w:vAlign w:val="center"/>
          </w:tcPr>
          <w:p w14:paraId="34D300D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17.5 ± 1.98</w:t>
            </w:r>
          </w:p>
        </w:tc>
        <w:tc>
          <w:tcPr>
            <w:tcW w:w="2389" w:type="dxa"/>
            <w:vAlign w:val="center"/>
          </w:tcPr>
          <w:p w14:paraId="1DD4732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10.25 ± 0.17</w:t>
            </w:r>
          </w:p>
        </w:tc>
        <w:tc>
          <w:tcPr>
            <w:tcW w:w="876" w:type="dxa"/>
            <w:vAlign w:val="center"/>
          </w:tcPr>
          <w:p w14:paraId="7A517AD9"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8.3 ± 1.21</w:t>
            </w:r>
          </w:p>
        </w:tc>
        <w:tc>
          <w:tcPr>
            <w:tcW w:w="416" w:type="dxa"/>
          </w:tcPr>
          <w:p w14:paraId="22E2CA13"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4D692DB8"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9D83899"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CBGV</w:t>
            </w:r>
          </w:p>
        </w:tc>
        <w:tc>
          <w:tcPr>
            <w:tcW w:w="1467" w:type="dxa"/>
            <w:vAlign w:val="center"/>
          </w:tcPr>
          <w:p w14:paraId="070017A2"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39.31 ± 3.27</w:t>
            </w:r>
          </w:p>
        </w:tc>
        <w:tc>
          <w:tcPr>
            <w:tcW w:w="2268" w:type="dxa"/>
            <w:vAlign w:val="center"/>
          </w:tcPr>
          <w:p w14:paraId="2997515C"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214.21 ± 16.13</w:t>
            </w:r>
          </w:p>
        </w:tc>
        <w:tc>
          <w:tcPr>
            <w:tcW w:w="2389" w:type="dxa"/>
            <w:vAlign w:val="center"/>
          </w:tcPr>
          <w:p w14:paraId="2D18F00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42.41 ± 0.26</w:t>
            </w:r>
          </w:p>
        </w:tc>
        <w:tc>
          <w:tcPr>
            <w:tcW w:w="876" w:type="dxa"/>
            <w:vAlign w:val="center"/>
          </w:tcPr>
          <w:p w14:paraId="30BDA3A0"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763AEB7E"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5458DF30"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570BC9E1"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CBGVA</w:t>
            </w:r>
          </w:p>
        </w:tc>
        <w:tc>
          <w:tcPr>
            <w:tcW w:w="1467" w:type="dxa"/>
            <w:vAlign w:val="center"/>
          </w:tcPr>
          <w:p w14:paraId="7A4C9500"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268" w:type="dxa"/>
            <w:vAlign w:val="center"/>
          </w:tcPr>
          <w:p w14:paraId="66FD2027"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90.66 ± 1.01</w:t>
            </w:r>
          </w:p>
        </w:tc>
        <w:tc>
          <w:tcPr>
            <w:tcW w:w="2389" w:type="dxa"/>
            <w:vAlign w:val="center"/>
          </w:tcPr>
          <w:p w14:paraId="17C75B7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129.92 ± 5.54</w:t>
            </w:r>
          </w:p>
        </w:tc>
        <w:tc>
          <w:tcPr>
            <w:tcW w:w="876" w:type="dxa"/>
            <w:vAlign w:val="center"/>
          </w:tcPr>
          <w:p w14:paraId="560C181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290588AB"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3AB1A26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07710D2"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CBDB</w:t>
            </w:r>
          </w:p>
        </w:tc>
        <w:tc>
          <w:tcPr>
            <w:tcW w:w="1467" w:type="dxa"/>
            <w:vAlign w:val="center"/>
          </w:tcPr>
          <w:p w14:paraId="22CD4712"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826.26 ± 32.94</w:t>
            </w:r>
          </w:p>
        </w:tc>
        <w:tc>
          <w:tcPr>
            <w:tcW w:w="2268" w:type="dxa"/>
            <w:vAlign w:val="center"/>
          </w:tcPr>
          <w:p w14:paraId="382C3DE7"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389" w:type="dxa"/>
            <w:vAlign w:val="center"/>
          </w:tcPr>
          <w:p w14:paraId="144FA1E2"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876" w:type="dxa"/>
            <w:vAlign w:val="center"/>
          </w:tcPr>
          <w:p w14:paraId="4E02223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42E7338E"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341C573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BB1399D"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CBGB</w:t>
            </w:r>
          </w:p>
        </w:tc>
        <w:tc>
          <w:tcPr>
            <w:tcW w:w="1467" w:type="dxa"/>
            <w:vAlign w:val="center"/>
          </w:tcPr>
          <w:p w14:paraId="68FC2C3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268" w:type="dxa"/>
            <w:vAlign w:val="center"/>
          </w:tcPr>
          <w:p w14:paraId="2D389D82"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150.44 ± 11.09</w:t>
            </w:r>
          </w:p>
        </w:tc>
        <w:tc>
          <w:tcPr>
            <w:tcW w:w="2389" w:type="dxa"/>
            <w:vAlign w:val="center"/>
          </w:tcPr>
          <w:p w14:paraId="6FFF5D2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58.22 ± 7.63</w:t>
            </w:r>
          </w:p>
        </w:tc>
        <w:tc>
          <w:tcPr>
            <w:tcW w:w="876" w:type="dxa"/>
            <w:vAlign w:val="center"/>
          </w:tcPr>
          <w:p w14:paraId="32A60567"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2629FEAF"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1160F289"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3E4BACEE"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CBE</w:t>
            </w:r>
          </w:p>
        </w:tc>
        <w:tc>
          <w:tcPr>
            <w:tcW w:w="1467" w:type="dxa"/>
            <w:vAlign w:val="center"/>
          </w:tcPr>
          <w:p w14:paraId="7836044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4043.57 ± 56.14</w:t>
            </w:r>
          </w:p>
        </w:tc>
        <w:tc>
          <w:tcPr>
            <w:tcW w:w="2268" w:type="dxa"/>
            <w:vAlign w:val="center"/>
          </w:tcPr>
          <w:p w14:paraId="4B4EB4C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389" w:type="dxa"/>
            <w:vAlign w:val="center"/>
          </w:tcPr>
          <w:p w14:paraId="257A8E9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876" w:type="dxa"/>
            <w:vAlign w:val="center"/>
          </w:tcPr>
          <w:p w14:paraId="69BDDFB8"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343C8902"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75C71125"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F453F52"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CBCO</w:t>
            </w:r>
          </w:p>
        </w:tc>
        <w:tc>
          <w:tcPr>
            <w:tcW w:w="1467" w:type="dxa"/>
            <w:vAlign w:val="center"/>
          </w:tcPr>
          <w:p w14:paraId="2E9B068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52.41 ± 0.41</w:t>
            </w:r>
          </w:p>
        </w:tc>
        <w:tc>
          <w:tcPr>
            <w:tcW w:w="2268" w:type="dxa"/>
            <w:vAlign w:val="center"/>
          </w:tcPr>
          <w:p w14:paraId="0C57404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70.58 ± 4.49</w:t>
            </w:r>
          </w:p>
        </w:tc>
        <w:tc>
          <w:tcPr>
            <w:tcW w:w="2389" w:type="dxa"/>
            <w:vAlign w:val="center"/>
          </w:tcPr>
          <w:p w14:paraId="0A4A3466"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45.89 ± 1.42</w:t>
            </w:r>
          </w:p>
        </w:tc>
        <w:tc>
          <w:tcPr>
            <w:tcW w:w="876" w:type="dxa"/>
            <w:vAlign w:val="center"/>
          </w:tcPr>
          <w:p w14:paraId="5BC8D48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428EA7C5"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35A0A255"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0E9BDD0"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CBV</w:t>
            </w:r>
          </w:p>
        </w:tc>
        <w:tc>
          <w:tcPr>
            <w:tcW w:w="1467" w:type="dxa"/>
            <w:vAlign w:val="center"/>
          </w:tcPr>
          <w:p w14:paraId="5223BAB0"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67.59 ± 4</w:t>
            </w:r>
          </w:p>
        </w:tc>
        <w:tc>
          <w:tcPr>
            <w:tcW w:w="2268" w:type="dxa"/>
            <w:vAlign w:val="center"/>
          </w:tcPr>
          <w:p w14:paraId="3FBDE1F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41.3 ± 0.29</w:t>
            </w:r>
          </w:p>
        </w:tc>
        <w:tc>
          <w:tcPr>
            <w:tcW w:w="2389" w:type="dxa"/>
            <w:vAlign w:val="center"/>
          </w:tcPr>
          <w:p w14:paraId="72923CA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14.75 ± 0.83</w:t>
            </w:r>
          </w:p>
        </w:tc>
        <w:tc>
          <w:tcPr>
            <w:tcW w:w="876" w:type="dxa"/>
            <w:vAlign w:val="center"/>
          </w:tcPr>
          <w:p w14:paraId="6F2EE6C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75576A94"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285BF4E7"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E806660"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CBDA</w:t>
            </w:r>
          </w:p>
        </w:tc>
        <w:tc>
          <w:tcPr>
            <w:tcW w:w="1467" w:type="dxa"/>
            <w:vAlign w:val="center"/>
          </w:tcPr>
          <w:p w14:paraId="4EE4665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37962.57 ± 3056.04</w:t>
            </w:r>
          </w:p>
        </w:tc>
        <w:tc>
          <w:tcPr>
            <w:tcW w:w="2268" w:type="dxa"/>
            <w:vAlign w:val="center"/>
          </w:tcPr>
          <w:p w14:paraId="2B37D06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277.48 ± 34.36</w:t>
            </w:r>
          </w:p>
        </w:tc>
        <w:tc>
          <w:tcPr>
            <w:tcW w:w="2389" w:type="dxa"/>
            <w:vAlign w:val="center"/>
          </w:tcPr>
          <w:p w14:paraId="1743F337"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7651.57 ± 91.19</w:t>
            </w:r>
          </w:p>
        </w:tc>
        <w:tc>
          <w:tcPr>
            <w:tcW w:w="876" w:type="dxa"/>
            <w:vAlign w:val="center"/>
          </w:tcPr>
          <w:p w14:paraId="24D643F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538.68 ± 93.88</w:t>
            </w:r>
          </w:p>
        </w:tc>
        <w:tc>
          <w:tcPr>
            <w:tcW w:w="416" w:type="dxa"/>
          </w:tcPr>
          <w:p w14:paraId="4AFB5E42"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46E11642"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ACEFD1C"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CBG</w:t>
            </w:r>
          </w:p>
        </w:tc>
        <w:tc>
          <w:tcPr>
            <w:tcW w:w="1467" w:type="dxa"/>
            <w:vAlign w:val="center"/>
          </w:tcPr>
          <w:p w14:paraId="21D1080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5214.83 ± 305.09</w:t>
            </w:r>
          </w:p>
        </w:tc>
        <w:tc>
          <w:tcPr>
            <w:tcW w:w="2268" w:type="dxa"/>
            <w:vAlign w:val="center"/>
          </w:tcPr>
          <w:p w14:paraId="6B2E64FC"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178549.01 ± 7133.88</w:t>
            </w:r>
          </w:p>
        </w:tc>
        <w:tc>
          <w:tcPr>
            <w:tcW w:w="2389" w:type="dxa"/>
            <w:vAlign w:val="center"/>
          </w:tcPr>
          <w:p w14:paraId="6DE5135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23461.56 ± 301.19</w:t>
            </w:r>
          </w:p>
        </w:tc>
        <w:tc>
          <w:tcPr>
            <w:tcW w:w="876" w:type="dxa"/>
            <w:vAlign w:val="center"/>
          </w:tcPr>
          <w:p w14:paraId="08235A0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4F428B26"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4EACAB05"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41FB991"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lastRenderedPageBreak/>
              <w:t>CBD</w:t>
            </w:r>
          </w:p>
        </w:tc>
        <w:tc>
          <w:tcPr>
            <w:tcW w:w="1467" w:type="dxa"/>
            <w:vAlign w:val="center"/>
          </w:tcPr>
          <w:p w14:paraId="101ED67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360585.68 ± 51718.52</w:t>
            </w:r>
          </w:p>
        </w:tc>
        <w:tc>
          <w:tcPr>
            <w:tcW w:w="2268" w:type="dxa"/>
            <w:vAlign w:val="center"/>
          </w:tcPr>
          <w:p w14:paraId="0A16E84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1041.7 ± 476.7</w:t>
            </w:r>
          </w:p>
        </w:tc>
        <w:tc>
          <w:tcPr>
            <w:tcW w:w="2389" w:type="dxa"/>
            <w:vAlign w:val="center"/>
          </w:tcPr>
          <w:p w14:paraId="2BD8C89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3262.66 ± 455.92</w:t>
            </w:r>
          </w:p>
        </w:tc>
        <w:tc>
          <w:tcPr>
            <w:tcW w:w="876" w:type="dxa"/>
            <w:vAlign w:val="center"/>
          </w:tcPr>
          <w:p w14:paraId="36947E42"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45.99 ± 0.97</w:t>
            </w:r>
          </w:p>
        </w:tc>
        <w:tc>
          <w:tcPr>
            <w:tcW w:w="416" w:type="dxa"/>
          </w:tcPr>
          <w:p w14:paraId="79BC7A4C"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1479C2B3"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5129D0EE"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CBVA</w:t>
            </w:r>
          </w:p>
        </w:tc>
        <w:tc>
          <w:tcPr>
            <w:tcW w:w="1467" w:type="dxa"/>
            <w:vAlign w:val="center"/>
          </w:tcPr>
          <w:p w14:paraId="4C412CC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14.02 ± 0.16</w:t>
            </w:r>
          </w:p>
        </w:tc>
        <w:tc>
          <w:tcPr>
            <w:tcW w:w="2268" w:type="dxa"/>
            <w:vAlign w:val="center"/>
          </w:tcPr>
          <w:p w14:paraId="7B60955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5.69 ± 0.09</w:t>
            </w:r>
          </w:p>
        </w:tc>
        <w:tc>
          <w:tcPr>
            <w:tcW w:w="2389" w:type="dxa"/>
            <w:vAlign w:val="center"/>
          </w:tcPr>
          <w:p w14:paraId="434E9894"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4.76 ± 0.44</w:t>
            </w:r>
          </w:p>
        </w:tc>
        <w:tc>
          <w:tcPr>
            <w:tcW w:w="876" w:type="dxa"/>
            <w:vAlign w:val="center"/>
          </w:tcPr>
          <w:p w14:paraId="39403B69"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7033F638"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5E2A70E4"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1E2F065A"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CBGA</w:t>
            </w:r>
          </w:p>
        </w:tc>
        <w:tc>
          <w:tcPr>
            <w:tcW w:w="1467" w:type="dxa"/>
            <w:vAlign w:val="center"/>
          </w:tcPr>
          <w:p w14:paraId="0D135C7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3730.22 ± 9.03</w:t>
            </w:r>
          </w:p>
        </w:tc>
        <w:tc>
          <w:tcPr>
            <w:tcW w:w="2268" w:type="dxa"/>
            <w:vAlign w:val="center"/>
          </w:tcPr>
          <w:p w14:paraId="3ACE72A2"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89506.85 ± 1455.08</w:t>
            </w:r>
          </w:p>
        </w:tc>
        <w:tc>
          <w:tcPr>
            <w:tcW w:w="2389" w:type="dxa"/>
            <w:vAlign w:val="center"/>
          </w:tcPr>
          <w:p w14:paraId="1D1075F0"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37615.99 ± 31.21</w:t>
            </w:r>
          </w:p>
        </w:tc>
        <w:tc>
          <w:tcPr>
            <w:tcW w:w="876" w:type="dxa"/>
            <w:vAlign w:val="center"/>
          </w:tcPr>
          <w:p w14:paraId="1B893DCC"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21.55 ± 1.81</w:t>
            </w:r>
          </w:p>
        </w:tc>
        <w:tc>
          <w:tcPr>
            <w:tcW w:w="416" w:type="dxa"/>
          </w:tcPr>
          <w:p w14:paraId="7B148B21"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6CAFA209"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1D39B711"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THCV</w:t>
            </w:r>
          </w:p>
        </w:tc>
        <w:tc>
          <w:tcPr>
            <w:tcW w:w="1467" w:type="dxa"/>
            <w:vAlign w:val="center"/>
          </w:tcPr>
          <w:p w14:paraId="4A30D1A7"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20.68 ± 1.17</w:t>
            </w:r>
          </w:p>
        </w:tc>
        <w:tc>
          <w:tcPr>
            <w:tcW w:w="2268" w:type="dxa"/>
            <w:vAlign w:val="center"/>
          </w:tcPr>
          <w:p w14:paraId="4DE7E2A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20.19 ± 1.49</w:t>
            </w:r>
          </w:p>
        </w:tc>
        <w:tc>
          <w:tcPr>
            <w:tcW w:w="2389" w:type="dxa"/>
            <w:vAlign w:val="center"/>
          </w:tcPr>
          <w:p w14:paraId="53EE616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129.94 ± 18.86</w:t>
            </w:r>
          </w:p>
        </w:tc>
        <w:tc>
          <w:tcPr>
            <w:tcW w:w="876" w:type="dxa"/>
            <w:vAlign w:val="center"/>
          </w:tcPr>
          <w:p w14:paraId="7B1C871C"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10782853"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2364606B"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28E821B7"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CBDH</w:t>
            </w:r>
          </w:p>
        </w:tc>
        <w:tc>
          <w:tcPr>
            <w:tcW w:w="1467" w:type="dxa"/>
            <w:vAlign w:val="center"/>
          </w:tcPr>
          <w:p w14:paraId="6C62396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50.32 ± 0.86</w:t>
            </w:r>
          </w:p>
        </w:tc>
        <w:tc>
          <w:tcPr>
            <w:tcW w:w="2268" w:type="dxa"/>
            <w:vAlign w:val="center"/>
          </w:tcPr>
          <w:p w14:paraId="0F420389"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389" w:type="dxa"/>
            <w:vAlign w:val="center"/>
          </w:tcPr>
          <w:p w14:paraId="728E58D6"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876" w:type="dxa"/>
            <w:vAlign w:val="center"/>
          </w:tcPr>
          <w:p w14:paraId="59F3012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5A8109DE"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79DD37CF"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5CD3A962"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CBCV</w:t>
            </w:r>
          </w:p>
        </w:tc>
        <w:tc>
          <w:tcPr>
            <w:tcW w:w="1467" w:type="dxa"/>
            <w:vAlign w:val="center"/>
          </w:tcPr>
          <w:p w14:paraId="3F15FD80"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209.47 ± 4.77</w:t>
            </w:r>
          </w:p>
        </w:tc>
        <w:tc>
          <w:tcPr>
            <w:tcW w:w="2268" w:type="dxa"/>
            <w:vAlign w:val="center"/>
          </w:tcPr>
          <w:p w14:paraId="49AAFCB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162.85 ± 28.37</w:t>
            </w:r>
          </w:p>
        </w:tc>
        <w:tc>
          <w:tcPr>
            <w:tcW w:w="2389" w:type="dxa"/>
            <w:vAlign w:val="center"/>
          </w:tcPr>
          <w:p w14:paraId="3FAE549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1831.96 ± 62.49</w:t>
            </w:r>
          </w:p>
        </w:tc>
        <w:tc>
          <w:tcPr>
            <w:tcW w:w="876" w:type="dxa"/>
            <w:vAlign w:val="center"/>
          </w:tcPr>
          <w:p w14:paraId="1DF1249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4714891F"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52DC87F6"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36B30054"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THCVA</w:t>
            </w:r>
          </w:p>
        </w:tc>
        <w:tc>
          <w:tcPr>
            <w:tcW w:w="1467" w:type="dxa"/>
            <w:vAlign w:val="center"/>
          </w:tcPr>
          <w:p w14:paraId="0C20615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268" w:type="dxa"/>
            <w:vAlign w:val="center"/>
          </w:tcPr>
          <w:p w14:paraId="51443E98"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389" w:type="dxa"/>
            <w:vAlign w:val="center"/>
          </w:tcPr>
          <w:p w14:paraId="4222393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5.13 ± 0.16</w:t>
            </w:r>
          </w:p>
        </w:tc>
        <w:tc>
          <w:tcPr>
            <w:tcW w:w="876" w:type="dxa"/>
            <w:vAlign w:val="center"/>
          </w:tcPr>
          <w:p w14:paraId="35F8DCD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273C6432"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51BD6A91"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158D23D"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CBN</w:t>
            </w:r>
          </w:p>
        </w:tc>
        <w:tc>
          <w:tcPr>
            <w:tcW w:w="1467" w:type="dxa"/>
            <w:vAlign w:val="center"/>
          </w:tcPr>
          <w:p w14:paraId="7786613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6209.2 ± 396.78</w:t>
            </w:r>
          </w:p>
        </w:tc>
        <w:tc>
          <w:tcPr>
            <w:tcW w:w="2268" w:type="dxa"/>
            <w:vAlign w:val="center"/>
          </w:tcPr>
          <w:p w14:paraId="794DAE16"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1622.12 ± 83.3</w:t>
            </w:r>
          </w:p>
        </w:tc>
        <w:tc>
          <w:tcPr>
            <w:tcW w:w="2389" w:type="dxa"/>
            <w:vAlign w:val="center"/>
          </w:tcPr>
          <w:p w14:paraId="341C7A1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498.86 ± 20.04</w:t>
            </w:r>
          </w:p>
        </w:tc>
        <w:tc>
          <w:tcPr>
            <w:tcW w:w="876" w:type="dxa"/>
            <w:vAlign w:val="center"/>
          </w:tcPr>
          <w:p w14:paraId="438517E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63F1E3CF"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71CC6727"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AAE2BDE"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CBCVA</w:t>
            </w:r>
          </w:p>
        </w:tc>
        <w:tc>
          <w:tcPr>
            <w:tcW w:w="1467" w:type="dxa"/>
            <w:vAlign w:val="center"/>
          </w:tcPr>
          <w:p w14:paraId="36D5D2C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40.38 ± 1.06</w:t>
            </w:r>
          </w:p>
        </w:tc>
        <w:tc>
          <w:tcPr>
            <w:tcW w:w="2268" w:type="dxa"/>
            <w:vAlign w:val="center"/>
          </w:tcPr>
          <w:p w14:paraId="4403915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16.03 ± 0.03</w:t>
            </w:r>
          </w:p>
        </w:tc>
        <w:tc>
          <w:tcPr>
            <w:tcW w:w="2389" w:type="dxa"/>
            <w:vAlign w:val="center"/>
          </w:tcPr>
          <w:p w14:paraId="57EC15F7"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196.94 ± 12.67</w:t>
            </w:r>
          </w:p>
        </w:tc>
        <w:tc>
          <w:tcPr>
            <w:tcW w:w="876" w:type="dxa"/>
            <w:vAlign w:val="center"/>
          </w:tcPr>
          <w:p w14:paraId="171390A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64A0398B"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6FE19371"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99E4551"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cis-delta-THC</w:t>
            </w:r>
          </w:p>
        </w:tc>
        <w:tc>
          <w:tcPr>
            <w:tcW w:w="1467" w:type="dxa"/>
            <w:vAlign w:val="center"/>
          </w:tcPr>
          <w:p w14:paraId="57D621E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2684.71 ± 102.8</w:t>
            </w:r>
          </w:p>
        </w:tc>
        <w:tc>
          <w:tcPr>
            <w:tcW w:w="2268" w:type="dxa"/>
            <w:vAlign w:val="center"/>
          </w:tcPr>
          <w:p w14:paraId="4CDF367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574.42 ± 31.78</w:t>
            </w:r>
          </w:p>
        </w:tc>
        <w:tc>
          <w:tcPr>
            <w:tcW w:w="2389" w:type="dxa"/>
            <w:vAlign w:val="center"/>
          </w:tcPr>
          <w:p w14:paraId="2A3A539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1313.87 ± 28.59</w:t>
            </w:r>
          </w:p>
        </w:tc>
        <w:tc>
          <w:tcPr>
            <w:tcW w:w="876" w:type="dxa"/>
            <w:vAlign w:val="center"/>
          </w:tcPr>
          <w:p w14:paraId="1AA6B80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08EFBAE5"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10CD260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3BE2555B"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CBDP</w:t>
            </w:r>
          </w:p>
        </w:tc>
        <w:tc>
          <w:tcPr>
            <w:tcW w:w="1467" w:type="dxa"/>
            <w:vAlign w:val="center"/>
          </w:tcPr>
          <w:p w14:paraId="74F14EE9"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38.1 ± 2.92</w:t>
            </w:r>
          </w:p>
        </w:tc>
        <w:tc>
          <w:tcPr>
            <w:tcW w:w="2268" w:type="dxa"/>
            <w:vAlign w:val="center"/>
          </w:tcPr>
          <w:p w14:paraId="686D2C17"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2389" w:type="dxa"/>
            <w:vAlign w:val="center"/>
          </w:tcPr>
          <w:p w14:paraId="3F415A7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876" w:type="dxa"/>
            <w:vAlign w:val="center"/>
          </w:tcPr>
          <w:p w14:paraId="4938D848"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24CE1375"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3E9232D8"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2939A38E"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CBNA</w:t>
            </w:r>
          </w:p>
        </w:tc>
        <w:tc>
          <w:tcPr>
            <w:tcW w:w="1467" w:type="dxa"/>
            <w:vAlign w:val="center"/>
          </w:tcPr>
          <w:p w14:paraId="23444878"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138.18 ± 1.99</w:t>
            </w:r>
          </w:p>
        </w:tc>
        <w:tc>
          <w:tcPr>
            <w:tcW w:w="2268" w:type="dxa"/>
            <w:vAlign w:val="center"/>
          </w:tcPr>
          <w:p w14:paraId="0D9CDAD2"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35.49 ± 2.05</w:t>
            </w:r>
          </w:p>
        </w:tc>
        <w:tc>
          <w:tcPr>
            <w:tcW w:w="2389" w:type="dxa"/>
            <w:vAlign w:val="center"/>
          </w:tcPr>
          <w:p w14:paraId="558358B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45.91 ± 3.21</w:t>
            </w:r>
          </w:p>
        </w:tc>
        <w:tc>
          <w:tcPr>
            <w:tcW w:w="876" w:type="dxa"/>
            <w:vAlign w:val="center"/>
          </w:tcPr>
          <w:p w14:paraId="2AF0628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4.03 ± 0.35</w:t>
            </w:r>
          </w:p>
        </w:tc>
        <w:tc>
          <w:tcPr>
            <w:tcW w:w="416" w:type="dxa"/>
          </w:tcPr>
          <w:p w14:paraId="63012917"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15BBEAB6"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09B559FF"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THC</w:t>
            </w:r>
          </w:p>
        </w:tc>
        <w:tc>
          <w:tcPr>
            <w:tcW w:w="1467" w:type="dxa"/>
            <w:vAlign w:val="center"/>
          </w:tcPr>
          <w:p w14:paraId="0D4A30B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1941.55 ± 66.2</w:t>
            </w:r>
          </w:p>
        </w:tc>
        <w:tc>
          <w:tcPr>
            <w:tcW w:w="2268" w:type="dxa"/>
            <w:vAlign w:val="center"/>
          </w:tcPr>
          <w:p w14:paraId="723C2609"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880.67 ± 194.45</w:t>
            </w:r>
          </w:p>
        </w:tc>
        <w:tc>
          <w:tcPr>
            <w:tcW w:w="2389" w:type="dxa"/>
            <w:vAlign w:val="center"/>
          </w:tcPr>
          <w:p w14:paraId="088C18A4"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3660.25 ± 619.28</w:t>
            </w:r>
          </w:p>
        </w:tc>
        <w:tc>
          <w:tcPr>
            <w:tcW w:w="876" w:type="dxa"/>
            <w:vAlign w:val="center"/>
          </w:tcPr>
          <w:p w14:paraId="0199F85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0AD7D967"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78D5EF1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5280020"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CBL</w:t>
            </w:r>
          </w:p>
        </w:tc>
        <w:tc>
          <w:tcPr>
            <w:tcW w:w="1467" w:type="dxa"/>
            <w:vAlign w:val="center"/>
          </w:tcPr>
          <w:p w14:paraId="4A99B01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958.4 ± 79.29</w:t>
            </w:r>
          </w:p>
        </w:tc>
        <w:tc>
          <w:tcPr>
            <w:tcW w:w="2268" w:type="dxa"/>
            <w:vAlign w:val="center"/>
          </w:tcPr>
          <w:p w14:paraId="050455A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682.92 ± 68.76</w:t>
            </w:r>
          </w:p>
        </w:tc>
        <w:tc>
          <w:tcPr>
            <w:tcW w:w="2389" w:type="dxa"/>
            <w:vAlign w:val="center"/>
          </w:tcPr>
          <w:p w14:paraId="125649C6"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2373.58 ± 30.34</w:t>
            </w:r>
          </w:p>
        </w:tc>
        <w:tc>
          <w:tcPr>
            <w:tcW w:w="876" w:type="dxa"/>
            <w:vAlign w:val="center"/>
          </w:tcPr>
          <w:p w14:paraId="1358F890"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&lt;LOQ</w:t>
            </w:r>
          </w:p>
        </w:tc>
        <w:tc>
          <w:tcPr>
            <w:tcW w:w="416" w:type="dxa"/>
          </w:tcPr>
          <w:p w14:paraId="574478AA"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24F7BA40"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243382D"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CBC</w:t>
            </w:r>
          </w:p>
        </w:tc>
        <w:tc>
          <w:tcPr>
            <w:tcW w:w="1467" w:type="dxa"/>
            <w:vAlign w:val="center"/>
          </w:tcPr>
          <w:p w14:paraId="27CEEDF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11326.08 ± 40.21</w:t>
            </w:r>
          </w:p>
        </w:tc>
        <w:tc>
          <w:tcPr>
            <w:tcW w:w="2268" w:type="dxa"/>
            <w:vAlign w:val="center"/>
          </w:tcPr>
          <w:p w14:paraId="488AF6F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30303.66 ± 1074.21</w:t>
            </w:r>
          </w:p>
        </w:tc>
        <w:tc>
          <w:tcPr>
            <w:tcW w:w="2389" w:type="dxa"/>
            <w:vAlign w:val="center"/>
          </w:tcPr>
          <w:p w14:paraId="163229D8"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250985.99 ± 17657.37</w:t>
            </w:r>
          </w:p>
        </w:tc>
        <w:tc>
          <w:tcPr>
            <w:tcW w:w="876" w:type="dxa"/>
            <w:vAlign w:val="center"/>
          </w:tcPr>
          <w:p w14:paraId="1D7C067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31.71 ± 0.72</w:t>
            </w:r>
          </w:p>
        </w:tc>
        <w:tc>
          <w:tcPr>
            <w:tcW w:w="416" w:type="dxa"/>
          </w:tcPr>
          <w:p w14:paraId="3A1078D1"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64323F87"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EB0F84C"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lastRenderedPageBreak/>
              <w:t>THCA</w:t>
            </w:r>
          </w:p>
        </w:tc>
        <w:tc>
          <w:tcPr>
            <w:tcW w:w="1467" w:type="dxa"/>
            <w:vAlign w:val="center"/>
          </w:tcPr>
          <w:p w14:paraId="76326DA6"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155.47 ± 14.28</w:t>
            </w:r>
          </w:p>
        </w:tc>
        <w:tc>
          <w:tcPr>
            <w:tcW w:w="2268" w:type="dxa"/>
            <w:vAlign w:val="center"/>
          </w:tcPr>
          <w:p w14:paraId="07A564AE"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39.64 ± 0.86</w:t>
            </w:r>
          </w:p>
        </w:tc>
        <w:tc>
          <w:tcPr>
            <w:tcW w:w="2389" w:type="dxa"/>
            <w:vAlign w:val="center"/>
          </w:tcPr>
          <w:p w14:paraId="6F1425EC"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255.45 ± 6.21</w:t>
            </w:r>
          </w:p>
        </w:tc>
        <w:tc>
          <w:tcPr>
            <w:tcW w:w="876" w:type="dxa"/>
            <w:vAlign w:val="center"/>
          </w:tcPr>
          <w:p w14:paraId="72FFD03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35.87 ± 8.95</w:t>
            </w:r>
          </w:p>
        </w:tc>
        <w:tc>
          <w:tcPr>
            <w:tcW w:w="416" w:type="dxa"/>
          </w:tcPr>
          <w:p w14:paraId="5AE37CA9"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737DF83C"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6BBF99A"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CBCA</w:t>
            </w:r>
          </w:p>
        </w:tc>
        <w:tc>
          <w:tcPr>
            <w:tcW w:w="1467" w:type="dxa"/>
            <w:vAlign w:val="center"/>
          </w:tcPr>
          <w:p w14:paraId="246387C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1426.08 ± 9.51</w:t>
            </w:r>
          </w:p>
        </w:tc>
        <w:tc>
          <w:tcPr>
            <w:tcW w:w="2268" w:type="dxa"/>
            <w:vAlign w:val="center"/>
          </w:tcPr>
          <w:p w14:paraId="195D8AE2"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2683.93 ± 43.62</w:t>
            </w:r>
          </w:p>
        </w:tc>
        <w:tc>
          <w:tcPr>
            <w:tcW w:w="2389" w:type="dxa"/>
            <w:vAlign w:val="center"/>
          </w:tcPr>
          <w:p w14:paraId="34A5B78D"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29130.89 ± 451.62</w:t>
            </w:r>
          </w:p>
        </w:tc>
        <w:tc>
          <w:tcPr>
            <w:tcW w:w="876" w:type="dxa"/>
            <w:vAlign w:val="center"/>
          </w:tcPr>
          <w:p w14:paraId="547F5F95"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29.65 ± 1.59</w:t>
            </w:r>
          </w:p>
        </w:tc>
        <w:tc>
          <w:tcPr>
            <w:tcW w:w="416" w:type="dxa"/>
          </w:tcPr>
          <w:p w14:paraId="3582BC48"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4790DBDD"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2A90D15"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CBTC</w:t>
            </w:r>
          </w:p>
        </w:tc>
        <w:tc>
          <w:tcPr>
            <w:tcW w:w="1467" w:type="dxa"/>
            <w:vAlign w:val="center"/>
          </w:tcPr>
          <w:p w14:paraId="6A67BF0F"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5194.69 ± 287.94</w:t>
            </w:r>
          </w:p>
        </w:tc>
        <w:tc>
          <w:tcPr>
            <w:tcW w:w="2268" w:type="dxa"/>
            <w:vAlign w:val="center"/>
          </w:tcPr>
          <w:p w14:paraId="291999E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7312.18 ± 119.54</w:t>
            </w:r>
          </w:p>
        </w:tc>
        <w:tc>
          <w:tcPr>
            <w:tcW w:w="2389" w:type="dxa"/>
            <w:vAlign w:val="center"/>
          </w:tcPr>
          <w:p w14:paraId="56316178"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57305.66 ± 1265.81</w:t>
            </w:r>
          </w:p>
        </w:tc>
        <w:tc>
          <w:tcPr>
            <w:tcW w:w="876" w:type="dxa"/>
            <w:vAlign w:val="center"/>
          </w:tcPr>
          <w:p w14:paraId="3F7527C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6.49 ± 0.06</w:t>
            </w:r>
          </w:p>
        </w:tc>
        <w:tc>
          <w:tcPr>
            <w:tcW w:w="416" w:type="dxa"/>
          </w:tcPr>
          <w:p w14:paraId="0C843924"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6DF1E05D"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1B4F998F"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CBLA</w:t>
            </w:r>
          </w:p>
        </w:tc>
        <w:tc>
          <w:tcPr>
            <w:tcW w:w="1467" w:type="dxa"/>
            <w:vAlign w:val="center"/>
          </w:tcPr>
          <w:p w14:paraId="57C2C87B"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227.89 ± 15.84</w:t>
            </w:r>
          </w:p>
        </w:tc>
        <w:tc>
          <w:tcPr>
            <w:tcW w:w="2268" w:type="dxa"/>
            <w:vAlign w:val="center"/>
          </w:tcPr>
          <w:p w14:paraId="6692061A"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195.66 ± 24.98</w:t>
            </w:r>
          </w:p>
        </w:tc>
        <w:tc>
          <w:tcPr>
            <w:tcW w:w="2389" w:type="dxa"/>
            <w:vAlign w:val="center"/>
          </w:tcPr>
          <w:p w14:paraId="0B00F11C"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1355.32 ± 136.07</w:t>
            </w:r>
          </w:p>
        </w:tc>
        <w:tc>
          <w:tcPr>
            <w:tcW w:w="876" w:type="dxa"/>
            <w:vAlign w:val="center"/>
          </w:tcPr>
          <w:p w14:paraId="3E2E7499"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5.89 ± 0.38</w:t>
            </w:r>
          </w:p>
        </w:tc>
        <w:tc>
          <w:tcPr>
            <w:tcW w:w="416" w:type="dxa"/>
          </w:tcPr>
          <w:p w14:paraId="173BD89E"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2BD3BB5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3394E1D" w14:textId="77777777" w:rsidR="005C2151" w:rsidRPr="00FC51A4" w:rsidRDefault="00000000">
            <w:pPr>
              <w:spacing w:line="480" w:lineRule="auto"/>
              <w:jc w:val="center"/>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Total</w:t>
            </w:r>
          </w:p>
        </w:tc>
        <w:tc>
          <w:tcPr>
            <w:tcW w:w="1467" w:type="dxa"/>
            <w:vAlign w:val="center"/>
          </w:tcPr>
          <w:p w14:paraId="787691F6"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447831</w:t>
            </w:r>
          </w:p>
        </w:tc>
        <w:tc>
          <w:tcPr>
            <w:tcW w:w="2268" w:type="dxa"/>
            <w:vAlign w:val="center"/>
          </w:tcPr>
          <w:p w14:paraId="77CA8C11"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314536</w:t>
            </w:r>
          </w:p>
        </w:tc>
        <w:tc>
          <w:tcPr>
            <w:tcW w:w="2389" w:type="dxa"/>
            <w:vAlign w:val="center"/>
          </w:tcPr>
          <w:p w14:paraId="306C5233"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421423</w:t>
            </w:r>
          </w:p>
        </w:tc>
        <w:tc>
          <w:tcPr>
            <w:tcW w:w="876" w:type="dxa"/>
            <w:vAlign w:val="center"/>
          </w:tcPr>
          <w:p w14:paraId="469A4944" w14:textId="77777777" w:rsidR="005C2151" w:rsidRPr="00FC51A4"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736</w:t>
            </w:r>
          </w:p>
        </w:tc>
        <w:tc>
          <w:tcPr>
            <w:tcW w:w="416" w:type="dxa"/>
          </w:tcPr>
          <w:p w14:paraId="27F98E45" w14:textId="77777777" w:rsidR="005C2151" w:rsidRPr="00FC51A4"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74C7D7DE" w14:textId="77777777" w:rsidR="005C2151" w:rsidRPr="00FC51A4" w:rsidRDefault="00000000">
      <w:pPr>
        <w:spacing w:before="120" w:after="0"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Different letters indicate statistical differences (p &lt; 0.05), within the same molecule. </w:t>
      </w:r>
    </w:p>
    <w:p w14:paraId="1CCF8568" w14:textId="77777777" w:rsidR="009A160C" w:rsidRPr="00FC51A4" w:rsidRDefault="009A160C">
      <w:pPr>
        <w:spacing w:before="120" w:after="0" w:line="480" w:lineRule="auto"/>
        <w:jc w:val="both"/>
        <w:rPr>
          <w:rFonts w:ascii="Times New Roman" w:eastAsia="Times New Roman" w:hAnsi="Times New Roman" w:cs="Times New Roman"/>
          <w:sz w:val="24"/>
          <w:szCs w:val="24"/>
        </w:rPr>
      </w:pPr>
    </w:p>
    <w:p w14:paraId="78CB65F0" w14:textId="0AF2B9D3" w:rsidR="005C2151" w:rsidRPr="00FC51A4" w:rsidRDefault="00000000">
      <w:pPr>
        <w:spacing w:before="120" w:after="0" w:line="480" w:lineRule="auto"/>
        <w:jc w:val="both"/>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Table S3. Flavonoids content </w:t>
      </w:r>
      <w:proofErr w:type="gramStart"/>
      <w:r w:rsidRPr="00FC51A4">
        <w:rPr>
          <w:rFonts w:ascii="Times New Roman" w:eastAsia="Times New Roman" w:hAnsi="Times New Roman" w:cs="Times New Roman"/>
          <w:sz w:val="24"/>
          <w:szCs w:val="24"/>
        </w:rPr>
        <w:t>expressed</w:t>
      </w:r>
      <w:proofErr w:type="gramEnd"/>
      <w:r w:rsidRPr="00FC51A4">
        <w:rPr>
          <w:rFonts w:ascii="Times New Roman" w:eastAsia="Times New Roman" w:hAnsi="Times New Roman" w:cs="Times New Roman"/>
          <w:sz w:val="24"/>
          <w:szCs w:val="24"/>
        </w:rPr>
        <w:t xml:space="preserve"> as mg/</w:t>
      </w:r>
      <w:r w:rsidR="007F5C9B" w:rsidRPr="00FC51A4">
        <w:rPr>
          <w:rFonts w:ascii="Times New Roman" w:eastAsia="Times New Roman" w:hAnsi="Times New Roman" w:cs="Times New Roman"/>
          <w:sz w:val="24"/>
          <w:szCs w:val="24"/>
        </w:rPr>
        <w:t>k</w:t>
      </w:r>
      <w:r w:rsidRPr="00FC51A4">
        <w:rPr>
          <w:rFonts w:ascii="Times New Roman" w:eastAsia="Times New Roman" w:hAnsi="Times New Roman" w:cs="Times New Roman"/>
          <w:sz w:val="24"/>
          <w:szCs w:val="24"/>
        </w:rPr>
        <w:t xml:space="preserve">g of </w:t>
      </w:r>
      <w:r w:rsidR="007F5C9B" w:rsidRPr="00FC51A4">
        <w:rPr>
          <w:rFonts w:ascii="Times New Roman" w:eastAsia="Times New Roman" w:hAnsi="Times New Roman" w:cs="Times New Roman"/>
          <w:sz w:val="24"/>
          <w:szCs w:val="24"/>
        </w:rPr>
        <w:t xml:space="preserve">crude </w:t>
      </w:r>
      <w:r w:rsidRPr="00FC51A4">
        <w:rPr>
          <w:rFonts w:ascii="Times New Roman" w:eastAsia="Times New Roman" w:hAnsi="Times New Roman" w:cs="Times New Roman"/>
          <w:sz w:val="24"/>
          <w:szCs w:val="24"/>
        </w:rPr>
        <w:t>extracts. Different letters indicate statistical differences (p&gt;0.05) within the same molecule.</w:t>
      </w:r>
    </w:p>
    <w:tbl>
      <w:tblPr>
        <w:tblStyle w:val="a7"/>
        <w:tblW w:w="9638" w:type="dxa"/>
        <w:tblInd w:w="0" w:type="dxa"/>
        <w:tblBorders>
          <w:top w:val="single" w:sz="4" w:space="0" w:color="7F7F7F"/>
          <w:bottom w:val="single" w:sz="4" w:space="0" w:color="7F7F7F"/>
        </w:tblBorders>
        <w:tblLayout w:type="fixed"/>
        <w:tblLook w:val="06A0" w:firstRow="1" w:lastRow="0" w:firstColumn="1" w:lastColumn="0" w:noHBand="1" w:noVBand="1"/>
      </w:tblPr>
      <w:tblGrid>
        <w:gridCol w:w="3309"/>
        <w:gridCol w:w="1868"/>
        <w:gridCol w:w="1182"/>
        <w:gridCol w:w="1979"/>
        <w:gridCol w:w="1300"/>
      </w:tblGrid>
      <w:tr w:rsidR="00FC51A4" w:rsidRPr="00FC51A4" w14:paraId="0B2DE17B" w14:textId="77777777" w:rsidTr="005C215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09" w:type="dxa"/>
          </w:tcPr>
          <w:p w14:paraId="2E12A3E6"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Compound (mg/kg)</w:t>
            </w:r>
          </w:p>
        </w:tc>
        <w:tc>
          <w:tcPr>
            <w:tcW w:w="1868" w:type="dxa"/>
          </w:tcPr>
          <w:p w14:paraId="1C2674C4" w14:textId="77777777" w:rsidR="005C2151" w:rsidRPr="00FC51A4" w:rsidRDefault="000000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CS1</w:t>
            </w:r>
          </w:p>
        </w:tc>
        <w:tc>
          <w:tcPr>
            <w:tcW w:w="1182" w:type="dxa"/>
          </w:tcPr>
          <w:p w14:paraId="0A5A3E40" w14:textId="77777777" w:rsidR="005C2151" w:rsidRPr="00FC51A4" w:rsidRDefault="000000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CS2</w:t>
            </w:r>
          </w:p>
        </w:tc>
        <w:tc>
          <w:tcPr>
            <w:tcW w:w="1979" w:type="dxa"/>
          </w:tcPr>
          <w:p w14:paraId="4312D5D2" w14:textId="77777777" w:rsidR="005C2151" w:rsidRPr="00FC51A4" w:rsidRDefault="000000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CS3</w:t>
            </w:r>
          </w:p>
        </w:tc>
        <w:tc>
          <w:tcPr>
            <w:tcW w:w="1300" w:type="dxa"/>
          </w:tcPr>
          <w:p w14:paraId="44A1B873" w14:textId="77777777" w:rsidR="005C2151" w:rsidRPr="00FC51A4" w:rsidRDefault="000000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CS4</w:t>
            </w:r>
          </w:p>
        </w:tc>
      </w:tr>
      <w:tr w:rsidR="00FC51A4" w:rsidRPr="00FC51A4" w14:paraId="0FA053DC"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7A2FED05"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Vitexin</w:t>
            </w:r>
          </w:p>
        </w:tc>
        <w:tc>
          <w:tcPr>
            <w:tcW w:w="1868" w:type="dxa"/>
          </w:tcPr>
          <w:p w14:paraId="1BA4C1A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 LOQ</w:t>
            </w:r>
          </w:p>
        </w:tc>
        <w:tc>
          <w:tcPr>
            <w:tcW w:w="1182" w:type="dxa"/>
          </w:tcPr>
          <w:p w14:paraId="1AA58EEA"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 LOQ</w:t>
            </w:r>
          </w:p>
        </w:tc>
        <w:tc>
          <w:tcPr>
            <w:tcW w:w="1979" w:type="dxa"/>
          </w:tcPr>
          <w:p w14:paraId="5C6874C8"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 LOQ</w:t>
            </w:r>
          </w:p>
        </w:tc>
        <w:tc>
          <w:tcPr>
            <w:tcW w:w="1300" w:type="dxa"/>
          </w:tcPr>
          <w:p w14:paraId="2E550B54"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75.05 ± 8.03</w:t>
            </w:r>
          </w:p>
        </w:tc>
      </w:tr>
      <w:tr w:rsidR="00FC51A4" w:rsidRPr="00FC51A4" w14:paraId="787F5F72"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14BDD732"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Luteolin</w:t>
            </w:r>
          </w:p>
        </w:tc>
        <w:tc>
          <w:tcPr>
            <w:tcW w:w="1868" w:type="dxa"/>
          </w:tcPr>
          <w:p w14:paraId="51F55C73"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64.36 ± 8.03</w:t>
            </w:r>
            <w:r w:rsidRPr="00FC51A4">
              <w:rPr>
                <w:rFonts w:ascii="Times New Roman" w:eastAsia="Times New Roman" w:hAnsi="Times New Roman" w:cs="Times New Roman"/>
                <w:sz w:val="24"/>
                <w:szCs w:val="24"/>
                <w:vertAlign w:val="superscript"/>
              </w:rPr>
              <w:t>c</w:t>
            </w:r>
          </w:p>
        </w:tc>
        <w:tc>
          <w:tcPr>
            <w:tcW w:w="1182" w:type="dxa"/>
          </w:tcPr>
          <w:p w14:paraId="4CE885F6"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26.01 ± 8.59</w:t>
            </w:r>
            <w:r w:rsidRPr="00FC51A4">
              <w:rPr>
                <w:rFonts w:ascii="Times New Roman" w:eastAsia="Times New Roman" w:hAnsi="Times New Roman" w:cs="Times New Roman"/>
                <w:sz w:val="24"/>
                <w:szCs w:val="24"/>
                <w:vertAlign w:val="superscript"/>
              </w:rPr>
              <w:t>d</w:t>
            </w:r>
          </w:p>
        </w:tc>
        <w:tc>
          <w:tcPr>
            <w:tcW w:w="1979" w:type="dxa"/>
          </w:tcPr>
          <w:p w14:paraId="0F681493"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231.81 ± 6.3</w:t>
            </w:r>
            <w:r w:rsidRPr="00FC51A4">
              <w:rPr>
                <w:rFonts w:ascii="Times New Roman" w:eastAsia="Times New Roman" w:hAnsi="Times New Roman" w:cs="Times New Roman"/>
                <w:sz w:val="24"/>
                <w:szCs w:val="24"/>
                <w:vertAlign w:val="superscript"/>
              </w:rPr>
              <w:t>a</w:t>
            </w:r>
          </w:p>
        </w:tc>
        <w:tc>
          <w:tcPr>
            <w:tcW w:w="1300" w:type="dxa"/>
          </w:tcPr>
          <w:p w14:paraId="26E9F597"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129.53 ± 7.11</w:t>
            </w:r>
            <w:r w:rsidRPr="00FC51A4">
              <w:rPr>
                <w:rFonts w:ascii="Times New Roman" w:eastAsia="Times New Roman" w:hAnsi="Times New Roman" w:cs="Times New Roman"/>
                <w:sz w:val="24"/>
                <w:szCs w:val="24"/>
                <w:vertAlign w:val="superscript"/>
              </w:rPr>
              <w:t>b</w:t>
            </w:r>
          </w:p>
        </w:tc>
      </w:tr>
      <w:tr w:rsidR="00FC51A4" w:rsidRPr="00FC51A4" w14:paraId="655299EA"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497D7E17"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Quercetin</w:t>
            </w:r>
          </w:p>
        </w:tc>
        <w:tc>
          <w:tcPr>
            <w:tcW w:w="1868" w:type="dxa"/>
          </w:tcPr>
          <w:p w14:paraId="6E5B24ED" w14:textId="77777777" w:rsidR="005C2151" w:rsidRPr="00FC51A4" w:rsidRDefault="005C215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182" w:type="dxa"/>
          </w:tcPr>
          <w:p w14:paraId="39A47981"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15.08 ± 1.87</w:t>
            </w:r>
          </w:p>
        </w:tc>
        <w:tc>
          <w:tcPr>
            <w:tcW w:w="1979" w:type="dxa"/>
          </w:tcPr>
          <w:p w14:paraId="75D628CB" w14:textId="77777777" w:rsidR="005C2151" w:rsidRPr="00FC51A4" w:rsidRDefault="005C215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00" w:type="dxa"/>
          </w:tcPr>
          <w:p w14:paraId="33E7F945" w14:textId="77777777" w:rsidR="005C2151" w:rsidRPr="00FC51A4" w:rsidRDefault="005C215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FC51A4" w:rsidRPr="00FC51A4" w14:paraId="5C44830F"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2CE79BA6"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Apigenin</w:t>
            </w:r>
          </w:p>
        </w:tc>
        <w:tc>
          <w:tcPr>
            <w:tcW w:w="1868" w:type="dxa"/>
          </w:tcPr>
          <w:p w14:paraId="4C4AE986"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171.23 ± 1.62</w:t>
            </w:r>
            <w:r w:rsidRPr="00FC51A4">
              <w:rPr>
                <w:rFonts w:ascii="Times New Roman" w:eastAsia="Times New Roman" w:hAnsi="Times New Roman" w:cs="Times New Roman"/>
                <w:sz w:val="24"/>
                <w:szCs w:val="24"/>
                <w:vertAlign w:val="superscript"/>
              </w:rPr>
              <w:t>c</w:t>
            </w:r>
          </w:p>
        </w:tc>
        <w:tc>
          <w:tcPr>
            <w:tcW w:w="1182" w:type="dxa"/>
          </w:tcPr>
          <w:p w14:paraId="70ED98B0"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63.1 ± 8.57</w:t>
            </w:r>
            <w:r w:rsidRPr="00FC51A4">
              <w:rPr>
                <w:rFonts w:ascii="Times New Roman" w:eastAsia="Times New Roman" w:hAnsi="Times New Roman" w:cs="Times New Roman"/>
                <w:sz w:val="24"/>
                <w:szCs w:val="24"/>
                <w:vertAlign w:val="superscript"/>
              </w:rPr>
              <w:t>d</w:t>
            </w:r>
          </w:p>
        </w:tc>
        <w:tc>
          <w:tcPr>
            <w:tcW w:w="1979" w:type="dxa"/>
          </w:tcPr>
          <w:p w14:paraId="66077E10"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462.62 ± 2.05</w:t>
            </w:r>
            <w:r w:rsidRPr="00FC51A4">
              <w:rPr>
                <w:rFonts w:ascii="Times New Roman" w:eastAsia="Times New Roman" w:hAnsi="Times New Roman" w:cs="Times New Roman"/>
                <w:sz w:val="24"/>
                <w:szCs w:val="24"/>
                <w:vertAlign w:val="superscript"/>
              </w:rPr>
              <w:t>b</w:t>
            </w:r>
          </w:p>
        </w:tc>
        <w:tc>
          <w:tcPr>
            <w:tcW w:w="1300" w:type="dxa"/>
          </w:tcPr>
          <w:p w14:paraId="487C1BD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599.98 ± 24.19</w:t>
            </w:r>
            <w:r w:rsidRPr="00FC51A4">
              <w:rPr>
                <w:rFonts w:ascii="Times New Roman" w:eastAsia="Times New Roman" w:hAnsi="Times New Roman" w:cs="Times New Roman"/>
                <w:sz w:val="24"/>
                <w:szCs w:val="24"/>
                <w:vertAlign w:val="superscript"/>
              </w:rPr>
              <w:t>a</w:t>
            </w:r>
          </w:p>
        </w:tc>
      </w:tr>
      <w:tr w:rsidR="00FC51A4" w:rsidRPr="00FC51A4" w14:paraId="5CC1883C"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4B64B7A1" w14:textId="77777777" w:rsidR="005C2151" w:rsidRPr="00FC51A4" w:rsidRDefault="00000000">
            <w:pPr>
              <w:spacing w:line="480" w:lineRule="auto"/>
              <w:rPr>
                <w:rFonts w:ascii="Times New Roman" w:eastAsia="Times New Roman" w:hAnsi="Times New Roman" w:cs="Times New Roman"/>
                <w:sz w:val="24"/>
                <w:szCs w:val="24"/>
              </w:rPr>
            </w:pPr>
            <w:proofErr w:type="spellStart"/>
            <w:r w:rsidRPr="00FC51A4">
              <w:rPr>
                <w:rFonts w:ascii="Times New Roman" w:eastAsia="Times New Roman" w:hAnsi="Times New Roman" w:cs="Times New Roman"/>
                <w:b w:val="0"/>
                <w:sz w:val="24"/>
                <w:szCs w:val="24"/>
              </w:rPr>
              <w:t>Chrysoeriol</w:t>
            </w:r>
            <w:proofErr w:type="spellEnd"/>
          </w:p>
        </w:tc>
        <w:tc>
          <w:tcPr>
            <w:tcW w:w="1868" w:type="dxa"/>
          </w:tcPr>
          <w:p w14:paraId="71E58BE1"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117.5 ± 13.41b</w:t>
            </w:r>
            <w:r w:rsidRPr="00FC51A4">
              <w:rPr>
                <w:rFonts w:ascii="Times New Roman" w:eastAsia="Times New Roman" w:hAnsi="Times New Roman" w:cs="Times New Roman"/>
                <w:sz w:val="24"/>
                <w:szCs w:val="24"/>
                <w:vertAlign w:val="superscript"/>
              </w:rPr>
              <w:t>c</w:t>
            </w:r>
          </w:p>
        </w:tc>
        <w:tc>
          <w:tcPr>
            <w:tcW w:w="1182" w:type="dxa"/>
          </w:tcPr>
          <w:p w14:paraId="0E342244"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8.64 ± 0.47</w:t>
            </w:r>
            <w:r w:rsidRPr="00FC51A4">
              <w:rPr>
                <w:rFonts w:ascii="Times New Roman" w:eastAsia="Times New Roman" w:hAnsi="Times New Roman" w:cs="Times New Roman"/>
                <w:sz w:val="24"/>
                <w:szCs w:val="24"/>
                <w:vertAlign w:val="superscript"/>
              </w:rPr>
              <w:t>c</w:t>
            </w:r>
          </w:p>
        </w:tc>
        <w:tc>
          <w:tcPr>
            <w:tcW w:w="1979" w:type="dxa"/>
          </w:tcPr>
          <w:p w14:paraId="011330FF"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254.39 ± 17.23</w:t>
            </w:r>
            <w:r w:rsidRPr="00FC51A4">
              <w:rPr>
                <w:rFonts w:ascii="Times New Roman" w:eastAsia="Times New Roman" w:hAnsi="Times New Roman" w:cs="Times New Roman"/>
                <w:sz w:val="24"/>
                <w:szCs w:val="24"/>
                <w:vertAlign w:val="superscript"/>
              </w:rPr>
              <w:t>b</w:t>
            </w:r>
          </w:p>
        </w:tc>
        <w:tc>
          <w:tcPr>
            <w:tcW w:w="1300" w:type="dxa"/>
          </w:tcPr>
          <w:p w14:paraId="584B532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1711 ± 70.71</w:t>
            </w:r>
            <w:r w:rsidRPr="00FC51A4">
              <w:rPr>
                <w:rFonts w:ascii="Times New Roman" w:eastAsia="Times New Roman" w:hAnsi="Times New Roman" w:cs="Times New Roman"/>
                <w:sz w:val="24"/>
                <w:szCs w:val="24"/>
                <w:vertAlign w:val="superscript"/>
              </w:rPr>
              <w:t>a</w:t>
            </w:r>
          </w:p>
        </w:tc>
      </w:tr>
      <w:tr w:rsidR="00FC51A4" w:rsidRPr="00FC51A4" w14:paraId="0CD9AFA0"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07944A48" w14:textId="77777777" w:rsidR="005C2151" w:rsidRPr="00FC51A4" w:rsidRDefault="00000000">
            <w:pPr>
              <w:spacing w:line="480" w:lineRule="auto"/>
              <w:rPr>
                <w:rFonts w:ascii="Times New Roman" w:eastAsia="Times New Roman" w:hAnsi="Times New Roman" w:cs="Times New Roman"/>
                <w:sz w:val="24"/>
                <w:szCs w:val="24"/>
              </w:rPr>
            </w:pPr>
            <w:proofErr w:type="spellStart"/>
            <w:r w:rsidRPr="00FC51A4">
              <w:rPr>
                <w:rFonts w:ascii="Times New Roman" w:eastAsia="Times New Roman" w:hAnsi="Times New Roman" w:cs="Times New Roman"/>
                <w:b w:val="0"/>
                <w:sz w:val="24"/>
                <w:szCs w:val="24"/>
              </w:rPr>
              <w:lastRenderedPageBreak/>
              <w:t>Cannflavin</w:t>
            </w:r>
            <w:proofErr w:type="spellEnd"/>
            <w:r w:rsidRPr="00FC51A4">
              <w:rPr>
                <w:rFonts w:ascii="Times New Roman" w:eastAsia="Times New Roman" w:hAnsi="Times New Roman" w:cs="Times New Roman"/>
                <w:b w:val="0"/>
                <w:sz w:val="24"/>
                <w:szCs w:val="24"/>
              </w:rPr>
              <w:t xml:space="preserve"> B</w:t>
            </w:r>
          </w:p>
        </w:tc>
        <w:tc>
          <w:tcPr>
            <w:tcW w:w="1868" w:type="dxa"/>
          </w:tcPr>
          <w:p w14:paraId="5EF24F8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1468.34 ± 60.15</w:t>
            </w:r>
            <w:r w:rsidRPr="00FC51A4">
              <w:rPr>
                <w:rFonts w:ascii="Times New Roman" w:eastAsia="Times New Roman" w:hAnsi="Times New Roman" w:cs="Times New Roman"/>
                <w:sz w:val="24"/>
                <w:szCs w:val="24"/>
                <w:vertAlign w:val="superscript"/>
              </w:rPr>
              <w:t>b</w:t>
            </w:r>
          </w:p>
        </w:tc>
        <w:tc>
          <w:tcPr>
            <w:tcW w:w="1182" w:type="dxa"/>
          </w:tcPr>
          <w:p w14:paraId="10E1975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355.55 ± 10.85</w:t>
            </w:r>
            <w:r w:rsidRPr="00FC51A4">
              <w:rPr>
                <w:rFonts w:ascii="Times New Roman" w:eastAsia="Times New Roman" w:hAnsi="Times New Roman" w:cs="Times New Roman"/>
                <w:sz w:val="24"/>
                <w:szCs w:val="24"/>
                <w:vertAlign w:val="superscript"/>
              </w:rPr>
              <w:t>c</w:t>
            </w:r>
          </w:p>
        </w:tc>
        <w:tc>
          <w:tcPr>
            <w:tcW w:w="1979" w:type="dxa"/>
          </w:tcPr>
          <w:p w14:paraId="39774E94"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2899.43 ± 160.05</w:t>
            </w:r>
            <w:r w:rsidRPr="00FC51A4">
              <w:rPr>
                <w:rFonts w:ascii="Times New Roman" w:eastAsia="Times New Roman" w:hAnsi="Times New Roman" w:cs="Times New Roman"/>
                <w:sz w:val="24"/>
                <w:szCs w:val="24"/>
                <w:vertAlign w:val="superscript"/>
              </w:rPr>
              <w:t>a</w:t>
            </w:r>
          </w:p>
        </w:tc>
        <w:tc>
          <w:tcPr>
            <w:tcW w:w="1300" w:type="dxa"/>
          </w:tcPr>
          <w:p w14:paraId="310E4E2C"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2965.83 ± 91.02</w:t>
            </w:r>
            <w:r w:rsidRPr="00FC51A4">
              <w:rPr>
                <w:rFonts w:ascii="Times New Roman" w:eastAsia="Times New Roman" w:hAnsi="Times New Roman" w:cs="Times New Roman"/>
                <w:sz w:val="24"/>
                <w:szCs w:val="24"/>
                <w:vertAlign w:val="superscript"/>
              </w:rPr>
              <w:t>a</w:t>
            </w:r>
          </w:p>
        </w:tc>
      </w:tr>
      <w:tr w:rsidR="00FC51A4" w:rsidRPr="00FC51A4" w14:paraId="08E389F7"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16334519" w14:textId="77777777" w:rsidR="005C2151" w:rsidRPr="00FC51A4" w:rsidRDefault="00000000">
            <w:pPr>
              <w:spacing w:line="480" w:lineRule="auto"/>
              <w:rPr>
                <w:rFonts w:ascii="Times New Roman" w:eastAsia="Times New Roman" w:hAnsi="Times New Roman" w:cs="Times New Roman"/>
                <w:sz w:val="24"/>
                <w:szCs w:val="24"/>
              </w:rPr>
            </w:pPr>
            <w:proofErr w:type="spellStart"/>
            <w:r w:rsidRPr="00FC51A4">
              <w:rPr>
                <w:rFonts w:ascii="Times New Roman" w:eastAsia="Times New Roman" w:hAnsi="Times New Roman" w:cs="Times New Roman"/>
                <w:b w:val="0"/>
                <w:sz w:val="24"/>
                <w:szCs w:val="24"/>
              </w:rPr>
              <w:t>Cannflavin</w:t>
            </w:r>
            <w:proofErr w:type="spellEnd"/>
            <w:r w:rsidRPr="00FC51A4">
              <w:rPr>
                <w:rFonts w:ascii="Times New Roman" w:eastAsia="Times New Roman" w:hAnsi="Times New Roman" w:cs="Times New Roman"/>
                <w:b w:val="0"/>
                <w:sz w:val="24"/>
                <w:szCs w:val="24"/>
              </w:rPr>
              <w:t xml:space="preserve"> A</w:t>
            </w:r>
          </w:p>
        </w:tc>
        <w:tc>
          <w:tcPr>
            <w:tcW w:w="1868" w:type="dxa"/>
          </w:tcPr>
          <w:p w14:paraId="47EE9DDC"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2557.6 ± 91.14</w:t>
            </w:r>
            <w:r w:rsidRPr="00FC51A4">
              <w:rPr>
                <w:rFonts w:ascii="Times New Roman" w:eastAsia="Times New Roman" w:hAnsi="Times New Roman" w:cs="Times New Roman"/>
                <w:sz w:val="24"/>
                <w:szCs w:val="24"/>
                <w:vertAlign w:val="superscript"/>
              </w:rPr>
              <w:t>c</w:t>
            </w:r>
          </w:p>
        </w:tc>
        <w:tc>
          <w:tcPr>
            <w:tcW w:w="1182" w:type="dxa"/>
          </w:tcPr>
          <w:p w14:paraId="282AC93B"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1892.29 ± 66.84</w:t>
            </w:r>
            <w:r w:rsidRPr="00FC51A4">
              <w:rPr>
                <w:rFonts w:ascii="Times New Roman" w:eastAsia="Times New Roman" w:hAnsi="Times New Roman" w:cs="Times New Roman"/>
                <w:sz w:val="24"/>
                <w:szCs w:val="24"/>
                <w:vertAlign w:val="superscript"/>
              </w:rPr>
              <w:t>d</w:t>
            </w:r>
          </w:p>
        </w:tc>
        <w:tc>
          <w:tcPr>
            <w:tcW w:w="1979" w:type="dxa"/>
          </w:tcPr>
          <w:p w14:paraId="0C769AC7"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7709.13 ± 62.28</w:t>
            </w:r>
            <w:r w:rsidRPr="00FC51A4">
              <w:rPr>
                <w:rFonts w:ascii="Times New Roman" w:eastAsia="Times New Roman" w:hAnsi="Times New Roman" w:cs="Times New Roman"/>
                <w:sz w:val="24"/>
                <w:szCs w:val="24"/>
                <w:vertAlign w:val="superscript"/>
              </w:rPr>
              <w:t>b</w:t>
            </w:r>
          </w:p>
        </w:tc>
        <w:tc>
          <w:tcPr>
            <w:tcW w:w="1300" w:type="dxa"/>
          </w:tcPr>
          <w:p w14:paraId="3D1C7C91"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10802.84 ± 12.55</w:t>
            </w:r>
            <w:r w:rsidRPr="00FC51A4">
              <w:rPr>
                <w:rFonts w:ascii="Times New Roman" w:eastAsia="Times New Roman" w:hAnsi="Times New Roman" w:cs="Times New Roman"/>
                <w:sz w:val="24"/>
                <w:szCs w:val="24"/>
                <w:vertAlign w:val="superscript"/>
              </w:rPr>
              <w:t>a</w:t>
            </w:r>
          </w:p>
        </w:tc>
      </w:tr>
      <w:tr w:rsidR="00FC51A4" w:rsidRPr="00FC51A4" w14:paraId="59ACC662"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1C30808E"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Morin</w:t>
            </w:r>
          </w:p>
        </w:tc>
        <w:tc>
          <w:tcPr>
            <w:tcW w:w="1868" w:type="dxa"/>
          </w:tcPr>
          <w:p w14:paraId="0BC0876E"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2.96 ± 0.54</w:t>
            </w:r>
          </w:p>
        </w:tc>
        <w:tc>
          <w:tcPr>
            <w:tcW w:w="1182" w:type="dxa"/>
          </w:tcPr>
          <w:p w14:paraId="7418312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4.49 ± 0.66</w:t>
            </w:r>
          </w:p>
        </w:tc>
        <w:tc>
          <w:tcPr>
            <w:tcW w:w="1979" w:type="dxa"/>
          </w:tcPr>
          <w:p w14:paraId="5F223C65" w14:textId="77777777" w:rsidR="005C2151" w:rsidRPr="00FC51A4" w:rsidRDefault="005C215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00" w:type="dxa"/>
          </w:tcPr>
          <w:p w14:paraId="3F73D48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2.83 ± 0.1</w:t>
            </w:r>
          </w:p>
        </w:tc>
      </w:tr>
      <w:tr w:rsidR="00FC51A4" w:rsidRPr="00FC51A4" w14:paraId="3F1DAC42"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54439629"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Diosmetin</w:t>
            </w:r>
          </w:p>
        </w:tc>
        <w:tc>
          <w:tcPr>
            <w:tcW w:w="1868" w:type="dxa"/>
          </w:tcPr>
          <w:p w14:paraId="3FE486B3"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93.79 ± 10.73c</w:t>
            </w:r>
          </w:p>
        </w:tc>
        <w:tc>
          <w:tcPr>
            <w:tcW w:w="1182" w:type="dxa"/>
          </w:tcPr>
          <w:p w14:paraId="3D1058C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6.56 ± 0.45</w:t>
            </w:r>
            <w:r w:rsidRPr="00FC51A4">
              <w:rPr>
                <w:rFonts w:ascii="Times New Roman" w:eastAsia="Times New Roman" w:hAnsi="Times New Roman" w:cs="Times New Roman"/>
                <w:sz w:val="24"/>
                <w:szCs w:val="24"/>
                <w:vertAlign w:val="superscript"/>
              </w:rPr>
              <w:t>d</w:t>
            </w:r>
          </w:p>
        </w:tc>
        <w:tc>
          <w:tcPr>
            <w:tcW w:w="1979" w:type="dxa"/>
          </w:tcPr>
          <w:p w14:paraId="372A4BF1"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217.91 ± 1.47</w:t>
            </w:r>
            <w:r w:rsidRPr="00FC51A4">
              <w:rPr>
                <w:rFonts w:ascii="Times New Roman" w:eastAsia="Times New Roman" w:hAnsi="Times New Roman" w:cs="Times New Roman"/>
                <w:sz w:val="24"/>
                <w:szCs w:val="24"/>
                <w:vertAlign w:val="superscript"/>
              </w:rPr>
              <w:t>b</w:t>
            </w:r>
          </w:p>
        </w:tc>
        <w:tc>
          <w:tcPr>
            <w:tcW w:w="1300" w:type="dxa"/>
          </w:tcPr>
          <w:p w14:paraId="6CB0363D"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826.52 ± 12.81</w:t>
            </w:r>
            <w:r w:rsidRPr="00FC51A4">
              <w:rPr>
                <w:rFonts w:ascii="Times New Roman" w:eastAsia="Times New Roman" w:hAnsi="Times New Roman" w:cs="Times New Roman"/>
                <w:sz w:val="24"/>
                <w:szCs w:val="24"/>
                <w:vertAlign w:val="superscript"/>
              </w:rPr>
              <w:t>a</w:t>
            </w:r>
          </w:p>
        </w:tc>
      </w:tr>
      <w:tr w:rsidR="00FC51A4" w:rsidRPr="00FC51A4" w14:paraId="4BA6C62B"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7066419B"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Baicalein</w:t>
            </w:r>
          </w:p>
        </w:tc>
        <w:tc>
          <w:tcPr>
            <w:tcW w:w="1868" w:type="dxa"/>
          </w:tcPr>
          <w:p w14:paraId="1DEFCB26"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18.92 ± 2.55</w:t>
            </w:r>
            <w:r w:rsidRPr="00FC51A4">
              <w:rPr>
                <w:rFonts w:ascii="Times New Roman" w:eastAsia="Times New Roman" w:hAnsi="Times New Roman" w:cs="Times New Roman"/>
                <w:sz w:val="24"/>
                <w:szCs w:val="24"/>
                <w:vertAlign w:val="superscript"/>
              </w:rPr>
              <w:t>c</w:t>
            </w:r>
          </w:p>
        </w:tc>
        <w:tc>
          <w:tcPr>
            <w:tcW w:w="1182" w:type="dxa"/>
          </w:tcPr>
          <w:p w14:paraId="135143C1"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 ± 0.23</w:t>
            </w:r>
            <w:r w:rsidRPr="00FC51A4">
              <w:rPr>
                <w:rFonts w:ascii="Times New Roman" w:eastAsia="Times New Roman" w:hAnsi="Times New Roman" w:cs="Times New Roman"/>
                <w:sz w:val="24"/>
                <w:szCs w:val="24"/>
                <w:vertAlign w:val="superscript"/>
              </w:rPr>
              <w:t>d</w:t>
            </w:r>
          </w:p>
        </w:tc>
        <w:tc>
          <w:tcPr>
            <w:tcW w:w="1979" w:type="dxa"/>
          </w:tcPr>
          <w:p w14:paraId="2FA0F983"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62.25 ± 0.7</w:t>
            </w:r>
            <w:r w:rsidRPr="00FC51A4">
              <w:rPr>
                <w:rFonts w:ascii="Times New Roman" w:eastAsia="Times New Roman" w:hAnsi="Times New Roman" w:cs="Times New Roman"/>
                <w:sz w:val="24"/>
                <w:szCs w:val="24"/>
                <w:vertAlign w:val="superscript"/>
              </w:rPr>
              <w:t>b</w:t>
            </w:r>
          </w:p>
        </w:tc>
        <w:tc>
          <w:tcPr>
            <w:tcW w:w="1300" w:type="dxa"/>
          </w:tcPr>
          <w:p w14:paraId="4D90EB7C"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86.22 ± 2.96</w:t>
            </w:r>
            <w:r w:rsidRPr="00FC51A4">
              <w:rPr>
                <w:rFonts w:ascii="Times New Roman" w:eastAsia="Times New Roman" w:hAnsi="Times New Roman" w:cs="Times New Roman"/>
                <w:sz w:val="24"/>
                <w:szCs w:val="24"/>
                <w:vertAlign w:val="superscript"/>
              </w:rPr>
              <w:t>a</w:t>
            </w:r>
          </w:p>
        </w:tc>
      </w:tr>
      <w:tr w:rsidR="00FC51A4" w:rsidRPr="00FC51A4" w14:paraId="6BFB4381"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580D3C75"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Genistein</w:t>
            </w:r>
          </w:p>
        </w:tc>
        <w:tc>
          <w:tcPr>
            <w:tcW w:w="1868" w:type="dxa"/>
          </w:tcPr>
          <w:p w14:paraId="0ED5305F"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11.96 ± 1.35</w:t>
            </w:r>
            <w:r w:rsidRPr="00FC51A4">
              <w:rPr>
                <w:rFonts w:ascii="Times New Roman" w:eastAsia="Times New Roman" w:hAnsi="Times New Roman" w:cs="Times New Roman"/>
                <w:sz w:val="24"/>
                <w:szCs w:val="24"/>
                <w:vertAlign w:val="superscript"/>
              </w:rPr>
              <w:t>c</w:t>
            </w:r>
          </w:p>
        </w:tc>
        <w:tc>
          <w:tcPr>
            <w:tcW w:w="1182" w:type="dxa"/>
          </w:tcPr>
          <w:p w14:paraId="23AD5427"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1.29 ± 0.04</w:t>
            </w:r>
            <w:r w:rsidRPr="00FC51A4">
              <w:rPr>
                <w:rFonts w:ascii="Times New Roman" w:eastAsia="Times New Roman" w:hAnsi="Times New Roman" w:cs="Times New Roman"/>
                <w:sz w:val="24"/>
                <w:szCs w:val="24"/>
                <w:vertAlign w:val="superscript"/>
              </w:rPr>
              <w:t>d</w:t>
            </w:r>
          </w:p>
        </w:tc>
        <w:tc>
          <w:tcPr>
            <w:tcW w:w="1979" w:type="dxa"/>
          </w:tcPr>
          <w:p w14:paraId="4B821304"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38.68 ± 1.36</w:t>
            </w:r>
            <w:r w:rsidRPr="00FC51A4">
              <w:rPr>
                <w:rFonts w:ascii="Times New Roman" w:eastAsia="Times New Roman" w:hAnsi="Times New Roman" w:cs="Times New Roman"/>
                <w:sz w:val="24"/>
                <w:szCs w:val="24"/>
                <w:vertAlign w:val="superscript"/>
              </w:rPr>
              <w:t>b</w:t>
            </w:r>
          </w:p>
        </w:tc>
        <w:tc>
          <w:tcPr>
            <w:tcW w:w="1300" w:type="dxa"/>
          </w:tcPr>
          <w:p w14:paraId="582058CB"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51.55 ± 0.97</w:t>
            </w:r>
            <w:r w:rsidRPr="00FC51A4">
              <w:rPr>
                <w:rFonts w:ascii="Times New Roman" w:eastAsia="Times New Roman" w:hAnsi="Times New Roman" w:cs="Times New Roman"/>
                <w:sz w:val="24"/>
                <w:szCs w:val="24"/>
                <w:vertAlign w:val="superscript"/>
              </w:rPr>
              <w:t>a</w:t>
            </w:r>
          </w:p>
        </w:tc>
      </w:tr>
      <w:tr w:rsidR="00FC51A4" w:rsidRPr="00FC51A4" w14:paraId="65CE2BC0"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21598AF3" w14:textId="77777777" w:rsidR="005C2151" w:rsidRPr="00FC51A4" w:rsidRDefault="00000000">
            <w:pPr>
              <w:spacing w:line="480" w:lineRule="auto"/>
              <w:rPr>
                <w:rFonts w:ascii="Times New Roman" w:eastAsia="Times New Roman" w:hAnsi="Times New Roman" w:cs="Times New Roman"/>
                <w:sz w:val="24"/>
                <w:szCs w:val="24"/>
              </w:rPr>
            </w:pPr>
            <w:proofErr w:type="spellStart"/>
            <w:r w:rsidRPr="00FC51A4">
              <w:rPr>
                <w:rFonts w:ascii="Times New Roman" w:eastAsia="Times New Roman" w:hAnsi="Times New Roman" w:cs="Times New Roman"/>
                <w:b w:val="0"/>
                <w:sz w:val="24"/>
                <w:szCs w:val="24"/>
              </w:rPr>
              <w:t>Canniprene</w:t>
            </w:r>
            <w:proofErr w:type="spellEnd"/>
          </w:p>
        </w:tc>
        <w:tc>
          <w:tcPr>
            <w:tcW w:w="1868" w:type="dxa"/>
          </w:tcPr>
          <w:p w14:paraId="03345317"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502 ± 21</w:t>
            </w:r>
            <w:r w:rsidRPr="00FC51A4">
              <w:rPr>
                <w:rFonts w:ascii="Times New Roman" w:eastAsia="Times New Roman" w:hAnsi="Times New Roman" w:cs="Times New Roman"/>
                <w:sz w:val="24"/>
                <w:szCs w:val="24"/>
                <w:vertAlign w:val="superscript"/>
              </w:rPr>
              <w:t>b</w:t>
            </w:r>
          </w:p>
        </w:tc>
        <w:tc>
          <w:tcPr>
            <w:tcW w:w="1182" w:type="dxa"/>
          </w:tcPr>
          <w:p w14:paraId="09643F6C"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 LOQ</w:t>
            </w:r>
          </w:p>
        </w:tc>
        <w:tc>
          <w:tcPr>
            <w:tcW w:w="1979" w:type="dxa"/>
          </w:tcPr>
          <w:p w14:paraId="65E1D033"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4168 ± 337</w:t>
            </w:r>
            <w:r w:rsidRPr="00FC51A4">
              <w:rPr>
                <w:rFonts w:ascii="Times New Roman" w:eastAsia="Times New Roman" w:hAnsi="Times New Roman" w:cs="Times New Roman"/>
                <w:sz w:val="24"/>
                <w:szCs w:val="24"/>
                <w:vertAlign w:val="superscript"/>
              </w:rPr>
              <w:t>a</w:t>
            </w:r>
          </w:p>
        </w:tc>
        <w:tc>
          <w:tcPr>
            <w:tcW w:w="1300" w:type="dxa"/>
          </w:tcPr>
          <w:p w14:paraId="22FD2DAE"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491 ± 16</w:t>
            </w:r>
            <w:r w:rsidRPr="00FC51A4">
              <w:rPr>
                <w:rFonts w:ascii="Times New Roman" w:eastAsia="Times New Roman" w:hAnsi="Times New Roman" w:cs="Times New Roman"/>
                <w:sz w:val="24"/>
                <w:szCs w:val="24"/>
                <w:vertAlign w:val="superscript"/>
              </w:rPr>
              <w:t>b</w:t>
            </w:r>
          </w:p>
        </w:tc>
      </w:tr>
      <w:tr w:rsidR="00FC51A4" w:rsidRPr="00FC51A4" w14:paraId="352FF94D"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31713FCA"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b w:val="0"/>
                <w:sz w:val="24"/>
                <w:szCs w:val="24"/>
              </w:rPr>
              <w:t>5-methoxy-dihydrodenbinobene</w:t>
            </w:r>
          </w:p>
        </w:tc>
        <w:tc>
          <w:tcPr>
            <w:tcW w:w="1868" w:type="dxa"/>
          </w:tcPr>
          <w:p w14:paraId="60A8F675"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 LOQ</w:t>
            </w:r>
          </w:p>
        </w:tc>
        <w:tc>
          <w:tcPr>
            <w:tcW w:w="1182" w:type="dxa"/>
          </w:tcPr>
          <w:p w14:paraId="4D03CAAF"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&lt; LOQ</w:t>
            </w:r>
          </w:p>
        </w:tc>
        <w:tc>
          <w:tcPr>
            <w:tcW w:w="1979" w:type="dxa"/>
          </w:tcPr>
          <w:p w14:paraId="25836FCC"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11168 ± 74</w:t>
            </w:r>
            <w:r w:rsidRPr="00FC51A4">
              <w:rPr>
                <w:rFonts w:ascii="Times New Roman" w:eastAsia="Times New Roman" w:hAnsi="Times New Roman" w:cs="Times New Roman"/>
                <w:sz w:val="24"/>
                <w:szCs w:val="24"/>
                <w:vertAlign w:val="superscript"/>
              </w:rPr>
              <w:t>a</w:t>
            </w:r>
          </w:p>
        </w:tc>
        <w:tc>
          <w:tcPr>
            <w:tcW w:w="1300" w:type="dxa"/>
          </w:tcPr>
          <w:p w14:paraId="3E649EE1"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940 ± 108</w:t>
            </w:r>
            <w:r w:rsidRPr="00FC51A4">
              <w:rPr>
                <w:rFonts w:ascii="Times New Roman" w:eastAsia="Times New Roman" w:hAnsi="Times New Roman" w:cs="Times New Roman"/>
                <w:sz w:val="24"/>
                <w:szCs w:val="24"/>
                <w:vertAlign w:val="superscript"/>
              </w:rPr>
              <w:t>b</w:t>
            </w:r>
          </w:p>
        </w:tc>
      </w:tr>
      <w:tr w:rsidR="00FC51A4" w:rsidRPr="00FC51A4" w14:paraId="756BB940"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0C7BD777"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Total</w:t>
            </w:r>
          </w:p>
        </w:tc>
        <w:tc>
          <w:tcPr>
            <w:tcW w:w="1868" w:type="dxa"/>
          </w:tcPr>
          <w:p w14:paraId="0605B791"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5008</w:t>
            </w:r>
            <w:r w:rsidRPr="00FC51A4">
              <w:rPr>
                <w:rFonts w:ascii="Times New Roman" w:eastAsia="Times New Roman" w:hAnsi="Times New Roman" w:cs="Times New Roman"/>
                <w:sz w:val="24"/>
                <w:szCs w:val="24"/>
                <w:vertAlign w:val="superscript"/>
              </w:rPr>
              <w:t>c</w:t>
            </w:r>
          </w:p>
        </w:tc>
        <w:tc>
          <w:tcPr>
            <w:tcW w:w="1182" w:type="dxa"/>
          </w:tcPr>
          <w:p w14:paraId="245FE628"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2375</w:t>
            </w:r>
            <w:r w:rsidRPr="00FC51A4">
              <w:rPr>
                <w:rFonts w:ascii="Times New Roman" w:eastAsia="Times New Roman" w:hAnsi="Times New Roman" w:cs="Times New Roman"/>
                <w:sz w:val="24"/>
                <w:szCs w:val="24"/>
                <w:vertAlign w:val="superscript"/>
              </w:rPr>
              <w:t>d</w:t>
            </w:r>
          </w:p>
        </w:tc>
        <w:tc>
          <w:tcPr>
            <w:tcW w:w="1979" w:type="dxa"/>
          </w:tcPr>
          <w:p w14:paraId="0E0D5404"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27212</w:t>
            </w:r>
            <w:r w:rsidRPr="00FC51A4">
              <w:rPr>
                <w:rFonts w:ascii="Times New Roman" w:eastAsia="Times New Roman" w:hAnsi="Times New Roman" w:cs="Times New Roman"/>
                <w:sz w:val="24"/>
                <w:szCs w:val="24"/>
                <w:vertAlign w:val="superscript"/>
              </w:rPr>
              <w:t>a</w:t>
            </w:r>
          </w:p>
        </w:tc>
        <w:tc>
          <w:tcPr>
            <w:tcW w:w="1300" w:type="dxa"/>
          </w:tcPr>
          <w:p w14:paraId="305CDBDF" w14:textId="77777777" w:rsidR="005C2151" w:rsidRPr="00FC51A4"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18682</w:t>
            </w:r>
            <w:r w:rsidRPr="00FC51A4">
              <w:rPr>
                <w:rFonts w:ascii="Times New Roman" w:eastAsia="Times New Roman" w:hAnsi="Times New Roman" w:cs="Times New Roman"/>
                <w:sz w:val="24"/>
                <w:szCs w:val="24"/>
                <w:vertAlign w:val="superscript"/>
              </w:rPr>
              <w:t>b</w:t>
            </w:r>
          </w:p>
        </w:tc>
      </w:tr>
    </w:tbl>
    <w:p w14:paraId="40AEB1C7" w14:textId="77777777" w:rsidR="005C2151" w:rsidRPr="00FC51A4" w:rsidRDefault="00000000">
      <w:pPr>
        <w:spacing w:before="120" w:after="0"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Different letters indicate statistical differences (p &lt; 0.05), within the same molecule. </w:t>
      </w:r>
    </w:p>
    <w:p w14:paraId="08E6FDEE" w14:textId="77777777" w:rsidR="005C2151" w:rsidRPr="00FC51A4" w:rsidRDefault="005C2151">
      <w:pPr>
        <w:spacing w:before="120" w:after="0" w:line="480" w:lineRule="auto"/>
        <w:rPr>
          <w:rFonts w:ascii="Times New Roman" w:eastAsia="Times New Roman" w:hAnsi="Times New Roman" w:cs="Times New Roman"/>
          <w:sz w:val="24"/>
          <w:szCs w:val="24"/>
        </w:rPr>
      </w:pPr>
    </w:p>
    <w:p w14:paraId="376CB63E" w14:textId="77777777" w:rsidR="005C2151" w:rsidRPr="00FC51A4" w:rsidRDefault="005C2151">
      <w:pPr>
        <w:spacing w:line="480" w:lineRule="auto"/>
        <w:rPr>
          <w:rFonts w:ascii="Times New Roman" w:eastAsia="Times New Roman" w:hAnsi="Times New Roman" w:cs="Times New Roman"/>
          <w:sz w:val="24"/>
          <w:szCs w:val="24"/>
        </w:rPr>
      </w:pPr>
    </w:p>
    <w:p w14:paraId="60983912" w14:textId="76455DAC" w:rsidR="005C2151" w:rsidRPr="00FC51A4" w:rsidRDefault="00CC1ED9">
      <w:pPr>
        <w:spacing w:line="480" w:lineRule="auto"/>
        <w:rPr>
          <w:rFonts w:ascii="Times New Roman" w:eastAsia="Times New Roman" w:hAnsi="Times New Roman" w:cs="Times New Roman"/>
          <w:sz w:val="24"/>
          <w:szCs w:val="24"/>
        </w:rPr>
      </w:pPr>
      <w:r w:rsidRPr="00FC51A4">
        <w:rPr>
          <w:noProof/>
        </w:rPr>
        <w:drawing>
          <wp:inline distT="0" distB="0" distL="0" distR="0" wp14:anchorId="5E278EA3" wp14:editId="7F10D490">
            <wp:extent cx="6120130" cy="1698625"/>
            <wp:effectExtent l="0" t="0" r="0" b="0"/>
            <wp:docPr id="5" name="Obrázek 4">
              <a:extLst xmlns:a="http://schemas.openxmlformats.org/drawingml/2006/main">
                <a:ext uri="{FF2B5EF4-FFF2-40B4-BE49-F238E27FC236}">
                  <a16:creationId xmlns:a16="http://schemas.microsoft.com/office/drawing/2014/main" id="{FA055555-0D84-4FFD-A6B8-3C01CD54C3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FA055555-0D84-4FFD-A6B8-3C01CD54C3D1}"/>
                        </a:ext>
                      </a:extLst>
                    </pic:cNvPr>
                    <pic:cNvPicPr>
                      <a:picLocks noChangeAspect="1"/>
                    </pic:cNvPicPr>
                  </pic:nvPicPr>
                  <pic:blipFill>
                    <a:blip r:embed="rId8"/>
                    <a:stretch>
                      <a:fillRect/>
                    </a:stretch>
                  </pic:blipFill>
                  <pic:spPr>
                    <a:xfrm>
                      <a:off x="0" y="0"/>
                      <a:ext cx="6120130" cy="1698625"/>
                    </a:xfrm>
                    <a:prstGeom prst="rect">
                      <a:avLst/>
                    </a:prstGeom>
                  </pic:spPr>
                </pic:pic>
              </a:graphicData>
            </a:graphic>
          </wp:inline>
        </w:drawing>
      </w:r>
    </w:p>
    <w:p w14:paraId="01FA09D3" w14:textId="1987161A" w:rsidR="00CC1ED9" w:rsidRPr="00FC51A4" w:rsidRDefault="00CC1ED9" w:rsidP="00CC1ED9">
      <w:pPr>
        <w:spacing w:line="480" w:lineRule="auto"/>
        <w:rPr>
          <w:rFonts w:ascii="Times New Roman" w:eastAsia="Times New Roman" w:hAnsi="Times New Roman" w:cs="Times New Roman"/>
          <w:sz w:val="24"/>
          <w:szCs w:val="24"/>
          <w:vertAlign w:val="subscript"/>
        </w:rPr>
      </w:pPr>
      <w:r w:rsidRPr="00FC51A4">
        <w:rPr>
          <w:rFonts w:ascii="Times New Roman" w:eastAsia="Times New Roman" w:hAnsi="Times New Roman" w:cs="Times New Roman"/>
          <w:sz w:val="24"/>
          <w:szCs w:val="24"/>
        </w:rPr>
        <w:t>Fig. S1: XICs of all</w:t>
      </w:r>
      <w:r w:rsidR="00BE0E65" w:rsidRPr="00FC51A4">
        <w:rPr>
          <w:rFonts w:ascii="Times New Roman" w:eastAsia="Times New Roman" w:hAnsi="Times New Roman" w:cs="Times New Roman"/>
          <w:sz w:val="24"/>
          <w:szCs w:val="24"/>
        </w:rPr>
        <w:t xml:space="preserve"> standard</w:t>
      </w:r>
      <w:r w:rsidRPr="00FC51A4">
        <w:rPr>
          <w:rFonts w:ascii="Times New Roman" w:eastAsia="Times New Roman" w:hAnsi="Times New Roman" w:cs="Times New Roman"/>
          <w:sz w:val="24"/>
          <w:szCs w:val="24"/>
        </w:rPr>
        <w:t xml:space="preserve"> cannabinoids </w:t>
      </w:r>
      <w:r w:rsidR="00BE0E65" w:rsidRPr="00FC51A4">
        <w:rPr>
          <w:rFonts w:ascii="Times New Roman" w:eastAsia="Times New Roman" w:hAnsi="Times New Roman" w:cs="Times New Roman"/>
          <w:sz w:val="24"/>
          <w:szCs w:val="24"/>
        </w:rPr>
        <w:t>and</w:t>
      </w:r>
      <w:r w:rsidRPr="00FC51A4">
        <w:rPr>
          <w:rFonts w:ascii="Times New Roman" w:eastAsia="Times New Roman" w:hAnsi="Times New Roman" w:cs="Times New Roman"/>
          <w:sz w:val="24"/>
          <w:szCs w:val="24"/>
        </w:rPr>
        <w:t xml:space="preserve"> flavonoids detected (100 ng/mL)</w:t>
      </w:r>
    </w:p>
    <w:p w14:paraId="24A25FC6" w14:textId="77777777" w:rsidR="00CC1ED9" w:rsidRPr="00FC51A4" w:rsidRDefault="00CC1ED9" w:rsidP="00CC1ED9">
      <w:pPr>
        <w:spacing w:before="120" w:after="0"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noProof/>
          <w:sz w:val="24"/>
          <w:szCs w:val="24"/>
        </w:rPr>
        <w:lastRenderedPageBreak/>
        <w:drawing>
          <wp:inline distT="114300" distB="114300" distL="114300" distR="114300" wp14:anchorId="48C47B3F" wp14:editId="3659F15D">
            <wp:extent cx="5628159" cy="3915241"/>
            <wp:effectExtent l="0" t="0" r="0" b="0"/>
            <wp:docPr id="7" name="image2.png" descr="Immagine che contiene testo, linea, diagramma, scherma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7" name="image2.png" descr="Immagine che contiene testo, linea, diagramma, schermata&#10;&#10;Il contenuto generato dall'IA potrebbe non essere corretto."/>
                    <pic:cNvPicPr preferRelativeResize="0"/>
                  </pic:nvPicPr>
                  <pic:blipFill>
                    <a:blip r:embed="rId9"/>
                    <a:srcRect/>
                    <a:stretch>
                      <a:fillRect/>
                    </a:stretch>
                  </pic:blipFill>
                  <pic:spPr>
                    <a:xfrm>
                      <a:off x="0" y="0"/>
                      <a:ext cx="5628159" cy="3915241"/>
                    </a:xfrm>
                    <a:prstGeom prst="rect">
                      <a:avLst/>
                    </a:prstGeom>
                    <a:ln/>
                  </pic:spPr>
                </pic:pic>
              </a:graphicData>
            </a:graphic>
          </wp:inline>
        </w:drawing>
      </w:r>
    </w:p>
    <w:p w14:paraId="0440E602" w14:textId="6A2B3A09" w:rsidR="00CC1ED9" w:rsidRPr="00FC51A4" w:rsidRDefault="00CC1ED9" w:rsidP="00CC1ED9">
      <w:pPr>
        <w:spacing w:line="480" w:lineRule="auto"/>
        <w:rPr>
          <w:rFonts w:ascii="Times New Roman" w:eastAsia="Times New Roman" w:hAnsi="Times New Roman" w:cs="Times New Roman"/>
          <w:sz w:val="24"/>
          <w:szCs w:val="24"/>
          <w:vertAlign w:val="subscript"/>
        </w:rPr>
      </w:pPr>
      <w:r w:rsidRPr="00FC51A4">
        <w:rPr>
          <w:rFonts w:ascii="Times New Roman" w:eastAsia="Times New Roman" w:hAnsi="Times New Roman" w:cs="Times New Roman"/>
          <w:sz w:val="24"/>
          <w:szCs w:val="24"/>
        </w:rPr>
        <w:t xml:space="preserve">Fig. S2: </w:t>
      </w:r>
      <w:r w:rsidRPr="00FC51A4">
        <w:rPr>
          <w:rFonts w:ascii="Times New Roman" w:eastAsia="Times New Roman" w:hAnsi="Times New Roman" w:cs="Times New Roman"/>
          <w:sz w:val="24"/>
          <w:szCs w:val="24"/>
          <w:vertAlign w:val="superscript"/>
        </w:rPr>
        <w:t>1</w:t>
      </w:r>
      <w:r w:rsidRPr="00FC51A4">
        <w:rPr>
          <w:rFonts w:ascii="Times New Roman" w:eastAsia="Times New Roman" w:hAnsi="Times New Roman" w:cs="Times New Roman"/>
          <w:sz w:val="24"/>
          <w:szCs w:val="24"/>
        </w:rPr>
        <w:t>H NMR (400 MHz) of cannabidiol (CBD) in CDCl</w:t>
      </w:r>
      <w:r w:rsidRPr="00FC51A4">
        <w:rPr>
          <w:rFonts w:ascii="Times New Roman" w:eastAsia="Times New Roman" w:hAnsi="Times New Roman" w:cs="Times New Roman"/>
          <w:sz w:val="24"/>
          <w:szCs w:val="24"/>
          <w:vertAlign w:val="subscript"/>
        </w:rPr>
        <w:t>3</w:t>
      </w:r>
    </w:p>
    <w:p w14:paraId="4AD24B7E" w14:textId="77777777" w:rsidR="005C2151" w:rsidRPr="00FC51A4" w:rsidRDefault="005C2151">
      <w:pPr>
        <w:spacing w:line="480" w:lineRule="auto"/>
        <w:rPr>
          <w:rFonts w:ascii="Times New Roman" w:eastAsia="Times New Roman" w:hAnsi="Times New Roman" w:cs="Times New Roman"/>
          <w:sz w:val="24"/>
          <w:szCs w:val="24"/>
        </w:rPr>
      </w:pPr>
    </w:p>
    <w:p w14:paraId="00A70675" w14:textId="77777777" w:rsidR="005C2151" w:rsidRPr="00FC51A4" w:rsidRDefault="005C2151">
      <w:pPr>
        <w:spacing w:line="480" w:lineRule="auto"/>
        <w:rPr>
          <w:rFonts w:ascii="Times New Roman" w:eastAsia="Times New Roman" w:hAnsi="Times New Roman" w:cs="Times New Roman"/>
          <w:sz w:val="24"/>
          <w:szCs w:val="24"/>
        </w:rPr>
      </w:pPr>
    </w:p>
    <w:p w14:paraId="22AF5647" w14:textId="77777777" w:rsidR="005C2151" w:rsidRPr="00FC51A4" w:rsidRDefault="005C2151">
      <w:pPr>
        <w:spacing w:line="480" w:lineRule="auto"/>
        <w:rPr>
          <w:rFonts w:ascii="Times New Roman" w:eastAsia="Times New Roman" w:hAnsi="Times New Roman" w:cs="Times New Roman"/>
          <w:sz w:val="24"/>
          <w:szCs w:val="24"/>
        </w:rPr>
      </w:pPr>
    </w:p>
    <w:p w14:paraId="3B8D95DF" w14:textId="77777777" w:rsidR="005C2151" w:rsidRPr="00FC51A4" w:rsidRDefault="005C2151">
      <w:pPr>
        <w:spacing w:line="480" w:lineRule="auto"/>
        <w:rPr>
          <w:rFonts w:ascii="Times New Roman" w:eastAsia="Times New Roman" w:hAnsi="Times New Roman" w:cs="Times New Roman"/>
          <w:sz w:val="24"/>
          <w:szCs w:val="24"/>
        </w:rPr>
      </w:pPr>
    </w:p>
    <w:p w14:paraId="41BB5435" w14:textId="1F6F1A5E" w:rsidR="005C2151" w:rsidRPr="00FC51A4" w:rsidRDefault="00000000">
      <w:pPr>
        <w:spacing w:line="480" w:lineRule="auto"/>
        <w:rPr>
          <w:rFonts w:ascii="Times New Roman" w:eastAsia="Times New Roman" w:hAnsi="Times New Roman" w:cs="Times New Roman"/>
          <w:sz w:val="24"/>
          <w:szCs w:val="24"/>
          <w:vertAlign w:val="subscript"/>
        </w:rPr>
      </w:pPr>
      <w:r w:rsidRPr="00FC51A4">
        <w:rPr>
          <w:rFonts w:ascii="Times New Roman" w:eastAsia="Times New Roman" w:hAnsi="Times New Roman" w:cs="Times New Roman"/>
          <w:noProof/>
          <w:sz w:val="24"/>
          <w:szCs w:val="24"/>
        </w:rPr>
        <w:lastRenderedPageBreak/>
        <w:drawing>
          <wp:inline distT="114300" distB="114300" distL="114300" distR="114300" wp14:anchorId="53DB6660" wp14:editId="22F344B9">
            <wp:extent cx="5647373" cy="389958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47373" cy="3899585"/>
                    </a:xfrm>
                    <a:prstGeom prst="rect">
                      <a:avLst/>
                    </a:prstGeom>
                    <a:ln/>
                  </pic:spPr>
                </pic:pic>
              </a:graphicData>
            </a:graphic>
          </wp:inline>
        </w:drawing>
      </w:r>
      <w:r w:rsidRPr="00FC51A4">
        <w:rPr>
          <w:rFonts w:ascii="Times New Roman" w:eastAsia="Times New Roman" w:hAnsi="Times New Roman" w:cs="Times New Roman"/>
          <w:sz w:val="24"/>
          <w:szCs w:val="24"/>
        </w:rPr>
        <w:t xml:space="preserve">Fig. </w:t>
      </w:r>
      <w:r w:rsidR="00CC1ED9" w:rsidRPr="00FC51A4">
        <w:rPr>
          <w:rFonts w:ascii="Times New Roman" w:eastAsia="Times New Roman" w:hAnsi="Times New Roman" w:cs="Times New Roman"/>
          <w:sz w:val="24"/>
          <w:szCs w:val="24"/>
        </w:rPr>
        <w:t xml:space="preserve">Figure </w:t>
      </w:r>
      <w:r w:rsidRPr="00FC51A4">
        <w:rPr>
          <w:rFonts w:ascii="Times New Roman" w:eastAsia="Times New Roman" w:hAnsi="Times New Roman" w:cs="Times New Roman"/>
          <w:sz w:val="24"/>
          <w:szCs w:val="24"/>
        </w:rPr>
        <w:t>S</w:t>
      </w:r>
      <w:r w:rsidR="00CC1ED9" w:rsidRPr="00FC51A4">
        <w:rPr>
          <w:rFonts w:ascii="Times New Roman" w:eastAsia="Times New Roman" w:hAnsi="Times New Roman" w:cs="Times New Roman"/>
          <w:sz w:val="24"/>
          <w:szCs w:val="24"/>
        </w:rPr>
        <w:t>3</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sz w:val="24"/>
          <w:szCs w:val="24"/>
          <w:vertAlign w:val="superscript"/>
        </w:rPr>
        <w:t>1</w:t>
      </w:r>
      <w:r w:rsidRPr="00FC51A4">
        <w:rPr>
          <w:rFonts w:ascii="Times New Roman" w:eastAsia="Times New Roman" w:hAnsi="Times New Roman" w:cs="Times New Roman"/>
          <w:sz w:val="24"/>
          <w:szCs w:val="24"/>
        </w:rPr>
        <w:t xml:space="preserve">H NMR (400 MHz) of </w:t>
      </w:r>
      <w:proofErr w:type="spellStart"/>
      <w:r w:rsidRPr="00FC51A4">
        <w:rPr>
          <w:rFonts w:ascii="Times New Roman" w:eastAsia="Times New Roman" w:hAnsi="Times New Roman" w:cs="Times New Roman"/>
          <w:sz w:val="24"/>
          <w:szCs w:val="24"/>
        </w:rPr>
        <w:t>cannabigerol</w:t>
      </w:r>
      <w:proofErr w:type="spellEnd"/>
      <w:r w:rsidRPr="00FC51A4">
        <w:rPr>
          <w:rFonts w:ascii="Times New Roman" w:eastAsia="Times New Roman" w:hAnsi="Times New Roman" w:cs="Times New Roman"/>
          <w:sz w:val="24"/>
          <w:szCs w:val="24"/>
        </w:rPr>
        <w:t xml:space="preserve"> (CBG) in CDCl</w:t>
      </w:r>
      <w:r w:rsidRPr="00FC51A4">
        <w:rPr>
          <w:rFonts w:ascii="Times New Roman" w:eastAsia="Times New Roman" w:hAnsi="Times New Roman" w:cs="Times New Roman"/>
          <w:sz w:val="24"/>
          <w:szCs w:val="24"/>
          <w:vertAlign w:val="subscript"/>
        </w:rPr>
        <w:t>3</w:t>
      </w:r>
    </w:p>
    <w:p w14:paraId="4A9A3C49" w14:textId="77777777" w:rsidR="005C2151" w:rsidRPr="00FC51A4" w:rsidRDefault="00000000">
      <w:pPr>
        <w:spacing w:line="480" w:lineRule="auto"/>
        <w:rPr>
          <w:rFonts w:ascii="Times New Roman" w:eastAsia="Times New Roman" w:hAnsi="Times New Roman" w:cs="Times New Roman"/>
          <w:sz w:val="24"/>
          <w:szCs w:val="24"/>
        </w:rPr>
      </w:pPr>
      <w:r w:rsidRPr="00FC51A4">
        <w:rPr>
          <w:rFonts w:ascii="Times New Roman" w:eastAsia="Times New Roman" w:hAnsi="Times New Roman" w:cs="Times New Roman"/>
          <w:noProof/>
          <w:sz w:val="24"/>
          <w:szCs w:val="24"/>
        </w:rPr>
        <w:drawing>
          <wp:inline distT="114300" distB="114300" distL="114300" distR="114300" wp14:anchorId="69A02A7F" wp14:editId="408B3A4E">
            <wp:extent cx="5675948" cy="39280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75948" cy="3928025"/>
                    </a:xfrm>
                    <a:prstGeom prst="rect">
                      <a:avLst/>
                    </a:prstGeom>
                    <a:ln/>
                  </pic:spPr>
                </pic:pic>
              </a:graphicData>
            </a:graphic>
          </wp:inline>
        </w:drawing>
      </w:r>
    </w:p>
    <w:p w14:paraId="1A079DDB" w14:textId="0B08D96F" w:rsidR="005C2151" w:rsidRPr="00FC51A4" w:rsidRDefault="00000000">
      <w:pPr>
        <w:spacing w:line="480" w:lineRule="auto"/>
        <w:rPr>
          <w:rFonts w:ascii="Times New Roman" w:eastAsia="Times New Roman" w:hAnsi="Times New Roman" w:cs="Times New Roman"/>
          <w:sz w:val="24"/>
          <w:szCs w:val="24"/>
          <w:vertAlign w:val="subscript"/>
        </w:rPr>
      </w:pPr>
      <w:r w:rsidRPr="00FC51A4">
        <w:rPr>
          <w:rFonts w:ascii="Times New Roman" w:eastAsia="Times New Roman" w:hAnsi="Times New Roman" w:cs="Times New Roman"/>
          <w:sz w:val="24"/>
          <w:szCs w:val="24"/>
        </w:rPr>
        <w:t>Fig. S</w:t>
      </w:r>
      <w:r w:rsidR="00CC1ED9" w:rsidRPr="00FC51A4">
        <w:rPr>
          <w:rFonts w:ascii="Times New Roman" w:eastAsia="Times New Roman" w:hAnsi="Times New Roman" w:cs="Times New Roman"/>
          <w:sz w:val="24"/>
          <w:szCs w:val="24"/>
        </w:rPr>
        <w:t>4</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sz w:val="24"/>
          <w:szCs w:val="24"/>
          <w:vertAlign w:val="superscript"/>
        </w:rPr>
        <w:t>1</w:t>
      </w:r>
      <w:r w:rsidRPr="00FC51A4">
        <w:rPr>
          <w:rFonts w:ascii="Times New Roman" w:eastAsia="Times New Roman" w:hAnsi="Times New Roman" w:cs="Times New Roman"/>
          <w:sz w:val="24"/>
          <w:szCs w:val="24"/>
        </w:rPr>
        <w:t xml:space="preserve">H NMR (400 MHz) of </w:t>
      </w:r>
      <w:proofErr w:type="spellStart"/>
      <w:r w:rsidRPr="00FC51A4">
        <w:rPr>
          <w:rFonts w:ascii="Times New Roman" w:eastAsia="Times New Roman" w:hAnsi="Times New Roman" w:cs="Times New Roman"/>
          <w:sz w:val="24"/>
          <w:szCs w:val="24"/>
        </w:rPr>
        <w:t>cannabichromene</w:t>
      </w:r>
      <w:proofErr w:type="spellEnd"/>
      <w:r w:rsidRPr="00FC51A4">
        <w:rPr>
          <w:rFonts w:ascii="Times New Roman" w:eastAsia="Times New Roman" w:hAnsi="Times New Roman" w:cs="Times New Roman"/>
          <w:sz w:val="24"/>
          <w:szCs w:val="24"/>
        </w:rPr>
        <w:t xml:space="preserve"> (CBC) in CDCl</w:t>
      </w:r>
      <w:r w:rsidRPr="00FC51A4">
        <w:rPr>
          <w:rFonts w:ascii="Times New Roman" w:eastAsia="Times New Roman" w:hAnsi="Times New Roman" w:cs="Times New Roman"/>
          <w:sz w:val="24"/>
          <w:szCs w:val="24"/>
          <w:vertAlign w:val="subscript"/>
        </w:rPr>
        <w:t>3</w:t>
      </w:r>
    </w:p>
    <w:p w14:paraId="313F8C2A" w14:textId="0421B7F6" w:rsidR="005C2151" w:rsidRPr="00FC51A4" w:rsidRDefault="00AF1098">
      <w:pPr>
        <w:spacing w:before="120" w:after="280" w:line="480" w:lineRule="auto"/>
        <w:ind w:left="360"/>
        <w:jc w:val="both"/>
        <w:rPr>
          <w:rFonts w:ascii="Times New Roman" w:eastAsia="Times New Roman" w:hAnsi="Times New Roman" w:cs="Times New Roman"/>
          <w:b/>
          <w:sz w:val="24"/>
          <w:szCs w:val="24"/>
          <w:lang w:val="pt-PT"/>
        </w:rPr>
      </w:pPr>
      <w:r w:rsidRPr="00FC51A4">
        <w:rPr>
          <w:rFonts w:ascii="Times New Roman" w:eastAsia="Times New Roman" w:hAnsi="Times New Roman" w:cs="Times New Roman"/>
          <w:b/>
          <w:sz w:val="24"/>
          <w:szCs w:val="24"/>
          <w:lang w:val="pt-PT"/>
        </w:rPr>
        <w:lastRenderedPageBreak/>
        <w:t>2. REFERENCES</w:t>
      </w:r>
    </w:p>
    <w:p w14:paraId="6DF0E42C" w14:textId="77777777" w:rsidR="005C2151" w:rsidRPr="00FC51A4"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sz w:val="24"/>
          <w:szCs w:val="24"/>
          <w:lang w:val="it-IT"/>
        </w:rPr>
      </w:pPr>
      <w:r w:rsidRPr="00FC51A4">
        <w:rPr>
          <w:rFonts w:ascii="Times New Roman" w:eastAsia="Times New Roman" w:hAnsi="Times New Roman" w:cs="Times New Roman"/>
          <w:sz w:val="24"/>
          <w:szCs w:val="24"/>
          <w:lang w:val="pt-PT"/>
        </w:rPr>
        <w:t xml:space="preserve">Benes, F., Binova, Z., Zlechovcova, M., Maly, M., Stranska, M., &amp; Hajslova, J. (2024). </w:t>
      </w:r>
      <w:r w:rsidRPr="00FC51A4">
        <w:rPr>
          <w:rFonts w:ascii="Times New Roman" w:eastAsia="Times New Roman" w:hAnsi="Times New Roman" w:cs="Times New Roman"/>
          <w:sz w:val="24"/>
          <w:szCs w:val="24"/>
        </w:rPr>
        <w:t xml:space="preserve">Thermally induced changes in the profiles of </w:t>
      </w:r>
      <w:proofErr w:type="spellStart"/>
      <w:r w:rsidRPr="00FC51A4">
        <w:rPr>
          <w:rFonts w:ascii="Times New Roman" w:eastAsia="Times New Roman" w:hAnsi="Times New Roman" w:cs="Times New Roman"/>
          <w:sz w:val="24"/>
          <w:szCs w:val="24"/>
        </w:rPr>
        <w:t>phytocannabinoids</w:t>
      </w:r>
      <w:proofErr w:type="spellEnd"/>
      <w:r w:rsidRPr="00FC51A4">
        <w:rPr>
          <w:rFonts w:ascii="Times New Roman" w:eastAsia="Times New Roman" w:hAnsi="Times New Roman" w:cs="Times New Roman"/>
          <w:sz w:val="24"/>
          <w:szCs w:val="24"/>
        </w:rPr>
        <w:t xml:space="preserve"> and other bioactive compounds in </w:t>
      </w:r>
      <w:r w:rsidRPr="00FC51A4">
        <w:rPr>
          <w:rFonts w:ascii="Times New Roman" w:eastAsia="Times New Roman" w:hAnsi="Times New Roman" w:cs="Times New Roman"/>
          <w:i/>
          <w:sz w:val="24"/>
          <w:szCs w:val="24"/>
        </w:rPr>
        <w:t>Cannabis sativa</w:t>
      </w:r>
      <w:r w:rsidRPr="00FC51A4">
        <w:rPr>
          <w:rFonts w:ascii="Times New Roman" w:eastAsia="Times New Roman" w:hAnsi="Times New Roman" w:cs="Times New Roman"/>
          <w:sz w:val="24"/>
          <w:szCs w:val="24"/>
        </w:rPr>
        <w:t xml:space="preserve"> L. inflorescences. </w:t>
      </w:r>
      <w:r w:rsidRPr="00FC51A4">
        <w:rPr>
          <w:rFonts w:ascii="Times New Roman" w:eastAsia="Times New Roman" w:hAnsi="Times New Roman" w:cs="Times New Roman"/>
          <w:i/>
          <w:sz w:val="24"/>
          <w:szCs w:val="24"/>
          <w:lang w:val="it-IT"/>
        </w:rPr>
        <w:t xml:space="preserve">Food </w:t>
      </w:r>
      <w:proofErr w:type="spellStart"/>
      <w:r w:rsidRPr="00FC51A4">
        <w:rPr>
          <w:rFonts w:ascii="Times New Roman" w:eastAsia="Times New Roman" w:hAnsi="Times New Roman" w:cs="Times New Roman"/>
          <w:i/>
          <w:sz w:val="24"/>
          <w:szCs w:val="24"/>
          <w:lang w:val="it-IT"/>
        </w:rPr>
        <w:t>Research</w:t>
      </w:r>
      <w:proofErr w:type="spellEnd"/>
      <w:r w:rsidRPr="00FC51A4">
        <w:rPr>
          <w:rFonts w:ascii="Times New Roman" w:eastAsia="Times New Roman" w:hAnsi="Times New Roman" w:cs="Times New Roman"/>
          <w:i/>
          <w:sz w:val="24"/>
          <w:szCs w:val="24"/>
          <w:lang w:val="it-IT"/>
        </w:rPr>
        <w:t xml:space="preserve"> International</w:t>
      </w:r>
      <w:r w:rsidRPr="00FC51A4">
        <w:rPr>
          <w:rFonts w:ascii="Times New Roman" w:eastAsia="Times New Roman" w:hAnsi="Times New Roman" w:cs="Times New Roman"/>
          <w:sz w:val="24"/>
          <w:szCs w:val="24"/>
          <w:lang w:val="it-IT"/>
        </w:rPr>
        <w:t xml:space="preserve">, </w:t>
      </w:r>
      <w:r w:rsidRPr="00FC51A4">
        <w:rPr>
          <w:rFonts w:ascii="Times New Roman" w:eastAsia="Times New Roman" w:hAnsi="Times New Roman" w:cs="Times New Roman"/>
          <w:i/>
          <w:sz w:val="24"/>
          <w:szCs w:val="24"/>
          <w:lang w:val="it-IT"/>
        </w:rPr>
        <w:t>190</w:t>
      </w:r>
      <w:r w:rsidRPr="00FC51A4">
        <w:rPr>
          <w:rFonts w:ascii="Times New Roman" w:eastAsia="Times New Roman" w:hAnsi="Times New Roman" w:cs="Times New Roman"/>
          <w:sz w:val="24"/>
          <w:szCs w:val="24"/>
          <w:lang w:val="it-IT"/>
        </w:rPr>
        <w:t>, 114487. https://doi.org/10.1016/j.foodres.2024.114487</w:t>
      </w:r>
    </w:p>
    <w:p w14:paraId="4D6E5FAC" w14:textId="77777777" w:rsidR="005C2151" w:rsidRPr="00FC51A4"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lang w:val="it-IT"/>
        </w:rPr>
        <w:t xml:space="preserve">Brunelli, F., Ceresa, C., </w:t>
      </w:r>
      <w:proofErr w:type="gramStart"/>
      <w:r w:rsidRPr="00FC51A4">
        <w:rPr>
          <w:rFonts w:ascii="Times New Roman" w:eastAsia="Times New Roman" w:hAnsi="Times New Roman" w:cs="Times New Roman"/>
          <w:sz w:val="24"/>
          <w:szCs w:val="24"/>
          <w:lang w:val="it-IT"/>
        </w:rPr>
        <w:t>Aprile</w:t>
      </w:r>
      <w:proofErr w:type="gramEnd"/>
      <w:r w:rsidRPr="00FC51A4">
        <w:rPr>
          <w:rFonts w:ascii="Times New Roman" w:eastAsia="Times New Roman" w:hAnsi="Times New Roman" w:cs="Times New Roman"/>
          <w:sz w:val="24"/>
          <w:szCs w:val="24"/>
          <w:lang w:val="it-IT"/>
        </w:rPr>
        <w:t xml:space="preserve">, S., Coppo, L., Castiglioni, B., Bosetti, M., Fracchia, L., &amp; Tron, G. C. (2023). </w:t>
      </w:r>
      <w:r w:rsidRPr="00FC51A4">
        <w:rPr>
          <w:rFonts w:ascii="Times New Roman" w:eastAsia="Times New Roman" w:hAnsi="Times New Roman" w:cs="Times New Roman"/>
          <w:sz w:val="24"/>
          <w:szCs w:val="24"/>
        </w:rPr>
        <w:t xml:space="preserve">Isocyanides in med chem: A scaffold hopping approach for the identification of novel 4-isocyanophenylamides as potent antibacterial agents against methicillin-resistant </w:t>
      </w:r>
      <w:r w:rsidRPr="00FC51A4">
        <w:rPr>
          <w:rFonts w:ascii="Times New Roman" w:eastAsia="Times New Roman" w:hAnsi="Times New Roman" w:cs="Times New Roman"/>
          <w:i/>
          <w:sz w:val="24"/>
          <w:szCs w:val="24"/>
        </w:rPr>
        <w:t>Staphylococcus</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aureus</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European Journal of Medicinal Chemistry</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246</w:t>
      </w:r>
      <w:r w:rsidRPr="00FC51A4">
        <w:rPr>
          <w:rFonts w:ascii="Times New Roman" w:eastAsia="Times New Roman" w:hAnsi="Times New Roman" w:cs="Times New Roman"/>
          <w:sz w:val="24"/>
          <w:szCs w:val="24"/>
        </w:rPr>
        <w:t>, 114950. https://doi.org/10.1016/j.ejmech.2022.114950</w:t>
      </w:r>
    </w:p>
    <w:p w14:paraId="1E5934B6" w14:textId="77777777" w:rsidR="005C2151" w:rsidRPr="00FC51A4"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lang w:val="it-IT"/>
        </w:rPr>
        <w:t xml:space="preserve">Disca, V., </w:t>
      </w:r>
      <w:proofErr w:type="spellStart"/>
      <w:r w:rsidRPr="00FC51A4">
        <w:rPr>
          <w:rFonts w:ascii="Times New Roman" w:eastAsia="Times New Roman" w:hAnsi="Times New Roman" w:cs="Times New Roman"/>
          <w:sz w:val="24"/>
          <w:szCs w:val="24"/>
          <w:lang w:val="it-IT"/>
        </w:rPr>
        <w:t>Jaouhari</w:t>
      </w:r>
      <w:proofErr w:type="spellEnd"/>
      <w:r w:rsidRPr="00FC51A4">
        <w:rPr>
          <w:rFonts w:ascii="Times New Roman" w:eastAsia="Times New Roman" w:hAnsi="Times New Roman" w:cs="Times New Roman"/>
          <w:sz w:val="24"/>
          <w:szCs w:val="24"/>
          <w:lang w:val="it-IT"/>
        </w:rPr>
        <w:t xml:space="preserve">, Y., Carrà, F., </w:t>
      </w:r>
      <w:proofErr w:type="spellStart"/>
      <w:r w:rsidRPr="00FC51A4">
        <w:rPr>
          <w:rFonts w:ascii="Times New Roman" w:eastAsia="Times New Roman" w:hAnsi="Times New Roman" w:cs="Times New Roman"/>
          <w:sz w:val="24"/>
          <w:szCs w:val="24"/>
          <w:lang w:val="it-IT"/>
        </w:rPr>
        <w:t>Martoccia</w:t>
      </w:r>
      <w:proofErr w:type="spellEnd"/>
      <w:r w:rsidRPr="00FC51A4">
        <w:rPr>
          <w:rFonts w:ascii="Times New Roman" w:eastAsia="Times New Roman" w:hAnsi="Times New Roman" w:cs="Times New Roman"/>
          <w:sz w:val="24"/>
          <w:szCs w:val="24"/>
          <w:lang w:val="it-IT"/>
        </w:rPr>
        <w:t xml:space="preserve">, M., Travaglia, F., Locatelli, M., Bordiga, M., &amp; Arlorio, M. (2024). </w:t>
      </w:r>
      <w:r w:rsidRPr="00FC51A4">
        <w:rPr>
          <w:rFonts w:ascii="Times New Roman" w:eastAsia="Times New Roman" w:hAnsi="Times New Roman" w:cs="Times New Roman"/>
          <w:sz w:val="24"/>
          <w:szCs w:val="24"/>
        </w:rPr>
        <w:t xml:space="preserve">Effect of Carbohydrase Treatment on the Dietary Fibers and Bioactive Compounds of Cocoa Bean Shells (CBSs). </w:t>
      </w:r>
      <w:r w:rsidRPr="00FC51A4">
        <w:rPr>
          <w:rFonts w:ascii="Times New Roman" w:eastAsia="Times New Roman" w:hAnsi="Times New Roman" w:cs="Times New Roman"/>
          <w:i/>
          <w:sz w:val="24"/>
          <w:szCs w:val="24"/>
        </w:rPr>
        <w:t>Foods</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13</w:t>
      </w:r>
      <w:r w:rsidRPr="00FC51A4">
        <w:rPr>
          <w:rFonts w:ascii="Times New Roman" w:eastAsia="Times New Roman" w:hAnsi="Times New Roman" w:cs="Times New Roman"/>
          <w:sz w:val="24"/>
          <w:szCs w:val="24"/>
        </w:rPr>
        <w:t>(16), Article 16. https://doi.org/10.3390/foods13162545</w:t>
      </w:r>
    </w:p>
    <w:p w14:paraId="5F47DAD2" w14:textId="77777777" w:rsidR="005C2151" w:rsidRPr="00FC51A4"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Jaouhari, Y., Disca, V., Ferreira-Santos, P., Alvaredo-López-Vizcaíno, A., Travaglia, F., Bordiga, M., &amp; Locatelli, M. (2024). Valorization of Date Fruit (Phoenix dactylifera L.) as a Potential Functional Food and Ingredient: Characterization of Fiber, Oligosaccharides, and Antioxidant Polyphenols. </w:t>
      </w:r>
      <w:r w:rsidRPr="00FC51A4">
        <w:rPr>
          <w:rFonts w:ascii="Times New Roman" w:eastAsia="Times New Roman" w:hAnsi="Times New Roman" w:cs="Times New Roman"/>
          <w:i/>
          <w:sz w:val="24"/>
          <w:szCs w:val="24"/>
        </w:rPr>
        <w:t>Molecules</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29</w:t>
      </w:r>
      <w:r w:rsidRPr="00FC51A4">
        <w:rPr>
          <w:rFonts w:ascii="Times New Roman" w:eastAsia="Times New Roman" w:hAnsi="Times New Roman" w:cs="Times New Roman"/>
          <w:sz w:val="24"/>
          <w:szCs w:val="24"/>
        </w:rPr>
        <w:t>(19), Article 19. https://doi.org/10.3390/molecules29194606</w:t>
      </w:r>
    </w:p>
    <w:p w14:paraId="62A286AD" w14:textId="77777777" w:rsidR="005C2151" w:rsidRPr="00FC51A4"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t xml:space="preserve">Mohammad, H., Younis, W., Chen, L., Peters, C. E., </w:t>
      </w:r>
      <w:proofErr w:type="spellStart"/>
      <w:r w:rsidRPr="00FC51A4">
        <w:rPr>
          <w:rFonts w:ascii="Times New Roman" w:eastAsia="Times New Roman" w:hAnsi="Times New Roman" w:cs="Times New Roman"/>
          <w:sz w:val="24"/>
          <w:szCs w:val="24"/>
        </w:rPr>
        <w:t>Pogliano</w:t>
      </w:r>
      <w:proofErr w:type="spellEnd"/>
      <w:r w:rsidRPr="00FC51A4">
        <w:rPr>
          <w:rFonts w:ascii="Times New Roman" w:eastAsia="Times New Roman" w:hAnsi="Times New Roman" w:cs="Times New Roman"/>
          <w:sz w:val="24"/>
          <w:szCs w:val="24"/>
        </w:rPr>
        <w:t xml:space="preserve">, J., </w:t>
      </w:r>
      <w:proofErr w:type="spellStart"/>
      <w:r w:rsidRPr="00FC51A4">
        <w:rPr>
          <w:rFonts w:ascii="Times New Roman" w:eastAsia="Times New Roman" w:hAnsi="Times New Roman" w:cs="Times New Roman"/>
          <w:sz w:val="24"/>
          <w:szCs w:val="24"/>
        </w:rPr>
        <w:t>Pogliano</w:t>
      </w:r>
      <w:proofErr w:type="spellEnd"/>
      <w:r w:rsidRPr="00FC51A4">
        <w:rPr>
          <w:rFonts w:ascii="Times New Roman" w:eastAsia="Times New Roman" w:hAnsi="Times New Roman" w:cs="Times New Roman"/>
          <w:sz w:val="24"/>
          <w:szCs w:val="24"/>
        </w:rPr>
        <w:t xml:space="preserve">, K., Cooper, B., Zhang, J., </w:t>
      </w:r>
      <w:proofErr w:type="spellStart"/>
      <w:r w:rsidRPr="00FC51A4">
        <w:rPr>
          <w:rFonts w:ascii="Times New Roman" w:eastAsia="Times New Roman" w:hAnsi="Times New Roman" w:cs="Times New Roman"/>
          <w:sz w:val="24"/>
          <w:szCs w:val="24"/>
        </w:rPr>
        <w:t>Mayhoub</w:t>
      </w:r>
      <w:proofErr w:type="spellEnd"/>
      <w:r w:rsidRPr="00FC51A4">
        <w:rPr>
          <w:rFonts w:ascii="Times New Roman" w:eastAsia="Times New Roman" w:hAnsi="Times New Roman" w:cs="Times New Roman"/>
          <w:sz w:val="24"/>
          <w:szCs w:val="24"/>
        </w:rPr>
        <w:t xml:space="preserve">, A., Oldfield, E., Cushman, M., &amp; Seleem, M. N. (2017). </w:t>
      </w:r>
      <w:proofErr w:type="spellStart"/>
      <w:r w:rsidRPr="00FC51A4">
        <w:rPr>
          <w:rFonts w:ascii="Times New Roman" w:eastAsia="Times New Roman" w:hAnsi="Times New Roman" w:cs="Times New Roman"/>
          <w:sz w:val="24"/>
          <w:szCs w:val="24"/>
        </w:rPr>
        <w:t>Phenylthiazole</w:t>
      </w:r>
      <w:proofErr w:type="spellEnd"/>
      <w:r w:rsidRPr="00FC51A4">
        <w:rPr>
          <w:rFonts w:ascii="Times New Roman" w:eastAsia="Times New Roman" w:hAnsi="Times New Roman" w:cs="Times New Roman"/>
          <w:sz w:val="24"/>
          <w:szCs w:val="24"/>
        </w:rPr>
        <w:t xml:space="preserve"> Antibacterial Agents Targeting Cell Wall Synthesis Exhibit Potent Activity in Vitro and in Vivo against Vancomycin-Resistant Enterococci. </w:t>
      </w:r>
      <w:r w:rsidRPr="00FC51A4">
        <w:rPr>
          <w:rFonts w:ascii="Times New Roman" w:eastAsia="Times New Roman" w:hAnsi="Times New Roman" w:cs="Times New Roman"/>
          <w:i/>
          <w:sz w:val="24"/>
          <w:szCs w:val="24"/>
        </w:rPr>
        <w:t>Journal of Medicinal Chemistry</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60</w:t>
      </w:r>
      <w:r w:rsidRPr="00FC51A4">
        <w:rPr>
          <w:rFonts w:ascii="Times New Roman" w:eastAsia="Times New Roman" w:hAnsi="Times New Roman" w:cs="Times New Roman"/>
          <w:sz w:val="24"/>
          <w:szCs w:val="24"/>
        </w:rPr>
        <w:t>(6), 2425–2438. https://doi.org/10.1021/acs.jmedchem.6b01780</w:t>
      </w:r>
    </w:p>
    <w:p w14:paraId="10157344" w14:textId="77777777" w:rsidR="005C2151" w:rsidRPr="00FC51A4"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sz w:val="24"/>
          <w:szCs w:val="24"/>
        </w:rPr>
      </w:pPr>
      <w:r w:rsidRPr="00FC51A4">
        <w:rPr>
          <w:rFonts w:ascii="Times New Roman" w:eastAsia="Times New Roman" w:hAnsi="Times New Roman" w:cs="Times New Roman"/>
          <w:sz w:val="24"/>
          <w:szCs w:val="24"/>
        </w:rPr>
        <w:lastRenderedPageBreak/>
        <w:t xml:space="preserve">Wiegand, I., Hilpert, K., &amp; Hancock, R. E. W. (2008). Agar and broth dilution methods to determine the minimal inhibitory concentration (MIC) of antimicrobial substances. </w:t>
      </w:r>
      <w:r w:rsidRPr="00FC51A4">
        <w:rPr>
          <w:rFonts w:ascii="Times New Roman" w:eastAsia="Times New Roman" w:hAnsi="Times New Roman" w:cs="Times New Roman"/>
          <w:i/>
          <w:sz w:val="24"/>
          <w:szCs w:val="24"/>
        </w:rPr>
        <w:t>Nature Protocols</w:t>
      </w:r>
      <w:r w:rsidRPr="00FC51A4">
        <w:rPr>
          <w:rFonts w:ascii="Times New Roman" w:eastAsia="Times New Roman" w:hAnsi="Times New Roman" w:cs="Times New Roman"/>
          <w:sz w:val="24"/>
          <w:szCs w:val="24"/>
        </w:rPr>
        <w:t xml:space="preserve">, </w:t>
      </w:r>
      <w:r w:rsidRPr="00FC51A4">
        <w:rPr>
          <w:rFonts w:ascii="Times New Roman" w:eastAsia="Times New Roman" w:hAnsi="Times New Roman" w:cs="Times New Roman"/>
          <w:i/>
          <w:sz w:val="24"/>
          <w:szCs w:val="24"/>
        </w:rPr>
        <w:t>3</w:t>
      </w:r>
      <w:r w:rsidRPr="00FC51A4">
        <w:rPr>
          <w:rFonts w:ascii="Times New Roman" w:eastAsia="Times New Roman" w:hAnsi="Times New Roman" w:cs="Times New Roman"/>
          <w:sz w:val="24"/>
          <w:szCs w:val="24"/>
        </w:rPr>
        <w:t>(2), 163–175. https://doi.org/10.1038/nprot.2007.521</w:t>
      </w:r>
    </w:p>
    <w:p w14:paraId="21F3B812" w14:textId="77777777" w:rsidR="005C2151" w:rsidRPr="00FC51A4" w:rsidRDefault="005C2151">
      <w:pPr>
        <w:spacing w:line="480" w:lineRule="auto"/>
        <w:rPr>
          <w:rFonts w:ascii="Times New Roman" w:eastAsia="Times New Roman" w:hAnsi="Times New Roman" w:cs="Times New Roman"/>
          <w:sz w:val="24"/>
          <w:szCs w:val="24"/>
        </w:rPr>
      </w:pPr>
    </w:p>
    <w:sectPr w:rsidR="005C2151" w:rsidRPr="00FC51A4">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4F0A936-0D01-492A-B245-5B83F57E64EE}"/>
    <w:embedBold r:id="rId2" w:fontKey="{FFC9549B-917E-40C5-ACF7-71C50653D3DD}"/>
    <w:embedItalic r:id="rId3" w:fontKey="{F42E60DB-CD78-4B20-A89D-F3978A7601EC}"/>
  </w:font>
  <w:font w:name="Play">
    <w:charset w:val="00"/>
    <w:family w:val="auto"/>
    <w:pitch w:val="default"/>
    <w:embedRegular r:id="rId4" w:fontKey="{0991AE8D-67B4-4B41-B212-D972B4542752}"/>
  </w:font>
  <w:font w:name="Aptos Display">
    <w:charset w:val="00"/>
    <w:family w:val="swiss"/>
    <w:pitch w:val="variable"/>
    <w:sig w:usb0="20000287" w:usb1="00000003" w:usb2="00000000" w:usb3="00000000" w:csb0="0000019F" w:csb1="00000000"/>
    <w:embedRegular r:id="rId5" w:fontKey="{4429D9B8-3398-4AD3-86AC-645998DEC7DA}"/>
  </w:font>
  <w:font w:name="Caudex">
    <w:charset w:val="00"/>
    <w:family w:val="auto"/>
    <w:pitch w:val="default"/>
    <w:embedRegular r:id="rId6" w:fontKey="{F86138A3-E3AA-469C-8582-C4B9ACF592BF}"/>
  </w:font>
  <w:font w:name="Cardo">
    <w:charset w:val="00"/>
    <w:family w:val="auto"/>
    <w:pitch w:val="default"/>
    <w:embedRegular r:id="rId7" w:fontKey="{4060D23B-398F-4239-9CC6-0FD9D3338D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AC33C0"/>
    <w:multiLevelType w:val="multilevel"/>
    <w:tmpl w:val="6BDA0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4123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51"/>
    <w:rsid w:val="00062D26"/>
    <w:rsid w:val="00114A2E"/>
    <w:rsid w:val="001A2A3E"/>
    <w:rsid w:val="001F0068"/>
    <w:rsid w:val="002008D1"/>
    <w:rsid w:val="002051C6"/>
    <w:rsid w:val="00212AB7"/>
    <w:rsid w:val="00213C75"/>
    <w:rsid w:val="002A4312"/>
    <w:rsid w:val="002F1AFD"/>
    <w:rsid w:val="003A143D"/>
    <w:rsid w:val="003C705A"/>
    <w:rsid w:val="003F30AB"/>
    <w:rsid w:val="00402174"/>
    <w:rsid w:val="004044A0"/>
    <w:rsid w:val="00485722"/>
    <w:rsid w:val="005C2151"/>
    <w:rsid w:val="006D0090"/>
    <w:rsid w:val="007844AA"/>
    <w:rsid w:val="00796CBA"/>
    <w:rsid w:val="007F5C9B"/>
    <w:rsid w:val="0083313C"/>
    <w:rsid w:val="009A160C"/>
    <w:rsid w:val="00AE0473"/>
    <w:rsid w:val="00AF1098"/>
    <w:rsid w:val="00B02AB7"/>
    <w:rsid w:val="00BA2FD2"/>
    <w:rsid w:val="00BE0E65"/>
    <w:rsid w:val="00CC1ED9"/>
    <w:rsid w:val="00D12A76"/>
    <w:rsid w:val="00D42936"/>
    <w:rsid w:val="00D76218"/>
    <w:rsid w:val="00D968DF"/>
    <w:rsid w:val="00F245B3"/>
    <w:rsid w:val="00FA2533"/>
    <w:rsid w:val="00FC51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0F7C2"/>
  <w15:docId w15:val="{45F9DDB4-840F-451F-8B49-D145E376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paragraph" w:styleId="Titolo7">
    <w:name w:val="heading 7"/>
    <w:link w:val="Titolo7Carattere"/>
    <w:uiPriority w:val="9"/>
    <w:semiHidden/>
    <w:unhideWhenUsed/>
    <w:qFormat/>
    <w:rsid w:val="000603BA"/>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0603BA"/>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0603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0603B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0603B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0603BA"/>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0603BA"/>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0603BA"/>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0603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603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603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603BA"/>
    <w:rPr>
      <w:rFonts w:eastAsiaTheme="majorEastAsia" w:cstheme="majorBidi"/>
      <w:color w:val="272727" w:themeColor="text1" w:themeTint="D8"/>
    </w:rPr>
  </w:style>
  <w:style w:type="character" w:customStyle="1" w:styleId="TitoloCarattere">
    <w:name w:val="Titolo Carattere"/>
    <w:basedOn w:val="Carpredefinitoparagrafo"/>
    <w:uiPriority w:val="10"/>
    <w:rsid w:val="000603BA"/>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0603BA"/>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0603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603BA"/>
    <w:rPr>
      <w:i/>
      <w:iCs/>
      <w:color w:val="404040" w:themeColor="text1" w:themeTint="BF"/>
    </w:rPr>
  </w:style>
  <w:style w:type="paragraph" w:styleId="Paragrafoelenco">
    <w:name w:val="List Paragraph"/>
    <w:uiPriority w:val="34"/>
    <w:qFormat/>
    <w:rsid w:val="000603BA"/>
    <w:pPr>
      <w:ind w:left="720"/>
      <w:contextualSpacing/>
    </w:pPr>
  </w:style>
  <w:style w:type="character" w:styleId="Enfasiintensa">
    <w:name w:val="Intense Emphasis"/>
    <w:basedOn w:val="Carpredefinitoparagrafo"/>
    <w:uiPriority w:val="21"/>
    <w:qFormat/>
    <w:rsid w:val="000603BA"/>
    <w:rPr>
      <w:i/>
      <w:iCs/>
      <w:color w:val="0F4761" w:themeColor="accent1" w:themeShade="BF"/>
    </w:rPr>
  </w:style>
  <w:style w:type="paragraph" w:styleId="Citazioneintensa">
    <w:name w:val="Intense Quote"/>
    <w:link w:val="CitazioneintensaCarattere"/>
    <w:uiPriority w:val="30"/>
    <w:qFormat/>
    <w:rsid w:val="000603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603BA"/>
    <w:rPr>
      <w:i/>
      <w:iCs/>
      <w:color w:val="0F4761" w:themeColor="accent1" w:themeShade="BF"/>
    </w:rPr>
  </w:style>
  <w:style w:type="character" w:styleId="Riferimentointenso">
    <w:name w:val="Intense Reference"/>
    <w:basedOn w:val="Carpredefinitoparagrafo"/>
    <w:uiPriority w:val="32"/>
    <w:qFormat/>
    <w:rsid w:val="000603BA"/>
    <w:rPr>
      <w:b/>
      <w:bCs/>
      <w:smallCaps/>
      <w:color w:val="0F4761" w:themeColor="accent1" w:themeShade="BF"/>
      <w:spacing w:val="5"/>
    </w:rPr>
  </w:style>
  <w:style w:type="table" w:customStyle="1" w:styleId="PlainTable21">
    <w:name w:val="Plain Table 21"/>
    <w:basedOn w:val="Tabellanormale"/>
    <w:next w:val="Tabellasemplice-2"/>
    <w:uiPriority w:val="42"/>
    <w:rsid w:val="003A22FB"/>
    <w:pPr>
      <w:spacing w:after="0" w:line="240" w:lineRule="auto"/>
    </w:pPr>
    <w:rPr>
      <w:rFonts w:eastAsia="Times New Roman" w:cs="Times New Roman"/>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lasemplice-2">
    <w:name w:val="Plain Table 2"/>
    <w:basedOn w:val="Tabellanormale"/>
    <w:uiPriority w:val="42"/>
    <w:rsid w:val="003A22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Intestazione">
    <w:name w:val="header"/>
    <w:link w:val="IntestazioneCarattere"/>
    <w:uiPriority w:val="99"/>
    <w:unhideWhenUsed/>
    <w:rsid w:val="00124D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24D3F"/>
  </w:style>
  <w:style w:type="paragraph" w:styleId="Pidipagina">
    <w:name w:val="footer"/>
    <w:link w:val="PidipaginaCarattere"/>
    <w:uiPriority w:val="99"/>
    <w:unhideWhenUsed/>
    <w:rsid w:val="00124D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24D3F"/>
  </w:style>
  <w:style w:type="table" w:customStyle="1" w:styleId="a2">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fia">
    <w:name w:val="Bibliography"/>
    <w:uiPriority w:val="37"/>
    <w:unhideWhenUsed/>
    <w:rsid w:val="00292762"/>
    <w:pPr>
      <w:spacing w:after="0" w:line="480" w:lineRule="auto"/>
      <w:ind w:left="720" w:hanging="720"/>
    </w:pPr>
  </w:style>
  <w:style w:type="paragraph" w:styleId="Sottotitolo">
    <w:name w:val="Subtitle"/>
    <w:basedOn w:val="Normale"/>
    <w:next w:val="Normale"/>
    <w:uiPriority w:val="11"/>
    <w:qFormat/>
    <w:rPr>
      <w:color w:val="595959"/>
      <w:sz w:val="28"/>
      <w:szCs w:val="28"/>
    </w:rPr>
  </w:style>
  <w:style w:type="table" w:customStyle="1" w:styleId="a5">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llegamentoipertestuale">
    <w:name w:val="Hyperlink"/>
    <w:basedOn w:val="Carpredefinitoparagrafo"/>
    <w:uiPriority w:val="99"/>
    <w:unhideWhenUsed/>
    <w:rsid w:val="00062D26"/>
    <w:rPr>
      <w:color w:val="467886" w:themeColor="hyperlink"/>
      <w:u w:val="single"/>
    </w:rPr>
  </w:style>
  <w:style w:type="character" w:styleId="Menzionenonrisolta">
    <w:name w:val="Unresolved Mention"/>
    <w:basedOn w:val="Carpredefinitoparagrafo"/>
    <w:uiPriority w:val="99"/>
    <w:semiHidden/>
    <w:unhideWhenUsed/>
    <w:rsid w:val="00213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https://www.sciencedirect.com/topics/chemistry/ultra-performance-liquid-chromatography"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bHtzrwYeg7gUqOYQBfCGfTtNw==">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</go:docsCustomData>
</go:gDocsCustomXmlDataStorage>
</file>

<file path=customXml/itemProps1.xml><?xml version="1.0" encoding="utf-8"?>
<ds:datastoreItem xmlns:ds="http://schemas.openxmlformats.org/officeDocument/2006/customXml" ds:itemID="{E6EB70AA-E889-4338-93F9-5824FD4A03A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3637</Words>
  <Characters>20735</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DISCA</dc:creator>
  <cp:lastModifiedBy>VINCENZO DISCA</cp:lastModifiedBy>
  <cp:revision>20</cp:revision>
  <dcterms:created xsi:type="dcterms:W3CDTF">2025-05-13T13:04:00Z</dcterms:created>
  <dcterms:modified xsi:type="dcterms:W3CDTF">2025-08-13T09:46:00Z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id="tWBjHcZD"/&gt;&lt;style id="http://www.zotero.org/styles/food-chemistry" hasBibliography="1" bibliographyStyleHasBeenSet="1"/&gt;&lt;prefs&gt;&lt;pref name="fieldType" value="Field"/&gt;&lt;/prefs&gt;&lt;/data&gt;</vt:lpwstr>
  </property>
</Properties>
</file>