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88"/>
        <w:gridCol w:w="1286"/>
        <w:gridCol w:w="1232"/>
        <w:gridCol w:w="1286"/>
        <w:gridCol w:w="1286"/>
        <w:gridCol w:w="1232"/>
        <w:gridCol w:w="1232"/>
      </w:tblGrid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</w:rPr>
              <w:t>Supplemental Table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> </w:t>
            </w:r>
            <w:r>
              <w:rPr>
                <w:rFonts w:ascii="Arial Unicode MS" w:eastAsia="Arial Unicode MS" w:hAnsi="Times New Roman" w:cs="Arial Unicode MS"/>
                <w:b/>
                <w:bCs/>
              </w:rPr>
              <w:t>1: Associations between RCL and CUD Treatment Outcomes - Sensitivity Analyses</w:t>
            </w:r>
          </w:p>
        </w:tc>
      </w:tr>
      <w:tr w:rsidR="00FE7F4D" w:rsidTr="00FE7F4D">
        <w:trPr>
          <w:trHeight w:val="585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 xml:space="preserve">Overall </w:t>
            </w:r>
            <w:bookmarkStart w:id="0" w:name="_GoBack"/>
            <w:bookmarkEnd w:id="0"/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CUD Discharges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Male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Adult 21+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White Non-Hispanic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Black Non-Hispanic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Hispanic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(1)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(2)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(3)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(4)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(5)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(6)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Panel I: No covariates 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 xml:space="preserve"> 90-day Treatment Retention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RCL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-0.083***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0.012**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-0.011**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-0.041***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-0.003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Avg. Marginal Effect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(0.003)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(0.007)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[-0.088,-0.078]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[0.002,0.023]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[-0.021,-0.001]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[-0.055,-0.026]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[-0.010,0.010]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[-0.015,0.009]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Observations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Successful Discharge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RCL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-0.112***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0.017***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-0.048***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-0.003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0.011*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Avg. Marginal Effect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(0.003)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(0.007)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[-0.117,-0.107]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[0.006,0.028]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[-0.002,0.019]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[-0.063,-0.034]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[-0.013,0.007]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[-0.001,0.024]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Observations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lastRenderedPageBreak/>
              <w:t>Panel II: Ordinary Least Squares (Beta coefficients)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90-day Treatment Retention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RCL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-0.182***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0.007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-0.024***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-0.001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(0.007)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[-0.193,-0.171]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[-0.003,0.017]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[-0.017,0.003]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[-0.037,-0.011]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[-0.017,0.002]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[-0.013,0.011]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Observations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192,580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Successful Discharge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RCL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-0.041***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0.012**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0.015***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-0.035***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(0.007)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[-0.053,-0.030]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[0.002,0.023]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[0.004,0.025]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[-0.050,-0.021]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[-0.019,0.002]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[-0.002,0.023]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Observations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>Panel III: Recode of Successful Discharge</w:t>
            </w:r>
          </w:p>
        </w:tc>
      </w:tr>
      <w:tr w:rsidR="00FE7F4D" w:rsidTr="00FE7F4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b/>
                <w:b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</w:rPr>
              <w:t>Successful Discharge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i/>
                <w:iCs/>
                <w:color w:val="000000"/>
              </w:rPr>
              <w:t xml:space="preserve">RCL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-0.056***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0.010*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-0.025***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0.007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-0.007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Avg. Marginal Effect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(0.008)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(0.005)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(0.006)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[-0.067,-0.044]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[-0.001,0.021]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[-0.007,0.014]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[-0.039,-0.010]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[-0.003,0.017]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[-0.020,0.005]</w:t>
            </w:r>
          </w:p>
        </w:tc>
      </w:tr>
      <w:tr w:rsidR="00FE7F4D" w:rsidTr="00FE7F4D">
        <w:trPr>
          <w:trHeight w:val="300"/>
        </w:trPr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i/>
                <w:iCs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i/>
                <w:iCs/>
                <w:color w:val="000000"/>
              </w:rPr>
              <w:lastRenderedPageBreak/>
              <w:t>Observations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F4D" w:rsidRDefault="00FE7F4D" w:rsidP="00800ACA">
            <w:pPr>
              <w:jc w:val="center"/>
              <w:rPr>
                <w:rFonts w:ascii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Times New Roman" w:cs="Arial Unicode MS"/>
                <w:color w:val="000000"/>
              </w:rPr>
              <w:t>163,308</w:t>
            </w:r>
          </w:p>
        </w:tc>
      </w:tr>
      <w:tr w:rsidR="00FE7F4D" w:rsidTr="00FE7F4D">
        <w:trPr>
          <w:trHeight w:val="202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E7F4D" w:rsidRDefault="00FE7F4D" w:rsidP="00800ACA">
            <w:pPr>
              <w:rPr>
                <w:rFonts w:ascii="Arial Unicode MS" w:hAnsi="Arial Unicode MS" w:cs="Arial Unicode MS"/>
                <w:color w:val="000000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Notes: Standard errors are reported in parentheses, and 95% confidence intervals are reported in brackets. Each column presents a separate regression. All regressions in Panels II and III control for all individual-level covariates at admission, and county-level covariates, and county fixed effects, as discussed in the text. Regressions in columns (2)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–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(6) present subgroup analyses, and each regression includes an interaction term between the characteristic and RCL, plus the main effects for both variables. In Panel III, successful discharge is a binary variables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 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=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 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 xml:space="preserve">1 if patients indicated marijuana/hashish as their 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“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Primary Drug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”</w:t>
            </w:r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CalOMS-Tx</w:t>
            </w:r>
            <w:proofErr w:type="spellEnd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 xml:space="preserve"> as a proxy, and their discharge status in </w:t>
            </w:r>
            <w:proofErr w:type="spellStart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CalOMS-Tx</w:t>
            </w:r>
            <w:proofErr w:type="spellEnd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 xml:space="preserve"> was coded as any one of the following: completed treatment and referred; completed treatment and not referred; left before completion with satisfactory progress.  *** represents statistical significance at the 1% level</w:t>
            </w:r>
            <w:proofErr w:type="gramStart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,  *</w:t>
            </w:r>
            <w:proofErr w:type="gramEnd"/>
            <w:r>
              <w:rPr>
                <w:rFonts w:ascii="Arial Unicode MS" w:eastAsia="Arial Unicode MS" w:hAnsi="Times New Roman" w:cs="Arial Unicode MS"/>
                <w:color w:val="000000"/>
                <w:sz w:val="19"/>
                <w:szCs w:val="19"/>
              </w:rPr>
              <w:t>* represents statistical significance at the 5% level, and * represents significance at the 10% level.</w:t>
            </w:r>
          </w:p>
        </w:tc>
      </w:tr>
    </w:tbl>
    <w:p w:rsidR="00827486" w:rsidRDefault="00827486"/>
    <w:sectPr w:rsidR="00827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4D"/>
    <w:rsid w:val="001724ED"/>
    <w:rsid w:val="002F33E7"/>
    <w:rsid w:val="00542C0B"/>
    <w:rsid w:val="005945A6"/>
    <w:rsid w:val="00827486"/>
    <w:rsid w:val="00CD7DB0"/>
    <w:rsid w:val="00DD4C6E"/>
    <w:rsid w:val="00F878F7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Chandrasekar Narasaiah (Integra)</dc:creator>
  <cp:lastModifiedBy>Chandrasekar Narasaiah (Integra)</cp:lastModifiedBy>
  <cp:revision>1</cp:revision>
  <dcterms:created xsi:type="dcterms:W3CDTF">2025-08-13T10:15:00Z</dcterms:created>
  <dcterms:modified xsi:type="dcterms:W3CDTF">2025-08-13T10:15:00Z</dcterms:modified>
</cp:coreProperties>
</file>