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D837B" w14:textId="53AFE8C5" w:rsidR="00E74074" w:rsidRDefault="006C6F21">
      <w:pPr>
        <w:rPr>
          <w:lang w:val="en-US"/>
        </w:rPr>
      </w:pPr>
      <w:r>
        <w:rPr>
          <w:rFonts w:eastAsiaTheme="minorEastAsia"/>
          <w:noProof/>
          <w:lang w:eastAsia="es-UY"/>
        </w:rPr>
        <w:object w:dxaOrig="1440" w:dyaOrig="1440" w14:anchorId="438C3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0;margin-top:0;width:440.65pt;height:321.8pt;z-index:251663360;mso-position-horizontal:left;mso-position-horizontal-relative:margin;mso-position-vertical:top;mso-position-vertical-relative:margin" o:allowoverlap="f">
            <v:imagedata r:id="rId4" o:title=""/>
            <w10:wrap type="topAndBottom" anchorx="margin" anchory="margin"/>
          </v:shape>
          <o:OLEObject Type="Embed" ProgID="Prism6.Document" ShapeID="_x0000_s1034" DrawAspect="Content" ObjectID="_1652877914" r:id="rId5"/>
        </w:object>
      </w:r>
    </w:p>
    <w:p w14:paraId="60592CB4" w14:textId="42A5EE92" w:rsidR="00E74074" w:rsidRPr="00832FC9" w:rsidRDefault="00E74074" w:rsidP="00E74074">
      <w:pPr>
        <w:rPr>
          <w:lang w:val="en-US"/>
        </w:rPr>
      </w:pPr>
      <w:r w:rsidRPr="00832FC9">
        <w:rPr>
          <w:b/>
          <w:bCs/>
          <w:lang w:val="en-US"/>
        </w:rPr>
        <w:t>Figure S</w:t>
      </w:r>
      <w:r>
        <w:rPr>
          <w:b/>
          <w:bCs/>
          <w:lang w:val="en-US"/>
        </w:rPr>
        <w:t>1</w:t>
      </w:r>
      <w:r w:rsidRPr="00832FC9">
        <w:rPr>
          <w:b/>
          <w:bCs/>
          <w:lang w:val="en-US"/>
        </w:rPr>
        <w:t xml:space="preserve">. Effect of </w:t>
      </w:r>
      <w:r>
        <w:rPr>
          <w:b/>
          <w:bCs/>
          <w:lang w:val="en-US"/>
        </w:rPr>
        <w:t>SB</w:t>
      </w:r>
      <w:r w:rsidRPr="00832FC9">
        <w:rPr>
          <w:b/>
          <w:bCs/>
          <w:lang w:val="en-US"/>
        </w:rPr>
        <w:t xml:space="preserve"> on LDL oxidation.</w:t>
      </w:r>
      <w:r>
        <w:rPr>
          <w:lang w:val="en-US"/>
        </w:rPr>
        <w:t xml:space="preserve"> LDL oxidation by copper (II) ions, in the absence (black line) and in the presence of increasing concentrations of the extracts (</w:t>
      </w:r>
      <w:r w:rsidR="00E841D5">
        <w:rPr>
          <w:lang w:val="en-US"/>
        </w:rPr>
        <w:t xml:space="preserve">referenced with </w:t>
      </w:r>
      <w:r>
        <w:rPr>
          <w:lang w:val="en-US"/>
        </w:rPr>
        <w:t>color code</w:t>
      </w:r>
      <w:r w:rsidR="00E841D5">
        <w:rPr>
          <w:lang w:val="en-US"/>
        </w:rPr>
        <w:t>s to µg/mL</w:t>
      </w:r>
      <w:r>
        <w:rPr>
          <w:lang w:val="en-US"/>
        </w:rPr>
        <w:t xml:space="preserve"> on the right of each graph) obtained from the different maturation stages (</w:t>
      </w:r>
      <w:r w:rsidR="001962B9">
        <w:rPr>
          <w:lang w:val="en-US"/>
        </w:rPr>
        <w:t xml:space="preserve">samples </w:t>
      </w:r>
      <w:r>
        <w:rPr>
          <w:lang w:val="en-US"/>
        </w:rPr>
        <w:t xml:space="preserve">1, </w:t>
      </w:r>
      <w:r w:rsidR="001962B9">
        <w:rPr>
          <w:lang w:val="en-US"/>
        </w:rPr>
        <w:t>2</w:t>
      </w:r>
      <w:r>
        <w:rPr>
          <w:lang w:val="en-US"/>
        </w:rPr>
        <w:t xml:space="preserve"> and 3) and from a dried sample (4) of the </w:t>
      </w:r>
      <w:r w:rsidR="001962B9">
        <w:rPr>
          <w:lang w:val="en-US"/>
        </w:rPr>
        <w:t>SB</w:t>
      </w:r>
      <w:r>
        <w:rPr>
          <w:lang w:val="en-US"/>
        </w:rPr>
        <w:t xml:space="preserve"> variety was followed at 234 nm.</w:t>
      </w:r>
    </w:p>
    <w:p w14:paraId="38C14F2D" w14:textId="77777777" w:rsidR="00E74074" w:rsidRDefault="00E74074">
      <w:pPr>
        <w:rPr>
          <w:lang w:val="en-US"/>
        </w:rPr>
      </w:pPr>
    </w:p>
    <w:p w14:paraId="11524852" w14:textId="77777777" w:rsidR="00E74074" w:rsidRDefault="00E74074">
      <w:pPr>
        <w:rPr>
          <w:lang w:val="en-US"/>
        </w:rPr>
      </w:pPr>
    </w:p>
    <w:p w14:paraId="3FEDADB0" w14:textId="6B074796" w:rsidR="00E74074" w:rsidRDefault="00E74074">
      <w:pPr>
        <w:rPr>
          <w:lang w:val="en-US"/>
        </w:rPr>
      </w:pPr>
      <w:r>
        <w:rPr>
          <w:lang w:val="en-US"/>
        </w:rPr>
        <w:br w:type="page"/>
      </w:r>
    </w:p>
    <w:p w14:paraId="28D0E063" w14:textId="77777777" w:rsidR="001962B9" w:rsidRDefault="001962B9" w:rsidP="00E74074">
      <w:pPr>
        <w:rPr>
          <w:b/>
          <w:bCs/>
          <w:lang w:val="en-US"/>
        </w:rPr>
      </w:pPr>
      <w:bookmarkStart w:id="0" w:name="OLE_LINK1"/>
    </w:p>
    <w:p w14:paraId="68CAF9B4" w14:textId="2D413B77" w:rsidR="00E74074" w:rsidRPr="00832FC9" w:rsidRDefault="006C6F21" w:rsidP="00E74074">
      <w:pPr>
        <w:rPr>
          <w:lang w:val="en-US"/>
        </w:rPr>
      </w:pPr>
      <w:r>
        <w:rPr>
          <w:rFonts w:eastAsiaTheme="minorEastAsia"/>
          <w:noProof/>
          <w:lang w:eastAsia="es-UY"/>
        </w:rPr>
        <w:object w:dxaOrig="1440" w:dyaOrig="1440" w14:anchorId="289CE9E7">
          <v:shape id="_x0000_s1033" type="#_x0000_t75" style="position:absolute;margin-left:1.5pt;margin-top:2.25pt;width:442.1pt;height:322.8pt;z-index:251661312;mso-position-horizontal-relative:margin;mso-position-vertical-relative:margin" o:allowoverlap="f">
            <v:imagedata r:id="rId6" o:title=""/>
            <w10:wrap type="square" anchorx="margin" anchory="margin"/>
          </v:shape>
          <o:OLEObject Type="Embed" ProgID="Prism6.Document" ShapeID="_x0000_s1033" DrawAspect="Content" ObjectID="_1652877915" r:id="rId7"/>
        </w:object>
      </w:r>
      <w:r w:rsidR="00E74074" w:rsidRPr="00832FC9">
        <w:rPr>
          <w:b/>
          <w:bCs/>
          <w:lang w:val="en-US"/>
        </w:rPr>
        <w:t>Figure S2. Effect of EC on LDL oxidation.</w:t>
      </w:r>
      <w:r w:rsidR="00E74074">
        <w:rPr>
          <w:lang w:val="en-US"/>
        </w:rPr>
        <w:t xml:space="preserve"> LDL oxidation by copper (II) ions, in the absence (black line) and in the presence of increasing concentrations of the extracts (</w:t>
      </w:r>
      <w:r w:rsidR="00E841D5">
        <w:rPr>
          <w:lang w:val="en-US"/>
        </w:rPr>
        <w:t>referenced with color codes to µg/mL on the right of each graph</w:t>
      </w:r>
      <w:r w:rsidR="00E74074">
        <w:rPr>
          <w:lang w:val="en-US"/>
        </w:rPr>
        <w:t>) obtained from the different maturation stages (</w:t>
      </w:r>
      <w:r w:rsidR="001962B9">
        <w:rPr>
          <w:lang w:val="en-US"/>
        </w:rPr>
        <w:t xml:space="preserve">samples </w:t>
      </w:r>
      <w:r w:rsidR="00E74074">
        <w:rPr>
          <w:lang w:val="en-US"/>
        </w:rPr>
        <w:t>1, 2 and 3) and from a dried sample (</w:t>
      </w:r>
      <w:r w:rsidR="001962B9">
        <w:rPr>
          <w:lang w:val="en-US"/>
        </w:rPr>
        <w:t xml:space="preserve">sample </w:t>
      </w:r>
      <w:r w:rsidR="00E74074">
        <w:rPr>
          <w:lang w:val="en-US"/>
        </w:rPr>
        <w:t>4) of the EC variety was followed at 234 nm.</w:t>
      </w:r>
    </w:p>
    <w:bookmarkEnd w:id="0"/>
    <w:p w14:paraId="783818EC" w14:textId="77777777" w:rsidR="00901A17" w:rsidRPr="00832FC9" w:rsidRDefault="00901A17">
      <w:pPr>
        <w:rPr>
          <w:lang w:val="en-US"/>
        </w:rPr>
      </w:pPr>
    </w:p>
    <w:p w14:paraId="089DA950" w14:textId="0C967670" w:rsidR="001962B9" w:rsidRDefault="001962B9">
      <w:pPr>
        <w:rPr>
          <w:lang w:val="en-US"/>
        </w:rPr>
      </w:pPr>
      <w:r>
        <w:rPr>
          <w:lang w:val="en-US"/>
        </w:rPr>
        <w:br w:type="page"/>
      </w:r>
    </w:p>
    <w:p w14:paraId="40B644E5" w14:textId="77777777" w:rsidR="001962B9" w:rsidRDefault="001962B9">
      <w:pPr>
        <w:rPr>
          <w:lang w:val="en-US"/>
        </w:rPr>
      </w:pPr>
    </w:p>
    <w:p w14:paraId="18ED300B" w14:textId="6E16C79F" w:rsidR="001962B9" w:rsidRDefault="001962B9">
      <w:pPr>
        <w:rPr>
          <w:lang w:val="en-US"/>
        </w:rPr>
      </w:pPr>
      <w:r w:rsidRPr="00832FC9">
        <w:rPr>
          <w:b/>
          <w:bCs/>
          <w:lang w:val="en-US"/>
        </w:rPr>
        <w:t>Figure S</w:t>
      </w:r>
      <w:r w:rsidR="00B20028">
        <w:rPr>
          <w:b/>
          <w:bCs/>
          <w:lang w:val="en-US"/>
        </w:rPr>
        <w:t>3</w:t>
      </w:r>
      <w:r w:rsidRPr="00832FC9">
        <w:rPr>
          <w:b/>
          <w:bCs/>
          <w:lang w:val="en-US"/>
        </w:rPr>
        <w:t xml:space="preserve">. Effect of </w:t>
      </w:r>
      <w:r>
        <w:rPr>
          <w:b/>
          <w:bCs/>
          <w:lang w:val="en-US"/>
        </w:rPr>
        <w:t>Mag</w:t>
      </w:r>
      <w:r w:rsidRPr="00832FC9">
        <w:rPr>
          <w:b/>
          <w:bCs/>
          <w:lang w:val="en-US"/>
        </w:rPr>
        <w:t xml:space="preserve"> on LDL oxidation.</w:t>
      </w:r>
      <w:r>
        <w:rPr>
          <w:lang w:val="en-US"/>
        </w:rPr>
        <w:t xml:space="preserve"> LDL oxidation by copper (II) ions, in the absence (black line) and in the presence of increasing concentrations of the extracts (</w:t>
      </w:r>
      <w:r w:rsidR="00E841D5">
        <w:rPr>
          <w:lang w:val="en-US"/>
        </w:rPr>
        <w:t>referenced with color codes to µg/mL on the right of each graph</w:t>
      </w:r>
      <w:r w:rsidR="00E841D5">
        <w:rPr>
          <w:lang w:val="en-US"/>
        </w:rPr>
        <w:t xml:space="preserve">) </w:t>
      </w:r>
      <w:r>
        <w:rPr>
          <w:lang w:val="en-US"/>
        </w:rPr>
        <w:t>obtained from the different maturation stages (samples 1, 2 and 3) and from a dried sample (sample 4) of the Mag variety was followed at 234 nm.</w:t>
      </w:r>
    </w:p>
    <w:p w14:paraId="11B9DBAA" w14:textId="77777777" w:rsidR="001962B9" w:rsidRDefault="001962B9">
      <w:pPr>
        <w:rPr>
          <w:lang w:val="en-US"/>
        </w:rPr>
      </w:pPr>
    </w:p>
    <w:p w14:paraId="034A4FD4" w14:textId="1688CB35" w:rsidR="00901A17" w:rsidRPr="00832FC9" w:rsidRDefault="006C6F21">
      <w:pPr>
        <w:rPr>
          <w:lang w:val="en-US"/>
        </w:rPr>
      </w:pPr>
      <w:r>
        <w:rPr>
          <w:rFonts w:eastAsiaTheme="minorEastAsia"/>
          <w:noProof/>
          <w:lang w:eastAsia="es-UY"/>
        </w:rPr>
        <w:object w:dxaOrig="1440" w:dyaOrig="1440" w14:anchorId="1C2D216A">
          <v:shape id="_x0000_s1036" type="#_x0000_t75" style="position:absolute;margin-left:0;margin-top:0;width:440.65pt;height:321.8pt;z-index:251665408;mso-position-horizontal:left;mso-position-horizontal-relative:margin;mso-position-vertical:top;mso-position-vertical-relative:margin" o:allowoverlap="f">
            <v:imagedata r:id="rId8" o:title=""/>
            <w10:wrap type="topAndBottom" anchorx="margin" anchory="margin"/>
          </v:shape>
          <o:OLEObject Type="Embed" ProgID="Prism6.Document" ShapeID="_x0000_s1036" DrawAspect="Content" ObjectID="_1652877916" r:id="rId9"/>
        </w:object>
      </w:r>
    </w:p>
    <w:p w14:paraId="5268E512" w14:textId="754D306F" w:rsidR="00331389" w:rsidRPr="00832FC9" w:rsidRDefault="00331389">
      <w:pPr>
        <w:rPr>
          <w:lang w:val="en-US"/>
        </w:rPr>
      </w:pPr>
      <w:r w:rsidRPr="00832FC9">
        <w:rPr>
          <w:lang w:val="en-US"/>
        </w:rPr>
        <w:br w:type="page"/>
      </w:r>
    </w:p>
    <w:p w14:paraId="7A5A5F0E" w14:textId="77777777" w:rsidR="00901A17" w:rsidRPr="00832FC9" w:rsidRDefault="00901A17">
      <w:pPr>
        <w:rPr>
          <w:lang w:val="en-US"/>
        </w:rPr>
      </w:pPr>
    </w:p>
    <w:p w14:paraId="1AA9616B" w14:textId="03201679" w:rsidR="00331389" w:rsidRPr="00832FC9" w:rsidRDefault="006C6F21">
      <w:pPr>
        <w:rPr>
          <w:lang w:val="en-US"/>
        </w:rPr>
      </w:pPr>
      <w:r>
        <w:rPr>
          <w:rFonts w:eastAsiaTheme="minorEastAsia"/>
          <w:noProof/>
          <w:lang w:eastAsia="es-UY"/>
        </w:rPr>
        <w:object w:dxaOrig="1440" w:dyaOrig="1440" w14:anchorId="3CBFBB85">
          <v:shape id="_x0000_s1032" type="#_x0000_t75" style="position:absolute;margin-left:0;margin-top:0;width:399.6pt;height:332pt;z-index:251659264;mso-position-horizontal:left;mso-position-horizontal-relative:margin;mso-position-vertical:top;mso-position-vertical-relative:margin" o:allowoverlap="f">
            <v:imagedata r:id="rId10" o:title=""/>
            <w10:wrap type="topAndBottom" anchorx="margin" anchory="margin"/>
          </v:shape>
          <o:OLEObject Type="Embed" ProgID="Prism6.Document" ShapeID="_x0000_s1032" DrawAspect="Content" ObjectID="_1652877917" r:id="rId11"/>
        </w:object>
      </w:r>
    </w:p>
    <w:p w14:paraId="322A0D17" w14:textId="0A9A33A7" w:rsidR="00331389" w:rsidRPr="00331389" w:rsidRDefault="00331389" w:rsidP="00797A49">
      <w:pPr>
        <w:spacing w:line="240" w:lineRule="auto"/>
        <w:rPr>
          <w:lang w:val="en-US"/>
        </w:rPr>
      </w:pPr>
      <w:r w:rsidRPr="00331389">
        <w:rPr>
          <w:b/>
          <w:lang w:val="en-US"/>
        </w:rPr>
        <w:t xml:space="preserve">Figure </w:t>
      </w:r>
      <w:r>
        <w:rPr>
          <w:b/>
          <w:lang w:val="en-US"/>
        </w:rPr>
        <w:t>S</w:t>
      </w:r>
      <w:r w:rsidR="00126681">
        <w:rPr>
          <w:b/>
          <w:lang w:val="en-US"/>
        </w:rPr>
        <w:t>4</w:t>
      </w:r>
      <w:r w:rsidRPr="00331389">
        <w:rPr>
          <w:b/>
          <w:lang w:val="en-US"/>
        </w:rPr>
        <w:t xml:space="preserve">. </w:t>
      </w:r>
      <w:r>
        <w:rPr>
          <w:b/>
          <w:lang w:val="en-US"/>
        </w:rPr>
        <w:t xml:space="preserve">Effect of </w:t>
      </w:r>
      <w:proofErr w:type="spellStart"/>
      <w:r>
        <w:rPr>
          <w:b/>
          <w:lang w:val="en-US"/>
        </w:rPr>
        <w:t>phytocannabinoids</w:t>
      </w:r>
      <w:proofErr w:type="spellEnd"/>
      <w:r>
        <w:rPr>
          <w:b/>
          <w:lang w:val="en-US"/>
        </w:rPr>
        <w:t xml:space="preserve"> on c</w:t>
      </w:r>
      <w:r w:rsidRPr="00331389">
        <w:rPr>
          <w:b/>
          <w:lang w:val="en-US"/>
        </w:rPr>
        <w:t>onjugate</w:t>
      </w:r>
      <w:r w:rsidR="00CC5BB1">
        <w:rPr>
          <w:b/>
          <w:lang w:val="en-US"/>
        </w:rPr>
        <w:t>d</w:t>
      </w:r>
      <w:r w:rsidRPr="00331389">
        <w:rPr>
          <w:b/>
          <w:lang w:val="en-US"/>
        </w:rPr>
        <w:t xml:space="preserve"> dienes </w:t>
      </w:r>
      <w:r>
        <w:rPr>
          <w:b/>
          <w:lang w:val="en-US"/>
        </w:rPr>
        <w:t>formation</w:t>
      </w:r>
      <w:r w:rsidRPr="00331389">
        <w:rPr>
          <w:b/>
          <w:lang w:val="en-US"/>
        </w:rPr>
        <w:t>. A.</w:t>
      </w:r>
      <w:r w:rsidRPr="00331389">
        <w:rPr>
          <w:lang w:val="en-US"/>
        </w:rPr>
        <w:t xml:space="preserve"> LDL (0.1 mg/mL) was exposed to CuSO</w:t>
      </w:r>
      <w:r w:rsidRPr="00331389">
        <w:rPr>
          <w:vertAlign w:val="subscript"/>
          <w:lang w:val="en-US"/>
        </w:rPr>
        <w:t>4</w:t>
      </w:r>
      <w:r w:rsidRPr="00331389">
        <w:rPr>
          <w:lang w:val="en-US"/>
        </w:rPr>
        <w:t xml:space="preserve"> (50 </w:t>
      </w:r>
      <w:r w:rsidRPr="000C2621">
        <w:t>μ</w:t>
      </w:r>
      <w:r w:rsidRPr="00331389">
        <w:rPr>
          <w:lang w:val="en-US"/>
        </w:rPr>
        <w:t xml:space="preserve">M), and the formation of conjugated dienes was followed at 234 nm in the absence (dashed line) and the presence of </w:t>
      </w:r>
      <w:r>
        <w:rPr>
          <w:lang w:val="en-US"/>
        </w:rPr>
        <w:t xml:space="preserve">increasing concentrations of </w:t>
      </w:r>
      <w:proofErr w:type="spellStart"/>
      <w:r>
        <w:rPr>
          <w:lang w:val="en-US"/>
        </w:rPr>
        <w:t>phytocannabinoids</w:t>
      </w:r>
      <w:proofErr w:type="spellEnd"/>
      <w:r>
        <w:rPr>
          <w:lang w:val="en-US"/>
        </w:rPr>
        <w:t xml:space="preserve"> as stated on the figures.</w:t>
      </w:r>
      <w:r w:rsidRPr="00331389">
        <w:rPr>
          <w:lang w:val="en-US"/>
        </w:rPr>
        <w:t xml:space="preserve"> </w:t>
      </w:r>
      <w:r w:rsidRPr="00331389">
        <w:rPr>
          <w:b/>
          <w:lang w:val="en-US"/>
        </w:rPr>
        <w:t>B.</w:t>
      </w:r>
      <w:r w:rsidRPr="00331389">
        <w:rPr>
          <w:lang w:val="en-US"/>
        </w:rPr>
        <w:t xml:space="preserve"> </w:t>
      </w:r>
      <w:r w:rsidR="0004446F">
        <w:rPr>
          <w:lang w:val="en-US"/>
        </w:rPr>
        <w:t>L</w:t>
      </w:r>
      <w:r w:rsidRPr="00331389">
        <w:rPr>
          <w:lang w:val="en-US"/>
        </w:rPr>
        <w:t xml:space="preserve">atency ratios </w:t>
      </w:r>
      <w:r w:rsidR="0004446F">
        <w:rPr>
          <w:lang w:val="en-US"/>
        </w:rPr>
        <w:t>were represented as a function of the cannabinoid added</w:t>
      </w:r>
      <w:r w:rsidRPr="00331389">
        <w:rPr>
          <w:lang w:val="en-US"/>
        </w:rPr>
        <w:t xml:space="preserve">. The slope of these graphs (Antioxidant capacity) for each </w:t>
      </w:r>
      <w:r w:rsidR="0004446F">
        <w:rPr>
          <w:lang w:val="en-US"/>
        </w:rPr>
        <w:t xml:space="preserve">compound are </w:t>
      </w:r>
      <w:r w:rsidRPr="00331389">
        <w:rPr>
          <w:lang w:val="en-US"/>
        </w:rPr>
        <w:t xml:space="preserve">summarized in Table </w:t>
      </w:r>
      <w:r w:rsidR="0004446F">
        <w:rPr>
          <w:lang w:val="en-US"/>
        </w:rPr>
        <w:t>4</w:t>
      </w:r>
      <w:r w:rsidRPr="00331389">
        <w:rPr>
          <w:lang w:val="en-US"/>
        </w:rPr>
        <w:t xml:space="preserve">. </w:t>
      </w:r>
      <w:r w:rsidRPr="00331389">
        <w:rPr>
          <w:b/>
          <w:lang w:val="en-US"/>
        </w:rPr>
        <w:t>D.</w:t>
      </w:r>
      <w:r w:rsidRPr="00331389">
        <w:rPr>
          <w:lang w:val="en-US"/>
        </w:rPr>
        <w:t xml:space="preserve"> </w:t>
      </w:r>
      <w:r w:rsidR="0004446F">
        <w:rPr>
          <w:lang w:val="en-US"/>
        </w:rPr>
        <w:t>P</w:t>
      </w:r>
      <w:r w:rsidRPr="00331389">
        <w:rPr>
          <w:lang w:val="en-US"/>
        </w:rPr>
        <w:t xml:space="preserve">ercentage of protection, determined as described in Materials and Methods, against the </w:t>
      </w:r>
      <w:r w:rsidR="0004446F">
        <w:rPr>
          <w:lang w:val="en-US"/>
        </w:rPr>
        <w:t xml:space="preserve">log of cannabinoid </w:t>
      </w:r>
      <w:r w:rsidRPr="00331389">
        <w:rPr>
          <w:lang w:val="en-US"/>
        </w:rPr>
        <w:t>concentration</w:t>
      </w:r>
      <w:r w:rsidRPr="00331389">
        <w:rPr>
          <w:b/>
          <w:lang w:val="en-US"/>
        </w:rPr>
        <w:t>.</w:t>
      </w:r>
    </w:p>
    <w:p w14:paraId="0BFFB7C6" w14:textId="3B503A09" w:rsidR="00507521" w:rsidRDefault="00507521">
      <w:pPr>
        <w:rPr>
          <w:lang w:val="en-US"/>
        </w:rPr>
      </w:pPr>
    </w:p>
    <w:p w14:paraId="0FCF445D" w14:textId="1D7E5624" w:rsidR="00885593" w:rsidRDefault="00885593">
      <w:pPr>
        <w:rPr>
          <w:lang w:val="en-US"/>
        </w:rPr>
      </w:pPr>
    </w:p>
    <w:p w14:paraId="478EB0E6" w14:textId="398B10FC" w:rsidR="00885593" w:rsidRDefault="00885593">
      <w:pPr>
        <w:rPr>
          <w:lang w:val="en-US"/>
        </w:rPr>
      </w:pPr>
    </w:p>
    <w:sectPr w:rsidR="00885593" w:rsidSect="0033138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89"/>
    <w:rsid w:val="0004446F"/>
    <w:rsid w:val="00126681"/>
    <w:rsid w:val="001962B9"/>
    <w:rsid w:val="00220893"/>
    <w:rsid w:val="00331389"/>
    <w:rsid w:val="003D11AE"/>
    <w:rsid w:val="003E248E"/>
    <w:rsid w:val="00481699"/>
    <w:rsid w:val="00507521"/>
    <w:rsid w:val="005A1D72"/>
    <w:rsid w:val="006157A6"/>
    <w:rsid w:val="006C6F21"/>
    <w:rsid w:val="00797A49"/>
    <w:rsid w:val="007C6BA7"/>
    <w:rsid w:val="007F39D9"/>
    <w:rsid w:val="00832FC9"/>
    <w:rsid w:val="00885593"/>
    <w:rsid w:val="00901A17"/>
    <w:rsid w:val="00A54D65"/>
    <w:rsid w:val="00B0018F"/>
    <w:rsid w:val="00B20028"/>
    <w:rsid w:val="00C00F3C"/>
    <w:rsid w:val="00C8641B"/>
    <w:rsid w:val="00CC5BB1"/>
    <w:rsid w:val="00E74074"/>
    <w:rsid w:val="00E841D5"/>
    <w:rsid w:val="00EA1575"/>
    <w:rsid w:val="00F0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40A53083"/>
  <w15:chartTrackingRefBased/>
  <w15:docId w15:val="{B3AFB7FE-0451-45AB-8280-E107E471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A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Leonor Thomson</dc:creator>
  <cp:keywords/>
  <dc:description/>
  <cp:lastModifiedBy>Leonor Thomson</cp:lastModifiedBy>
  <cp:revision>2</cp:revision>
  <dcterms:created xsi:type="dcterms:W3CDTF">2020-06-05T18:57:00Z</dcterms:created>
  <dcterms:modified xsi:type="dcterms:W3CDTF">2020-06-05T18:57:00Z</dcterms:modified>
</cp:coreProperties>
</file>