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C2" w:rsidRPr="00965D57" w:rsidRDefault="002A18B5" w:rsidP="00213DC2">
      <w:r>
        <w:rPr>
          <w:b/>
          <w:bCs/>
          <w:color w:val="222222"/>
          <w:shd w:val="clear" w:color="auto" w:fill="FFFFFF"/>
        </w:rPr>
        <w:t>Additional file</w:t>
      </w:r>
      <w:r w:rsidR="00DB77EA">
        <w:rPr>
          <w:b/>
          <w:bCs/>
          <w:color w:val="222222"/>
          <w:shd w:val="clear" w:color="auto" w:fill="FFFFFF"/>
        </w:rPr>
        <w:t xml:space="preserve"> </w:t>
      </w:r>
      <w:bookmarkStart w:id="0" w:name="_GoBack"/>
      <w:bookmarkEnd w:id="0"/>
      <w:r w:rsidR="00DB77EA">
        <w:rPr>
          <w:b/>
          <w:bCs/>
          <w:color w:val="222222"/>
          <w:shd w:val="clear" w:color="auto" w:fill="FFFFFF"/>
        </w:rPr>
        <w:t>1</w:t>
      </w:r>
      <w:r w:rsidR="00213DC2" w:rsidRPr="00965D57">
        <w:rPr>
          <w:b/>
          <w:bCs/>
          <w:color w:val="222222"/>
          <w:shd w:val="clear" w:color="auto" w:fill="FFFFFF"/>
        </w:rPr>
        <w:t xml:space="preserve"> Table </w:t>
      </w:r>
      <w:r>
        <w:rPr>
          <w:b/>
          <w:bCs/>
          <w:color w:val="222222"/>
          <w:shd w:val="clear" w:color="auto" w:fill="FFFFFF"/>
        </w:rPr>
        <w:t>S</w:t>
      </w:r>
      <w:r w:rsidR="00213DC2" w:rsidRPr="00965D57">
        <w:rPr>
          <w:b/>
          <w:bCs/>
          <w:color w:val="222222"/>
          <w:shd w:val="clear" w:color="auto" w:fill="FFFFFF"/>
        </w:rPr>
        <w:t>1. Comparisons of Random Responders and Eligible Participants on Each Outcome and Predictor</w:t>
      </w:r>
    </w:p>
    <w:tbl>
      <w:tblPr>
        <w:tblStyle w:val="TableGrid"/>
        <w:tblpPr w:leftFromText="180" w:rightFromText="180" w:vertAnchor="text" w:tblpY="1"/>
        <w:tblOverlap w:val="never"/>
        <w:tblW w:w="10440" w:type="dxa"/>
        <w:tblLayout w:type="fixed"/>
        <w:tblLook w:val="04A0" w:firstRow="1" w:lastRow="0" w:firstColumn="1" w:lastColumn="0" w:noHBand="0" w:noVBand="1"/>
      </w:tblPr>
      <w:tblGrid>
        <w:gridCol w:w="4860"/>
        <w:gridCol w:w="1833"/>
        <w:gridCol w:w="2103"/>
        <w:gridCol w:w="1644"/>
      </w:tblGrid>
      <w:tr w:rsidR="00213DC2" w:rsidRPr="00965D57" w:rsidTr="00084AE2">
        <w:trPr>
          <w:trHeight w:val="608"/>
        </w:trPr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pPr>
              <w:rPr>
                <w:b/>
              </w:rPr>
            </w:pPr>
            <w:r w:rsidRPr="00965D57">
              <w:rPr>
                <w:b/>
              </w:rPr>
              <w:t>Predictor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nil"/>
            </w:tcBorders>
          </w:tcPr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</w:rPr>
              <w:t xml:space="preserve">Random Responders </w:t>
            </w:r>
          </w:p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  <w:i/>
                <w:iCs/>
              </w:rPr>
              <w:t xml:space="preserve">M </w:t>
            </w:r>
            <w:r w:rsidRPr="00965D57">
              <w:rPr>
                <w:b/>
              </w:rPr>
              <w:t>(SE)</w:t>
            </w:r>
          </w:p>
        </w:tc>
        <w:tc>
          <w:tcPr>
            <w:tcW w:w="2103" w:type="dxa"/>
            <w:tcBorders>
              <w:left w:val="nil"/>
              <w:bottom w:val="single" w:sz="4" w:space="0" w:color="auto"/>
              <w:right w:val="nil"/>
            </w:tcBorders>
          </w:tcPr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</w:rPr>
              <w:t xml:space="preserve">Eligible </w:t>
            </w:r>
          </w:p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</w:rPr>
              <w:t>Participants</w:t>
            </w:r>
          </w:p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  <w:i/>
                <w:iCs/>
              </w:rPr>
              <w:t>M</w:t>
            </w:r>
            <w:r w:rsidRPr="00965D57">
              <w:rPr>
                <w:b/>
              </w:rPr>
              <w:t xml:space="preserve"> (SE)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  <w:rPr>
                <w:b/>
              </w:rPr>
            </w:pPr>
            <w:r w:rsidRPr="00965D57">
              <w:rPr>
                <w:b/>
                <w:i/>
                <w:iCs/>
              </w:rPr>
              <w:t xml:space="preserve">t </w:t>
            </w:r>
            <w:r w:rsidRPr="00965D57">
              <w:rPr>
                <w:b/>
              </w:rPr>
              <w:t>(SE)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 # Different Adverse Reactions </w:t>
            </w: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9.10 (0.47)</w:t>
            </w:r>
          </w:p>
        </w:tc>
        <w:tc>
          <w:tcPr>
            <w:tcW w:w="2103" w:type="dxa"/>
            <w:tcBorders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7.63 (0.19)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2.98 (0.49)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Overall Frequency of Adverse Reactions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23.50 (3.43)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22.01(1.19)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0.46 (3.24)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Overall Mean Distress of Adverse Reactions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1.38 (0.07)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1.26 (0.03)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1.62 (0.07)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Daily Sessions of Cannabis Use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-0.02 (0.08)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-0.07 (0.03)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0.55 (0.08)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Frequency of Cannabis Use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0.02 (0.07)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-0.03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0.76 (0.07)</w:t>
            </w:r>
          </w:p>
        </w:tc>
      </w:tr>
      <w:tr w:rsidR="00213DC2" w:rsidRPr="00965D57" w:rsidTr="00084AE2">
        <w:trPr>
          <w:trHeight w:val="31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Age of Onset of Cannabis Use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0.06 (0.05)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0.08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-0.34 (0.06)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Quantity of Cannabis Use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0.13 (0.08)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-0.02 (0.03)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1.92 (0.08)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Cannabis Use Disorder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1.04 (0.07)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1.02 (0.03)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0.30 (0.06)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Coping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2.46 (0.09)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2.22 (0.04)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 xml:space="preserve">2.46 (0.09) 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Enhancement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3.10 (0.09)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3.15 (0.04)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-0.54 (0.10)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Social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2.31 (0.08)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2.25 (0.03)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0.69 (0.09)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Conformity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1.58 (0.06)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1.42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2.63 (0.06)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Expansion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2.25 (0.09)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2.11 (0.04)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1.47 (0.10)</w:t>
            </w:r>
          </w:p>
        </w:tc>
      </w:tr>
      <w:tr w:rsidR="00213DC2" w:rsidRPr="00965D57" w:rsidTr="00084AE2">
        <w:trPr>
          <w:trHeight w:val="31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Routine Motives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2.67 (0.08)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2.53 (0.08)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1.59 (0.09)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Openness to Experience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2.31 (0.03)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2.30 (0.01)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0.29 (0.04)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Conscientiousness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2.35 (0.04)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2.55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-4.50* (0.05)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Extraversion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2.21 (0.04)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2.44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-4.87* (0.05)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Agreeableness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2.42 (0.04)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2.65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-5.31* (0.04)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Neuroticism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2.33 (0.05)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1.93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6.87* (0.06)</w:t>
            </w:r>
          </w:p>
        </w:tc>
      </w:tr>
      <w:tr w:rsidR="00213DC2" w:rsidRPr="00965D57" w:rsidTr="00084AE2">
        <w:trPr>
          <w:trHeight w:val="31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 xml:space="preserve">Anxiety Sensitivity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1.75 (0.06)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1.48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4.55* (0.06)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Depression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1.08 (0.06)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0.68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6.90* (0.06)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Anxiety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0.92 (0.05)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0.65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5.52* (0.05)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Stress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1.20 (0.05)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0.92 (0.02)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5.15* (0.05)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lastRenderedPageBreak/>
              <w:t xml:space="preserve">Age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20.67 (0.27)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20.81 (0.12)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0.03 (0.36)</w:t>
            </w:r>
          </w:p>
        </w:tc>
      </w:tr>
      <w:tr w:rsidR="00213DC2" w:rsidRPr="00965D57" w:rsidTr="00084AE2">
        <w:trPr>
          <w:trHeight w:val="29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3DC2" w:rsidRPr="00965D57" w:rsidRDefault="00213DC2" w:rsidP="00084AE2">
            <w:r w:rsidRPr="00965D57">
              <w:t>Gender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1.76 (0.03)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DC2" w:rsidRPr="00965D57" w:rsidRDefault="00213DC2" w:rsidP="00084AE2">
            <w:pPr>
              <w:jc w:val="center"/>
            </w:pPr>
            <w:r w:rsidRPr="00965D57">
              <w:t>1.73 (0.01)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3DC2" w:rsidRPr="00965D57" w:rsidRDefault="00213DC2" w:rsidP="00084AE2">
            <w:pPr>
              <w:jc w:val="center"/>
            </w:pPr>
            <w:r w:rsidRPr="00965D57">
              <w:t>0.82 (0.38)</w:t>
            </w:r>
          </w:p>
        </w:tc>
      </w:tr>
    </w:tbl>
    <w:p w:rsidR="00213DC2" w:rsidRPr="00965D57" w:rsidRDefault="00213DC2" w:rsidP="00213DC2"/>
    <w:p w:rsidR="00213DC2" w:rsidRPr="00965D57" w:rsidRDefault="00213DC2" w:rsidP="00213DC2">
      <w:r w:rsidRPr="00965D57">
        <w:t xml:space="preserve">* indicates </w:t>
      </w:r>
      <w:r w:rsidRPr="00965D57">
        <w:rPr>
          <w:i/>
          <w:iCs/>
        </w:rPr>
        <w:t xml:space="preserve">p </w:t>
      </w:r>
      <w:r w:rsidRPr="00965D57">
        <w:t>&lt; .002 (alpha = 0.5/25 comparisons = .002)</w:t>
      </w:r>
      <w:r w:rsidRPr="00965D57" w:rsidDel="00685989">
        <w:rPr>
          <w:rStyle w:val="FootnoteReference"/>
        </w:rPr>
        <w:t xml:space="preserve"> </w:t>
      </w:r>
      <w:r w:rsidRPr="00965D57">
        <w:t xml:space="preserve"> </w:t>
      </w:r>
    </w:p>
    <w:p w:rsidR="00BA08B0" w:rsidRDefault="00BA08B0"/>
    <w:sectPr w:rsidR="00BA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C2"/>
    <w:rsid w:val="000547FF"/>
    <w:rsid w:val="00213DC2"/>
    <w:rsid w:val="002A18B5"/>
    <w:rsid w:val="004B774F"/>
    <w:rsid w:val="00560185"/>
    <w:rsid w:val="0090334C"/>
    <w:rsid w:val="00BA08B0"/>
    <w:rsid w:val="00DB4031"/>
    <w:rsid w:val="00D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7F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05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547F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54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0547FF"/>
    <w:pPr>
      <w:spacing w:before="100" w:beforeAutospacing="1" w:after="100" w:afterAutospacing="1" w:line="240" w:lineRule="auto"/>
      <w:outlineLvl w:val="3"/>
    </w:pPr>
    <w:rPr>
      <w:rFonts w:eastAsiaTheme="minorEastAsia"/>
      <w:b/>
      <w:bCs/>
      <w:lang w:val="it-IT"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547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47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018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018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01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7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547FF"/>
    <w:rPr>
      <w:rFonts w:ascii="Times New Roman" w:eastAsiaTheme="minorEastAsia" w:hAnsi="Times New Roman" w:cs="Times New Roman"/>
      <w:b/>
      <w:bCs/>
      <w:sz w:val="24"/>
      <w:szCs w:val="24"/>
      <w:lang w:val="it-IT"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01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6018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054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5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60185"/>
    <w:rPr>
      <w:b/>
      <w:bCs/>
    </w:rPr>
  </w:style>
  <w:style w:type="character" w:styleId="Emphasis">
    <w:name w:val="Emphasis"/>
    <w:basedOn w:val="DefaultParagraphFont"/>
    <w:uiPriority w:val="20"/>
    <w:qFormat/>
    <w:rsid w:val="00560185"/>
    <w:rPr>
      <w:i/>
      <w:iCs/>
    </w:rPr>
  </w:style>
  <w:style w:type="paragraph" w:styleId="NoSpacing">
    <w:name w:val="No Spacing"/>
    <w:uiPriority w:val="1"/>
    <w:qFormat/>
    <w:rsid w:val="00560185"/>
  </w:style>
  <w:style w:type="paragraph" w:styleId="ListParagraph">
    <w:name w:val="List Paragraph"/>
    <w:basedOn w:val="Normal"/>
    <w:uiPriority w:val="34"/>
    <w:qFormat/>
    <w:rsid w:val="00560185"/>
    <w:pPr>
      <w:spacing w:after="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0185"/>
    <w:pPr>
      <w:spacing w:after="0" w:line="24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8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601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6018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018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018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01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0185"/>
    <w:pPr>
      <w:spacing w:line="240" w:lineRule="auto"/>
      <w:outlineLvl w:val="9"/>
    </w:pPr>
  </w:style>
  <w:style w:type="table" w:styleId="TableGrid">
    <w:name w:val="Table Grid"/>
    <w:basedOn w:val="TableNormal"/>
    <w:uiPriority w:val="39"/>
    <w:rsid w:val="00213DC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13D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47F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rsid w:val="00054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547F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547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rsid w:val="000547FF"/>
    <w:pPr>
      <w:spacing w:before="100" w:beforeAutospacing="1" w:after="100" w:afterAutospacing="1" w:line="240" w:lineRule="auto"/>
      <w:outlineLvl w:val="3"/>
    </w:pPr>
    <w:rPr>
      <w:rFonts w:eastAsiaTheme="minorEastAsia"/>
      <w:b/>
      <w:bCs/>
      <w:lang w:val="it-IT" w:eastAsia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547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547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018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018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018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4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7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547FF"/>
    <w:rPr>
      <w:rFonts w:ascii="Times New Roman" w:eastAsiaTheme="minorEastAsia" w:hAnsi="Times New Roman" w:cs="Times New Roman"/>
      <w:b/>
      <w:bCs/>
      <w:sz w:val="24"/>
      <w:szCs w:val="24"/>
      <w:lang w:val="it-IT"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01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01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6018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054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05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60185"/>
    <w:rPr>
      <w:b/>
      <w:bCs/>
    </w:rPr>
  </w:style>
  <w:style w:type="character" w:styleId="Emphasis">
    <w:name w:val="Emphasis"/>
    <w:basedOn w:val="DefaultParagraphFont"/>
    <w:uiPriority w:val="20"/>
    <w:qFormat/>
    <w:rsid w:val="00560185"/>
    <w:rPr>
      <w:i/>
      <w:iCs/>
    </w:rPr>
  </w:style>
  <w:style w:type="paragraph" w:styleId="NoSpacing">
    <w:name w:val="No Spacing"/>
    <w:uiPriority w:val="1"/>
    <w:qFormat/>
    <w:rsid w:val="00560185"/>
  </w:style>
  <w:style w:type="paragraph" w:styleId="ListParagraph">
    <w:name w:val="List Paragraph"/>
    <w:basedOn w:val="Normal"/>
    <w:uiPriority w:val="34"/>
    <w:qFormat/>
    <w:rsid w:val="00560185"/>
    <w:pPr>
      <w:spacing w:after="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0185"/>
    <w:pPr>
      <w:spacing w:after="0" w:line="24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85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8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601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6018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018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018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01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0185"/>
    <w:pPr>
      <w:spacing w:line="240" w:lineRule="auto"/>
      <w:outlineLvl w:val="9"/>
    </w:pPr>
  </w:style>
  <w:style w:type="table" w:styleId="TableGrid">
    <w:name w:val="Table Grid"/>
    <w:basedOn w:val="TableNormal"/>
    <w:uiPriority w:val="39"/>
    <w:rsid w:val="00213DC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213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Llorente, Joan</cp:lastModifiedBy>
  <cp:revision>3</cp:revision>
  <dcterms:created xsi:type="dcterms:W3CDTF">2019-12-20T18:25:00Z</dcterms:created>
  <dcterms:modified xsi:type="dcterms:W3CDTF">2019-12-21T13:21:00Z</dcterms:modified>
</cp:coreProperties>
</file>