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43" w:rsidRDefault="00593A43">
      <w:pPr>
        <w:rPr>
          <w:rFonts w:ascii="Times New Roman" w:eastAsiaTheme="minorHAnsi" w:hAnsi="Times New Roman" w:cs="Times New Roman"/>
          <w:kern w:val="0"/>
          <w:sz w:val="24"/>
          <w:szCs w:val="24"/>
          <w:shd w:val="clear" w:color="auto" w:fill="FFFFFF"/>
          <w:lang w:eastAsia="de-DE"/>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1</w:t>
      </w:r>
    </w:p>
    <w:p w:rsidR="00593A43" w:rsidRDefault="009A75B0">
      <w:pPr>
        <w:rPr>
          <w:rFonts w:ascii="Times New Roman" w:hAnsi="Times New Roman" w:cs="Times New Roman"/>
        </w:rPr>
      </w:pPr>
      <w:r>
        <w:rPr>
          <w:rFonts w:ascii="Times New Roman" w:hAnsi="Times New Roman" w:cs="Times New Roman" w:hint="eastAsia"/>
        </w:rPr>
        <w:t>Single-gene GSEA</w:t>
      </w:r>
      <w:r>
        <w:rPr>
          <w:rFonts w:ascii="Times New Roman" w:hAnsi="Times New Roman" w:cs="Times New Roman" w:hint="eastAsia"/>
        </w:rPr>
        <w:t xml:space="preserve"> of</w:t>
      </w:r>
      <w:r>
        <w:rPr>
          <w:rFonts w:ascii="Times New Roman" w:hAnsi="Times New Roman" w:cs="Times New Roman" w:hint="eastAsia"/>
        </w:rPr>
        <w:t xml:space="preserve"> SPC25</w:t>
      </w:r>
      <w:r>
        <w:rPr>
          <w:rFonts w:ascii="Times New Roman" w:hAnsi="Times New Roman" w:cs="Times New Roman" w:hint="eastAsia"/>
        </w:rPr>
        <w:t>.</w:t>
      </w:r>
    </w:p>
    <w:p w:rsidR="00593A43" w:rsidRDefault="00593A43">
      <w:pPr>
        <w:rPr>
          <w:rFonts w:ascii="Times New Roman" w:hAnsi="Times New Roman" w:cs="Times New Roman"/>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2</w:t>
      </w:r>
    </w:p>
    <w:p w:rsidR="00593A43" w:rsidRDefault="009A75B0">
      <w:pPr>
        <w:rPr>
          <w:rFonts w:ascii="Times New Roman" w:hAnsi="Times New Roman" w:cs="Times New Roman"/>
        </w:rPr>
      </w:pPr>
      <w:r>
        <w:rPr>
          <w:rFonts w:ascii="Times New Roman" w:hAnsi="Times New Roman" w:cs="Times New Roman"/>
        </w:rPr>
        <w:t>Kaplan-Meier analysis of DFI</w:t>
      </w:r>
      <w:r>
        <w:rPr>
          <w:rFonts w:ascii="Times New Roman" w:hAnsi="Times New Roman" w:cs="Times New Roman" w:hint="eastAsia"/>
        </w:rPr>
        <w:t xml:space="preserve"> </w:t>
      </w:r>
      <w:r>
        <w:rPr>
          <w:rFonts w:ascii="Times New Roman" w:hAnsi="Times New Roman" w:cs="Times New Roman"/>
        </w:rPr>
        <w:t xml:space="preserve">in patients with high and low SPC25 expression. (A-D) high expression of SPC25 predicted poor DFI than low expression (E) high expression of SPC25 </w:t>
      </w:r>
      <w:r>
        <w:rPr>
          <w:rFonts w:ascii="Times New Roman" w:hAnsi="Times New Roman" w:cs="Times New Roman"/>
        </w:rPr>
        <w:t>predicted better DFI than low expression.</w:t>
      </w:r>
    </w:p>
    <w:p w:rsidR="00593A43" w:rsidRDefault="00593A43">
      <w:pPr>
        <w:rPr>
          <w:rFonts w:ascii="Times New Roman" w:hAnsi="Times New Roman" w:cs="Times New Roman"/>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3</w:t>
      </w:r>
    </w:p>
    <w:p w:rsidR="00593A43" w:rsidRDefault="009A75B0">
      <w:pPr>
        <w:rPr>
          <w:rFonts w:ascii="Times New Roman" w:hAnsi="Times New Roman" w:cs="Times New Roman"/>
        </w:rPr>
      </w:pPr>
      <w:r>
        <w:rPr>
          <w:rFonts w:ascii="Times New Roman" w:hAnsi="Times New Roman" w:cs="Times New Roman"/>
        </w:rPr>
        <w:t>Kaplan-Meier analysis of DSS</w:t>
      </w:r>
      <w:r>
        <w:rPr>
          <w:rFonts w:ascii="Times New Roman" w:hAnsi="Times New Roman" w:cs="Times New Roman" w:hint="eastAsia"/>
        </w:rPr>
        <w:t xml:space="preserve"> </w:t>
      </w:r>
      <w:r>
        <w:rPr>
          <w:rFonts w:ascii="Times New Roman" w:hAnsi="Times New Roman" w:cs="Times New Roman"/>
        </w:rPr>
        <w:t>in patients with high and low SPC25 expression. (A-G) high expression of SPC25 predicted poor DSS than low expression (H-I) high expression of SPC25 predicted bet</w:t>
      </w:r>
      <w:r>
        <w:rPr>
          <w:rFonts w:ascii="Times New Roman" w:hAnsi="Times New Roman" w:cs="Times New Roman"/>
        </w:rPr>
        <w:t>ter DSS than low expression.</w:t>
      </w:r>
    </w:p>
    <w:p w:rsidR="00593A43" w:rsidRDefault="00593A43">
      <w:pPr>
        <w:rPr>
          <w:rFonts w:ascii="Times New Roman" w:hAnsi="Times New Roman" w:cs="Times New Roman"/>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4</w:t>
      </w:r>
    </w:p>
    <w:p w:rsidR="00593A43" w:rsidRDefault="009A75B0">
      <w:pPr>
        <w:rPr>
          <w:rFonts w:ascii="Times New Roman" w:hAnsi="Times New Roman" w:cs="Times New Roman"/>
        </w:rPr>
      </w:pPr>
      <w:r>
        <w:rPr>
          <w:rFonts w:ascii="Times New Roman" w:hAnsi="Times New Roman" w:cs="Times New Roman"/>
        </w:rPr>
        <w:t>Kaplan-Meier analysis of PFI</w:t>
      </w:r>
      <w:r>
        <w:rPr>
          <w:rFonts w:ascii="Times New Roman" w:hAnsi="Times New Roman" w:cs="Times New Roman" w:hint="eastAsia"/>
        </w:rPr>
        <w:t xml:space="preserve"> </w:t>
      </w:r>
      <w:r>
        <w:rPr>
          <w:rFonts w:ascii="Times New Roman" w:hAnsi="Times New Roman" w:cs="Times New Roman"/>
        </w:rPr>
        <w:t xml:space="preserve">in patients with high and low SPC25 expression. (A-H) high expression of SPC25 predicted poor PFI than low expression (I-J) high expression of SPC25 predicted better PFI than </w:t>
      </w:r>
      <w:r>
        <w:rPr>
          <w:rFonts w:ascii="Times New Roman" w:hAnsi="Times New Roman" w:cs="Times New Roman"/>
        </w:rPr>
        <w:t>low expression.</w:t>
      </w:r>
    </w:p>
    <w:p w:rsidR="00593A43" w:rsidRDefault="00593A43">
      <w:pPr>
        <w:rPr>
          <w:rFonts w:ascii="Times New Roman" w:hAnsi="Times New Roman" w:cs="Times New Roman"/>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5</w:t>
      </w:r>
    </w:p>
    <w:p w:rsidR="00593A43" w:rsidRDefault="009A75B0">
      <w:pPr>
        <w:rPr>
          <w:rFonts w:ascii="Times New Roman" w:hAnsi="Times New Roman" w:cs="Times New Roman"/>
        </w:rPr>
      </w:pPr>
      <w:r>
        <w:rPr>
          <w:rFonts w:ascii="Times New Roman" w:hAnsi="Times New Roman" w:cs="Times New Roman"/>
        </w:rPr>
        <w:t xml:space="preserve">Analysis of clinic correlation of SPC25 expression. Correlation analysis of SPC25 expression and age (with 65 years as the cutoff) (A) ESCA (B) KIRP (C) LAML (D) STAD (E) LUSC (F) THYM. Red means the patient is </w:t>
      </w:r>
      <w:r>
        <w:rPr>
          <w:rFonts w:ascii="Times New Roman" w:hAnsi="Times New Roman" w:cs="Times New Roman"/>
        </w:rPr>
        <w:t>younger than 65 years old, and blue means the patient is 65 years or older</w:t>
      </w:r>
      <w:r>
        <w:rPr>
          <w:rFonts w:ascii="Times New Roman" w:hAnsi="Times New Roman" w:cs="Times New Roman" w:hint="eastAsia"/>
        </w:rPr>
        <w:t>.</w:t>
      </w:r>
    </w:p>
    <w:p w:rsidR="00593A43" w:rsidRDefault="00593A43">
      <w:pPr>
        <w:rPr>
          <w:rFonts w:ascii="Times New Roman" w:hAnsi="Times New Roman" w:cs="Times New Roman"/>
        </w:rPr>
      </w:pPr>
    </w:p>
    <w:p w:rsidR="00593A43" w:rsidRDefault="009A75B0">
      <w:pPr>
        <w:rPr>
          <w:rFonts w:ascii="Times New Roman" w:eastAsiaTheme="minorHAnsi" w:hAnsi="Times New Roman" w:cs="Times New Roman"/>
          <w:kern w:val="0"/>
          <w:sz w:val="24"/>
          <w:szCs w:val="24"/>
          <w:shd w:val="clear" w:color="auto" w:fill="FFFFFF"/>
        </w:rPr>
      </w:pPr>
      <w:r>
        <w:rPr>
          <w:rFonts w:ascii="Times New Roman" w:eastAsiaTheme="minorHAnsi" w:hAnsi="Times New Roman" w:cs="Times New Roman" w:hint="eastAsia"/>
          <w:kern w:val="0"/>
          <w:sz w:val="24"/>
          <w:szCs w:val="24"/>
          <w:shd w:val="clear" w:color="auto" w:fill="FFFFFF"/>
          <w:lang w:eastAsia="de-DE"/>
        </w:rPr>
        <w:t>Supplementary Figure</w:t>
      </w:r>
      <w:r>
        <w:rPr>
          <w:rFonts w:ascii="Times New Roman" w:eastAsiaTheme="minorHAnsi" w:hAnsi="Times New Roman" w:cs="Times New Roman" w:hint="eastAsia"/>
          <w:kern w:val="0"/>
          <w:sz w:val="24"/>
          <w:szCs w:val="24"/>
          <w:shd w:val="clear" w:color="auto" w:fill="FFFFFF"/>
        </w:rPr>
        <w:t>6</w:t>
      </w:r>
    </w:p>
    <w:p w:rsidR="00593A43" w:rsidRDefault="009A75B0">
      <w:pPr>
        <w:rPr>
          <w:rFonts w:ascii="Times New Roman" w:eastAsia="SimSun" w:hAnsi="Times New Roman" w:cs="Times New Roman"/>
          <w:szCs w:val="21"/>
        </w:rPr>
      </w:pPr>
      <w:r>
        <w:rPr>
          <w:rFonts w:ascii="Times New Roman" w:hAnsi="Times New Roman" w:cs="Times New Roman"/>
        </w:rPr>
        <w:t xml:space="preserve">Gene co-expression analysis of SPC25 in pan-cancer. The heatmaps presenting the correlations of SPC25 expression with genes related to (A) immune chemokines </w:t>
      </w:r>
      <w:r>
        <w:rPr>
          <w:rFonts w:ascii="Times New Roman" w:hAnsi="Times New Roman" w:cs="Times New Roman"/>
        </w:rPr>
        <w:t xml:space="preserve">genes (B) Ferroptosis-related genes </w:t>
      </w:r>
      <w:r>
        <w:rPr>
          <w:rFonts w:ascii="Times New Roman" w:hAnsi="Times New Roman" w:cs="Times New Roman"/>
          <w:szCs w:val="21"/>
        </w:rPr>
        <w:t xml:space="preserve">(C) </w:t>
      </w:r>
      <w:r>
        <w:rPr>
          <w:rFonts w:ascii="Times New Roman" w:eastAsia="SimSun" w:hAnsi="Times New Roman" w:cs="Times New Roman"/>
          <w:szCs w:val="21"/>
        </w:rPr>
        <w:t>Cuproptosis-related genes and (D) lactate metabolism related genes. The upper left corner of each square represents the p-value, * represents p &lt; 0.05, ** represent p &lt; 0.01, and *** represent p &lt; 0.001; the lower ri</w:t>
      </w:r>
      <w:r>
        <w:rPr>
          <w:rFonts w:ascii="Times New Roman" w:eastAsia="SimSun" w:hAnsi="Times New Roman" w:cs="Times New Roman"/>
          <w:szCs w:val="21"/>
        </w:rPr>
        <w:t>ght</w:t>
      </w:r>
      <w:r>
        <w:rPr>
          <w:rFonts w:ascii="Times New Roman" w:eastAsia="SimSun" w:hAnsi="Times New Roman" w:cs="Times New Roman" w:hint="eastAsia"/>
          <w:szCs w:val="21"/>
        </w:rPr>
        <w:t xml:space="preserve"> </w:t>
      </w:r>
      <w:r>
        <w:rPr>
          <w:rFonts w:ascii="Times New Roman" w:eastAsia="SimSun" w:hAnsi="Times New Roman" w:cs="Times New Roman"/>
          <w:szCs w:val="21"/>
        </w:rPr>
        <w:t xml:space="preserve">corner represents the correlation between </w:t>
      </w:r>
      <w:r>
        <w:rPr>
          <w:rFonts w:ascii="Times New Roman" w:hAnsi="Times New Roman" w:cs="Times New Roman"/>
          <w:szCs w:val="21"/>
        </w:rPr>
        <w:t xml:space="preserve">SPC25 </w:t>
      </w:r>
      <w:r>
        <w:rPr>
          <w:rFonts w:ascii="Times New Roman" w:eastAsia="SimSun" w:hAnsi="Times New Roman" w:cs="Times New Roman"/>
          <w:szCs w:val="21"/>
        </w:rPr>
        <w:t>and other genes, red represents positive correlation, and yellow represents negative</w:t>
      </w:r>
      <w:r>
        <w:rPr>
          <w:rFonts w:ascii="Times New Roman" w:eastAsia="SimSun" w:hAnsi="Times New Roman" w:cs="Times New Roman" w:hint="eastAsia"/>
          <w:szCs w:val="21"/>
        </w:rPr>
        <w:t xml:space="preserve"> </w:t>
      </w:r>
      <w:r>
        <w:rPr>
          <w:rFonts w:ascii="Times New Roman" w:eastAsia="SimSun" w:hAnsi="Times New Roman" w:cs="Times New Roman"/>
          <w:szCs w:val="21"/>
        </w:rPr>
        <w:t>correlation.</w:t>
      </w:r>
      <w:bookmarkStart w:id="0" w:name="_GoBack"/>
      <w:bookmarkEnd w:id="0"/>
    </w:p>
    <w:sectPr w:rsidR="00593A43" w:rsidSect="009A75B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75B0">
      <w:r>
        <w:separator/>
      </w:r>
    </w:p>
  </w:endnote>
  <w:endnote w:type="continuationSeparator" w:id="0">
    <w:p w:rsidR="00000000" w:rsidRDefault="009A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278674"/>
    </w:sdtPr>
    <w:sdtEndPr/>
    <w:sdtContent>
      <w:p w:rsidR="00593A43" w:rsidRDefault="009A75B0">
        <w:pPr>
          <w:pStyle w:val="Footer"/>
          <w:jc w:val="right"/>
        </w:pPr>
        <w:r>
          <w:fldChar w:fldCharType="begin"/>
        </w:r>
        <w:r>
          <w:instrText>PAGE   \* MERGEFORMAT</w:instrText>
        </w:r>
        <w:r>
          <w:fldChar w:fldCharType="separate"/>
        </w:r>
        <w:r w:rsidRPr="009A75B0">
          <w:rPr>
            <w:noProof/>
            <w:lang w:val="zh-CN"/>
          </w:rPr>
          <w:t>1</w:t>
        </w:r>
        <w:r>
          <w:fldChar w:fldCharType="end"/>
        </w:r>
      </w:p>
    </w:sdtContent>
  </w:sdt>
  <w:p w:rsidR="00593A43" w:rsidRDefault="00593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75B0">
      <w:r>
        <w:separator/>
      </w:r>
    </w:p>
  </w:footnote>
  <w:footnote w:type="continuationSeparator" w:id="0">
    <w:p w:rsidR="00000000" w:rsidRDefault="009A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1M2ExNWI2NWY1MzYyYWQ4NTA3ZTFjYjA3MmM0NDcifQ=="/>
  </w:docVars>
  <w:rsids>
    <w:rsidRoot w:val="00367D17"/>
    <w:rsid w:val="00134ABB"/>
    <w:rsid w:val="001E77F7"/>
    <w:rsid w:val="00252CB0"/>
    <w:rsid w:val="002C1783"/>
    <w:rsid w:val="00367D17"/>
    <w:rsid w:val="005513F1"/>
    <w:rsid w:val="00593A43"/>
    <w:rsid w:val="006E021F"/>
    <w:rsid w:val="0079287C"/>
    <w:rsid w:val="00793C01"/>
    <w:rsid w:val="009319ED"/>
    <w:rsid w:val="00947020"/>
    <w:rsid w:val="009A395F"/>
    <w:rsid w:val="009A75B0"/>
    <w:rsid w:val="00A708E5"/>
    <w:rsid w:val="00C665C3"/>
    <w:rsid w:val="00C94E4F"/>
    <w:rsid w:val="397825EF"/>
    <w:rsid w:val="49D901FB"/>
    <w:rsid w:val="59A80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7D200-A3B0-4DAA-B33C-0B44A513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LineNumber">
    <w:name w:val="line number"/>
    <w:basedOn w:val="DefaultParagraphFont"/>
    <w:autoRedefine/>
    <w:uiPriority w:val="99"/>
    <w:semiHidden/>
    <w:unhideWhenUsed/>
    <w:qFormat/>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Company>HP Inc.</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 文</dc:creator>
  <cp:lastModifiedBy>Kiruthika S..</cp:lastModifiedBy>
  <cp:revision>5</cp:revision>
  <dcterms:created xsi:type="dcterms:W3CDTF">2023-04-22T09:05:00Z</dcterms:created>
  <dcterms:modified xsi:type="dcterms:W3CDTF">2024-04-06T02:56:00Z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3fa124a3-39fd-4a60-a89c-921959daa888</vt:lpwstr>
  </property>
  <property fmtid="{D5CDD505-2E9C-101B-9397-08002B2CF9AE}" pid="3" name="KSOProductBuildVer">
    <vt:lpwstr>2052-12.1.0.16120</vt:lpwstr>
  </property>
  <property fmtid="{D5CDD505-2E9C-101B-9397-08002B2CF9AE}" pid="4" name="ICV">
    <vt:lpwstr>793488F9DFE4445BA2DC0ABEE2758550_12</vt:lpwstr>
  </property>
</Properties>
</file>