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331D0A" w14:textId="318B8E11" w:rsidR="00767B8E" w:rsidRPr="0010075A" w:rsidRDefault="00767B8E" w:rsidP="0010075A">
      <w:pPr>
        <w:spacing w:line="480" w:lineRule="auto"/>
        <w:rPr>
          <w:b/>
          <w:bCs/>
          <w:sz w:val="28"/>
          <w:szCs w:val="28"/>
        </w:rPr>
      </w:pPr>
      <w:bookmarkStart w:id="0" w:name="_GoBack"/>
      <w:r w:rsidRPr="0010075A">
        <w:rPr>
          <w:b/>
          <w:bCs/>
          <w:sz w:val="28"/>
          <w:szCs w:val="28"/>
        </w:rPr>
        <w:t>SI Methods</w:t>
      </w:r>
    </w:p>
    <w:p w14:paraId="35C31044" w14:textId="1EB2DE25" w:rsidR="002473BB" w:rsidRPr="0010075A" w:rsidRDefault="002473BB" w:rsidP="0010075A">
      <w:pPr>
        <w:spacing w:line="480" w:lineRule="auto"/>
        <w:rPr>
          <w:b/>
          <w:bCs/>
          <w:sz w:val="32"/>
          <w:szCs w:val="32"/>
        </w:rPr>
      </w:pPr>
      <w:r w:rsidRPr="0010075A">
        <w:rPr>
          <w:b/>
          <w:bCs/>
          <w:sz w:val="32"/>
          <w:szCs w:val="32"/>
        </w:rPr>
        <w:t>Blood and urine multi-omics analysis of the impact of e-vaping, smoking</w:t>
      </w:r>
      <w:r w:rsidR="001325A2" w:rsidRPr="0010075A">
        <w:rPr>
          <w:b/>
          <w:bCs/>
          <w:sz w:val="32"/>
          <w:szCs w:val="32"/>
        </w:rPr>
        <w:t>,</w:t>
      </w:r>
      <w:r w:rsidRPr="0010075A">
        <w:rPr>
          <w:b/>
          <w:bCs/>
          <w:sz w:val="32"/>
          <w:szCs w:val="32"/>
        </w:rPr>
        <w:t xml:space="preserve"> and cessation – From exposome to molecular responses</w:t>
      </w:r>
    </w:p>
    <w:p w14:paraId="1753D7FF" w14:textId="2F500BC5" w:rsidR="002473BB" w:rsidRPr="0010075A" w:rsidRDefault="002473BB" w:rsidP="0010075A">
      <w:pPr>
        <w:spacing w:line="480" w:lineRule="auto"/>
      </w:pPr>
      <w:r w:rsidRPr="0010075A">
        <w:t>Carine Poussin</w:t>
      </w:r>
      <w:r w:rsidRPr="0010075A">
        <w:rPr>
          <w:vertAlign w:val="superscript"/>
        </w:rPr>
        <w:t>1</w:t>
      </w:r>
      <w:r w:rsidRPr="0010075A">
        <w:t>, Bjoern Titz</w:t>
      </w:r>
      <w:r w:rsidRPr="0010075A">
        <w:rPr>
          <w:vertAlign w:val="superscript"/>
        </w:rPr>
        <w:t>1</w:t>
      </w:r>
      <w:r w:rsidRPr="0010075A">
        <w:t>, Yang Xiang</w:t>
      </w:r>
      <w:r w:rsidRPr="0010075A">
        <w:rPr>
          <w:vertAlign w:val="superscript"/>
        </w:rPr>
        <w:t>1</w:t>
      </w:r>
      <w:r w:rsidR="00B70DB6" w:rsidRPr="0010075A">
        <w:rPr>
          <w:vertAlign w:val="superscript"/>
        </w:rPr>
        <w:t>*</w:t>
      </w:r>
      <w:r w:rsidRPr="0010075A">
        <w:t>, Laurel Baglia</w:t>
      </w:r>
      <w:r w:rsidRPr="0010075A">
        <w:rPr>
          <w:vertAlign w:val="superscript"/>
        </w:rPr>
        <w:t>2#</w:t>
      </w:r>
      <w:r w:rsidRPr="0010075A">
        <w:t>, Rachel Berg</w:t>
      </w:r>
      <w:r w:rsidRPr="0010075A">
        <w:rPr>
          <w:vertAlign w:val="superscript"/>
        </w:rPr>
        <w:t>2#</w:t>
      </w:r>
      <w:r w:rsidRPr="0010075A">
        <w:t>, David Bornand</w:t>
      </w:r>
      <w:r w:rsidRPr="0010075A">
        <w:rPr>
          <w:vertAlign w:val="superscript"/>
        </w:rPr>
        <w:t>1#</w:t>
      </w:r>
      <w:r w:rsidRPr="0010075A">
        <w:t>, Mohammed-Amin Choukrallah</w:t>
      </w:r>
      <w:r w:rsidRPr="0010075A">
        <w:rPr>
          <w:vertAlign w:val="superscript"/>
        </w:rPr>
        <w:t>1#</w:t>
      </w:r>
      <w:r w:rsidRPr="0010075A">
        <w:t>, Timothy Curran</w:t>
      </w:r>
      <w:r w:rsidRPr="0010075A">
        <w:rPr>
          <w:vertAlign w:val="superscript"/>
        </w:rPr>
        <w:t>2#</w:t>
      </w:r>
      <w:r w:rsidRPr="0010075A">
        <w:t>, Sophie Dijon</w:t>
      </w:r>
      <w:r w:rsidRPr="0010075A">
        <w:rPr>
          <w:vertAlign w:val="superscript"/>
        </w:rPr>
        <w:t>1#</w:t>
      </w:r>
      <w:r w:rsidRPr="0010075A">
        <w:t>, Eric Dossin</w:t>
      </w:r>
      <w:r w:rsidRPr="0010075A">
        <w:rPr>
          <w:vertAlign w:val="superscript"/>
        </w:rPr>
        <w:t>1#</w:t>
      </w:r>
      <w:r w:rsidRPr="0010075A">
        <w:t>, Remi Dulize</w:t>
      </w:r>
      <w:r w:rsidRPr="0010075A">
        <w:rPr>
          <w:vertAlign w:val="superscript"/>
        </w:rPr>
        <w:t>1#</w:t>
      </w:r>
      <w:r w:rsidRPr="0010075A">
        <w:t>, Doris Etter</w:t>
      </w:r>
      <w:r w:rsidRPr="0010075A">
        <w:rPr>
          <w:vertAlign w:val="superscript"/>
        </w:rPr>
        <w:t>1#</w:t>
      </w:r>
      <w:r w:rsidRPr="0010075A">
        <w:t>, Maria Fatarova</w:t>
      </w:r>
      <w:r w:rsidRPr="0010075A">
        <w:rPr>
          <w:vertAlign w:val="superscript"/>
        </w:rPr>
        <w:t>1#</w:t>
      </w:r>
      <w:r w:rsidRPr="0010075A">
        <w:t>, Loyse Felber Medlin</w:t>
      </w:r>
      <w:r w:rsidRPr="0010075A">
        <w:rPr>
          <w:vertAlign w:val="superscript"/>
        </w:rPr>
        <w:t>1#</w:t>
      </w:r>
      <w:r w:rsidRPr="0010075A">
        <w:t>, Adrian Haiduc</w:t>
      </w:r>
      <w:r w:rsidRPr="0010075A">
        <w:rPr>
          <w:vertAlign w:val="superscript"/>
        </w:rPr>
        <w:t>1#</w:t>
      </w:r>
      <w:r w:rsidRPr="0010075A">
        <w:t>, Edina Kishazi</w:t>
      </w:r>
      <w:r w:rsidRPr="0010075A">
        <w:rPr>
          <w:vertAlign w:val="superscript"/>
        </w:rPr>
        <w:t>1#</w:t>
      </w:r>
      <w:r w:rsidRPr="0010075A">
        <w:t>, Aditya R. Kolli</w:t>
      </w:r>
      <w:r w:rsidRPr="0010075A">
        <w:rPr>
          <w:vertAlign w:val="superscript"/>
        </w:rPr>
        <w:t>1#</w:t>
      </w:r>
      <w:r w:rsidRPr="0010075A">
        <w:t>, Thanos Kondylis</w:t>
      </w:r>
      <w:r w:rsidRPr="0010075A">
        <w:rPr>
          <w:vertAlign w:val="superscript"/>
        </w:rPr>
        <w:t>1#</w:t>
      </w:r>
      <w:r w:rsidRPr="0010075A">
        <w:t>, Emmanuel Kottelat</w:t>
      </w:r>
      <w:r w:rsidRPr="0010075A">
        <w:rPr>
          <w:vertAlign w:val="superscript"/>
        </w:rPr>
        <w:t>1#</w:t>
      </w:r>
      <w:r w:rsidRPr="0010075A">
        <w:t>, Csaba Laszlo</w:t>
      </w:r>
      <w:r w:rsidRPr="0010075A">
        <w:rPr>
          <w:vertAlign w:val="superscript"/>
        </w:rPr>
        <w:t>1#</w:t>
      </w:r>
      <w:r w:rsidRPr="0010075A">
        <w:t>, Oksana Lavrynenko</w:t>
      </w:r>
      <w:r w:rsidRPr="0010075A">
        <w:rPr>
          <w:vertAlign w:val="superscript"/>
        </w:rPr>
        <w:t>1#</w:t>
      </w:r>
      <w:r w:rsidRPr="0010075A">
        <w:t>, Yvan Eb-Levadoux</w:t>
      </w:r>
      <w:r w:rsidRPr="0010075A">
        <w:rPr>
          <w:vertAlign w:val="superscript"/>
        </w:rPr>
        <w:t>1#</w:t>
      </w:r>
      <w:r w:rsidRPr="0010075A">
        <w:t>, Catherine Nury</w:t>
      </w:r>
      <w:r w:rsidRPr="0010075A">
        <w:rPr>
          <w:vertAlign w:val="superscript"/>
        </w:rPr>
        <w:t>1#</w:t>
      </w:r>
      <w:r w:rsidRPr="0010075A">
        <w:t>, Dariusz Peric</w:t>
      </w:r>
      <w:r w:rsidRPr="0010075A">
        <w:rPr>
          <w:vertAlign w:val="superscript"/>
        </w:rPr>
        <w:t>1#</w:t>
      </w:r>
      <w:r w:rsidRPr="0010075A">
        <w:t>, Melissa Rizza</w:t>
      </w:r>
      <w:r w:rsidRPr="0010075A">
        <w:rPr>
          <w:vertAlign w:val="superscript"/>
        </w:rPr>
        <w:t>1#</w:t>
      </w:r>
      <w:r w:rsidRPr="0010075A">
        <w:t>, Thomas Schneider</w:t>
      </w:r>
      <w:r w:rsidRPr="0010075A">
        <w:rPr>
          <w:vertAlign w:val="superscript"/>
        </w:rPr>
        <w:t>1#</w:t>
      </w:r>
      <w:r w:rsidRPr="0010075A">
        <w:t>, Emmanuel Guedj</w:t>
      </w:r>
      <w:r w:rsidRPr="0010075A">
        <w:rPr>
          <w:vertAlign w:val="superscript"/>
        </w:rPr>
        <w:t>1</w:t>
      </w:r>
      <w:r w:rsidRPr="0010075A">
        <w:t>, Florian Calvino</w:t>
      </w:r>
      <w:r w:rsidRPr="0010075A">
        <w:rPr>
          <w:vertAlign w:val="superscript"/>
        </w:rPr>
        <w:t>1</w:t>
      </w:r>
      <w:r w:rsidRPr="0010075A">
        <w:t>, Nicolas Sierro</w:t>
      </w:r>
      <w:r w:rsidRPr="0010075A">
        <w:rPr>
          <w:vertAlign w:val="superscript"/>
        </w:rPr>
        <w:t>1</w:t>
      </w:r>
      <w:r w:rsidRPr="0010075A">
        <w:t>, Philippe Guy</w:t>
      </w:r>
      <w:r w:rsidRPr="0010075A">
        <w:rPr>
          <w:vertAlign w:val="superscript"/>
        </w:rPr>
        <w:t>1</w:t>
      </w:r>
      <w:r w:rsidR="00B70DB6" w:rsidRPr="0010075A">
        <w:rPr>
          <w:vertAlign w:val="superscript"/>
        </w:rPr>
        <w:t>*</w:t>
      </w:r>
      <w:r w:rsidRPr="0010075A">
        <w:t>, Nikolai V. Ivanov</w:t>
      </w:r>
      <w:r w:rsidRPr="0010075A">
        <w:rPr>
          <w:vertAlign w:val="superscript"/>
        </w:rPr>
        <w:t>1</w:t>
      </w:r>
      <w:r w:rsidR="00F461C3" w:rsidRPr="0010075A">
        <w:rPr>
          <w:vertAlign w:val="superscript"/>
        </w:rPr>
        <w:t>*</w:t>
      </w:r>
      <w:r w:rsidRPr="0010075A">
        <w:t>, Patrick Picavet</w:t>
      </w:r>
      <w:r w:rsidRPr="0010075A">
        <w:rPr>
          <w:vertAlign w:val="superscript"/>
        </w:rPr>
        <w:t>1</w:t>
      </w:r>
      <w:r w:rsidRPr="0010075A">
        <w:t>, Sherry Spinelli</w:t>
      </w:r>
      <w:r w:rsidRPr="0010075A">
        <w:rPr>
          <w:vertAlign w:val="superscript"/>
        </w:rPr>
        <w:t>2</w:t>
      </w:r>
      <w:r w:rsidRPr="0010075A">
        <w:t>, Julia Hoeng</w:t>
      </w:r>
      <w:r w:rsidRPr="0010075A">
        <w:rPr>
          <w:vertAlign w:val="superscript"/>
        </w:rPr>
        <w:t>1</w:t>
      </w:r>
      <w:r w:rsidRPr="0010075A">
        <w:t>, Manuel C. Peitsch</w:t>
      </w:r>
      <w:r w:rsidRPr="0010075A">
        <w:rPr>
          <w:vertAlign w:val="superscript"/>
        </w:rPr>
        <w:t>1</w:t>
      </w:r>
    </w:p>
    <w:p w14:paraId="06921C92" w14:textId="77777777" w:rsidR="002473BB" w:rsidRPr="0010075A" w:rsidRDefault="002473BB" w:rsidP="0010075A">
      <w:pPr>
        <w:spacing w:line="480" w:lineRule="auto"/>
      </w:pPr>
    </w:p>
    <w:p w14:paraId="2E5EB2BB" w14:textId="77777777" w:rsidR="002473BB" w:rsidRPr="0010075A" w:rsidRDefault="002473BB" w:rsidP="0010075A">
      <w:pPr>
        <w:spacing w:line="480" w:lineRule="auto"/>
      </w:pPr>
      <w:r w:rsidRPr="0010075A">
        <w:rPr>
          <w:vertAlign w:val="superscript"/>
        </w:rPr>
        <w:t>1</w:t>
      </w:r>
      <w:r w:rsidRPr="0010075A">
        <w:t>PMI R&amp;D, Philip Morris Products S.A., Quai Jeanrenaud 5, CH-2000 Neuchâtel, Switzerland</w:t>
      </w:r>
    </w:p>
    <w:p w14:paraId="01FB716D" w14:textId="7BA00E38" w:rsidR="002473BB" w:rsidRPr="0010075A" w:rsidRDefault="002473BB" w:rsidP="0010075A">
      <w:pPr>
        <w:spacing w:line="480" w:lineRule="auto"/>
      </w:pPr>
      <w:r w:rsidRPr="0010075A">
        <w:rPr>
          <w:vertAlign w:val="superscript"/>
        </w:rPr>
        <w:t>2</w:t>
      </w:r>
      <w:r w:rsidRPr="0010075A">
        <w:t>University of Rochester Medical Center, Rochester, NY</w:t>
      </w:r>
      <w:r w:rsidR="001325A2" w:rsidRPr="0010075A">
        <w:t>, USA</w:t>
      </w:r>
    </w:p>
    <w:p w14:paraId="263B0CA2" w14:textId="77777777" w:rsidR="002473BB" w:rsidRPr="0010075A" w:rsidRDefault="002473BB" w:rsidP="0010075A">
      <w:pPr>
        <w:spacing w:line="480" w:lineRule="auto"/>
      </w:pPr>
    </w:p>
    <w:p w14:paraId="426078DF" w14:textId="77777777" w:rsidR="002473BB" w:rsidRPr="0010075A" w:rsidRDefault="002473BB" w:rsidP="0010075A">
      <w:pPr>
        <w:spacing w:line="480" w:lineRule="auto"/>
      </w:pPr>
      <w:r w:rsidRPr="0010075A">
        <w:t>#By alphabetical order</w:t>
      </w:r>
    </w:p>
    <w:p w14:paraId="0A09E193" w14:textId="5A25D65E" w:rsidR="002473BB" w:rsidRPr="0010075A" w:rsidRDefault="002473BB" w:rsidP="0010075A">
      <w:pPr>
        <w:spacing w:line="480" w:lineRule="auto"/>
      </w:pPr>
      <w:r w:rsidRPr="0010075A">
        <w:t>*Corresponding author</w:t>
      </w:r>
      <w:r w:rsidR="00B70DB6" w:rsidRPr="0010075A">
        <w:t>s</w:t>
      </w:r>
      <w:r w:rsidRPr="0010075A">
        <w:t>:</w:t>
      </w:r>
    </w:p>
    <w:p w14:paraId="08523DDD" w14:textId="77777777" w:rsidR="00ED5D26" w:rsidRPr="0010075A" w:rsidRDefault="00ED5D26" w:rsidP="0010075A">
      <w:pPr>
        <w:spacing w:line="480" w:lineRule="auto"/>
        <w:rPr>
          <w:rFonts w:cstheme="minorHAnsi"/>
          <w:lang w:val="fr-FR"/>
        </w:rPr>
      </w:pPr>
      <w:r w:rsidRPr="0010075A">
        <w:rPr>
          <w:rFonts w:cstheme="minorHAnsi"/>
          <w:lang w:val="fr-FR"/>
        </w:rPr>
        <w:t>Dr. Yang Xiang</w:t>
      </w:r>
    </w:p>
    <w:p w14:paraId="561BEC99" w14:textId="77777777" w:rsidR="00ED5D26" w:rsidRPr="0010075A" w:rsidRDefault="00ED5D26" w:rsidP="0010075A">
      <w:pPr>
        <w:spacing w:line="480" w:lineRule="auto"/>
        <w:rPr>
          <w:rFonts w:cstheme="minorHAnsi"/>
          <w:lang w:val="fr-FR"/>
        </w:rPr>
      </w:pPr>
      <w:r w:rsidRPr="0010075A">
        <w:rPr>
          <w:rFonts w:cstheme="minorHAnsi"/>
          <w:lang w:val="fr-FR"/>
        </w:rPr>
        <w:t>Tel: +41 (58) 242 2277</w:t>
      </w:r>
    </w:p>
    <w:p w14:paraId="085094F5" w14:textId="77777777" w:rsidR="00ED5D26" w:rsidRPr="0010075A" w:rsidRDefault="00ED5D26" w:rsidP="0010075A">
      <w:pPr>
        <w:spacing w:line="480" w:lineRule="auto"/>
        <w:rPr>
          <w:rFonts w:cstheme="minorHAnsi"/>
          <w:lang w:val="fr-FR"/>
        </w:rPr>
      </w:pPr>
      <w:r w:rsidRPr="0010075A">
        <w:rPr>
          <w:rFonts w:cstheme="minorHAnsi"/>
          <w:lang w:val="fr-FR"/>
        </w:rPr>
        <w:t>Email: yang.xiang@pmi.com</w:t>
      </w:r>
    </w:p>
    <w:p w14:paraId="166F39A6" w14:textId="77777777" w:rsidR="00ED5D26" w:rsidRPr="0010075A" w:rsidRDefault="00ED5D26" w:rsidP="0010075A">
      <w:pPr>
        <w:spacing w:line="480" w:lineRule="auto"/>
        <w:rPr>
          <w:rFonts w:cstheme="minorHAnsi"/>
          <w:lang w:val="fr-FR"/>
        </w:rPr>
      </w:pPr>
      <w:r w:rsidRPr="0010075A">
        <w:rPr>
          <w:rFonts w:cstheme="minorHAnsi"/>
          <w:lang w:val="fr-FR"/>
        </w:rPr>
        <w:t>Dr. Philippe Guy</w:t>
      </w:r>
    </w:p>
    <w:p w14:paraId="44034316" w14:textId="77777777" w:rsidR="00ED5D26" w:rsidRPr="0010075A" w:rsidRDefault="00ED5D26" w:rsidP="0010075A">
      <w:pPr>
        <w:spacing w:line="480" w:lineRule="auto"/>
        <w:rPr>
          <w:rFonts w:cstheme="minorHAnsi"/>
          <w:lang w:val="fr-FR"/>
        </w:rPr>
      </w:pPr>
      <w:r w:rsidRPr="0010075A">
        <w:rPr>
          <w:rFonts w:cstheme="minorHAnsi"/>
          <w:lang w:val="fr-FR"/>
        </w:rPr>
        <w:t>Tel : +41 (58) 242 2622</w:t>
      </w:r>
    </w:p>
    <w:p w14:paraId="162D5AAF" w14:textId="15CDC197" w:rsidR="007043E5" w:rsidRPr="0010075A" w:rsidRDefault="00ED5D26" w:rsidP="0010075A">
      <w:pPr>
        <w:spacing w:line="480" w:lineRule="auto"/>
        <w:rPr>
          <w:rFonts w:cstheme="minorHAnsi"/>
          <w:lang w:val="fr-FR"/>
        </w:rPr>
      </w:pPr>
      <w:r w:rsidRPr="0010075A">
        <w:rPr>
          <w:rFonts w:cstheme="minorHAnsi"/>
          <w:lang w:val="fr-FR"/>
        </w:rPr>
        <w:t>Email: philippalexandre.guy@pmi.com</w:t>
      </w:r>
      <w:r w:rsidRPr="0010075A" w:rsidDel="00B70DB6">
        <w:rPr>
          <w:lang w:val="fr-FR"/>
        </w:rPr>
        <w:t xml:space="preserve"> </w:t>
      </w:r>
      <w:r w:rsidR="007043E5" w:rsidRPr="0010075A">
        <w:rPr>
          <w:rFonts w:cstheme="minorHAnsi"/>
          <w:lang w:val="fr-FR"/>
        </w:rPr>
        <w:t>Dr. Nikolai V. Ivanov</w:t>
      </w:r>
    </w:p>
    <w:p w14:paraId="64FCA485" w14:textId="77777777" w:rsidR="007043E5" w:rsidRPr="0010075A" w:rsidRDefault="007043E5" w:rsidP="0010075A">
      <w:pPr>
        <w:spacing w:line="480" w:lineRule="auto"/>
        <w:rPr>
          <w:rFonts w:cstheme="minorHAnsi"/>
          <w:lang w:val="fr-FR"/>
        </w:rPr>
      </w:pPr>
      <w:r w:rsidRPr="0010075A">
        <w:rPr>
          <w:rFonts w:cstheme="minorHAnsi"/>
          <w:lang w:val="fr-FR"/>
        </w:rPr>
        <w:t>Tel : +41 (79) 730 5690</w:t>
      </w:r>
    </w:p>
    <w:p w14:paraId="372675C9" w14:textId="4B405DF4" w:rsidR="00767B8E" w:rsidRPr="0010075A" w:rsidRDefault="007043E5" w:rsidP="0010075A">
      <w:pPr>
        <w:spacing w:line="480" w:lineRule="auto"/>
        <w:rPr>
          <w:rStyle w:val="Hyperlink"/>
          <w:rFonts w:ascii="Times New Roman" w:hAnsi="Times New Roman" w:cs="Times New Roman"/>
          <w:color w:val="auto"/>
          <w:lang w:val="de-DE"/>
        </w:rPr>
      </w:pPr>
      <w:r w:rsidRPr="0010075A">
        <w:rPr>
          <w:rFonts w:cstheme="minorHAnsi"/>
          <w:lang w:val="fr-FR"/>
        </w:rPr>
        <w:t>Email: nikolai.ivanov@unine.ch</w:t>
      </w:r>
      <w:r w:rsidRPr="0010075A">
        <w:rPr>
          <w:rStyle w:val="Hyperlink"/>
          <w:rFonts w:ascii="Times New Roman" w:hAnsi="Times New Roman" w:cs="Times New Roman"/>
          <w:color w:val="auto"/>
          <w:lang w:val="de-DE"/>
        </w:rPr>
        <w:t xml:space="preserve"> </w:t>
      </w:r>
      <w:r w:rsidR="00767B8E" w:rsidRPr="0010075A">
        <w:rPr>
          <w:rStyle w:val="Hyperlink"/>
          <w:rFonts w:ascii="Times New Roman" w:hAnsi="Times New Roman" w:cs="Times New Roman"/>
          <w:color w:val="auto"/>
          <w:lang w:val="de-DE"/>
        </w:rPr>
        <w:br w:type="page"/>
      </w:r>
    </w:p>
    <w:p w14:paraId="6F2DC314" w14:textId="41259F76" w:rsidR="00627D55" w:rsidRPr="0010075A" w:rsidRDefault="00510759" w:rsidP="0010075A">
      <w:pPr>
        <w:pStyle w:val="Heading1"/>
        <w:spacing w:line="480" w:lineRule="auto"/>
        <w:jc w:val="both"/>
        <w:rPr>
          <w:color w:val="auto"/>
          <w:lang w:val="fr-FR"/>
        </w:rPr>
      </w:pPr>
      <w:r w:rsidRPr="0010075A">
        <w:rPr>
          <w:color w:val="auto"/>
          <w:lang w:val="fr-FR"/>
        </w:rPr>
        <w:lastRenderedPageBreak/>
        <w:t xml:space="preserve">SI </w:t>
      </w:r>
      <w:r w:rsidR="00627D55" w:rsidRPr="0010075A">
        <w:rPr>
          <w:color w:val="auto"/>
          <w:lang w:val="fr-FR"/>
        </w:rPr>
        <w:t>Methods</w:t>
      </w:r>
    </w:p>
    <w:p w14:paraId="49A1C336" w14:textId="77777777" w:rsidR="00627D55" w:rsidRPr="0010075A" w:rsidRDefault="00627D55" w:rsidP="0010075A">
      <w:pPr>
        <w:pStyle w:val="Heading2"/>
        <w:spacing w:line="480" w:lineRule="auto"/>
        <w:jc w:val="both"/>
        <w:rPr>
          <w:color w:val="auto"/>
        </w:rPr>
      </w:pPr>
      <w:r w:rsidRPr="0010075A">
        <w:rPr>
          <w:color w:val="auto"/>
        </w:rPr>
        <w:t>Study population</w:t>
      </w:r>
    </w:p>
    <w:p w14:paraId="5DCACCA7" w14:textId="54D9330B" w:rsidR="00627D55" w:rsidRPr="0010075A" w:rsidRDefault="00627D55" w:rsidP="0010075A">
      <w:pPr>
        <w:spacing w:line="480" w:lineRule="auto"/>
        <w:jc w:val="both"/>
        <w:rPr>
          <w:rFonts w:cstheme="minorHAnsi"/>
        </w:rPr>
      </w:pPr>
      <w:r w:rsidRPr="0010075A">
        <w:rPr>
          <w:rFonts w:cstheme="minorHAnsi"/>
          <w:b/>
          <w:bCs/>
        </w:rPr>
        <w:t>Study subject screening, recruitment</w:t>
      </w:r>
      <w:r w:rsidR="00951CF6" w:rsidRPr="0010075A">
        <w:rPr>
          <w:rFonts w:cstheme="minorHAnsi"/>
          <w:b/>
          <w:bCs/>
        </w:rPr>
        <w:t>,</w:t>
      </w:r>
      <w:r w:rsidRPr="0010075A">
        <w:rPr>
          <w:rFonts w:cstheme="minorHAnsi"/>
          <w:b/>
          <w:bCs/>
        </w:rPr>
        <w:t xml:space="preserve"> and consenting.</w:t>
      </w:r>
      <w:r w:rsidRPr="0010075A">
        <w:rPr>
          <w:rFonts w:cstheme="minorHAnsi"/>
        </w:rPr>
        <w:t xml:space="preserve"> The study cohort included healthy human subjects who were cigarette smokers, e-vapor users, former smokers</w:t>
      </w:r>
      <w:r w:rsidR="00D17FAE" w:rsidRPr="0010075A">
        <w:rPr>
          <w:rFonts w:cstheme="minorHAnsi"/>
        </w:rPr>
        <w:t>,</w:t>
      </w:r>
      <w:r w:rsidRPr="0010075A">
        <w:rPr>
          <w:rFonts w:cstheme="minorHAnsi"/>
        </w:rPr>
        <w:t xml:space="preserve"> and never smokers (inclusion and exclusion criteria are summarized in </w:t>
      </w:r>
      <w:r w:rsidR="00D17FAE" w:rsidRPr="0010075A">
        <w:rPr>
          <w:rFonts w:cstheme="minorHAnsi"/>
        </w:rPr>
        <w:t xml:space="preserve">Supplementary </w:t>
      </w:r>
      <w:r w:rsidRPr="0010075A">
        <w:rPr>
          <w:rFonts w:cstheme="minorHAnsi"/>
        </w:rPr>
        <w:t xml:space="preserve">Table </w:t>
      </w:r>
      <w:r w:rsidR="00AF3885" w:rsidRPr="0010075A">
        <w:rPr>
          <w:rFonts w:cstheme="minorHAnsi"/>
        </w:rPr>
        <w:t>1</w:t>
      </w:r>
      <w:r w:rsidRPr="0010075A">
        <w:rPr>
          <w:rFonts w:cstheme="minorHAnsi"/>
        </w:rPr>
        <w:t>).</w:t>
      </w:r>
      <w:r w:rsidR="00191F80" w:rsidRPr="0010075A">
        <w:rPr>
          <w:rFonts w:cstheme="minorHAnsi"/>
        </w:rPr>
        <w:t xml:space="preserve"> </w:t>
      </w:r>
      <w:r w:rsidR="0011469E" w:rsidRPr="0010075A">
        <w:rPr>
          <w:rFonts w:cstheme="minorHAnsi"/>
        </w:rPr>
        <w:t>Subject</w:t>
      </w:r>
      <w:r w:rsidR="00191F80" w:rsidRPr="0010075A">
        <w:rPr>
          <w:rFonts w:cstheme="minorHAnsi"/>
        </w:rPr>
        <w:t xml:space="preserve"> recruitment took place between May 2017 and October 2018.</w:t>
      </w:r>
    </w:p>
    <w:p w14:paraId="4819FAEF" w14:textId="0AB34AED" w:rsidR="00627D55" w:rsidRPr="0010075A" w:rsidRDefault="00627D55" w:rsidP="0010075A">
      <w:pPr>
        <w:spacing w:line="480" w:lineRule="auto"/>
        <w:jc w:val="both"/>
        <w:rPr>
          <w:rFonts w:cstheme="minorHAnsi"/>
        </w:rPr>
      </w:pPr>
      <w:r w:rsidRPr="0010075A">
        <w:rPr>
          <w:rFonts w:cstheme="minorHAnsi"/>
        </w:rPr>
        <w:t>The study protocol, consent form</w:t>
      </w:r>
      <w:r w:rsidR="0063512D" w:rsidRPr="0010075A">
        <w:rPr>
          <w:rFonts w:cstheme="minorHAnsi"/>
        </w:rPr>
        <w:t>,</w:t>
      </w:r>
      <w:r w:rsidRPr="0010075A">
        <w:rPr>
          <w:rFonts w:cstheme="minorHAnsi"/>
        </w:rPr>
        <w:t xml:space="preserve"> and questionnaire for recruitment and enrollment of human subjects were approved by the URMC </w:t>
      </w:r>
      <w:r w:rsidR="00C225B8" w:rsidRPr="0010075A">
        <w:rPr>
          <w:rFonts w:cstheme="minorHAnsi"/>
        </w:rPr>
        <w:t>Institutional Review Board (</w:t>
      </w:r>
      <w:r w:rsidRPr="0010075A">
        <w:rPr>
          <w:rFonts w:cstheme="minorHAnsi"/>
        </w:rPr>
        <w:t>IRB</w:t>
      </w:r>
      <w:r w:rsidR="00C225B8" w:rsidRPr="0010075A">
        <w:rPr>
          <w:rFonts w:cstheme="minorHAnsi"/>
        </w:rPr>
        <w:t>)</w:t>
      </w:r>
      <w:r w:rsidRPr="0010075A">
        <w:rPr>
          <w:rFonts w:cstheme="minorHAnsi"/>
        </w:rPr>
        <w:t xml:space="preserve"> and </w:t>
      </w:r>
      <w:r w:rsidR="0063512D" w:rsidRPr="0010075A">
        <w:rPr>
          <w:rFonts w:cstheme="minorHAnsi"/>
        </w:rPr>
        <w:t xml:space="preserve">were </w:t>
      </w:r>
      <w:r w:rsidRPr="0010075A">
        <w:rPr>
          <w:rFonts w:cstheme="minorHAnsi"/>
        </w:rPr>
        <w:t>in alignment with the Belmont Report on ethical principles and guidelines for human subject research. The study was advertised in University publications, website</w:t>
      </w:r>
      <w:r w:rsidR="0063512D" w:rsidRPr="0010075A">
        <w:rPr>
          <w:rFonts w:cstheme="minorHAnsi"/>
        </w:rPr>
        <w:t>s</w:t>
      </w:r>
      <w:r w:rsidRPr="0010075A">
        <w:rPr>
          <w:rFonts w:cstheme="minorHAnsi"/>
        </w:rPr>
        <w:t>,</w:t>
      </w:r>
      <w:r w:rsidR="0063512D" w:rsidRPr="0010075A">
        <w:rPr>
          <w:rFonts w:cstheme="minorHAnsi"/>
        </w:rPr>
        <w:t xml:space="preserve"> and</w:t>
      </w:r>
      <w:r w:rsidRPr="0010075A">
        <w:rPr>
          <w:rFonts w:cstheme="minorHAnsi"/>
        </w:rPr>
        <w:t xml:space="preserve"> local city and town newspapers. Recruitment materials directed potential study subjects to contact the human subject coordinator (HSC) at a telephone extension at the URMC. During the initial telephone call, no identifying information (</w:t>
      </w:r>
      <w:r w:rsidRPr="0010075A">
        <w:rPr>
          <w:rFonts w:cstheme="minorHAnsi"/>
          <w:iCs/>
        </w:rPr>
        <w:t>i.e.</w:t>
      </w:r>
      <w:r w:rsidR="0063512D" w:rsidRPr="0010075A">
        <w:rPr>
          <w:rFonts w:cstheme="minorHAnsi"/>
          <w:iCs/>
        </w:rPr>
        <w:t>,</w:t>
      </w:r>
      <w:r w:rsidRPr="0010075A">
        <w:rPr>
          <w:rFonts w:cstheme="minorHAnsi"/>
        </w:rPr>
        <w:t xml:space="preserve"> name, date of birth, address) of the potential subjects was discussed prior to consent being given by the subject. The HSC briefly described the purpose and sponsors of the study and the involvement of the subject, namely that up to 100 mL of whole blood would be collected from the forearm of the subject via venipuncture and finger stick and that this may cause pain, bruising, and sometimes light-headedness or nausea. The subjects were also told that they would be requested to provide a sterile urine sample. The potential subjects were encouraged to ask questions and were informed that they would be compensated for their participation. If the potential subject was still interested in participating, the HSC used the “Study Screening Tool Questionnaire” to verify the eligibility of the subject to participate.</w:t>
      </w:r>
    </w:p>
    <w:p w14:paraId="27BC7B9E" w14:textId="77777777" w:rsidR="00627D55" w:rsidRPr="0010075A" w:rsidRDefault="00627D55" w:rsidP="0010075A">
      <w:pPr>
        <w:spacing w:line="480" w:lineRule="auto"/>
        <w:jc w:val="both"/>
        <w:rPr>
          <w:rFonts w:cstheme="minorHAnsi"/>
        </w:rPr>
      </w:pPr>
      <w:r w:rsidRPr="0010075A">
        <w:rPr>
          <w:rFonts w:cstheme="minorHAnsi"/>
        </w:rPr>
        <w:t>Study subjects selected as potentially appropriate for the study from the initial telephone screening met with the HSC by appointment at a designated location. The subject was then escorted by the HSC to a private location. The HSC used the “Study Screening Tool Questionnaire” to confirm the subject’s eligibility for the study. If the subject was determined eligible, he/she was given a consent form to read or have read to him/her, as well as the opportunity to ask questions regarding the study. All questions were answered to the subject’s satisfaction before consent was obtained.</w:t>
      </w:r>
    </w:p>
    <w:p w14:paraId="04DF193F" w14:textId="2B87FF45" w:rsidR="00627D55" w:rsidRPr="0010075A" w:rsidRDefault="00627D55" w:rsidP="0010075A">
      <w:pPr>
        <w:spacing w:line="480" w:lineRule="auto"/>
        <w:jc w:val="both"/>
        <w:rPr>
          <w:rFonts w:cstheme="minorHAnsi"/>
        </w:rPr>
      </w:pPr>
      <w:r w:rsidRPr="0010075A">
        <w:rPr>
          <w:rFonts w:cstheme="minorHAnsi"/>
        </w:rPr>
        <w:t xml:space="preserve">If the subjects were willing to participate, they were asked to print and sign their name on two identical consent forms, as well as the date, indicating their understanding of the study and their agreement to participate. The HSC then printed and signed his name and dated both consent forms. One of the consent forms was given to the subject, while the other was kept on file in a locked location in the laboratory of the principal investigator for future IRB review. If the potential subjects elected not to participate, the HSC thanked them and escorted them to an appropriate exit location. Following consenting, demographic information was collected that was necessary for the study and the University research board’s annual review. In most instances, the consented subject agreed to sample collection immediately following the onsite interview and consenting process. The subject was escorted to the Autologous Blood Donation Room. If the subject consented but </w:t>
      </w:r>
      <w:r w:rsidR="00833600" w:rsidRPr="0010075A">
        <w:rPr>
          <w:rFonts w:cstheme="minorHAnsi"/>
        </w:rPr>
        <w:t xml:space="preserve">was </w:t>
      </w:r>
      <w:r w:rsidRPr="0010075A">
        <w:rPr>
          <w:rFonts w:cstheme="minorHAnsi"/>
        </w:rPr>
        <w:t>not ready for sample collection, an appointment was made for collection and the “Study Screening Tool Questionnaire” was reserved for the next meeting. At the time the subject returned for the sample collection appointment, the HSC met with the subject in a private location and continue</w:t>
      </w:r>
      <w:r w:rsidR="00833600" w:rsidRPr="0010075A">
        <w:rPr>
          <w:rFonts w:cstheme="minorHAnsi"/>
        </w:rPr>
        <w:t>d</w:t>
      </w:r>
      <w:r w:rsidRPr="0010075A">
        <w:rPr>
          <w:rFonts w:cstheme="minorHAnsi"/>
        </w:rPr>
        <w:t xml:space="preserve"> with the “Study Screening Tool Questionnaire” to confirm eligibility for the study and collect demographic information required for the study and RSRB annual review. The study subject was paid $50 USD in cash (this was increased to $100 in August 2018) for up to 100 mL of blood. The money was paid to the subject after consent to participate was obtained, whether the subject completed </w:t>
      </w:r>
      <w:r w:rsidRPr="0010075A">
        <w:rPr>
          <w:rFonts w:cstheme="minorHAnsi"/>
        </w:rPr>
        <w:lastRenderedPageBreak/>
        <w:t>sample collection or not for any reason, including electing to stop participation. Any blood or urine collected for the study was entered into the study, as indicated in the study protocol and consent form.</w:t>
      </w:r>
      <w:r w:rsidR="0041302F" w:rsidRPr="0010075A">
        <w:rPr>
          <w:rFonts w:cstheme="minorHAnsi"/>
        </w:rPr>
        <w:t xml:space="preserve"> Overall, 179 and 26 eligible subjects </w:t>
      </w:r>
      <w:r w:rsidR="0011469E" w:rsidRPr="0010075A">
        <w:rPr>
          <w:rFonts w:cstheme="minorHAnsi"/>
        </w:rPr>
        <w:t>were</w:t>
      </w:r>
      <w:r w:rsidR="0041302F" w:rsidRPr="0010075A">
        <w:rPr>
          <w:rFonts w:cstheme="minorHAnsi"/>
        </w:rPr>
        <w:t xml:space="preserve"> recruited before and after August 2018, respectively.</w:t>
      </w:r>
    </w:p>
    <w:p w14:paraId="7DD825E1" w14:textId="00C5584F" w:rsidR="00627D55" w:rsidRPr="0010075A" w:rsidRDefault="00627D55" w:rsidP="0010075A">
      <w:pPr>
        <w:spacing w:line="480" w:lineRule="auto"/>
        <w:jc w:val="both"/>
        <w:rPr>
          <w:rFonts w:cstheme="minorHAnsi"/>
        </w:rPr>
      </w:pPr>
      <w:r w:rsidRPr="0010075A">
        <w:rPr>
          <w:rFonts w:cstheme="minorHAnsi"/>
          <w:b/>
          <w:bCs/>
        </w:rPr>
        <w:t>Subject de-identification and tube labeling.</w:t>
      </w:r>
      <w:r w:rsidRPr="0010075A">
        <w:rPr>
          <w:rFonts w:cstheme="minorHAnsi"/>
        </w:rPr>
        <w:t xml:space="preserve"> Each study subject was provided a unique identifier generated by the PMI biobanking system prior to sample collection. The HSC assigned a unique ID to each study subject upon consenting. All records, blood tubes, urine cups, and samples from subject consent forward contained only a subject identification number. Each sample had a unique alphanumeric label that included the study ID, subject ID, sample ID, sample type code, and aliquot ID. Concatenated information was used for labeling the tube as follows: </w:t>
      </w:r>
      <w:proofErr w:type="spellStart"/>
      <w:r w:rsidRPr="0010075A">
        <w:rPr>
          <w:rFonts w:cstheme="minorHAnsi"/>
        </w:rPr>
        <w:t>Study_ID_Subject_ID_SampleID_SampleTypeCode</w:t>
      </w:r>
      <w:proofErr w:type="spellEnd"/>
      <w:r w:rsidRPr="0010075A">
        <w:rPr>
          <w:rFonts w:cstheme="minorHAnsi"/>
        </w:rPr>
        <w:t>-Aliquots (e.g.</w:t>
      </w:r>
      <w:r w:rsidR="00AF3885" w:rsidRPr="0010075A">
        <w:rPr>
          <w:rFonts w:cstheme="minorHAnsi"/>
        </w:rPr>
        <w:t>,</w:t>
      </w:r>
      <w:r w:rsidRPr="0010075A">
        <w:rPr>
          <w:rFonts w:cstheme="minorHAnsi"/>
        </w:rPr>
        <w:t xml:space="preserve"> S180700_SJ001_S-00011461_U-01).</w:t>
      </w:r>
    </w:p>
    <w:p w14:paraId="68321814" w14:textId="77777777" w:rsidR="00627D55" w:rsidRPr="0010075A" w:rsidRDefault="00627D55" w:rsidP="0010075A">
      <w:pPr>
        <w:pStyle w:val="NoSpacing"/>
        <w:spacing w:line="480" w:lineRule="auto"/>
        <w:jc w:val="both"/>
        <w:rPr>
          <w:rFonts w:cstheme="minorHAnsi"/>
        </w:rPr>
      </w:pPr>
    </w:p>
    <w:p w14:paraId="64D2B478" w14:textId="77777777" w:rsidR="00627D55" w:rsidRPr="0010075A" w:rsidRDefault="00627D55" w:rsidP="0010075A">
      <w:pPr>
        <w:spacing w:line="480" w:lineRule="auto"/>
        <w:jc w:val="both"/>
        <w:rPr>
          <w:rFonts w:cstheme="minorHAnsi"/>
        </w:rPr>
      </w:pPr>
      <w:r w:rsidRPr="0010075A">
        <w:rPr>
          <w:rFonts w:cstheme="minorHAnsi"/>
          <w:b/>
          <w:bCs/>
        </w:rPr>
        <w:t>Study subject demographics and eligibility criteria.</w:t>
      </w:r>
      <w:r w:rsidRPr="0010075A">
        <w:rPr>
          <w:rFonts w:cstheme="minorHAnsi"/>
        </w:rPr>
        <w:t xml:space="preserve"> All subject demographics and eligibility criteria were recorded in a secure web database dedicated to this research project. The HSC recorded all data in a secure database using the unique identifier of the subject. The HSC transferred the screening questionnaire and consent form to the principal investigator of the project. The principal investigator reviewed the database entries to ensure accuracy and stored the paper documents in a locked file.</w:t>
      </w:r>
    </w:p>
    <w:p w14:paraId="02624D71" w14:textId="77777777" w:rsidR="00627D55" w:rsidRPr="0010075A" w:rsidRDefault="00627D55" w:rsidP="0010075A">
      <w:pPr>
        <w:spacing w:line="480" w:lineRule="auto"/>
        <w:jc w:val="both"/>
        <w:rPr>
          <w:rFonts w:ascii="Times New Roman" w:hAnsi="Times New Roman" w:cs="Times New Roman"/>
        </w:rPr>
      </w:pPr>
    </w:p>
    <w:p w14:paraId="1041A678" w14:textId="77777777" w:rsidR="00627D55" w:rsidRPr="0010075A" w:rsidRDefault="00627D55" w:rsidP="0010075A">
      <w:pPr>
        <w:pStyle w:val="Heading2"/>
        <w:spacing w:line="480" w:lineRule="auto"/>
        <w:rPr>
          <w:color w:val="auto"/>
        </w:rPr>
      </w:pPr>
      <w:r w:rsidRPr="0010075A">
        <w:rPr>
          <w:color w:val="auto"/>
        </w:rPr>
        <w:t>Sample collection and processing</w:t>
      </w:r>
    </w:p>
    <w:p w14:paraId="419C08D6" w14:textId="77777777" w:rsidR="00627D55" w:rsidRPr="0010075A" w:rsidRDefault="00627D55" w:rsidP="0010075A">
      <w:pPr>
        <w:spacing w:line="480" w:lineRule="auto"/>
        <w:jc w:val="both"/>
        <w:rPr>
          <w:rFonts w:cstheme="minorHAnsi"/>
        </w:rPr>
      </w:pPr>
      <w:r w:rsidRPr="0010075A">
        <w:rPr>
          <w:rFonts w:cstheme="minorHAnsi"/>
          <w:b/>
          <w:bCs/>
        </w:rPr>
        <w:t>Blood and urine sample collection and processing.</w:t>
      </w:r>
      <w:r w:rsidRPr="0010075A">
        <w:rPr>
          <w:rFonts w:cstheme="minorHAnsi"/>
        </w:rPr>
        <w:t xml:space="preserve"> Prior to blood collection, the HSC synchronized blood and urine transfer to the clinical and research laboratories with technical staff to ensure immediate transfer after collection and processing of the samples. Urine and blood collection took place in the Autologous Blood Donation Center’s collection room. There is a bathroom within that area. The study subject was introduced to a certified phlebotomist who performed the blood collection (finger stick and venous draw). The study subject was questioned by the phlebotomist regarding health status to ensure that the subject was well and healthy. The subject was also asked whether he/she had any questions about the procedure, and questions were adequately addressed before proceeding with urine and blood collection.</w:t>
      </w:r>
    </w:p>
    <w:p w14:paraId="1A0BCFEA" w14:textId="77777777" w:rsidR="00627D55" w:rsidRPr="0010075A" w:rsidRDefault="00627D55" w:rsidP="0010075A">
      <w:pPr>
        <w:spacing w:line="480" w:lineRule="auto"/>
        <w:jc w:val="both"/>
        <w:rPr>
          <w:rFonts w:cstheme="minorHAnsi"/>
        </w:rPr>
      </w:pPr>
      <w:r w:rsidRPr="0010075A">
        <w:rPr>
          <w:rFonts w:cstheme="minorHAnsi"/>
          <w:b/>
          <w:bCs/>
        </w:rPr>
        <w:t>Urine collection and processing.</w:t>
      </w:r>
      <w:r w:rsidRPr="0010075A">
        <w:rPr>
          <w:rFonts w:cstheme="minorHAnsi"/>
        </w:rPr>
        <w:t xml:space="preserve"> The consented study subject was instructed on sterile collection by the HSC and given a sterile wipe and a urine collection cup labeled with the unique sample ID. The subject was asked to produce the urine sample in the privacy of the bathroom. The urine sample was collected by the HSC and the time recorded. The cotinine test was performed and the result recorded. The urine was placed on ice immediately following the test and was aliquoted, flash-frozen in a dry ice bath, and stored at −80°C as soon as possible.</w:t>
      </w:r>
    </w:p>
    <w:p w14:paraId="5233F323" w14:textId="2BDFBC1E" w:rsidR="00627D55" w:rsidRPr="0010075A" w:rsidRDefault="00627D55" w:rsidP="0010075A">
      <w:pPr>
        <w:spacing w:line="480" w:lineRule="auto"/>
        <w:jc w:val="both"/>
        <w:rPr>
          <w:rFonts w:cstheme="minorHAnsi"/>
        </w:rPr>
      </w:pPr>
      <w:r w:rsidRPr="0010075A">
        <w:rPr>
          <w:rFonts w:cstheme="minorHAnsi"/>
          <w:b/>
          <w:bCs/>
        </w:rPr>
        <w:t>Blood collection and processing.</w:t>
      </w:r>
      <w:r w:rsidRPr="0010075A">
        <w:rPr>
          <w:rFonts w:cstheme="minorHAnsi"/>
        </w:rPr>
        <w:t xml:space="preserve"> Up to 100 mL of blood was collected in various types of tubes depending on downstream analyses (</w:t>
      </w:r>
      <w:r w:rsidRPr="0010075A">
        <w:rPr>
          <w:rFonts w:cstheme="minorHAnsi"/>
          <w:b/>
          <w:bCs/>
        </w:rPr>
        <w:t xml:space="preserve">Supplementary </w:t>
      </w:r>
      <w:r w:rsidR="00AF3885" w:rsidRPr="0010075A">
        <w:rPr>
          <w:rFonts w:cstheme="minorHAnsi"/>
          <w:b/>
          <w:bCs/>
        </w:rPr>
        <w:t>F</w:t>
      </w:r>
      <w:r w:rsidRPr="0010075A">
        <w:rPr>
          <w:rFonts w:cstheme="minorHAnsi"/>
          <w:b/>
          <w:bCs/>
        </w:rPr>
        <w:t>ig</w:t>
      </w:r>
      <w:r w:rsidR="00D10A3C" w:rsidRPr="0010075A">
        <w:rPr>
          <w:rFonts w:cstheme="minorHAnsi"/>
          <w:b/>
          <w:bCs/>
        </w:rPr>
        <w:t>.</w:t>
      </w:r>
      <w:r w:rsidRPr="0010075A">
        <w:rPr>
          <w:rFonts w:cstheme="minorHAnsi"/>
          <w:b/>
          <w:bCs/>
        </w:rPr>
        <w:t xml:space="preserve"> A</w:t>
      </w:r>
      <w:r w:rsidRPr="0010075A">
        <w:rPr>
          <w:rFonts w:cstheme="minorHAnsi"/>
        </w:rPr>
        <w:t>).</w:t>
      </w:r>
    </w:p>
    <w:p w14:paraId="2E036939" w14:textId="77777777" w:rsidR="00627D55" w:rsidRPr="0010075A" w:rsidRDefault="00627D55" w:rsidP="0010075A">
      <w:pPr>
        <w:spacing w:line="480" w:lineRule="auto"/>
        <w:jc w:val="both"/>
        <w:rPr>
          <w:rFonts w:ascii="Times New Roman" w:hAnsi="Times New Roman" w:cs="Times New Roman"/>
        </w:rPr>
      </w:pPr>
    </w:p>
    <w:p w14:paraId="53E86B93" w14:textId="77777777" w:rsidR="00627D55" w:rsidRPr="0010075A" w:rsidRDefault="00627D55" w:rsidP="0010075A">
      <w:pPr>
        <w:spacing w:line="480" w:lineRule="auto"/>
        <w:jc w:val="both"/>
        <w:rPr>
          <w:rFonts w:ascii="Times New Roman" w:hAnsi="Times New Roman" w:cs="Times New Roman"/>
        </w:rPr>
      </w:pPr>
      <w:r w:rsidRPr="0010075A">
        <w:rPr>
          <w:rFonts w:ascii="Times New Roman" w:hAnsi="Times New Roman" w:cs="Times New Roman"/>
          <w:noProof/>
          <w:shd w:val="clear" w:color="auto" w:fill="E6E6E6"/>
          <w:lang w:val="en-IN" w:eastAsia="en-IN"/>
        </w:rPr>
        <w:lastRenderedPageBreak/>
        <w:drawing>
          <wp:inline distT="0" distB="0" distL="0" distR="0" wp14:anchorId="0295E8AB" wp14:editId="4C0BAC3B">
            <wp:extent cx="5760720" cy="1329690"/>
            <wp:effectExtent l="0" t="0" r="0" b="381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1329690"/>
                    </a:xfrm>
                    <a:prstGeom prst="rect">
                      <a:avLst/>
                    </a:prstGeom>
                  </pic:spPr>
                </pic:pic>
              </a:graphicData>
            </a:graphic>
          </wp:inline>
        </w:drawing>
      </w:r>
    </w:p>
    <w:p w14:paraId="1673C544" w14:textId="4140826C" w:rsidR="00627D55" w:rsidRPr="0010075A" w:rsidRDefault="00627D55" w:rsidP="0010075A">
      <w:pPr>
        <w:spacing w:line="480" w:lineRule="auto"/>
        <w:jc w:val="both"/>
        <w:rPr>
          <w:rFonts w:cstheme="minorHAnsi"/>
        </w:rPr>
      </w:pPr>
      <w:r w:rsidRPr="0010075A">
        <w:rPr>
          <w:rFonts w:cstheme="minorHAnsi"/>
          <w:b/>
          <w:bCs/>
        </w:rPr>
        <w:t xml:space="preserve">Supplementary </w:t>
      </w:r>
      <w:r w:rsidR="00202617" w:rsidRPr="0010075A">
        <w:rPr>
          <w:rFonts w:cstheme="minorHAnsi"/>
          <w:b/>
          <w:bCs/>
        </w:rPr>
        <w:t>F</w:t>
      </w:r>
      <w:r w:rsidRPr="0010075A">
        <w:rPr>
          <w:rFonts w:cstheme="minorHAnsi"/>
          <w:b/>
          <w:bCs/>
        </w:rPr>
        <w:t>igure A.</w:t>
      </w:r>
      <w:r w:rsidRPr="0010075A">
        <w:rPr>
          <w:rFonts w:cstheme="minorHAnsi"/>
        </w:rPr>
        <w:t xml:space="preserve"> Different tube types used for blood collection depending on </w:t>
      </w:r>
      <w:r w:rsidR="00202617" w:rsidRPr="0010075A">
        <w:rPr>
          <w:rFonts w:cstheme="minorHAnsi"/>
        </w:rPr>
        <w:t>downstream analyses.</w:t>
      </w:r>
    </w:p>
    <w:p w14:paraId="6C53FA3A" w14:textId="5A639E6C" w:rsidR="00627D55" w:rsidRPr="0010075A" w:rsidRDefault="00627D55" w:rsidP="0010075A">
      <w:pPr>
        <w:pStyle w:val="NoSpacing"/>
        <w:spacing w:line="480" w:lineRule="auto"/>
        <w:jc w:val="both"/>
        <w:rPr>
          <w:rFonts w:cstheme="minorHAnsi"/>
        </w:rPr>
      </w:pPr>
      <w:r w:rsidRPr="0010075A">
        <w:rPr>
          <w:rFonts w:cstheme="minorHAnsi"/>
        </w:rPr>
        <w:t>Following urine collection, the subject moved to the blood donation area and seated in a reclined blood collection lounger where the certified phlebotomist collected blood. The phlebotomist collected blood by venipuncture, using tubes provided in a rack organized in the preferred order of draw by the HSC. The time of venipuncture initiation was recorded. The phlebotomist had been given documentation outlining the order of draw prior to the blood draw.</w:t>
      </w:r>
    </w:p>
    <w:p w14:paraId="6CB36A65" w14:textId="3960378B" w:rsidR="00627D55" w:rsidRPr="0010075A" w:rsidRDefault="00627D55" w:rsidP="0010075A">
      <w:pPr>
        <w:pStyle w:val="NoSpacing"/>
        <w:spacing w:line="480" w:lineRule="auto"/>
        <w:jc w:val="both"/>
        <w:rPr>
          <w:rFonts w:cstheme="minorHAnsi"/>
        </w:rPr>
      </w:pPr>
      <w:r w:rsidRPr="0010075A">
        <w:rPr>
          <w:rFonts w:cstheme="minorHAnsi"/>
        </w:rPr>
        <w:t>The phlebotomist determined the optimal arm and vein for venipuncture. A tourniquet was applied to the upper arm</w:t>
      </w:r>
      <w:r w:rsidR="00202617" w:rsidRPr="0010075A">
        <w:rPr>
          <w:rFonts w:cstheme="minorHAnsi"/>
        </w:rPr>
        <w:t>,</w:t>
      </w:r>
      <w:r w:rsidRPr="0010075A">
        <w:rPr>
          <w:rFonts w:cstheme="minorHAnsi"/>
        </w:rPr>
        <w:t xml:space="preserve"> and the venipuncture site swabbed with alcohol. Blood was collected using a 21-gauge butterfly BD Vacutainer. After the final tube was collected, the tourniquet was released, the needle was withdrawn, and pressure was applied. The area was bandaged, and the study subject was given fluids and a snack. A second and final venipuncture was attempted, if the first attempt failed.</w:t>
      </w:r>
    </w:p>
    <w:p w14:paraId="3A05911D" w14:textId="77777777" w:rsidR="00627D55" w:rsidRPr="0010075A" w:rsidRDefault="00627D55" w:rsidP="0010075A">
      <w:pPr>
        <w:pStyle w:val="NoSpacing"/>
        <w:spacing w:line="480" w:lineRule="auto"/>
        <w:jc w:val="both"/>
        <w:rPr>
          <w:rFonts w:cstheme="minorHAnsi"/>
        </w:rPr>
      </w:pPr>
      <w:r w:rsidRPr="0010075A">
        <w:rPr>
          <w:rFonts w:cstheme="minorHAnsi"/>
        </w:rPr>
        <w:t>The order of blood draw was performed as recommended by BD Biosciences, the Clinical &amp; Laboratory Standards Institute, and the University of Rochester Blood Bank protocols. The order of blood collection proceeded as follows:</w:t>
      </w:r>
    </w:p>
    <w:p w14:paraId="029CD916" w14:textId="77777777" w:rsidR="00627D55" w:rsidRPr="0010075A" w:rsidRDefault="00627D55" w:rsidP="0010075A">
      <w:pPr>
        <w:pStyle w:val="NoSpacing"/>
        <w:numPr>
          <w:ilvl w:val="0"/>
          <w:numId w:val="26"/>
        </w:numPr>
        <w:spacing w:line="480" w:lineRule="auto"/>
        <w:ind w:left="360"/>
        <w:jc w:val="both"/>
        <w:rPr>
          <w:rFonts w:cstheme="minorHAnsi"/>
        </w:rPr>
      </w:pPr>
      <w:r w:rsidRPr="0010075A">
        <w:rPr>
          <w:rFonts w:cstheme="minorHAnsi"/>
        </w:rPr>
        <w:t xml:space="preserve">EDTA (lavender top) (3 × 5 mL) </w:t>
      </w:r>
    </w:p>
    <w:p w14:paraId="5640C269" w14:textId="77777777" w:rsidR="00627D55" w:rsidRPr="0010075A" w:rsidRDefault="00627D55" w:rsidP="0010075A">
      <w:pPr>
        <w:pStyle w:val="NoSpacing"/>
        <w:numPr>
          <w:ilvl w:val="0"/>
          <w:numId w:val="27"/>
        </w:numPr>
        <w:spacing w:line="480" w:lineRule="auto"/>
        <w:ind w:left="1080"/>
        <w:jc w:val="both"/>
        <w:rPr>
          <w:rFonts w:cstheme="minorHAnsi"/>
        </w:rPr>
      </w:pPr>
      <w:r w:rsidRPr="0010075A">
        <w:rPr>
          <w:rFonts w:cstheme="minorHAnsi"/>
        </w:rPr>
        <w:t>First tube, clinical parameters (complete blood count, HbA1c).</w:t>
      </w:r>
    </w:p>
    <w:p w14:paraId="0D6F1070" w14:textId="77777777" w:rsidR="00627D55" w:rsidRPr="0010075A" w:rsidRDefault="00627D55" w:rsidP="0010075A">
      <w:pPr>
        <w:pStyle w:val="NoSpacing"/>
        <w:numPr>
          <w:ilvl w:val="0"/>
          <w:numId w:val="27"/>
        </w:numPr>
        <w:spacing w:line="480" w:lineRule="auto"/>
        <w:ind w:left="1080"/>
        <w:jc w:val="both"/>
        <w:rPr>
          <w:rFonts w:cstheme="minorHAnsi"/>
        </w:rPr>
      </w:pPr>
      <w:r w:rsidRPr="0010075A">
        <w:rPr>
          <w:rFonts w:cstheme="minorHAnsi"/>
        </w:rPr>
        <w:t>Second tube, clinical parameters (on ice).</w:t>
      </w:r>
    </w:p>
    <w:p w14:paraId="78D65E71" w14:textId="50B7232C" w:rsidR="00627D55" w:rsidRPr="0010075A" w:rsidRDefault="00627D55" w:rsidP="0010075A">
      <w:pPr>
        <w:pStyle w:val="NoSpacing"/>
        <w:numPr>
          <w:ilvl w:val="0"/>
          <w:numId w:val="27"/>
        </w:numPr>
        <w:spacing w:line="480" w:lineRule="auto"/>
        <w:ind w:left="1080"/>
        <w:jc w:val="both"/>
        <w:rPr>
          <w:rFonts w:cstheme="minorHAnsi"/>
        </w:rPr>
      </w:pPr>
      <w:r w:rsidRPr="0010075A">
        <w:rPr>
          <w:rFonts w:cstheme="minorHAnsi"/>
        </w:rPr>
        <w:t>Third tube, sample processing;</w:t>
      </w:r>
      <w:r w:rsidR="00884DA1" w:rsidRPr="0010075A">
        <w:rPr>
          <w:rFonts w:cstheme="minorHAnsi"/>
        </w:rPr>
        <w:t xml:space="preserve"> </w:t>
      </w:r>
      <w:r w:rsidRPr="0010075A">
        <w:rPr>
          <w:rFonts w:cstheme="minorHAnsi"/>
        </w:rPr>
        <w:t>0.8 mL whole blood was removed from the tube and kept at room temperature. The remaining 4.2 mL were placed on ice.</w:t>
      </w:r>
    </w:p>
    <w:p w14:paraId="52F21960" w14:textId="77777777" w:rsidR="00627D55" w:rsidRPr="0010075A" w:rsidRDefault="00627D55" w:rsidP="0010075A">
      <w:pPr>
        <w:pStyle w:val="NoSpacing"/>
        <w:numPr>
          <w:ilvl w:val="0"/>
          <w:numId w:val="26"/>
        </w:numPr>
        <w:spacing w:line="480" w:lineRule="auto"/>
        <w:ind w:left="360"/>
        <w:jc w:val="both"/>
        <w:rPr>
          <w:rFonts w:cstheme="minorHAnsi"/>
        </w:rPr>
      </w:pPr>
      <w:r w:rsidRPr="0010075A">
        <w:rPr>
          <w:rFonts w:cstheme="minorHAnsi"/>
        </w:rPr>
        <w:t>EDTA (lavender top) (3 × 10 mL) (sample processing).</w:t>
      </w:r>
    </w:p>
    <w:p w14:paraId="2CC44953" w14:textId="77777777" w:rsidR="00627D55" w:rsidRPr="0010075A" w:rsidRDefault="00627D55" w:rsidP="0010075A">
      <w:pPr>
        <w:pStyle w:val="NoSpacing"/>
        <w:numPr>
          <w:ilvl w:val="0"/>
          <w:numId w:val="26"/>
        </w:numPr>
        <w:spacing w:line="480" w:lineRule="auto"/>
        <w:ind w:left="360"/>
        <w:jc w:val="both"/>
        <w:rPr>
          <w:rFonts w:cstheme="minorHAnsi"/>
        </w:rPr>
      </w:pPr>
      <w:r w:rsidRPr="0010075A">
        <w:rPr>
          <w:rFonts w:cstheme="minorHAnsi"/>
        </w:rPr>
        <w:t>Sodium citrate tube (blue top) (6 × 4.5 mL) (sample processing).</w:t>
      </w:r>
    </w:p>
    <w:p w14:paraId="013DB9A4" w14:textId="77777777" w:rsidR="00627D55" w:rsidRPr="0010075A" w:rsidRDefault="00627D55" w:rsidP="0010075A">
      <w:pPr>
        <w:pStyle w:val="NoSpacing"/>
        <w:numPr>
          <w:ilvl w:val="0"/>
          <w:numId w:val="26"/>
        </w:numPr>
        <w:spacing w:line="480" w:lineRule="auto"/>
        <w:ind w:left="360"/>
        <w:jc w:val="both"/>
        <w:rPr>
          <w:rFonts w:cstheme="minorHAnsi"/>
        </w:rPr>
      </w:pPr>
      <w:r w:rsidRPr="0010075A">
        <w:rPr>
          <w:rFonts w:cstheme="minorHAnsi"/>
        </w:rPr>
        <w:t>Serum separator tubes (2 × 5 mL) (clinical endpoints).</w:t>
      </w:r>
    </w:p>
    <w:p w14:paraId="38077CCE" w14:textId="77777777" w:rsidR="00627D55" w:rsidRPr="0010075A" w:rsidRDefault="00627D55" w:rsidP="0010075A">
      <w:pPr>
        <w:pStyle w:val="NoSpacing"/>
        <w:numPr>
          <w:ilvl w:val="0"/>
          <w:numId w:val="26"/>
        </w:numPr>
        <w:spacing w:line="480" w:lineRule="auto"/>
        <w:ind w:left="360"/>
        <w:jc w:val="both"/>
        <w:rPr>
          <w:rFonts w:cstheme="minorHAnsi"/>
        </w:rPr>
      </w:pPr>
      <w:r w:rsidRPr="0010075A">
        <w:rPr>
          <w:rFonts w:cstheme="minorHAnsi"/>
        </w:rPr>
        <w:t>Serum tube (red top) (2 × 5 mL) (sample processing).</w:t>
      </w:r>
    </w:p>
    <w:p w14:paraId="124BB578" w14:textId="77777777" w:rsidR="00627D55" w:rsidRPr="0010075A" w:rsidRDefault="00627D55" w:rsidP="0010075A">
      <w:pPr>
        <w:pStyle w:val="NoSpacing"/>
        <w:numPr>
          <w:ilvl w:val="0"/>
          <w:numId w:val="26"/>
        </w:numPr>
        <w:spacing w:line="480" w:lineRule="auto"/>
        <w:ind w:left="360"/>
        <w:jc w:val="both"/>
        <w:rPr>
          <w:rFonts w:cstheme="minorHAnsi"/>
        </w:rPr>
      </w:pPr>
      <w:r w:rsidRPr="0010075A">
        <w:rPr>
          <w:rFonts w:cstheme="minorHAnsi"/>
        </w:rPr>
        <w:t>Heparin tube (green top) (1 × 5 mL) (clinical endpoints).</w:t>
      </w:r>
    </w:p>
    <w:p w14:paraId="7D7D783C" w14:textId="77777777" w:rsidR="00627D55" w:rsidRPr="0010075A" w:rsidRDefault="00627D55" w:rsidP="0010075A">
      <w:pPr>
        <w:pStyle w:val="NoSpacing"/>
        <w:numPr>
          <w:ilvl w:val="0"/>
          <w:numId w:val="26"/>
        </w:numPr>
        <w:spacing w:line="480" w:lineRule="auto"/>
        <w:ind w:left="360"/>
        <w:jc w:val="both"/>
        <w:rPr>
          <w:rFonts w:cstheme="minorHAnsi"/>
          <w:bCs/>
        </w:rPr>
      </w:pPr>
      <w:proofErr w:type="spellStart"/>
      <w:r w:rsidRPr="0010075A">
        <w:rPr>
          <w:rFonts w:cstheme="minorHAnsi"/>
        </w:rPr>
        <w:t>PAXgene</w:t>
      </w:r>
      <w:proofErr w:type="spellEnd"/>
      <w:r w:rsidRPr="0010075A">
        <w:rPr>
          <w:rFonts w:cstheme="minorHAnsi"/>
        </w:rPr>
        <w:t xml:space="preserve"> RNA tube (1 × 2.5 mL) was </w:t>
      </w:r>
      <w:r w:rsidRPr="0010075A">
        <w:rPr>
          <w:rFonts w:cstheme="minorHAnsi"/>
          <w:bCs/>
        </w:rPr>
        <w:t xml:space="preserve">drawn last as per </w:t>
      </w:r>
      <w:proofErr w:type="spellStart"/>
      <w:r w:rsidRPr="0010075A">
        <w:rPr>
          <w:rFonts w:cstheme="minorHAnsi"/>
          <w:bCs/>
        </w:rPr>
        <w:t>PAXgene</w:t>
      </w:r>
      <w:proofErr w:type="spellEnd"/>
      <w:r w:rsidRPr="0010075A">
        <w:rPr>
          <w:rFonts w:cstheme="minorHAnsi"/>
          <w:bCs/>
        </w:rPr>
        <w:t xml:space="preserve"> instructions.</w:t>
      </w:r>
    </w:p>
    <w:p w14:paraId="517A861D" w14:textId="77777777" w:rsidR="00627D55" w:rsidRPr="0010075A" w:rsidRDefault="00627D55" w:rsidP="0010075A">
      <w:pPr>
        <w:pStyle w:val="NoSpacing"/>
        <w:spacing w:line="480" w:lineRule="auto"/>
        <w:jc w:val="both"/>
        <w:rPr>
          <w:rFonts w:cstheme="minorHAnsi"/>
        </w:rPr>
      </w:pPr>
    </w:p>
    <w:p w14:paraId="6477EB29" w14:textId="77777777" w:rsidR="00627D55" w:rsidRPr="0010075A" w:rsidRDefault="00627D55" w:rsidP="0010075A">
      <w:pPr>
        <w:pStyle w:val="NoSpacing"/>
        <w:spacing w:line="480" w:lineRule="auto"/>
        <w:jc w:val="both"/>
        <w:rPr>
          <w:rFonts w:cstheme="minorHAnsi"/>
        </w:rPr>
      </w:pPr>
      <w:r w:rsidRPr="0010075A">
        <w:rPr>
          <w:rFonts w:cstheme="minorHAnsi"/>
        </w:rPr>
        <w:t>Upon completion of blood collection, the study subject was monitored for adverse events associated with blood collection. The phlebotomist determined when the study subject could be released following sample collection. If there were any signs of distress or complications, the phlebotomist was instructed to contact the resident on call or emergency services to attend to the subject. No adverse events occurred. A contact number was provided to the study subject in case of further questions or adverse events from the venipuncture. No calls were received.</w:t>
      </w:r>
    </w:p>
    <w:p w14:paraId="678581EC" w14:textId="77777777" w:rsidR="00627D55" w:rsidRPr="0010075A" w:rsidRDefault="00627D55" w:rsidP="0010075A">
      <w:pPr>
        <w:pStyle w:val="NoSpacing"/>
        <w:spacing w:line="480" w:lineRule="auto"/>
        <w:jc w:val="both"/>
        <w:rPr>
          <w:rFonts w:cstheme="minorHAnsi"/>
        </w:rPr>
      </w:pPr>
      <w:r w:rsidRPr="0010075A">
        <w:rPr>
          <w:rFonts w:cstheme="minorHAnsi"/>
        </w:rPr>
        <w:t xml:space="preserve">The HSC maintained a petty cash fund authorized by the University of Rochester Finance Department and established for paying research subjects. Subjects were paid for up to 100 mL of blood and urine. A parking pass was issued to subjects who had parked in the hospital garage. A bus pass was provided to subjects who used public transportation to get to the hospital. Upon completion of sample collection, the HSC escorted the study subject to the main lobby of the hospital or to an appropriate exit destination. The HSC </w:t>
      </w:r>
      <w:r w:rsidRPr="0010075A">
        <w:rPr>
          <w:rFonts w:cstheme="minorHAnsi"/>
        </w:rPr>
        <w:lastRenderedPageBreak/>
        <w:t>returned to the blood donation area and placed the blood tubes and the clinical testing request form into a plastic bag and into the appropriate secondary transport container for delivery to the clinical laboratories. The HSC placed the remaining tubes and urine into a second transport container, for transfer to the research laboratory for immediate processing.</w:t>
      </w:r>
    </w:p>
    <w:p w14:paraId="07D62882" w14:textId="77777777" w:rsidR="00627D55" w:rsidRPr="0010075A" w:rsidRDefault="00627D55" w:rsidP="0010075A">
      <w:pPr>
        <w:pStyle w:val="NoSpacing"/>
        <w:spacing w:line="480" w:lineRule="auto"/>
        <w:rPr>
          <w:rFonts w:cstheme="minorHAnsi"/>
        </w:rPr>
      </w:pPr>
      <w:r w:rsidRPr="0010075A">
        <w:rPr>
          <w:rFonts w:cstheme="minorHAnsi"/>
        </w:rPr>
        <w:t xml:space="preserve">Unique study identifiers were created by PMI in collaboration with </w:t>
      </w:r>
      <w:proofErr w:type="spellStart"/>
      <w:r w:rsidRPr="0010075A">
        <w:rPr>
          <w:rFonts w:cstheme="minorHAnsi"/>
        </w:rPr>
        <w:t>BioStorage</w:t>
      </w:r>
      <w:proofErr w:type="spellEnd"/>
      <w:r w:rsidRPr="0010075A">
        <w:rPr>
          <w:rFonts w:cstheme="minorHAnsi"/>
        </w:rPr>
        <w:t xml:space="preserve"> Technologies prior to sample collection. Each sample had a unique alphanumeric label that included the study ID, subject ID, sample ID, sample type code, and aliquot ID.</w:t>
      </w:r>
    </w:p>
    <w:p w14:paraId="3DDCBAAD" w14:textId="5B266BDC" w:rsidR="00627D55" w:rsidRPr="0010075A" w:rsidRDefault="00627D55" w:rsidP="0010075A">
      <w:pPr>
        <w:pStyle w:val="NoSpacing"/>
        <w:spacing w:line="480" w:lineRule="auto"/>
        <w:jc w:val="both"/>
        <w:rPr>
          <w:rFonts w:cstheme="minorHAnsi"/>
        </w:rPr>
      </w:pPr>
      <w:r w:rsidRPr="0010075A">
        <w:rPr>
          <w:rFonts w:cstheme="minorHAnsi"/>
        </w:rPr>
        <w:t>The urine, serum, and plasma cryotubes were placed in snap-in boxes and the boxes were arranged by sample type (</w:t>
      </w:r>
      <w:r w:rsidRPr="0010075A">
        <w:rPr>
          <w:rFonts w:cstheme="minorHAnsi"/>
          <w:iCs/>
        </w:rPr>
        <w:t>i.e.</w:t>
      </w:r>
      <w:r w:rsidR="00037200" w:rsidRPr="0010075A">
        <w:rPr>
          <w:rFonts w:cstheme="minorHAnsi"/>
          <w:iCs/>
        </w:rPr>
        <w:t>,</w:t>
      </w:r>
      <w:r w:rsidRPr="0010075A">
        <w:rPr>
          <w:rFonts w:cstheme="minorHAnsi"/>
        </w:rPr>
        <w:t xml:space="preserve"> urine boxes, serum boxes, and plasma boxes). Each box was organized in order of collection. A gap was left unfilled if a sample was not collected. The cell lysates were placed in cardboard freezer boxes (9 × 9 columns/rows) with lids. The </w:t>
      </w:r>
      <w:proofErr w:type="spellStart"/>
      <w:r w:rsidRPr="0010075A">
        <w:rPr>
          <w:rFonts w:cstheme="minorHAnsi"/>
        </w:rPr>
        <w:t>PAXgene</w:t>
      </w:r>
      <w:proofErr w:type="spellEnd"/>
      <w:r w:rsidRPr="0010075A">
        <w:rPr>
          <w:rFonts w:cstheme="minorHAnsi"/>
        </w:rPr>
        <w:t xml:space="preserve"> tubes were stored in larger plastic boxes (6 × 6 columns/rows) with lids.</w:t>
      </w:r>
    </w:p>
    <w:p w14:paraId="57F24235" w14:textId="77777777" w:rsidR="00627D55" w:rsidRPr="0010075A" w:rsidRDefault="00627D55" w:rsidP="0010075A">
      <w:pPr>
        <w:spacing w:line="480" w:lineRule="auto"/>
        <w:jc w:val="both"/>
        <w:rPr>
          <w:rFonts w:cstheme="minorHAnsi"/>
        </w:rPr>
      </w:pPr>
      <w:r w:rsidRPr="0010075A">
        <w:rPr>
          <w:rFonts w:cstheme="minorHAnsi"/>
        </w:rPr>
        <w:t xml:space="preserve">The HSC contacted </w:t>
      </w:r>
      <w:proofErr w:type="spellStart"/>
      <w:r w:rsidRPr="0010075A">
        <w:rPr>
          <w:rFonts w:cstheme="minorHAnsi"/>
        </w:rPr>
        <w:t>BioStorage</w:t>
      </w:r>
      <w:proofErr w:type="spellEnd"/>
      <w:r w:rsidRPr="0010075A">
        <w:rPr>
          <w:rFonts w:cstheme="minorHAnsi"/>
        </w:rPr>
        <w:t xml:space="preserve">, the designated </w:t>
      </w:r>
      <w:proofErr w:type="spellStart"/>
      <w:r w:rsidRPr="0010075A">
        <w:rPr>
          <w:rFonts w:cstheme="minorHAnsi"/>
        </w:rPr>
        <w:t>biobanking</w:t>
      </w:r>
      <w:proofErr w:type="spellEnd"/>
      <w:r w:rsidRPr="0010075A">
        <w:rPr>
          <w:rFonts w:cstheme="minorHAnsi"/>
        </w:rPr>
        <w:t xml:space="preserve"> facility for this study, to organize sample transfer from Rochester to the US biobanking facility. </w:t>
      </w:r>
      <w:proofErr w:type="spellStart"/>
      <w:r w:rsidRPr="0010075A">
        <w:rPr>
          <w:rFonts w:cstheme="minorHAnsi"/>
        </w:rPr>
        <w:t>BioStorage</w:t>
      </w:r>
      <w:proofErr w:type="spellEnd"/>
      <w:r w:rsidRPr="0010075A">
        <w:rPr>
          <w:rFonts w:cstheme="minorHAnsi"/>
        </w:rPr>
        <w:t xml:space="preserve"> organized the transfer through World Courier. Prior to shipment to </w:t>
      </w:r>
      <w:proofErr w:type="spellStart"/>
      <w:r w:rsidRPr="0010075A">
        <w:rPr>
          <w:rFonts w:cstheme="minorHAnsi"/>
        </w:rPr>
        <w:t>BioStorage</w:t>
      </w:r>
      <w:proofErr w:type="spellEnd"/>
      <w:r w:rsidRPr="0010075A">
        <w:rPr>
          <w:rFonts w:cstheme="minorHAnsi"/>
        </w:rPr>
        <w:t xml:space="preserve">, URMC provided PMI with complete sample documentation. The HSC generated a tabular report containing the following information. PMI interfaced directly with </w:t>
      </w:r>
      <w:proofErr w:type="spellStart"/>
      <w:r w:rsidRPr="0010075A">
        <w:rPr>
          <w:rFonts w:cstheme="minorHAnsi"/>
        </w:rPr>
        <w:t>BioStorage</w:t>
      </w:r>
      <w:proofErr w:type="spellEnd"/>
      <w:r w:rsidRPr="0010075A">
        <w:rPr>
          <w:rFonts w:cstheme="minorHAnsi"/>
        </w:rPr>
        <w:t xml:space="preserve"> regarding shipment of samples from the biobanking facility.</w:t>
      </w:r>
    </w:p>
    <w:p w14:paraId="61A2E802" w14:textId="645AF5AF" w:rsidR="00627D55" w:rsidRPr="0010075A" w:rsidRDefault="00627D55" w:rsidP="0010075A">
      <w:pPr>
        <w:spacing w:line="480" w:lineRule="auto"/>
        <w:jc w:val="both"/>
        <w:rPr>
          <w:rFonts w:cstheme="minorHAnsi"/>
        </w:rPr>
      </w:pPr>
      <w:r w:rsidRPr="0010075A">
        <w:rPr>
          <w:rFonts w:cstheme="minorHAnsi"/>
        </w:rPr>
        <w:t xml:space="preserve">Blood collected using different tube types was processed as shown in </w:t>
      </w:r>
      <w:r w:rsidR="002974C7" w:rsidRPr="0010075A">
        <w:rPr>
          <w:rFonts w:cstheme="minorHAnsi"/>
          <w:b/>
          <w:bCs/>
        </w:rPr>
        <w:t>S</w:t>
      </w:r>
      <w:r w:rsidRPr="0010075A">
        <w:rPr>
          <w:rFonts w:cstheme="minorHAnsi"/>
          <w:b/>
          <w:bCs/>
        </w:rPr>
        <w:t xml:space="preserve">upplementary </w:t>
      </w:r>
      <w:r w:rsidR="00037200" w:rsidRPr="0010075A">
        <w:rPr>
          <w:rFonts w:cstheme="minorHAnsi"/>
          <w:b/>
          <w:bCs/>
        </w:rPr>
        <w:t>F</w:t>
      </w:r>
      <w:r w:rsidRPr="0010075A">
        <w:rPr>
          <w:rFonts w:cstheme="minorHAnsi"/>
          <w:b/>
          <w:bCs/>
        </w:rPr>
        <w:t>ig</w:t>
      </w:r>
      <w:r w:rsidR="00EC0099" w:rsidRPr="0010075A">
        <w:rPr>
          <w:rFonts w:cstheme="minorHAnsi"/>
          <w:b/>
          <w:bCs/>
        </w:rPr>
        <w:t>.</w:t>
      </w:r>
      <w:r w:rsidRPr="0010075A">
        <w:rPr>
          <w:rFonts w:cstheme="minorHAnsi"/>
          <w:b/>
          <w:bCs/>
        </w:rPr>
        <w:t xml:space="preserve"> </w:t>
      </w:r>
      <w:r w:rsidR="00616E59" w:rsidRPr="0010075A">
        <w:rPr>
          <w:rFonts w:cstheme="minorHAnsi"/>
          <w:b/>
          <w:bCs/>
        </w:rPr>
        <w:t>2</w:t>
      </w:r>
      <w:r w:rsidRPr="0010075A">
        <w:rPr>
          <w:rFonts w:cstheme="minorHAnsi"/>
        </w:rPr>
        <w:t xml:space="preserve">. </w:t>
      </w:r>
      <w:proofErr w:type="spellStart"/>
      <w:r w:rsidRPr="0010075A">
        <w:rPr>
          <w:rFonts w:cstheme="minorHAnsi"/>
        </w:rPr>
        <w:t>Biobanked</w:t>
      </w:r>
      <w:proofErr w:type="spellEnd"/>
      <w:r w:rsidRPr="0010075A">
        <w:rPr>
          <w:rFonts w:cstheme="minorHAnsi"/>
        </w:rPr>
        <w:t xml:space="preserve"> samples were frozen and kept at -80°C until analysis.</w:t>
      </w:r>
      <w:bookmarkStart w:id="1" w:name="_Hlk148431973"/>
    </w:p>
    <w:p w14:paraId="032F6F64" w14:textId="77777777" w:rsidR="00616E59" w:rsidRPr="0010075A" w:rsidRDefault="00616E59" w:rsidP="0010075A">
      <w:pPr>
        <w:spacing w:line="480" w:lineRule="auto"/>
        <w:jc w:val="both"/>
        <w:rPr>
          <w:rFonts w:cstheme="minorHAnsi"/>
        </w:rPr>
      </w:pPr>
    </w:p>
    <w:p w14:paraId="41AB8319" w14:textId="547ACA33" w:rsidR="00627D55" w:rsidRPr="0010075A" w:rsidRDefault="00627D55" w:rsidP="0010075A">
      <w:pPr>
        <w:spacing w:line="480" w:lineRule="auto"/>
        <w:jc w:val="both"/>
        <w:rPr>
          <w:rFonts w:cstheme="minorHAnsi"/>
        </w:rPr>
      </w:pPr>
      <w:r w:rsidRPr="0010075A">
        <w:rPr>
          <w:rFonts w:cstheme="minorHAnsi"/>
          <w:i/>
          <w:iCs/>
        </w:rPr>
        <w:t xml:space="preserve">Red blood cell </w:t>
      </w:r>
      <w:r w:rsidR="00FF74C9" w:rsidRPr="0010075A">
        <w:rPr>
          <w:rFonts w:cstheme="minorHAnsi"/>
          <w:i/>
          <w:iCs/>
        </w:rPr>
        <w:t>i</w:t>
      </w:r>
      <w:r w:rsidRPr="0010075A">
        <w:rPr>
          <w:rFonts w:cstheme="minorHAnsi"/>
          <w:i/>
          <w:iCs/>
        </w:rPr>
        <w:t>solation.</w:t>
      </w:r>
      <w:r w:rsidRPr="0010075A">
        <w:rPr>
          <w:rFonts w:cstheme="minorHAnsi"/>
        </w:rPr>
        <w:t xml:space="preserve"> Three 10-mL EDTA tubes (30 mL in total) per study subject were collected by venipuncture. The blood was centrifuged at 250 × </w:t>
      </w:r>
      <w:r w:rsidRPr="0010075A">
        <w:rPr>
          <w:rFonts w:cstheme="minorHAnsi"/>
          <w:i/>
        </w:rPr>
        <w:t>g</w:t>
      </w:r>
      <w:r w:rsidRPr="0010075A">
        <w:rPr>
          <w:rFonts w:cstheme="minorHAnsi"/>
        </w:rPr>
        <w:t xml:space="preserve"> for 20 min at room temperature. The remaining buffy coats from the 10-mL EDTA tubes and whole blood from a 5-mL EDTA tube were pooled into a 50-mL centrifuge tube on ice. Volume was increased up to 44 mL with MACS running buffer. Eleven milliliters were transferred to each of four </w:t>
      </w:r>
      <w:bookmarkStart w:id="2" w:name="_Hlk531263032"/>
      <w:r w:rsidRPr="0010075A">
        <w:rPr>
          <w:rFonts w:cstheme="minorHAnsi"/>
        </w:rPr>
        <w:t xml:space="preserve">10-mL BD syringes with Luer-lock bottoms </w:t>
      </w:r>
      <w:bookmarkEnd w:id="2"/>
      <w:r w:rsidRPr="0010075A">
        <w:rPr>
          <w:rFonts w:cstheme="minorHAnsi"/>
        </w:rPr>
        <w:t>that had the pistons removed and plugged with an end cap (</w:t>
      </w:r>
      <w:r w:rsidR="002974C7" w:rsidRPr="0010075A">
        <w:rPr>
          <w:rFonts w:cstheme="minorHAnsi"/>
          <w:b/>
          <w:bCs/>
        </w:rPr>
        <w:t>S</w:t>
      </w:r>
      <w:r w:rsidRPr="0010075A">
        <w:rPr>
          <w:rFonts w:cstheme="minorHAnsi"/>
          <w:b/>
          <w:bCs/>
        </w:rPr>
        <w:t xml:space="preserve">upplementary </w:t>
      </w:r>
      <w:r w:rsidR="0013182B" w:rsidRPr="0010075A">
        <w:rPr>
          <w:rFonts w:cstheme="minorHAnsi"/>
          <w:b/>
          <w:bCs/>
        </w:rPr>
        <w:t>F</w:t>
      </w:r>
      <w:r w:rsidRPr="0010075A">
        <w:rPr>
          <w:rFonts w:cstheme="minorHAnsi"/>
          <w:b/>
          <w:bCs/>
        </w:rPr>
        <w:t>ig</w:t>
      </w:r>
      <w:r w:rsidR="00773C9E" w:rsidRPr="0010075A">
        <w:rPr>
          <w:rFonts w:cstheme="minorHAnsi"/>
          <w:b/>
          <w:bCs/>
        </w:rPr>
        <w:t>.</w:t>
      </w:r>
      <w:r w:rsidRPr="0010075A">
        <w:rPr>
          <w:rFonts w:cstheme="minorHAnsi"/>
          <w:b/>
          <w:bCs/>
        </w:rPr>
        <w:t xml:space="preserve"> C</w:t>
      </w:r>
      <w:r w:rsidRPr="0010075A">
        <w:rPr>
          <w:rFonts w:cstheme="minorHAnsi"/>
        </w:rPr>
        <w:t xml:space="preserve">). The syringes were centrifuged at 4°C and 1,200 × </w:t>
      </w:r>
      <w:r w:rsidRPr="0010075A">
        <w:rPr>
          <w:rFonts w:cstheme="minorHAnsi"/>
          <w:i/>
        </w:rPr>
        <w:t>g</w:t>
      </w:r>
      <w:r w:rsidRPr="0010075A">
        <w:rPr>
          <w:rFonts w:cstheme="minorHAnsi"/>
        </w:rPr>
        <w:t xml:space="preserve"> for 20 min. The syringes were carefully removed from the centrifuge so as not to shake the precipitated cells. The supernatant was aspirated, leaving 1 mL of liquid above the pelleted cells. To recover the RBCs, the end cap was removed</w:t>
      </w:r>
      <w:r w:rsidR="000B23F9" w:rsidRPr="0010075A">
        <w:rPr>
          <w:rFonts w:cstheme="minorHAnsi"/>
        </w:rPr>
        <w:t>,</w:t>
      </w:r>
      <w:r w:rsidRPr="0010075A">
        <w:rPr>
          <w:rFonts w:cstheme="minorHAnsi"/>
        </w:rPr>
        <w:t xml:space="preserve"> and 10 drops of RBC were collected. The remaining RBCs and WBCs were transferred to a new tube on ice. This process was repeated with the other three syringes. This method routinely yielded one tube with 3–4 mL of purified RBCs, which constituted &gt;99.95% of the pellet, as determined by counting on a Sysmex clinical analyzer. RBCs were not centrifuged further to avoid hemolysis and release of RNA. A second tube containing the remaining RBCs and WBCs was set aside for MACS WBC separation. Two hundred and fifty microliters of purified RBCs were aliquoted into 2.0-mL screw-top microcentrifuge tubes. Seven hundred microliters of </w:t>
      </w:r>
      <w:proofErr w:type="spellStart"/>
      <w:r w:rsidRPr="0010075A">
        <w:rPr>
          <w:rFonts w:cstheme="minorHAnsi"/>
        </w:rPr>
        <w:t>QIAzol</w:t>
      </w:r>
      <w:proofErr w:type="spellEnd"/>
      <w:r w:rsidRPr="0010075A">
        <w:rPr>
          <w:rFonts w:cstheme="minorHAnsi"/>
        </w:rPr>
        <w:t xml:space="preserve"> were added to each tube and vortexed for 30–60 seconds. The tubes were placed at room temperature for 10 min and then frozen in a dry ice/ethanol bath. The total number of tubes aliquoted was 12. The RBC tubes were stored at −80°C for shipment to the biobank for PMI use. Cold MACS running buffer was added to the remaining RBC/WBC mix to bring the volume to 25 </w:t>
      </w:r>
      <w:proofErr w:type="spellStart"/>
      <w:r w:rsidRPr="0010075A">
        <w:rPr>
          <w:rFonts w:cstheme="minorHAnsi"/>
        </w:rPr>
        <w:t>mL.</w:t>
      </w:r>
      <w:proofErr w:type="spellEnd"/>
      <w:r w:rsidRPr="0010075A">
        <w:rPr>
          <w:rFonts w:cstheme="minorHAnsi"/>
        </w:rPr>
        <w:t xml:space="preserve"> The cells in the remaining RBC/WBC mix were used for leukocyte isolation.</w:t>
      </w:r>
    </w:p>
    <w:bookmarkEnd w:id="1"/>
    <w:p w14:paraId="6BD11EE9" w14:textId="77777777" w:rsidR="00627D55" w:rsidRPr="0010075A" w:rsidRDefault="00627D55" w:rsidP="0010075A">
      <w:pPr>
        <w:spacing w:line="480" w:lineRule="auto"/>
        <w:jc w:val="both"/>
        <w:rPr>
          <w:rFonts w:ascii="Times New Roman" w:hAnsi="Times New Roman" w:cs="Times New Roman"/>
        </w:rPr>
      </w:pPr>
    </w:p>
    <w:p w14:paraId="509BBFC3" w14:textId="77777777" w:rsidR="00627D55" w:rsidRPr="0010075A" w:rsidRDefault="00627D55" w:rsidP="0010075A">
      <w:pPr>
        <w:spacing w:line="480" w:lineRule="auto"/>
        <w:jc w:val="center"/>
        <w:rPr>
          <w:rFonts w:ascii="Times New Roman" w:hAnsi="Times New Roman" w:cs="Times New Roman"/>
        </w:rPr>
      </w:pPr>
      <w:r w:rsidRPr="0010075A">
        <w:rPr>
          <w:noProof/>
          <w:shd w:val="clear" w:color="auto" w:fill="E6E6E6"/>
          <w:lang w:val="en-IN" w:eastAsia="en-IN"/>
        </w:rPr>
        <w:lastRenderedPageBreak/>
        <w:drawing>
          <wp:inline distT="0" distB="0" distL="0" distR="0" wp14:anchorId="2EB1D30D" wp14:editId="76FA65B2">
            <wp:extent cx="4629150" cy="3152775"/>
            <wp:effectExtent l="0" t="0" r="0" b="9525"/>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992" t="1468" r="1209" b="1389"/>
                    <a:stretch/>
                  </pic:blipFill>
                  <pic:spPr bwMode="auto">
                    <a:xfrm>
                      <a:off x="0" y="0"/>
                      <a:ext cx="4629150" cy="3152775"/>
                    </a:xfrm>
                    <a:prstGeom prst="rect">
                      <a:avLst/>
                    </a:prstGeom>
                    <a:noFill/>
                    <a:ln>
                      <a:noFill/>
                    </a:ln>
                    <a:extLst>
                      <a:ext uri="{53640926-AAD7-44D8-BBD7-CCE9431645EC}">
                        <a14:shadowObscured xmlns:a14="http://schemas.microsoft.com/office/drawing/2010/main"/>
                      </a:ext>
                    </a:extLst>
                  </pic:spPr>
                </pic:pic>
              </a:graphicData>
            </a:graphic>
          </wp:inline>
        </w:drawing>
      </w:r>
    </w:p>
    <w:p w14:paraId="02188412" w14:textId="05ABE311" w:rsidR="00627D55" w:rsidRPr="0010075A" w:rsidRDefault="00627D55" w:rsidP="0010075A">
      <w:pPr>
        <w:spacing w:line="480" w:lineRule="auto"/>
        <w:jc w:val="both"/>
        <w:rPr>
          <w:rFonts w:cstheme="minorHAnsi"/>
        </w:rPr>
      </w:pPr>
      <w:r w:rsidRPr="0010075A">
        <w:rPr>
          <w:rFonts w:cstheme="minorHAnsi"/>
          <w:b/>
          <w:bCs/>
        </w:rPr>
        <w:t xml:space="preserve">Supplementary </w:t>
      </w:r>
      <w:r w:rsidR="006807E0" w:rsidRPr="0010075A">
        <w:rPr>
          <w:rFonts w:cstheme="minorHAnsi"/>
          <w:b/>
          <w:bCs/>
        </w:rPr>
        <w:t>F</w:t>
      </w:r>
      <w:r w:rsidRPr="0010075A">
        <w:rPr>
          <w:rFonts w:cstheme="minorHAnsi"/>
          <w:b/>
          <w:bCs/>
        </w:rPr>
        <w:t>igure C</w:t>
      </w:r>
      <w:r w:rsidRPr="0010075A">
        <w:rPr>
          <w:rFonts w:cstheme="minorHAnsi"/>
        </w:rPr>
        <w:t>. Schematic of red blood cell (RBC) isolation. Whole blood was collected using various or no anticoagulants. MACS, magnetic-activated cell sorting. PRP, platelet-rich plasma; WBC, white blood cells.</w:t>
      </w:r>
    </w:p>
    <w:p w14:paraId="018F4D0E" w14:textId="77777777" w:rsidR="00627D55" w:rsidRPr="0010075A" w:rsidRDefault="00627D55" w:rsidP="0010075A">
      <w:pPr>
        <w:spacing w:line="480" w:lineRule="auto"/>
        <w:jc w:val="both"/>
        <w:rPr>
          <w:rFonts w:cstheme="minorHAnsi"/>
        </w:rPr>
      </w:pPr>
    </w:p>
    <w:p w14:paraId="718BD37F" w14:textId="624A96B9" w:rsidR="00627D55" w:rsidRPr="0010075A" w:rsidRDefault="00627D55" w:rsidP="0010075A">
      <w:pPr>
        <w:pStyle w:val="NoSpacing"/>
        <w:spacing w:line="480" w:lineRule="auto"/>
        <w:jc w:val="both"/>
        <w:rPr>
          <w:rFonts w:cstheme="minorHAnsi"/>
        </w:rPr>
      </w:pPr>
      <w:r w:rsidRPr="0010075A">
        <w:rPr>
          <w:rFonts w:cstheme="minorHAnsi"/>
          <w:i/>
          <w:iCs/>
        </w:rPr>
        <w:t>Leukocyte Isolation.</w:t>
      </w:r>
      <w:r w:rsidRPr="0010075A">
        <w:rPr>
          <w:rFonts w:cstheme="minorHAnsi"/>
        </w:rPr>
        <w:t xml:space="preserve"> High-speed magnetic cell sorting was used to isolate five leukocyte subtypes including neutrophils (N), monocytes (M), lymphocytes T4 (T4), lymphocytes T8 (T8), </w:t>
      </w:r>
      <w:r w:rsidR="006807E0" w:rsidRPr="0010075A">
        <w:rPr>
          <w:rFonts w:cstheme="minorHAnsi"/>
        </w:rPr>
        <w:t xml:space="preserve">and </w:t>
      </w:r>
      <w:r w:rsidRPr="0010075A">
        <w:rPr>
          <w:rFonts w:cstheme="minorHAnsi"/>
        </w:rPr>
        <w:t xml:space="preserve">lymphocytes B (B). Cell separations were performed using two </w:t>
      </w:r>
      <w:proofErr w:type="spellStart"/>
      <w:r w:rsidRPr="0010075A">
        <w:rPr>
          <w:rFonts w:cstheme="minorHAnsi"/>
        </w:rPr>
        <w:t>benchtop</w:t>
      </w:r>
      <w:proofErr w:type="spellEnd"/>
      <w:r w:rsidRPr="0010075A">
        <w:rPr>
          <w:rFonts w:cstheme="minorHAnsi"/>
        </w:rPr>
        <w:t xml:space="preserve"> instruments </w:t>
      </w:r>
      <w:bookmarkStart w:id="3" w:name="_Hlk531257521"/>
      <w:r w:rsidRPr="0010075A">
        <w:rPr>
          <w:rFonts w:cstheme="minorHAnsi"/>
        </w:rPr>
        <w:t>(</w:t>
      </w:r>
      <w:proofErr w:type="spellStart"/>
      <w:r w:rsidRPr="0010075A">
        <w:rPr>
          <w:rFonts w:cstheme="minorHAnsi"/>
        </w:rPr>
        <w:t>autoMACS</w:t>
      </w:r>
      <w:bookmarkEnd w:id="3"/>
      <w:proofErr w:type="spellEnd"/>
      <w:r w:rsidRPr="0010075A">
        <w:rPr>
          <w:rFonts w:cstheme="minorHAnsi"/>
        </w:rPr>
        <w:t xml:space="preserve"> Pro separator (</w:t>
      </w:r>
      <w:proofErr w:type="spellStart"/>
      <w:r w:rsidRPr="0010075A">
        <w:rPr>
          <w:rFonts w:cstheme="minorHAnsi"/>
        </w:rPr>
        <w:t>Miltenyi</w:t>
      </w:r>
      <w:proofErr w:type="spellEnd"/>
      <w:r w:rsidRPr="0010075A">
        <w:rPr>
          <w:rFonts w:cstheme="minorHAnsi"/>
        </w:rPr>
        <w:t xml:space="preserve"> </w:t>
      </w:r>
      <w:proofErr w:type="spellStart"/>
      <w:r w:rsidRPr="0010075A">
        <w:rPr>
          <w:rFonts w:cstheme="minorHAnsi"/>
        </w:rPr>
        <w:t>Biotec</w:t>
      </w:r>
      <w:proofErr w:type="spellEnd"/>
      <w:r w:rsidR="00D96A83" w:rsidRPr="0010075A">
        <w:rPr>
          <w:rFonts w:cstheme="minorHAnsi"/>
        </w:rPr>
        <w:t xml:space="preserve">, </w:t>
      </w:r>
      <w:proofErr w:type="spellStart"/>
      <w:r w:rsidR="00D96A83" w:rsidRPr="0010075A">
        <w:rPr>
          <w:rFonts w:cstheme="minorHAnsi"/>
        </w:rPr>
        <w:t>Bergisch</w:t>
      </w:r>
      <w:proofErr w:type="spellEnd"/>
      <w:r w:rsidR="00D96A83" w:rsidRPr="0010075A">
        <w:rPr>
          <w:rFonts w:cstheme="minorHAnsi"/>
        </w:rPr>
        <w:t xml:space="preserve"> </w:t>
      </w:r>
      <w:proofErr w:type="spellStart"/>
      <w:r w:rsidR="00D96A83" w:rsidRPr="0010075A">
        <w:rPr>
          <w:rFonts w:cstheme="minorHAnsi"/>
        </w:rPr>
        <w:t>Gladbach</w:t>
      </w:r>
      <w:proofErr w:type="spellEnd"/>
      <w:r w:rsidR="00D96A83" w:rsidRPr="0010075A">
        <w:rPr>
          <w:rFonts w:cstheme="minorHAnsi"/>
        </w:rPr>
        <w:t>, Germany</w:t>
      </w:r>
      <w:r w:rsidRPr="0010075A">
        <w:rPr>
          <w:rFonts w:cstheme="minorHAnsi"/>
        </w:rPr>
        <w:t xml:space="preserve">). Five 50-mL centrifuge tubes were labeled as follows: CD66b (neutrophils), CD14 (monocytes), CD4 (T4 cells), CD8 (T8 cells), and CD19 (B cells). The indicated amount of enriched blood was added to each labeled tube placed on ice or stored at 4°C during the MACS isolation process. The order of isolation of each bead type is indicated in </w:t>
      </w:r>
      <w:r w:rsidR="002974C7" w:rsidRPr="0010075A">
        <w:rPr>
          <w:rFonts w:cstheme="minorHAnsi"/>
          <w:b/>
          <w:bCs/>
        </w:rPr>
        <w:t>S</w:t>
      </w:r>
      <w:r w:rsidRPr="0010075A">
        <w:rPr>
          <w:rFonts w:cstheme="minorHAnsi"/>
          <w:b/>
          <w:bCs/>
        </w:rPr>
        <w:t xml:space="preserve">upplementary </w:t>
      </w:r>
      <w:r w:rsidR="006807E0" w:rsidRPr="0010075A">
        <w:rPr>
          <w:rFonts w:cstheme="minorHAnsi"/>
          <w:b/>
          <w:bCs/>
        </w:rPr>
        <w:t>T</w:t>
      </w:r>
      <w:r w:rsidRPr="0010075A">
        <w:rPr>
          <w:rFonts w:cstheme="minorHAnsi"/>
          <w:b/>
          <w:bCs/>
        </w:rPr>
        <w:t>able Z</w:t>
      </w:r>
      <w:r w:rsidRPr="0010075A">
        <w:rPr>
          <w:rFonts w:cstheme="minorHAnsi"/>
        </w:rPr>
        <w:t>. The MACS Pro instrument has various programs for cell isolations; the POSSELWB protocol was used in this study. For the first isolation, the indicated number of CD66b magnetic beads was added to 3 mL of enriched blood in the CD66b-labeled 50-mL tube. The bead/cell mixture was incubated at 4°C for 15 min. The CD66b+ cells were then isolated on the MACS Pro instrument. The purified cells were eluted in 2 mL of MACS running buffer placed on ice until lysis. The next set of beads (CD14) were then added to the appropriate tube as soon as the previous tube had been placed in the MACS Pro instrument. This series of steps was performed for each bead/cell type. Following each cell isolation, 20</w:t>
      </w:r>
      <w:r w:rsidRPr="0010075A">
        <w:rPr>
          <w:rFonts w:eastAsia="Times New Roman" w:cstheme="minorHAnsi"/>
        </w:rPr>
        <w:t xml:space="preserve"> µL</w:t>
      </w:r>
      <w:r w:rsidRPr="0010075A">
        <w:rPr>
          <w:rFonts w:cstheme="minorHAnsi"/>
        </w:rPr>
        <w:t xml:space="preserve"> of each purified cell were added to 20</w:t>
      </w:r>
      <w:r w:rsidRPr="0010075A">
        <w:rPr>
          <w:rFonts w:eastAsia="Times New Roman" w:cstheme="minorHAnsi"/>
        </w:rPr>
        <w:t xml:space="preserve"> µL</w:t>
      </w:r>
      <w:r w:rsidRPr="0010075A">
        <w:rPr>
          <w:rFonts w:cstheme="minorHAnsi"/>
        </w:rPr>
        <w:t xml:space="preserve"> of trypan blue. The number of cells per milliliter was determined in duplicate, using a Bio-Rad TC20 automated cell counter. Each isolated cell type was transferred to a sterile DNase/RNase-free 15-mL centrifuge tube and pelleted at 400 × </w:t>
      </w:r>
      <w:r w:rsidRPr="0010075A">
        <w:rPr>
          <w:rFonts w:cstheme="minorHAnsi"/>
          <w:i/>
        </w:rPr>
        <w:t>g</w:t>
      </w:r>
      <w:r w:rsidRPr="0010075A">
        <w:rPr>
          <w:rFonts w:cstheme="minorHAnsi"/>
        </w:rPr>
        <w:t xml:space="preserve"> for 10 min at 4°C. The media were then aspirated, and each pellet was lysed in </w:t>
      </w:r>
      <w:proofErr w:type="spellStart"/>
      <w:r w:rsidRPr="0010075A">
        <w:rPr>
          <w:rFonts w:cstheme="minorHAnsi"/>
        </w:rPr>
        <w:t>QIAzol</w:t>
      </w:r>
      <w:proofErr w:type="spellEnd"/>
      <w:r w:rsidRPr="0010075A">
        <w:rPr>
          <w:rFonts w:cstheme="minorHAnsi"/>
        </w:rPr>
        <w:t xml:space="preserve">. </w:t>
      </w:r>
      <w:proofErr w:type="spellStart"/>
      <w:r w:rsidRPr="0010075A">
        <w:rPr>
          <w:rFonts w:cstheme="minorHAnsi"/>
        </w:rPr>
        <w:t>QIAzol</w:t>
      </w:r>
      <w:proofErr w:type="spellEnd"/>
      <w:r w:rsidRPr="0010075A">
        <w:rPr>
          <w:rFonts w:cstheme="minorHAnsi"/>
        </w:rPr>
        <w:t xml:space="preserve"> (700</w:t>
      </w:r>
      <w:r w:rsidRPr="0010075A">
        <w:rPr>
          <w:rFonts w:eastAsia="Times New Roman" w:cstheme="minorHAnsi"/>
        </w:rPr>
        <w:t xml:space="preserve"> µL</w:t>
      </w:r>
      <w:r w:rsidRPr="0010075A">
        <w:rPr>
          <w:rFonts w:cstheme="minorHAnsi"/>
        </w:rPr>
        <w:t>) was added to 1 × 10</w:t>
      </w:r>
      <w:r w:rsidRPr="0010075A">
        <w:rPr>
          <w:rFonts w:cstheme="minorHAnsi"/>
          <w:vertAlign w:val="superscript"/>
        </w:rPr>
        <w:t>6</w:t>
      </w:r>
      <w:r w:rsidRPr="0010075A">
        <w:rPr>
          <w:rFonts w:cstheme="minorHAnsi"/>
        </w:rPr>
        <w:t xml:space="preserve"> cells for CD14 (Sample Code M), CD19 (Sample Code B), CD4 (Sample Code T4), and CD8 (Sample Code T8) isolations. Given that the CD66b neutrophils (Sample Code N) have high levels of RNases, which resulted in decreased RNA yield, 700</w:t>
      </w:r>
      <w:r w:rsidRPr="0010075A">
        <w:rPr>
          <w:rFonts w:eastAsia="Times New Roman" w:cstheme="minorHAnsi"/>
        </w:rPr>
        <w:t xml:space="preserve"> µL</w:t>
      </w:r>
      <w:r w:rsidRPr="0010075A">
        <w:rPr>
          <w:rFonts w:cstheme="minorHAnsi"/>
        </w:rPr>
        <w:t xml:space="preserve"> of </w:t>
      </w:r>
      <w:proofErr w:type="spellStart"/>
      <w:r w:rsidRPr="0010075A">
        <w:rPr>
          <w:rFonts w:cstheme="minorHAnsi"/>
        </w:rPr>
        <w:t>QIAzol</w:t>
      </w:r>
      <w:proofErr w:type="spellEnd"/>
      <w:r w:rsidRPr="0010075A">
        <w:rPr>
          <w:rFonts w:cstheme="minorHAnsi"/>
        </w:rPr>
        <w:t xml:space="preserve"> was added to 2 × 10</w:t>
      </w:r>
      <w:r w:rsidRPr="0010075A">
        <w:rPr>
          <w:rFonts w:cstheme="minorHAnsi"/>
          <w:vertAlign w:val="superscript"/>
        </w:rPr>
        <w:t>6</w:t>
      </w:r>
      <w:r w:rsidRPr="0010075A">
        <w:rPr>
          <w:rFonts w:cstheme="minorHAnsi"/>
        </w:rPr>
        <w:t xml:space="preserve"> cells. The </w:t>
      </w:r>
      <w:proofErr w:type="spellStart"/>
      <w:r w:rsidRPr="0010075A">
        <w:rPr>
          <w:rFonts w:cstheme="minorHAnsi"/>
        </w:rPr>
        <w:t>QIAzol-resuspended</w:t>
      </w:r>
      <w:proofErr w:type="spellEnd"/>
      <w:r w:rsidRPr="0010075A">
        <w:rPr>
          <w:rFonts w:cstheme="minorHAnsi"/>
        </w:rPr>
        <w:t xml:space="preserve"> cells were incubated at room temperature for 10 min and then frozen in an ethanol/dry ice bath before transfer to a −80°C freezer for biobank shipment and PMI use.</w:t>
      </w:r>
    </w:p>
    <w:p w14:paraId="1C3DB5EE" w14:textId="77777777" w:rsidR="00627D55" w:rsidRPr="0010075A" w:rsidRDefault="00627D55" w:rsidP="0010075A">
      <w:pPr>
        <w:pStyle w:val="NoSpacing"/>
        <w:spacing w:line="480" w:lineRule="auto"/>
        <w:jc w:val="both"/>
        <w:rPr>
          <w:rFonts w:cstheme="minorHAnsi"/>
        </w:rPr>
      </w:pPr>
    </w:p>
    <w:p w14:paraId="0679296E" w14:textId="77777777" w:rsidR="00627D55" w:rsidRPr="0010075A" w:rsidRDefault="00627D55" w:rsidP="0010075A">
      <w:pPr>
        <w:pStyle w:val="NoSpacing"/>
        <w:spacing w:line="480" w:lineRule="auto"/>
        <w:jc w:val="both"/>
        <w:rPr>
          <w:rFonts w:cstheme="minorHAnsi"/>
        </w:rPr>
      </w:pPr>
    </w:p>
    <w:p w14:paraId="71371CC0" w14:textId="267AE85A" w:rsidR="00627D55" w:rsidRPr="0010075A" w:rsidRDefault="00627D55" w:rsidP="0010075A">
      <w:pPr>
        <w:spacing w:line="480" w:lineRule="auto"/>
        <w:rPr>
          <w:rFonts w:cstheme="minorHAnsi"/>
        </w:rPr>
      </w:pPr>
      <w:r w:rsidRPr="0010075A">
        <w:rPr>
          <w:rFonts w:cstheme="minorHAnsi"/>
          <w:b/>
          <w:bCs/>
        </w:rPr>
        <w:t xml:space="preserve">Supplementary </w:t>
      </w:r>
      <w:r w:rsidR="006807E0" w:rsidRPr="0010075A">
        <w:rPr>
          <w:rFonts w:cstheme="minorHAnsi"/>
          <w:b/>
          <w:bCs/>
        </w:rPr>
        <w:t>T</w:t>
      </w:r>
      <w:r w:rsidRPr="0010075A">
        <w:rPr>
          <w:rFonts w:cstheme="minorHAnsi"/>
          <w:b/>
          <w:bCs/>
        </w:rPr>
        <w:t>able Z</w:t>
      </w:r>
      <w:r w:rsidRPr="0010075A">
        <w:rPr>
          <w:rFonts w:cstheme="minorHAnsi"/>
        </w:rPr>
        <w:t>. Bead volume for cell isolation.</w:t>
      </w:r>
    </w:p>
    <w:p w14:paraId="6A56F000" w14:textId="77777777" w:rsidR="00627D55" w:rsidRPr="0010075A" w:rsidRDefault="00627D55" w:rsidP="0010075A">
      <w:pPr>
        <w:spacing w:line="480" w:lineRule="auto"/>
        <w:jc w:val="center"/>
        <w:rPr>
          <w:rFonts w:ascii="Times New Roman" w:hAnsi="Times New Roman" w:cs="Times New Roman"/>
        </w:rPr>
      </w:pPr>
      <w:r w:rsidRPr="0010075A">
        <w:rPr>
          <w:rFonts w:ascii="Times New Roman" w:hAnsi="Times New Roman" w:cs="Times New Roman"/>
          <w:noProof/>
          <w:shd w:val="clear" w:color="auto" w:fill="E6E6E6"/>
          <w:lang w:val="en-IN" w:eastAsia="en-IN"/>
        </w:rPr>
        <w:drawing>
          <wp:inline distT="0" distB="0" distL="0" distR="0" wp14:anchorId="7F1C64E8" wp14:editId="7F58133C">
            <wp:extent cx="5838825" cy="1417320"/>
            <wp:effectExtent l="0" t="0" r="0" b="0"/>
            <wp:docPr id="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4313" r="4521"/>
                    <a:stretch/>
                  </pic:blipFill>
                  <pic:spPr bwMode="auto">
                    <a:xfrm>
                      <a:off x="0" y="0"/>
                      <a:ext cx="5838825" cy="1417320"/>
                    </a:xfrm>
                    <a:prstGeom prst="rect">
                      <a:avLst/>
                    </a:prstGeom>
                    <a:noFill/>
                    <a:ln>
                      <a:noFill/>
                    </a:ln>
                    <a:extLst>
                      <a:ext uri="{53640926-AAD7-44D8-BBD7-CCE9431645EC}">
                        <a14:shadowObscured xmlns:a14="http://schemas.microsoft.com/office/drawing/2010/main"/>
                      </a:ext>
                    </a:extLst>
                  </pic:spPr>
                </pic:pic>
              </a:graphicData>
            </a:graphic>
          </wp:inline>
        </w:drawing>
      </w:r>
    </w:p>
    <w:p w14:paraId="244232C0" w14:textId="54308043" w:rsidR="00627D55" w:rsidRPr="0010075A" w:rsidRDefault="00627D55" w:rsidP="0010075A">
      <w:pPr>
        <w:spacing w:line="480" w:lineRule="auto"/>
        <w:jc w:val="both"/>
        <w:rPr>
          <w:rFonts w:cstheme="minorHAnsi"/>
        </w:rPr>
      </w:pPr>
      <w:r w:rsidRPr="0010075A">
        <w:rPr>
          <w:rFonts w:cstheme="minorHAnsi"/>
          <w:b/>
          <w:bCs/>
        </w:rPr>
        <w:t>Cell purity.</w:t>
      </w:r>
      <w:r w:rsidRPr="0010075A">
        <w:rPr>
          <w:rFonts w:cstheme="minorHAnsi"/>
        </w:rPr>
        <w:t xml:space="preserve"> Purity of RBCs and platelets was determined </w:t>
      </w:r>
      <w:r w:rsidR="006E180C" w:rsidRPr="0010075A">
        <w:rPr>
          <w:rFonts w:cstheme="minorHAnsi"/>
        </w:rPr>
        <w:t>on a</w:t>
      </w:r>
      <w:r w:rsidRPr="0010075A">
        <w:rPr>
          <w:rFonts w:cstheme="minorHAnsi"/>
        </w:rPr>
        <w:t xml:space="preserve"> Sysmex clinical counter</w:t>
      </w:r>
      <w:r w:rsidR="00B4498E" w:rsidRPr="0010075A">
        <w:rPr>
          <w:rFonts w:cstheme="minorHAnsi"/>
        </w:rPr>
        <w:t xml:space="preserve"> (Sysmex, Kobe, Japan)</w:t>
      </w:r>
      <w:r w:rsidRPr="0010075A">
        <w:rPr>
          <w:rFonts w:cstheme="minorHAnsi"/>
        </w:rPr>
        <w:t>. The counter provides a complete blood count and a high level of accuracy. RBCs and platelets prepared for lysis were ≥99.95% pure. Flow cytometry was performed to test the purity of the WBC isolations following MACS separation. Cell preparations (1 × 10</w:t>
      </w:r>
      <w:r w:rsidRPr="0010075A">
        <w:rPr>
          <w:rFonts w:cstheme="minorHAnsi"/>
          <w:vertAlign w:val="superscript"/>
        </w:rPr>
        <w:t>6</w:t>
      </w:r>
      <w:r w:rsidRPr="0010075A">
        <w:rPr>
          <w:rFonts w:cstheme="minorHAnsi"/>
        </w:rPr>
        <w:t xml:space="preserve"> cells) were measured for purity using antibodies specific for each cell type and analyzed on an </w:t>
      </w:r>
      <w:proofErr w:type="spellStart"/>
      <w:r w:rsidRPr="0010075A">
        <w:rPr>
          <w:rFonts w:cstheme="minorHAnsi"/>
        </w:rPr>
        <w:t>Accuri</w:t>
      </w:r>
      <w:proofErr w:type="spellEnd"/>
      <w:r w:rsidRPr="0010075A">
        <w:rPr>
          <w:rFonts w:cstheme="minorHAnsi"/>
        </w:rPr>
        <w:t xml:space="preserve"> C6 flow cytometer (BD Biosciences</w:t>
      </w:r>
      <w:r w:rsidR="0014543A" w:rsidRPr="0010075A">
        <w:rPr>
          <w:rFonts w:cstheme="minorHAnsi"/>
        </w:rPr>
        <w:t>, Franklin Lakes, NJ, USA</w:t>
      </w:r>
      <w:r w:rsidRPr="0010075A">
        <w:rPr>
          <w:rFonts w:cstheme="minorHAnsi"/>
        </w:rPr>
        <w:t xml:space="preserve">). Each cell type was sorted by size and granularity. The percent purity for each cell population was determined using </w:t>
      </w:r>
      <w:proofErr w:type="spellStart"/>
      <w:r w:rsidRPr="0010075A">
        <w:rPr>
          <w:rFonts w:cstheme="minorHAnsi"/>
        </w:rPr>
        <w:t>FlowJo</w:t>
      </w:r>
      <w:proofErr w:type="spellEnd"/>
      <w:r w:rsidRPr="0010075A">
        <w:rPr>
          <w:rFonts w:cstheme="minorHAnsi"/>
        </w:rPr>
        <w:t xml:space="preserve"> software. Testing WBC purity could not be performed for each cell type, as the number of cells yielded was a limiting factor. Spot checks indicated that WBC purity was &gt;85% for neutrophils and &gt;90% for all other cell types.</w:t>
      </w:r>
    </w:p>
    <w:p w14:paraId="1AA1C82B" w14:textId="77777777" w:rsidR="00627D55" w:rsidRPr="0010075A" w:rsidRDefault="00627D55" w:rsidP="0010075A">
      <w:pPr>
        <w:spacing w:line="480" w:lineRule="auto"/>
        <w:jc w:val="both"/>
        <w:rPr>
          <w:rFonts w:ascii="Times New Roman" w:hAnsi="Times New Roman" w:cs="Times New Roman"/>
        </w:rPr>
      </w:pPr>
    </w:p>
    <w:p w14:paraId="4B88D9FC" w14:textId="77777777" w:rsidR="00627D55" w:rsidRPr="0010075A" w:rsidRDefault="00627D55" w:rsidP="0010075A">
      <w:pPr>
        <w:pStyle w:val="Heading2"/>
        <w:spacing w:line="480" w:lineRule="auto"/>
        <w:rPr>
          <w:color w:val="auto"/>
        </w:rPr>
      </w:pPr>
      <w:r w:rsidRPr="0010075A">
        <w:rPr>
          <w:color w:val="auto"/>
        </w:rPr>
        <w:t>Clinical blood analytes measured at URMC</w:t>
      </w:r>
    </w:p>
    <w:p w14:paraId="5C1F7382" w14:textId="43240F9D" w:rsidR="00627D55" w:rsidRPr="0010075A" w:rsidRDefault="00627D55" w:rsidP="0010075A">
      <w:pPr>
        <w:pStyle w:val="NoSpacing"/>
        <w:spacing w:line="480" w:lineRule="auto"/>
        <w:jc w:val="both"/>
        <w:rPr>
          <w:rFonts w:cstheme="minorHAnsi"/>
        </w:rPr>
      </w:pPr>
      <w:r w:rsidRPr="0010075A">
        <w:rPr>
          <w:rFonts w:cstheme="minorHAnsi"/>
        </w:rPr>
        <w:t>Biomarkers of exposure (BoE), biomarkers of potential harm (</w:t>
      </w:r>
      <w:proofErr w:type="spellStart"/>
      <w:r w:rsidRPr="0010075A">
        <w:rPr>
          <w:rFonts w:cstheme="minorHAnsi"/>
        </w:rPr>
        <w:t>BoPH</w:t>
      </w:r>
      <w:proofErr w:type="spellEnd"/>
      <w:r w:rsidRPr="0010075A">
        <w:rPr>
          <w:rFonts w:cstheme="minorHAnsi"/>
        </w:rPr>
        <w:t>)</w:t>
      </w:r>
      <w:r w:rsidR="00655A6B" w:rsidRPr="0010075A">
        <w:rPr>
          <w:rFonts w:cstheme="minorHAnsi"/>
        </w:rPr>
        <w:t>,</w:t>
      </w:r>
      <w:r w:rsidRPr="0010075A">
        <w:rPr>
          <w:rFonts w:cstheme="minorHAnsi"/>
        </w:rPr>
        <w:t xml:space="preserve"> and complete blood counts (CBC) were analyzed in the central clinical laboratories at URMC (</w:t>
      </w:r>
      <w:r w:rsidRPr="0010075A">
        <w:rPr>
          <w:rFonts w:cstheme="minorHAnsi"/>
          <w:b/>
          <w:bCs/>
        </w:rPr>
        <w:t xml:space="preserve">Supplementary </w:t>
      </w:r>
      <w:r w:rsidR="00655A6B" w:rsidRPr="0010075A">
        <w:rPr>
          <w:rFonts w:cstheme="minorHAnsi"/>
          <w:b/>
          <w:bCs/>
        </w:rPr>
        <w:t>T</w:t>
      </w:r>
      <w:r w:rsidRPr="0010075A">
        <w:rPr>
          <w:rFonts w:cstheme="minorHAnsi"/>
          <w:b/>
          <w:bCs/>
        </w:rPr>
        <w:t>able W</w:t>
      </w:r>
      <w:r w:rsidRPr="0010075A">
        <w:rPr>
          <w:rFonts w:cstheme="minorHAnsi"/>
        </w:rPr>
        <w:t xml:space="preserve">). Following blood collection, the tubes were placed into a plastic bag along with the clinical testing request form and transported to the lab for testing. The clinical testing request form contained no information on the study subject, but only the subject’s unique identifier and a study identifier to link the test results to the study. All test results were recorded electronically in iSOFT (Clinical Labs) and uploaded biweekly into the BLIS database </w:t>
      </w:r>
      <w:r w:rsidR="002974C7" w:rsidRPr="0010075A">
        <w:rPr>
          <w:rFonts w:cstheme="minorHAnsi"/>
          <w:b/>
          <w:bCs/>
        </w:rPr>
        <w:t xml:space="preserve">Supplementary </w:t>
      </w:r>
      <w:r w:rsidR="00655A6B" w:rsidRPr="0010075A">
        <w:rPr>
          <w:rFonts w:cstheme="minorHAnsi"/>
          <w:b/>
          <w:bCs/>
        </w:rPr>
        <w:t>T</w:t>
      </w:r>
      <w:r w:rsidR="002974C7" w:rsidRPr="0010075A">
        <w:rPr>
          <w:rFonts w:cstheme="minorHAnsi"/>
          <w:b/>
          <w:bCs/>
        </w:rPr>
        <w:t xml:space="preserve">able W </w:t>
      </w:r>
      <w:r w:rsidRPr="0010075A">
        <w:rPr>
          <w:rFonts w:cstheme="minorHAnsi"/>
        </w:rPr>
        <w:t>by the hospital’s information technology group.</w:t>
      </w:r>
    </w:p>
    <w:p w14:paraId="3D9F2FB3" w14:textId="77777777" w:rsidR="00627D55" w:rsidRPr="0010075A" w:rsidRDefault="00627D55" w:rsidP="0010075A">
      <w:pPr>
        <w:pStyle w:val="NoSpacing"/>
        <w:spacing w:line="480" w:lineRule="auto"/>
        <w:jc w:val="both"/>
        <w:rPr>
          <w:rFonts w:cstheme="minorHAnsi"/>
        </w:rPr>
      </w:pPr>
    </w:p>
    <w:p w14:paraId="1EF5A7F7" w14:textId="5977CA5B" w:rsidR="00627D55" w:rsidRPr="0010075A" w:rsidRDefault="00627D55" w:rsidP="0010075A">
      <w:pPr>
        <w:pStyle w:val="NoSpacing"/>
        <w:spacing w:line="480" w:lineRule="auto"/>
        <w:jc w:val="both"/>
        <w:rPr>
          <w:rFonts w:cstheme="minorHAnsi"/>
        </w:rPr>
      </w:pPr>
      <w:r w:rsidRPr="0010075A">
        <w:rPr>
          <w:rFonts w:cstheme="minorHAnsi"/>
          <w:b/>
          <w:bCs/>
        </w:rPr>
        <w:t xml:space="preserve">Supplementary </w:t>
      </w:r>
      <w:r w:rsidR="00655A6B" w:rsidRPr="0010075A">
        <w:rPr>
          <w:rFonts w:cstheme="minorHAnsi"/>
          <w:b/>
          <w:bCs/>
        </w:rPr>
        <w:t>T</w:t>
      </w:r>
      <w:r w:rsidRPr="0010075A">
        <w:rPr>
          <w:rFonts w:cstheme="minorHAnsi"/>
          <w:b/>
          <w:bCs/>
        </w:rPr>
        <w:t>able W.</w:t>
      </w:r>
      <w:r w:rsidRPr="0010075A">
        <w:rPr>
          <w:rFonts w:cstheme="minorHAnsi"/>
        </w:rPr>
        <w:t xml:space="preserve"> Clinical blood endpoints measured at URMC central laboratory.</w:t>
      </w:r>
    </w:p>
    <w:p w14:paraId="51398293" w14:textId="77777777" w:rsidR="00627D55" w:rsidRPr="0010075A" w:rsidRDefault="00627D55" w:rsidP="0010075A">
      <w:pPr>
        <w:pStyle w:val="NoSpacing"/>
        <w:spacing w:line="480" w:lineRule="auto"/>
        <w:jc w:val="both"/>
        <w:rPr>
          <w:rFonts w:cstheme="minorHAnsi"/>
        </w:rPr>
      </w:pPr>
    </w:p>
    <w:tbl>
      <w:tblPr>
        <w:tblStyle w:val="TableGrid"/>
        <w:tblW w:w="9355" w:type="dxa"/>
        <w:tblLook w:val="04A0" w:firstRow="1" w:lastRow="0" w:firstColumn="1" w:lastColumn="0" w:noHBand="0" w:noVBand="1"/>
      </w:tblPr>
      <w:tblGrid>
        <w:gridCol w:w="1129"/>
        <w:gridCol w:w="2977"/>
        <w:gridCol w:w="1559"/>
        <w:gridCol w:w="2552"/>
        <w:gridCol w:w="1138"/>
      </w:tblGrid>
      <w:tr w:rsidR="0010075A" w:rsidRPr="0010075A" w14:paraId="2EC5F226" w14:textId="77777777" w:rsidTr="00A95519">
        <w:tc>
          <w:tcPr>
            <w:tcW w:w="1129" w:type="dxa"/>
          </w:tcPr>
          <w:p w14:paraId="2653250F" w14:textId="77777777" w:rsidR="00627D55" w:rsidRPr="0010075A" w:rsidRDefault="00627D55" w:rsidP="0010075A">
            <w:pPr>
              <w:pStyle w:val="NoSpacing"/>
              <w:spacing w:line="480" w:lineRule="auto"/>
              <w:jc w:val="both"/>
              <w:rPr>
                <w:rFonts w:cstheme="minorHAnsi"/>
                <w:b/>
                <w:bCs/>
              </w:rPr>
            </w:pPr>
            <w:r w:rsidRPr="0010075A">
              <w:rPr>
                <w:rFonts w:cstheme="minorHAnsi"/>
                <w:b/>
                <w:bCs/>
              </w:rPr>
              <w:t>Category</w:t>
            </w:r>
          </w:p>
        </w:tc>
        <w:tc>
          <w:tcPr>
            <w:tcW w:w="2977" w:type="dxa"/>
          </w:tcPr>
          <w:p w14:paraId="5EC17A41" w14:textId="77777777" w:rsidR="00627D55" w:rsidRPr="0010075A" w:rsidRDefault="00627D55" w:rsidP="0010075A">
            <w:pPr>
              <w:pStyle w:val="NoSpacing"/>
              <w:spacing w:line="480" w:lineRule="auto"/>
              <w:rPr>
                <w:rFonts w:cstheme="minorHAnsi"/>
                <w:b/>
                <w:bCs/>
              </w:rPr>
            </w:pPr>
            <w:r w:rsidRPr="0010075A">
              <w:rPr>
                <w:rFonts w:cstheme="minorHAnsi"/>
                <w:b/>
                <w:bCs/>
              </w:rPr>
              <w:t>Analyte - URMC Central Lab</w:t>
            </w:r>
          </w:p>
        </w:tc>
        <w:tc>
          <w:tcPr>
            <w:tcW w:w="1559" w:type="dxa"/>
          </w:tcPr>
          <w:p w14:paraId="3F7BE63B" w14:textId="77777777" w:rsidR="00627D55" w:rsidRPr="0010075A" w:rsidRDefault="00627D55" w:rsidP="0010075A">
            <w:pPr>
              <w:pStyle w:val="NoSpacing"/>
              <w:spacing w:line="480" w:lineRule="auto"/>
              <w:rPr>
                <w:rFonts w:cstheme="minorHAnsi"/>
                <w:b/>
                <w:bCs/>
                <w:lang w:val="fr-CH"/>
              </w:rPr>
            </w:pPr>
            <w:r w:rsidRPr="0010075A">
              <w:rPr>
                <w:rFonts w:cstheme="minorHAnsi"/>
                <w:b/>
                <w:bCs/>
                <w:lang w:val="fr-CH"/>
              </w:rPr>
              <w:t>Code Analyte - URMC Central Lab</w:t>
            </w:r>
          </w:p>
        </w:tc>
        <w:tc>
          <w:tcPr>
            <w:tcW w:w="2552" w:type="dxa"/>
          </w:tcPr>
          <w:p w14:paraId="0F3C3E60" w14:textId="77777777" w:rsidR="00627D55" w:rsidRPr="0010075A" w:rsidRDefault="00627D55" w:rsidP="0010075A">
            <w:pPr>
              <w:pStyle w:val="NoSpacing"/>
              <w:spacing w:line="480" w:lineRule="auto"/>
              <w:rPr>
                <w:rFonts w:cstheme="minorHAnsi"/>
                <w:b/>
                <w:bCs/>
              </w:rPr>
            </w:pPr>
            <w:r w:rsidRPr="0010075A">
              <w:rPr>
                <w:rFonts w:cstheme="minorHAnsi"/>
                <w:b/>
                <w:bCs/>
              </w:rPr>
              <w:t>Description</w:t>
            </w:r>
          </w:p>
        </w:tc>
        <w:tc>
          <w:tcPr>
            <w:tcW w:w="1138" w:type="dxa"/>
          </w:tcPr>
          <w:p w14:paraId="1531B3A8" w14:textId="77777777" w:rsidR="00627D55" w:rsidRPr="0010075A" w:rsidRDefault="00627D55" w:rsidP="0010075A">
            <w:pPr>
              <w:pStyle w:val="NoSpacing"/>
              <w:spacing w:line="480" w:lineRule="auto"/>
              <w:jc w:val="both"/>
              <w:rPr>
                <w:rFonts w:cstheme="minorHAnsi"/>
                <w:b/>
                <w:bCs/>
              </w:rPr>
            </w:pPr>
            <w:r w:rsidRPr="0010075A">
              <w:rPr>
                <w:rFonts w:cstheme="minorHAnsi"/>
                <w:b/>
                <w:bCs/>
              </w:rPr>
              <w:t>Unit</w:t>
            </w:r>
          </w:p>
        </w:tc>
      </w:tr>
      <w:tr w:rsidR="0010075A" w:rsidRPr="0010075A" w14:paraId="30992A27" w14:textId="77777777" w:rsidTr="00A95519">
        <w:tc>
          <w:tcPr>
            <w:tcW w:w="1129" w:type="dxa"/>
          </w:tcPr>
          <w:p w14:paraId="7AE76588" w14:textId="77777777" w:rsidR="00627D55" w:rsidRPr="0010075A" w:rsidRDefault="00627D55" w:rsidP="0010075A">
            <w:pPr>
              <w:pStyle w:val="NoSpacing"/>
              <w:spacing w:line="480" w:lineRule="auto"/>
              <w:jc w:val="both"/>
              <w:rPr>
                <w:rFonts w:cstheme="minorHAnsi"/>
              </w:rPr>
            </w:pPr>
            <w:r w:rsidRPr="0010075A">
              <w:rPr>
                <w:rFonts w:cstheme="minorHAnsi"/>
              </w:rPr>
              <w:t>BoE</w:t>
            </w:r>
          </w:p>
        </w:tc>
        <w:tc>
          <w:tcPr>
            <w:tcW w:w="2977" w:type="dxa"/>
          </w:tcPr>
          <w:p w14:paraId="1A2F086C" w14:textId="77777777" w:rsidR="00627D55" w:rsidRPr="0010075A" w:rsidRDefault="00627D55" w:rsidP="0010075A">
            <w:pPr>
              <w:pStyle w:val="NoSpacing"/>
              <w:spacing w:line="480" w:lineRule="auto"/>
              <w:jc w:val="both"/>
              <w:rPr>
                <w:rFonts w:cstheme="minorHAnsi"/>
              </w:rPr>
            </w:pPr>
            <w:r w:rsidRPr="0010075A">
              <w:rPr>
                <w:rFonts w:cstheme="minorHAnsi"/>
              </w:rPr>
              <w:t>CARBOXY HGB</w:t>
            </w:r>
          </w:p>
        </w:tc>
        <w:tc>
          <w:tcPr>
            <w:tcW w:w="1559" w:type="dxa"/>
          </w:tcPr>
          <w:p w14:paraId="1962CE02" w14:textId="77777777" w:rsidR="00627D55" w:rsidRPr="0010075A" w:rsidRDefault="00627D55" w:rsidP="0010075A">
            <w:pPr>
              <w:pStyle w:val="NoSpacing"/>
              <w:spacing w:line="480" w:lineRule="auto"/>
              <w:jc w:val="both"/>
              <w:rPr>
                <w:rFonts w:cstheme="minorHAnsi"/>
              </w:rPr>
            </w:pPr>
            <w:r w:rsidRPr="0010075A">
              <w:rPr>
                <w:rFonts w:cstheme="minorHAnsi"/>
              </w:rPr>
              <w:t>36298</w:t>
            </w:r>
          </w:p>
        </w:tc>
        <w:tc>
          <w:tcPr>
            <w:tcW w:w="2552" w:type="dxa"/>
          </w:tcPr>
          <w:p w14:paraId="7E85F418" w14:textId="77777777" w:rsidR="00627D55" w:rsidRPr="0010075A" w:rsidRDefault="00627D55" w:rsidP="0010075A">
            <w:pPr>
              <w:pStyle w:val="NoSpacing"/>
              <w:spacing w:line="480" w:lineRule="auto"/>
              <w:rPr>
                <w:rFonts w:cstheme="minorHAnsi"/>
              </w:rPr>
            </w:pPr>
            <w:r w:rsidRPr="0010075A">
              <w:rPr>
                <w:rFonts w:cstheme="minorHAnsi"/>
              </w:rPr>
              <w:t>Carboxy hemoglobin</w:t>
            </w:r>
          </w:p>
        </w:tc>
        <w:tc>
          <w:tcPr>
            <w:tcW w:w="1138" w:type="dxa"/>
          </w:tcPr>
          <w:p w14:paraId="73F246F5" w14:textId="77777777" w:rsidR="00627D55" w:rsidRPr="0010075A" w:rsidRDefault="00627D55" w:rsidP="0010075A">
            <w:pPr>
              <w:pStyle w:val="NoSpacing"/>
              <w:spacing w:line="480" w:lineRule="auto"/>
              <w:jc w:val="both"/>
              <w:rPr>
                <w:rFonts w:cstheme="minorHAnsi"/>
              </w:rPr>
            </w:pPr>
            <w:r w:rsidRPr="0010075A">
              <w:rPr>
                <w:rFonts w:cstheme="minorHAnsi"/>
              </w:rPr>
              <w:t>%</w:t>
            </w:r>
          </w:p>
        </w:tc>
      </w:tr>
      <w:tr w:rsidR="0010075A" w:rsidRPr="0010075A" w14:paraId="6D4B8785" w14:textId="77777777" w:rsidTr="00A95519">
        <w:tc>
          <w:tcPr>
            <w:tcW w:w="1129" w:type="dxa"/>
          </w:tcPr>
          <w:p w14:paraId="7EF2EB76" w14:textId="77777777" w:rsidR="00627D55" w:rsidRPr="0010075A" w:rsidRDefault="00627D55" w:rsidP="0010075A">
            <w:pPr>
              <w:pStyle w:val="NoSpacing"/>
              <w:spacing w:line="480" w:lineRule="auto"/>
              <w:rPr>
                <w:rFonts w:cstheme="minorHAnsi"/>
              </w:rPr>
            </w:pPr>
          </w:p>
        </w:tc>
        <w:tc>
          <w:tcPr>
            <w:tcW w:w="2977" w:type="dxa"/>
          </w:tcPr>
          <w:p w14:paraId="48401124" w14:textId="77777777" w:rsidR="00627D55" w:rsidRPr="0010075A" w:rsidRDefault="00627D55" w:rsidP="0010075A">
            <w:pPr>
              <w:pStyle w:val="NoSpacing"/>
              <w:spacing w:line="480" w:lineRule="auto"/>
              <w:rPr>
                <w:rFonts w:cstheme="minorHAnsi"/>
              </w:rPr>
            </w:pPr>
            <w:r w:rsidRPr="0010075A">
              <w:rPr>
                <w:rFonts w:cstheme="minorHAnsi"/>
              </w:rPr>
              <w:t>NICOTINE &amp; METABOLITE</w:t>
            </w:r>
          </w:p>
        </w:tc>
        <w:tc>
          <w:tcPr>
            <w:tcW w:w="1559" w:type="dxa"/>
          </w:tcPr>
          <w:p w14:paraId="5CDE74E8" w14:textId="77777777" w:rsidR="00627D55" w:rsidRPr="0010075A" w:rsidRDefault="00627D55" w:rsidP="0010075A">
            <w:pPr>
              <w:pStyle w:val="NoSpacing"/>
              <w:spacing w:line="480" w:lineRule="auto"/>
              <w:jc w:val="both"/>
              <w:rPr>
                <w:rFonts w:cstheme="minorHAnsi"/>
              </w:rPr>
            </w:pPr>
            <w:r w:rsidRPr="0010075A">
              <w:rPr>
                <w:rFonts w:cstheme="minorHAnsi"/>
              </w:rPr>
              <w:t>20579</w:t>
            </w:r>
          </w:p>
        </w:tc>
        <w:tc>
          <w:tcPr>
            <w:tcW w:w="2552" w:type="dxa"/>
          </w:tcPr>
          <w:p w14:paraId="5D37D886" w14:textId="77777777" w:rsidR="00627D55" w:rsidRPr="0010075A" w:rsidRDefault="00627D55" w:rsidP="0010075A">
            <w:pPr>
              <w:pStyle w:val="NoSpacing"/>
              <w:spacing w:line="480" w:lineRule="auto"/>
              <w:rPr>
                <w:rFonts w:cstheme="minorHAnsi"/>
              </w:rPr>
            </w:pPr>
            <w:r w:rsidRPr="0010075A">
              <w:rPr>
                <w:rFonts w:cstheme="minorHAnsi"/>
              </w:rPr>
              <w:t>Nicotine</w:t>
            </w:r>
          </w:p>
        </w:tc>
        <w:tc>
          <w:tcPr>
            <w:tcW w:w="1138" w:type="dxa"/>
          </w:tcPr>
          <w:p w14:paraId="427A6A44" w14:textId="77777777" w:rsidR="00627D55" w:rsidRPr="0010075A" w:rsidRDefault="00627D55" w:rsidP="0010075A">
            <w:pPr>
              <w:pStyle w:val="NoSpacing"/>
              <w:spacing w:line="480" w:lineRule="auto"/>
              <w:jc w:val="both"/>
              <w:rPr>
                <w:rFonts w:cstheme="minorHAnsi"/>
              </w:rPr>
            </w:pPr>
            <w:r w:rsidRPr="0010075A">
              <w:rPr>
                <w:rFonts w:cstheme="minorHAnsi"/>
              </w:rPr>
              <w:t>ng/mL</w:t>
            </w:r>
          </w:p>
        </w:tc>
      </w:tr>
      <w:tr w:rsidR="0010075A" w:rsidRPr="0010075A" w14:paraId="52D11EB6" w14:textId="77777777" w:rsidTr="00A95519">
        <w:tc>
          <w:tcPr>
            <w:tcW w:w="1129" w:type="dxa"/>
          </w:tcPr>
          <w:p w14:paraId="059AEAD6" w14:textId="77777777" w:rsidR="00627D55" w:rsidRPr="0010075A" w:rsidRDefault="00627D55" w:rsidP="0010075A">
            <w:pPr>
              <w:pStyle w:val="NoSpacing"/>
              <w:spacing w:line="480" w:lineRule="auto"/>
              <w:jc w:val="both"/>
              <w:rPr>
                <w:rFonts w:cstheme="minorHAnsi"/>
              </w:rPr>
            </w:pPr>
          </w:p>
        </w:tc>
        <w:tc>
          <w:tcPr>
            <w:tcW w:w="2977" w:type="dxa"/>
          </w:tcPr>
          <w:p w14:paraId="232FCE6A" w14:textId="77777777" w:rsidR="00627D55" w:rsidRPr="0010075A" w:rsidRDefault="00627D55" w:rsidP="0010075A">
            <w:pPr>
              <w:pStyle w:val="NoSpacing"/>
              <w:spacing w:line="480" w:lineRule="auto"/>
              <w:jc w:val="both"/>
              <w:rPr>
                <w:rFonts w:cstheme="minorHAnsi"/>
              </w:rPr>
            </w:pPr>
          </w:p>
        </w:tc>
        <w:tc>
          <w:tcPr>
            <w:tcW w:w="1559" w:type="dxa"/>
          </w:tcPr>
          <w:p w14:paraId="7C0E7499" w14:textId="77777777" w:rsidR="00627D55" w:rsidRPr="0010075A" w:rsidRDefault="00627D55" w:rsidP="0010075A">
            <w:pPr>
              <w:pStyle w:val="NoSpacing"/>
              <w:spacing w:line="480" w:lineRule="auto"/>
              <w:jc w:val="both"/>
              <w:rPr>
                <w:rFonts w:cstheme="minorHAnsi"/>
              </w:rPr>
            </w:pPr>
          </w:p>
        </w:tc>
        <w:tc>
          <w:tcPr>
            <w:tcW w:w="2552" w:type="dxa"/>
          </w:tcPr>
          <w:p w14:paraId="519C0558" w14:textId="77777777" w:rsidR="00627D55" w:rsidRPr="0010075A" w:rsidRDefault="00627D55" w:rsidP="0010075A">
            <w:pPr>
              <w:pStyle w:val="NoSpacing"/>
              <w:spacing w:line="480" w:lineRule="auto"/>
              <w:rPr>
                <w:rFonts w:cstheme="minorHAnsi"/>
              </w:rPr>
            </w:pPr>
            <w:r w:rsidRPr="0010075A">
              <w:rPr>
                <w:rFonts w:cstheme="minorHAnsi"/>
              </w:rPr>
              <w:t>Cotinine</w:t>
            </w:r>
          </w:p>
        </w:tc>
        <w:tc>
          <w:tcPr>
            <w:tcW w:w="1138" w:type="dxa"/>
          </w:tcPr>
          <w:p w14:paraId="6985F33B" w14:textId="77777777" w:rsidR="00627D55" w:rsidRPr="0010075A" w:rsidRDefault="00627D55" w:rsidP="0010075A">
            <w:pPr>
              <w:pStyle w:val="NoSpacing"/>
              <w:spacing w:line="480" w:lineRule="auto"/>
              <w:jc w:val="both"/>
              <w:rPr>
                <w:rFonts w:cstheme="minorHAnsi"/>
              </w:rPr>
            </w:pPr>
            <w:r w:rsidRPr="0010075A">
              <w:rPr>
                <w:rFonts w:cstheme="minorHAnsi"/>
              </w:rPr>
              <w:t>ng/mL</w:t>
            </w:r>
          </w:p>
        </w:tc>
      </w:tr>
      <w:tr w:rsidR="0010075A" w:rsidRPr="0010075A" w14:paraId="74E73651" w14:textId="77777777" w:rsidTr="00A95519">
        <w:tc>
          <w:tcPr>
            <w:tcW w:w="1129" w:type="dxa"/>
          </w:tcPr>
          <w:p w14:paraId="3B9404C2" w14:textId="77777777" w:rsidR="00627D55" w:rsidRPr="0010075A" w:rsidRDefault="00627D55" w:rsidP="0010075A">
            <w:pPr>
              <w:pStyle w:val="NoSpacing"/>
              <w:spacing w:line="480" w:lineRule="auto"/>
              <w:jc w:val="both"/>
              <w:rPr>
                <w:rFonts w:cstheme="minorHAnsi"/>
              </w:rPr>
            </w:pPr>
          </w:p>
        </w:tc>
        <w:tc>
          <w:tcPr>
            <w:tcW w:w="2977" w:type="dxa"/>
          </w:tcPr>
          <w:p w14:paraId="38875BBF" w14:textId="77777777" w:rsidR="00627D55" w:rsidRPr="0010075A" w:rsidRDefault="00627D55" w:rsidP="0010075A">
            <w:pPr>
              <w:pStyle w:val="NoSpacing"/>
              <w:spacing w:line="480" w:lineRule="auto"/>
              <w:jc w:val="both"/>
              <w:rPr>
                <w:rFonts w:cstheme="minorHAnsi"/>
              </w:rPr>
            </w:pPr>
          </w:p>
        </w:tc>
        <w:tc>
          <w:tcPr>
            <w:tcW w:w="1559" w:type="dxa"/>
          </w:tcPr>
          <w:p w14:paraId="3BD77CFD" w14:textId="77777777" w:rsidR="00627D55" w:rsidRPr="0010075A" w:rsidRDefault="00627D55" w:rsidP="0010075A">
            <w:pPr>
              <w:pStyle w:val="NoSpacing"/>
              <w:spacing w:line="480" w:lineRule="auto"/>
              <w:jc w:val="both"/>
              <w:rPr>
                <w:rFonts w:cstheme="minorHAnsi"/>
              </w:rPr>
            </w:pPr>
          </w:p>
        </w:tc>
        <w:tc>
          <w:tcPr>
            <w:tcW w:w="2552" w:type="dxa"/>
          </w:tcPr>
          <w:p w14:paraId="54E2BE24" w14:textId="77777777" w:rsidR="00627D55" w:rsidRPr="0010075A" w:rsidRDefault="00627D55" w:rsidP="0010075A">
            <w:pPr>
              <w:pStyle w:val="NoSpacing"/>
              <w:spacing w:line="480" w:lineRule="auto"/>
              <w:rPr>
                <w:rFonts w:cstheme="minorHAnsi"/>
              </w:rPr>
            </w:pPr>
            <w:r w:rsidRPr="0010075A">
              <w:rPr>
                <w:rFonts w:cstheme="minorHAnsi"/>
              </w:rPr>
              <w:t>3-OH cotinine</w:t>
            </w:r>
          </w:p>
        </w:tc>
        <w:tc>
          <w:tcPr>
            <w:tcW w:w="1138" w:type="dxa"/>
          </w:tcPr>
          <w:p w14:paraId="19A548D1" w14:textId="77777777" w:rsidR="00627D55" w:rsidRPr="0010075A" w:rsidRDefault="00627D55" w:rsidP="0010075A">
            <w:pPr>
              <w:pStyle w:val="NoSpacing"/>
              <w:spacing w:line="480" w:lineRule="auto"/>
              <w:jc w:val="both"/>
              <w:rPr>
                <w:rFonts w:cstheme="minorHAnsi"/>
              </w:rPr>
            </w:pPr>
            <w:r w:rsidRPr="0010075A">
              <w:rPr>
                <w:rFonts w:cstheme="minorHAnsi"/>
              </w:rPr>
              <w:t>ng/mL</w:t>
            </w:r>
          </w:p>
        </w:tc>
      </w:tr>
      <w:tr w:rsidR="0010075A" w:rsidRPr="0010075A" w14:paraId="5313680E" w14:textId="77777777" w:rsidTr="00A95519">
        <w:tc>
          <w:tcPr>
            <w:tcW w:w="1129" w:type="dxa"/>
          </w:tcPr>
          <w:p w14:paraId="651BAAB3" w14:textId="77777777" w:rsidR="00627D55" w:rsidRPr="0010075A" w:rsidRDefault="00627D55" w:rsidP="0010075A">
            <w:pPr>
              <w:pStyle w:val="NoSpacing"/>
              <w:spacing w:line="480" w:lineRule="auto"/>
              <w:jc w:val="both"/>
              <w:rPr>
                <w:rFonts w:cstheme="minorHAnsi"/>
              </w:rPr>
            </w:pPr>
            <w:proofErr w:type="spellStart"/>
            <w:r w:rsidRPr="0010075A">
              <w:rPr>
                <w:rFonts w:cstheme="minorHAnsi"/>
              </w:rPr>
              <w:t>BoPH</w:t>
            </w:r>
            <w:proofErr w:type="spellEnd"/>
          </w:p>
        </w:tc>
        <w:tc>
          <w:tcPr>
            <w:tcW w:w="2977" w:type="dxa"/>
          </w:tcPr>
          <w:p w14:paraId="717076CE" w14:textId="77777777" w:rsidR="00627D55" w:rsidRPr="0010075A" w:rsidRDefault="00627D55" w:rsidP="0010075A">
            <w:pPr>
              <w:pStyle w:val="NoSpacing"/>
              <w:spacing w:line="480" w:lineRule="auto"/>
              <w:rPr>
                <w:rFonts w:cstheme="minorHAnsi"/>
              </w:rPr>
            </w:pPr>
            <w:r w:rsidRPr="0010075A">
              <w:rPr>
                <w:rFonts w:cstheme="minorHAnsi"/>
              </w:rPr>
              <w:t>CRP, HIGH SENSITIVITY</w:t>
            </w:r>
          </w:p>
        </w:tc>
        <w:tc>
          <w:tcPr>
            <w:tcW w:w="1559" w:type="dxa"/>
          </w:tcPr>
          <w:p w14:paraId="028ABE9E" w14:textId="77777777" w:rsidR="00627D55" w:rsidRPr="0010075A" w:rsidRDefault="00627D55" w:rsidP="0010075A">
            <w:pPr>
              <w:pStyle w:val="NoSpacing"/>
              <w:spacing w:line="480" w:lineRule="auto"/>
              <w:jc w:val="both"/>
              <w:rPr>
                <w:rFonts w:cstheme="minorHAnsi"/>
              </w:rPr>
            </w:pPr>
            <w:r w:rsidRPr="0010075A">
              <w:rPr>
                <w:rFonts w:cstheme="minorHAnsi"/>
              </w:rPr>
              <w:t>40387</w:t>
            </w:r>
          </w:p>
        </w:tc>
        <w:tc>
          <w:tcPr>
            <w:tcW w:w="2552" w:type="dxa"/>
          </w:tcPr>
          <w:p w14:paraId="1FBF5797" w14:textId="77777777" w:rsidR="00627D55" w:rsidRPr="0010075A" w:rsidRDefault="00627D55" w:rsidP="0010075A">
            <w:pPr>
              <w:pStyle w:val="NoSpacing"/>
              <w:spacing w:line="480" w:lineRule="auto"/>
              <w:rPr>
                <w:rFonts w:cstheme="minorHAnsi"/>
              </w:rPr>
            </w:pPr>
            <w:r w:rsidRPr="0010075A">
              <w:rPr>
                <w:rFonts w:cstheme="minorHAnsi"/>
              </w:rPr>
              <w:t>High-sensitivity C-reactive protein</w:t>
            </w:r>
          </w:p>
        </w:tc>
        <w:tc>
          <w:tcPr>
            <w:tcW w:w="1138" w:type="dxa"/>
          </w:tcPr>
          <w:p w14:paraId="0A900B6F" w14:textId="77777777" w:rsidR="00627D55" w:rsidRPr="0010075A" w:rsidRDefault="00627D55" w:rsidP="0010075A">
            <w:pPr>
              <w:pStyle w:val="NoSpacing"/>
              <w:spacing w:line="480" w:lineRule="auto"/>
              <w:jc w:val="both"/>
              <w:rPr>
                <w:rFonts w:cstheme="minorHAnsi"/>
              </w:rPr>
            </w:pPr>
            <w:r w:rsidRPr="0010075A">
              <w:rPr>
                <w:rFonts w:cstheme="minorHAnsi"/>
              </w:rPr>
              <w:t>mg/L</w:t>
            </w:r>
          </w:p>
        </w:tc>
      </w:tr>
      <w:tr w:rsidR="0010075A" w:rsidRPr="0010075A" w14:paraId="77F2C7F5" w14:textId="77777777" w:rsidTr="00A95519">
        <w:tc>
          <w:tcPr>
            <w:tcW w:w="1129" w:type="dxa"/>
          </w:tcPr>
          <w:p w14:paraId="2A8BCCE9" w14:textId="77777777" w:rsidR="00627D55" w:rsidRPr="0010075A" w:rsidRDefault="00627D55" w:rsidP="0010075A">
            <w:pPr>
              <w:pStyle w:val="NoSpacing"/>
              <w:spacing w:line="480" w:lineRule="auto"/>
              <w:jc w:val="both"/>
              <w:rPr>
                <w:rFonts w:cstheme="minorHAnsi"/>
              </w:rPr>
            </w:pPr>
          </w:p>
        </w:tc>
        <w:tc>
          <w:tcPr>
            <w:tcW w:w="2977" w:type="dxa"/>
          </w:tcPr>
          <w:p w14:paraId="5040C8BB" w14:textId="77777777" w:rsidR="00627D55" w:rsidRPr="0010075A" w:rsidRDefault="00627D55" w:rsidP="0010075A">
            <w:pPr>
              <w:pStyle w:val="NoSpacing"/>
              <w:spacing w:line="480" w:lineRule="auto"/>
              <w:jc w:val="both"/>
              <w:rPr>
                <w:rFonts w:cstheme="minorHAnsi"/>
              </w:rPr>
            </w:pPr>
            <w:r w:rsidRPr="0010075A">
              <w:rPr>
                <w:rFonts w:cstheme="minorHAnsi"/>
              </w:rPr>
              <w:t>HOMOCYSTEINE</w:t>
            </w:r>
          </w:p>
        </w:tc>
        <w:tc>
          <w:tcPr>
            <w:tcW w:w="1559" w:type="dxa"/>
          </w:tcPr>
          <w:p w14:paraId="60618FB7" w14:textId="77777777" w:rsidR="00627D55" w:rsidRPr="0010075A" w:rsidRDefault="00627D55" w:rsidP="0010075A">
            <w:pPr>
              <w:pStyle w:val="NoSpacing"/>
              <w:spacing w:line="480" w:lineRule="auto"/>
              <w:jc w:val="both"/>
              <w:rPr>
                <w:rFonts w:cstheme="minorHAnsi"/>
              </w:rPr>
            </w:pPr>
            <w:r w:rsidRPr="0010075A">
              <w:rPr>
                <w:rFonts w:cstheme="minorHAnsi"/>
              </w:rPr>
              <w:t>11405</w:t>
            </w:r>
          </w:p>
        </w:tc>
        <w:tc>
          <w:tcPr>
            <w:tcW w:w="2552" w:type="dxa"/>
          </w:tcPr>
          <w:p w14:paraId="19D33AE5" w14:textId="77777777" w:rsidR="00627D55" w:rsidRPr="0010075A" w:rsidRDefault="00627D55" w:rsidP="0010075A">
            <w:pPr>
              <w:pStyle w:val="NoSpacing"/>
              <w:spacing w:line="480" w:lineRule="auto"/>
              <w:jc w:val="both"/>
              <w:rPr>
                <w:rFonts w:cstheme="minorHAnsi"/>
              </w:rPr>
            </w:pPr>
            <w:r w:rsidRPr="0010075A">
              <w:rPr>
                <w:rFonts w:cstheme="minorHAnsi"/>
              </w:rPr>
              <w:t>Homocysteine</w:t>
            </w:r>
          </w:p>
        </w:tc>
        <w:tc>
          <w:tcPr>
            <w:tcW w:w="1138" w:type="dxa"/>
          </w:tcPr>
          <w:p w14:paraId="57872DBE" w14:textId="1B58BE7A" w:rsidR="00627D55" w:rsidRPr="0010075A" w:rsidRDefault="004F07BF" w:rsidP="0010075A">
            <w:pPr>
              <w:pStyle w:val="NoSpacing"/>
              <w:spacing w:line="480" w:lineRule="auto"/>
              <w:jc w:val="both"/>
              <w:rPr>
                <w:rFonts w:cstheme="minorHAnsi"/>
              </w:rPr>
            </w:pPr>
            <w:r w:rsidRPr="0010075A">
              <w:rPr>
                <w:rFonts w:cstheme="minorHAnsi"/>
              </w:rPr>
              <w:t>µ</w:t>
            </w:r>
            <w:r w:rsidR="00627D55" w:rsidRPr="0010075A">
              <w:rPr>
                <w:rFonts w:cstheme="minorHAnsi"/>
              </w:rPr>
              <w:t>M</w:t>
            </w:r>
          </w:p>
        </w:tc>
      </w:tr>
      <w:tr w:rsidR="0010075A" w:rsidRPr="0010075A" w14:paraId="4600B245" w14:textId="77777777" w:rsidTr="00A95519">
        <w:tc>
          <w:tcPr>
            <w:tcW w:w="1129" w:type="dxa"/>
          </w:tcPr>
          <w:p w14:paraId="37EDFE76" w14:textId="77777777" w:rsidR="00627D55" w:rsidRPr="0010075A" w:rsidRDefault="00627D55" w:rsidP="0010075A">
            <w:pPr>
              <w:pStyle w:val="NoSpacing"/>
              <w:spacing w:line="480" w:lineRule="auto"/>
              <w:jc w:val="both"/>
              <w:rPr>
                <w:rFonts w:cstheme="minorHAnsi"/>
              </w:rPr>
            </w:pPr>
          </w:p>
        </w:tc>
        <w:tc>
          <w:tcPr>
            <w:tcW w:w="2977" w:type="dxa"/>
          </w:tcPr>
          <w:p w14:paraId="4047C378" w14:textId="77777777" w:rsidR="00627D55" w:rsidRPr="0010075A" w:rsidRDefault="00627D55" w:rsidP="0010075A">
            <w:pPr>
              <w:pStyle w:val="NoSpacing"/>
              <w:spacing w:line="480" w:lineRule="auto"/>
              <w:jc w:val="both"/>
              <w:rPr>
                <w:rFonts w:cstheme="minorHAnsi"/>
              </w:rPr>
            </w:pPr>
            <w:r w:rsidRPr="0010075A">
              <w:rPr>
                <w:rFonts w:cstheme="minorHAnsi"/>
              </w:rPr>
              <w:t>HEMOGLOBIN A1c</w:t>
            </w:r>
          </w:p>
        </w:tc>
        <w:tc>
          <w:tcPr>
            <w:tcW w:w="1559" w:type="dxa"/>
          </w:tcPr>
          <w:p w14:paraId="1C229AD4" w14:textId="77777777" w:rsidR="00627D55" w:rsidRPr="0010075A" w:rsidRDefault="00627D55" w:rsidP="0010075A">
            <w:pPr>
              <w:pStyle w:val="NoSpacing"/>
              <w:spacing w:line="480" w:lineRule="auto"/>
              <w:jc w:val="both"/>
              <w:rPr>
                <w:rFonts w:cstheme="minorHAnsi"/>
              </w:rPr>
            </w:pPr>
            <w:r w:rsidRPr="0010075A">
              <w:rPr>
                <w:rFonts w:cstheme="minorHAnsi"/>
              </w:rPr>
              <w:t>17372</w:t>
            </w:r>
          </w:p>
        </w:tc>
        <w:tc>
          <w:tcPr>
            <w:tcW w:w="2552" w:type="dxa"/>
          </w:tcPr>
          <w:p w14:paraId="769A6E62" w14:textId="77777777" w:rsidR="00627D55" w:rsidRPr="0010075A" w:rsidRDefault="00627D55" w:rsidP="0010075A">
            <w:pPr>
              <w:pStyle w:val="NoSpacing"/>
              <w:spacing w:line="480" w:lineRule="auto"/>
              <w:jc w:val="both"/>
              <w:rPr>
                <w:rFonts w:cstheme="minorHAnsi"/>
              </w:rPr>
            </w:pPr>
            <w:r w:rsidRPr="0010075A">
              <w:rPr>
                <w:rFonts w:cstheme="minorHAnsi"/>
              </w:rPr>
              <w:t>Hemoglobin A1C</w:t>
            </w:r>
          </w:p>
        </w:tc>
        <w:tc>
          <w:tcPr>
            <w:tcW w:w="1138" w:type="dxa"/>
          </w:tcPr>
          <w:p w14:paraId="1D89AEB9" w14:textId="77777777" w:rsidR="00627D55" w:rsidRPr="0010075A" w:rsidRDefault="00627D55" w:rsidP="0010075A">
            <w:pPr>
              <w:pStyle w:val="NoSpacing"/>
              <w:spacing w:line="480" w:lineRule="auto"/>
              <w:jc w:val="both"/>
              <w:rPr>
                <w:rFonts w:cstheme="minorHAnsi"/>
              </w:rPr>
            </w:pPr>
            <w:r w:rsidRPr="0010075A">
              <w:rPr>
                <w:rFonts w:cstheme="minorHAnsi"/>
              </w:rPr>
              <w:t>%</w:t>
            </w:r>
          </w:p>
        </w:tc>
      </w:tr>
      <w:tr w:rsidR="0010075A" w:rsidRPr="0010075A" w14:paraId="7FD83B76" w14:textId="77777777" w:rsidTr="00A95519">
        <w:tc>
          <w:tcPr>
            <w:tcW w:w="1129" w:type="dxa"/>
          </w:tcPr>
          <w:p w14:paraId="23C3CA59" w14:textId="77777777" w:rsidR="00627D55" w:rsidRPr="0010075A" w:rsidRDefault="00627D55" w:rsidP="0010075A">
            <w:pPr>
              <w:pStyle w:val="NoSpacing"/>
              <w:spacing w:line="480" w:lineRule="auto"/>
              <w:jc w:val="both"/>
              <w:rPr>
                <w:rFonts w:cstheme="minorHAnsi"/>
              </w:rPr>
            </w:pPr>
          </w:p>
        </w:tc>
        <w:tc>
          <w:tcPr>
            <w:tcW w:w="2977" w:type="dxa"/>
          </w:tcPr>
          <w:p w14:paraId="29368489" w14:textId="77777777" w:rsidR="00627D55" w:rsidRPr="0010075A" w:rsidRDefault="00627D55" w:rsidP="0010075A">
            <w:pPr>
              <w:pStyle w:val="NoSpacing"/>
              <w:spacing w:line="480" w:lineRule="auto"/>
              <w:jc w:val="both"/>
              <w:rPr>
                <w:rFonts w:cstheme="minorHAnsi"/>
              </w:rPr>
            </w:pPr>
            <w:r w:rsidRPr="0010075A">
              <w:rPr>
                <w:rFonts w:cstheme="minorHAnsi"/>
              </w:rPr>
              <w:t>LIPID PROFILE</w:t>
            </w:r>
          </w:p>
        </w:tc>
        <w:tc>
          <w:tcPr>
            <w:tcW w:w="1559" w:type="dxa"/>
          </w:tcPr>
          <w:p w14:paraId="2B874B32" w14:textId="77777777" w:rsidR="00627D55" w:rsidRPr="0010075A" w:rsidRDefault="00627D55" w:rsidP="0010075A">
            <w:pPr>
              <w:pStyle w:val="NoSpacing"/>
              <w:spacing w:line="480" w:lineRule="auto"/>
              <w:jc w:val="both"/>
              <w:rPr>
                <w:rFonts w:cstheme="minorHAnsi"/>
              </w:rPr>
            </w:pPr>
            <w:r w:rsidRPr="0010075A">
              <w:rPr>
                <w:rFonts w:cstheme="minorHAnsi"/>
              </w:rPr>
              <w:t>27303</w:t>
            </w:r>
          </w:p>
        </w:tc>
        <w:tc>
          <w:tcPr>
            <w:tcW w:w="2552" w:type="dxa"/>
          </w:tcPr>
          <w:p w14:paraId="005C8553" w14:textId="77777777" w:rsidR="00627D55" w:rsidRPr="0010075A" w:rsidRDefault="00627D55" w:rsidP="0010075A">
            <w:pPr>
              <w:pStyle w:val="NoSpacing"/>
              <w:spacing w:line="480" w:lineRule="auto"/>
              <w:jc w:val="both"/>
              <w:rPr>
                <w:rFonts w:cstheme="minorHAnsi"/>
              </w:rPr>
            </w:pPr>
            <w:r w:rsidRPr="0010075A">
              <w:rPr>
                <w:rFonts w:cstheme="minorHAnsi"/>
              </w:rPr>
              <w:t>Cholesterol</w:t>
            </w:r>
          </w:p>
        </w:tc>
        <w:tc>
          <w:tcPr>
            <w:tcW w:w="1138" w:type="dxa"/>
          </w:tcPr>
          <w:p w14:paraId="7873718E" w14:textId="77777777" w:rsidR="00627D55" w:rsidRPr="0010075A" w:rsidRDefault="00627D55" w:rsidP="0010075A">
            <w:pPr>
              <w:pStyle w:val="NoSpacing"/>
              <w:spacing w:line="480" w:lineRule="auto"/>
              <w:jc w:val="both"/>
              <w:rPr>
                <w:rFonts w:cstheme="minorHAnsi"/>
              </w:rPr>
            </w:pPr>
            <w:r w:rsidRPr="0010075A">
              <w:rPr>
                <w:rFonts w:cstheme="minorHAnsi"/>
              </w:rPr>
              <w:t>mg/dL</w:t>
            </w:r>
          </w:p>
        </w:tc>
      </w:tr>
      <w:tr w:rsidR="0010075A" w:rsidRPr="0010075A" w14:paraId="0C1FE3F4" w14:textId="77777777" w:rsidTr="00A95519">
        <w:tc>
          <w:tcPr>
            <w:tcW w:w="1129" w:type="dxa"/>
          </w:tcPr>
          <w:p w14:paraId="256E153B" w14:textId="77777777" w:rsidR="00627D55" w:rsidRPr="0010075A" w:rsidRDefault="00627D55" w:rsidP="0010075A">
            <w:pPr>
              <w:pStyle w:val="NoSpacing"/>
              <w:spacing w:line="480" w:lineRule="auto"/>
              <w:jc w:val="both"/>
              <w:rPr>
                <w:rFonts w:cstheme="minorHAnsi"/>
              </w:rPr>
            </w:pPr>
          </w:p>
        </w:tc>
        <w:tc>
          <w:tcPr>
            <w:tcW w:w="2977" w:type="dxa"/>
          </w:tcPr>
          <w:p w14:paraId="0B31398D" w14:textId="77777777" w:rsidR="00627D55" w:rsidRPr="0010075A" w:rsidRDefault="00627D55" w:rsidP="0010075A">
            <w:pPr>
              <w:pStyle w:val="NoSpacing"/>
              <w:spacing w:line="480" w:lineRule="auto"/>
              <w:jc w:val="both"/>
              <w:rPr>
                <w:rFonts w:cstheme="minorHAnsi"/>
              </w:rPr>
            </w:pPr>
          </w:p>
        </w:tc>
        <w:tc>
          <w:tcPr>
            <w:tcW w:w="1559" w:type="dxa"/>
          </w:tcPr>
          <w:p w14:paraId="7A7983C7" w14:textId="77777777" w:rsidR="00627D55" w:rsidRPr="0010075A" w:rsidRDefault="00627D55" w:rsidP="0010075A">
            <w:pPr>
              <w:pStyle w:val="NoSpacing"/>
              <w:spacing w:line="480" w:lineRule="auto"/>
              <w:jc w:val="both"/>
              <w:rPr>
                <w:rFonts w:cstheme="minorHAnsi"/>
              </w:rPr>
            </w:pPr>
          </w:p>
        </w:tc>
        <w:tc>
          <w:tcPr>
            <w:tcW w:w="2552" w:type="dxa"/>
          </w:tcPr>
          <w:p w14:paraId="22C153EB" w14:textId="639AFA78" w:rsidR="00627D55" w:rsidRPr="0010075A" w:rsidRDefault="00627D55" w:rsidP="0010075A">
            <w:pPr>
              <w:pStyle w:val="NoSpacing"/>
              <w:spacing w:line="480" w:lineRule="auto"/>
              <w:jc w:val="both"/>
              <w:rPr>
                <w:rFonts w:cstheme="minorHAnsi"/>
              </w:rPr>
            </w:pPr>
            <w:r w:rsidRPr="0010075A">
              <w:rPr>
                <w:rFonts w:cstheme="minorHAnsi"/>
              </w:rPr>
              <w:t>High-density lipoprotein</w:t>
            </w:r>
          </w:p>
        </w:tc>
        <w:tc>
          <w:tcPr>
            <w:tcW w:w="1138" w:type="dxa"/>
          </w:tcPr>
          <w:p w14:paraId="6DBD2420" w14:textId="77777777" w:rsidR="00627D55" w:rsidRPr="0010075A" w:rsidRDefault="00627D55" w:rsidP="0010075A">
            <w:pPr>
              <w:pStyle w:val="NoSpacing"/>
              <w:spacing w:line="480" w:lineRule="auto"/>
              <w:jc w:val="both"/>
              <w:rPr>
                <w:rFonts w:cstheme="minorHAnsi"/>
              </w:rPr>
            </w:pPr>
            <w:r w:rsidRPr="0010075A">
              <w:rPr>
                <w:rFonts w:cstheme="minorHAnsi"/>
              </w:rPr>
              <w:t>mg/dL</w:t>
            </w:r>
          </w:p>
        </w:tc>
      </w:tr>
      <w:tr w:rsidR="0010075A" w:rsidRPr="0010075A" w14:paraId="7C31F241" w14:textId="77777777" w:rsidTr="00A95519">
        <w:tc>
          <w:tcPr>
            <w:tcW w:w="1129" w:type="dxa"/>
          </w:tcPr>
          <w:p w14:paraId="3E78B2BA" w14:textId="77777777" w:rsidR="00627D55" w:rsidRPr="0010075A" w:rsidRDefault="00627D55" w:rsidP="0010075A">
            <w:pPr>
              <w:pStyle w:val="NoSpacing"/>
              <w:spacing w:line="480" w:lineRule="auto"/>
              <w:jc w:val="both"/>
              <w:rPr>
                <w:rFonts w:cstheme="minorHAnsi"/>
              </w:rPr>
            </w:pPr>
          </w:p>
        </w:tc>
        <w:tc>
          <w:tcPr>
            <w:tcW w:w="2977" w:type="dxa"/>
          </w:tcPr>
          <w:p w14:paraId="376D4E0E" w14:textId="77777777" w:rsidR="00627D55" w:rsidRPr="0010075A" w:rsidRDefault="00627D55" w:rsidP="0010075A">
            <w:pPr>
              <w:pStyle w:val="NoSpacing"/>
              <w:spacing w:line="480" w:lineRule="auto"/>
              <w:jc w:val="both"/>
              <w:rPr>
                <w:rFonts w:cstheme="minorHAnsi"/>
              </w:rPr>
            </w:pPr>
          </w:p>
        </w:tc>
        <w:tc>
          <w:tcPr>
            <w:tcW w:w="1559" w:type="dxa"/>
          </w:tcPr>
          <w:p w14:paraId="775849AC" w14:textId="77777777" w:rsidR="00627D55" w:rsidRPr="0010075A" w:rsidRDefault="00627D55" w:rsidP="0010075A">
            <w:pPr>
              <w:pStyle w:val="NoSpacing"/>
              <w:spacing w:line="480" w:lineRule="auto"/>
              <w:jc w:val="both"/>
              <w:rPr>
                <w:rFonts w:cstheme="minorHAnsi"/>
              </w:rPr>
            </w:pPr>
          </w:p>
        </w:tc>
        <w:tc>
          <w:tcPr>
            <w:tcW w:w="2552" w:type="dxa"/>
          </w:tcPr>
          <w:p w14:paraId="110F3C7B" w14:textId="77777777" w:rsidR="00627D55" w:rsidRPr="0010075A" w:rsidRDefault="00627D55" w:rsidP="0010075A">
            <w:pPr>
              <w:pStyle w:val="NoSpacing"/>
              <w:spacing w:line="480" w:lineRule="auto"/>
              <w:jc w:val="both"/>
              <w:rPr>
                <w:rFonts w:cstheme="minorHAnsi"/>
              </w:rPr>
            </w:pPr>
            <w:r w:rsidRPr="0010075A">
              <w:rPr>
                <w:rFonts w:cstheme="minorHAnsi"/>
              </w:rPr>
              <w:t>Low-density lipoprotein</w:t>
            </w:r>
          </w:p>
        </w:tc>
        <w:tc>
          <w:tcPr>
            <w:tcW w:w="1138" w:type="dxa"/>
          </w:tcPr>
          <w:p w14:paraId="108FEADE" w14:textId="77777777" w:rsidR="00627D55" w:rsidRPr="0010075A" w:rsidRDefault="00627D55" w:rsidP="0010075A">
            <w:pPr>
              <w:pStyle w:val="NoSpacing"/>
              <w:spacing w:line="480" w:lineRule="auto"/>
              <w:jc w:val="both"/>
              <w:rPr>
                <w:rFonts w:cstheme="minorHAnsi"/>
              </w:rPr>
            </w:pPr>
            <w:r w:rsidRPr="0010075A">
              <w:rPr>
                <w:rFonts w:cstheme="minorHAnsi"/>
              </w:rPr>
              <w:t>mg/dL</w:t>
            </w:r>
          </w:p>
        </w:tc>
      </w:tr>
      <w:tr w:rsidR="0010075A" w:rsidRPr="0010075A" w14:paraId="65AC7C85" w14:textId="77777777" w:rsidTr="00A95519">
        <w:tc>
          <w:tcPr>
            <w:tcW w:w="1129" w:type="dxa"/>
          </w:tcPr>
          <w:p w14:paraId="23279CE1" w14:textId="77777777" w:rsidR="00627D55" w:rsidRPr="0010075A" w:rsidRDefault="00627D55" w:rsidP="0010075A">
            <w:pPr>
              <w:pStyle w:val="NoSpacing"/>
              <w:spacing w:line="480" w:lineRule="auto"/>
              <w:jc w:val="both"/>
              <w:rPr>
                <w:rFonts w:cstheme="minorHAnsi"/>
              </w:rPr>
            </w:pPr>
          </w:p>
        </w:tc>
        <w:tc>
          <w:tcPr>
            <w:tcW w:w="2977" w:type="dxa"/>
          </w:tcPr>
          <w:p w14:paraId="41BA218E" w14:textId="77777777" w:rsidR="00627D55" w:rsidRPr="0010075A" w:rsidRDefault="00627D55" w:rsidP="0010075A">
            <w:pPr>
              <w:pStyle w:val="NoSpacing"/>
              <w:spacing w:line="480" w:lineRule="auto"/>
              <w:jc w:val="both"/>
              <w:rPr>
                <w:rFonts w:cstheme="minorHAnsi"/>
              </w:rPr>
            </w:pPr>
          </w:p>
        </w:tc>
        <w:tc>
          <w:tcPr>
            <w:tcW w:w="1559" w:type="dxa"/>
          </w:tcPr>
          <w:p w14:paraId="1CA618CF" w14:textId="77777777" w:rsidR="00627D55" w:rsidRPr="0010075A" w:rsidRDefault="00627D55" w:rsidP="0010075A">
            <w:pPr>
              <w:pStyle w:val="NoSpacing"/>
              <w:spacing w:line="480" w:lineRule="auto"/>
              <w:jc w:val="both"/>
              <w:rPr>
                <w:rFonts w:cstheme="minorHAnsi"/>
              </w:rPr>
            </w:pPr>
          </w:p>
        </w:tc>
        <w:tc>
          <w:tcPr>
            <w:tcW w:w="2552" w:type="dxa"/>
          </w:tcPr>
          <w:p w14:paraId="2B1276F8" w14:textId="77777777" w:rsidR="00627D55" w:rsidRPr="0010075A" w:rsidRDefault="00627D55" w:rsidP="0010075A">
            <w:pPr>
              <w:pStyle w:val="NoSpacing"/>
              <w:spacing w:line="480" w:lineRule="auto"/>
              <w:rPr>
                <w:rFonts w:cstheme="minorHAnsi"/>
              </w:rPr>
            </w:pPr>
            <w:r w:rsidRPr="0010075A">
              <w:rPr>
                <w:rFonts w:cstheme="minorHAnsi"/>
              </w:rPr>
              <w:t>Non High-density lipoprotein</w:t>
            </w:r>
          </w:p>
        </w:tc>
        <w:tc>
          <w:tcPr>
            <w:tcW w:w="1138" w:type="dxa"/>
          </w:tcPr>
          <w:p w14:paraId="7E6AE3A7" w14:textId="77777777" w:rsidR="00627D55" w:rsidRPr="0010075A" w:rsidRDefault="00627D55" w:rsidP="0010075A">
            <w:pPr>
              <w:pStyle w:val="NoSpacing"/>
              <w:spacing w:line="480" w:lineRule="auto"/>
              <w:jc w:val="both"/>
              <w:rPr>
                <w:rFonts w:cstheme="minorHAnsi"/>
              </w:rPr>
            </w:pPr>
            <w:r w:rsidRPr="0010075A">
              <w:rPr>
                <w:rFonts w:cstheme="minorHAnsi"/>
              </w:rPr>
              <w:t>mg/dL</w:t>
            </w:r>
          </w:p>
        </w:tc>
      </w:tr>
      <w:tr w:rsidR="0010075A" w:rsidRPr="0010075A" w14:paraId="79C202E3" w14:textId="77777777" w:rsidTr="00A95519">
        <w:tc>
          <w:tcPr>
            <w:tcW w:w="1129" w:type="dxa"/>
          </w:tcPr>
          <w:p w14:paraId="2531E817" w14:textId="77777777" w:rsidR="00627D55" w:rsidRPr="0010075A" w:rsidRDefault="00627D55" w:rsidP="0010075A">
            <w:pPr>
              <w:pStyle w:val="NoSpacing"/>
              <w:spacing w:line="480" w:lineRule="auto"/>
              <w:jc w:val="both"/>
              <w:rPr>
                <w:rFonts w:cstheme="minorHAnsi"/>
              </w:rPr>
            </w:pPr>
          </w:p>
        </w:tc>
        <w:tc>
          <w:tcPr>
            <w:tcW w:w="2977" w:type="dxa"/>
          </w:tcPr>
          <w:p w14:paraId="06A171CE" w14:textId="77777777" w:rsidR="00627D55" w:rsidRPr="0010075A" w:rsidRDefault="00627D55" w:rsidP="0010075A">
            <w:pPr>
              <w:pStyle w:val="NoSpacing"/>
              <w:spacing w:line="480" w:lineRule="auto"/>
              <w:jc w:val="both"/>
              <w:rPr>
                <w:rFonts w:cstheme="minorHAnsi"/>
              </w:rPr>
            </w:pPr>
          </w:p>
        </w:tc>
        <w:tc>
          <w:tcPr>
            <w:tcW w:w="1559" w:type="dxa"/>
          </w:tcPr>
          <w:p w14:paraId="7A97AF31" w14:textId="77777777" w:rsidR="00627D55" w:rsidRPr="0010075A" w:rsidRDefault="00627D55" w:rsidP="0010075A">
            <w:pPr>
              <w:pStyle w:val="NoSpacing"/>
              <w:spacing w:line="480" w:lineRule="auto"/>
              <w:jc w:val="both"/>
              <w:rPr>
                <w:rFonts w:cstheme="minorHAnsi"/>
              </w:rPr>
            </w:pPr>
          </w:p>
        </w:tc>
        <w:tc>
          <w:tcPr>
            <w:tcW w:w="2552" w:type="dxa"/>
          </w:tcPr>
          <w:p w14:paraId="2828F652" w14:textId="77777777" w:rsidR="00627D55" w:rsidRPr="0010075A" w:rsidRDefault="00627D55" w:rsidP="0010075A">
            <w:pPr>
              <w:pStyle w:val="NoSpacing"/>
              <w:spacing w:line="480" w:lineRule="auto"/>
              <w:jc w:val="both"/>
              <w:rPr>
                <w:rFonts w:cstheme="minorHAnsi"/>
              </w:rPr>
            </w:pPr>
            <w:r w:rsidRPr="0010075A">
              <w:rPr>
                <w:rFonts w:cstheme="minorHAnsi"/>
              </w:rPr>
              <w:t>Triglycerides</w:t>
            </w:r>
          </w:p>
        </w:tc>
        <w:tc>
          <w:tcPr>
            <w:tcW w:w="1138" w:type="dxa"/>
          </w:tcPr>
          <w:p w14:paraId="467E63A8" w14:textId="77777777" w:rsidR="00627D55" w:rsidRPr="0010075A" w:rsidRDefault="00627D55" w:rsidP="0010075A">
            <w:pPr>
              <w:pStyle w:val="NoSpacing"/>
              <w:spacing w:line="480" w:lineRule="auto"/>
              <w:jc w:val="both"/>
              <w:rPr>
                <w:rFonts w:cstheme="minorHAnsi"/>
              </w:rPr>
            </w:pPr>
            <w:r w:rsidRPr="0010075A">
              <w:rPr>
                <w:rFonts w:cstheme="minorHAnsi"/>
              </w:rPr>
              <w:t>mg/dL</w:t>
            </w:r>
          </w:p>
        </w:tc>
      </w:tr>
      <w:tr w:rsidR="0010075A" w:rsidRPr="0010075A" w14:paraId="03F424BF" w14:textId="77777777" w:rsidTr="00A95519">
        <w:tc>
          <w:tcPr>
            <w:tcW w:w="1129" w:type="dxa"/>
          </w:tcPr>
          <w:p w14:paraId="22F5BD05" w14:textId="77777777" w:rsidR="00627D55" w:rsidRPr="0010075A" w:rsidRDefault="00627D55" w:rsidP="0010075A">
            <w:pPr>
              <w:pStyle w:val="NoSpacing"/>
              <w:spacing w:line="480" w:lineRule="auto"/>
              <w:jc w:val="both"/>
              <w:rPr>
                <w:rFonts w:cstheme="minorHAnsi"/>
              </w:rPr>
            </w:pPr>
          </w:p>
        </w:tc>
        <w:tc>
          <w:tcPr>
            <w:tcW w:w="2977" w:type="dxa"/>
          </w:tcPr>
          <w:p w14:paraId="48613AB6" w14:textId="77777777" w:rsidR="00627D55" w:rsidRPr="0010075A" w:rsidRDefault="00627D55" w:rsidP="0010075A">
            <w:pPr>
              <w:pStyle w:val="NoSpacing"/>
              <w:spacing w:line="480" w:lineRule="auto"/>
              <w:jc w:val="both"/>
              <w:rPr>
                <w:rFonts w:cstheme="minorHAnsi"/>
              </w:rPr>
            </w:pPr>
            <w:r w:rsidRPr="0010075A">
              <w:rPr>
                <w:rFonts w:cstheme="minorHAnsi"/>
              </w:rPr>
              <w:t>APOLIPOPROTEIN B 100</w:t>
            </w:r>
          </w:p>
        </w:tc>
        <w:tc>
          <w:tcPr>
            <w:tcW w:w="1559" w:type="dxa"/>
          </w:tcPr>
          <w:p w14:paraId="55164669" w14:textId="77777777" w:rsidR="00627D55" w:rsidRPr="0010075A" w:rsidRDefault="00627D55" w:rsidP="0010075A">
            <w:pPr>
              <w:pStyle w:val="NoSpacing"/>
              <w:spacing w:line="480" w:lineRule="auto"/>
              <w:jc w:val="both"/>
              <w:rPr>
                <w:rFonts w:cstheme="minorHAnsi"/>
              </w:rPr>
            </w:pPr>
            <w:r w:rsidRPr="0010075A">
              <w:rPr>
                <w:rFonts w:cstheme="minorHAnsi"/>
              </w:rPr>
              <w:t>42588</w:t>
            </w:r>
          </w:p>
        </w:tc>
        <w:tc>
          <w:tcPr>
            <w:tcW w:w="2552" w:type="dxa"/>
          </w:tcPr>
          <w:p w14:paraId="5298125E" w14:textId="77777777" w:rsidR="00627D55" w:rsidRPr="0010075A" w:rsidRDefault="00627D55" w:rsidP="0010075A">
            <w:pPr>
              <w:pStyle w:val="NoSpacing"/>
              <w:spacing w:line="480" w:lineRule="auto"/>
              <w:jc w:val="both"/>
              <w:rPr>
                <w:rFonts w:cstheme="minorHAnsi"/>
              </w:rPr>
            </w:pPr>
            <w:r w:rsidRPr="0010075A">
              <w:rPr>
                <w:rFonts w:cstheme="minorHAnsi"/>
              </w:rPr>
              <w:t>Apolipoprotein B</w:t>
            </w:r>
          </w:p>
        </w:tc>
        <w:tc>
          <w:tcPr>
            <w:tcW w:w="1138" w:type="dxa"/>
          </w:tcPr>
          <w:p w14:paraId="2F059364" w14:textId="77777777" w:rsidR="00627D55" w:rsidRPr="0010075A" w:rsidRDefault="00627D55" w:rsidP="0010075A">
            <w:pPr>
              <w:pStyle w:val="NoSpacing"/>
              <w:spacing w:line="480" w:lineRule="auto"/>
              <w:jc w:val="both"/>
              <w:rPr>
                <w:rFonts w:cstheme="minorHAnsi"/>
              </w:rPr>
            </w:pPr>
            <w:r w:rsidRPr="0010075A">
              <w:rPr>
                <w:rFonts w:cstheme="minorHAnsi"/>
              </w:rPr>
              <w:t>mg/dL</w:t>
            </w:r>
          </w:p>
        </w:tc>
      </w:tr>
      <w:tr w:rsidR="0010075A" w:rsidRPr="0010075A" w14:paraId="4F4D1F09" w14:textId="77777777" w:rsidTr="00A95519">
        <w:tc>
          <w:tcPr>
            <w:tcW w:w="1129" w:type="dxa"/>
          </w:tcPr>
          <w:p w14:paraId="48325674" w14:textId="77777777" w:rsidR="00627D55" w:rsidRPr="0010075A" w:rsidRDefault="00627D55" w:rsidP="0010075A">
            <w:pPr>
              <w:pStyle w:val="NoSpacing"/>
              <w:spacing w:line="480" w:lineRule="auto"/>
              <w:jc w:val="both"/>
              <w:rPr>
                <w:rFonts w:cstheme="minorHAnsi"/>
              </w:rPr>
            </w:pPr>
            <w:r w:rsidRPr="0010075A">
              <w:rPr>
                <w:rFonts w:cstheme="minorHAnsi"/>
              </w:rPr>
              <w:t>CBC</w:t>
            </w:r>
          </w:p>
        </w:tc>
        <w:tc>
          <w:tcPr>
            <w:tcW w:w="2977" w:type="dxa"/>
          </w:tcPr>
          <w:p w14:paraId="4E2B7A47" w14:textId="77777777" w:rsidR="00627D55" w:rsidRPr="0010075A" w:rsidRDefault="00627D55" w:rsidP="0010075A">
            <w:pPr>
              <w:pStyle w:val="NoSpacing"/>
              <w:spacing w:line="480" w:lineRule="auto"/>
              <w:jc w:val="both"/>
              <w:rPr>
                <w:rFonts w:cstheme="minorHAnsi"/>
              </w:rPr>
            </w:pPr>
            <w:r w:rsidRPr="0010075A">
              <w:rPr>
                <w:rFonts w:cstheme="minorHAnsi"/>
              </w:rPr>
              <w:t>CBC, PLT/DIFF</w:t>
            </w:r>
          </w:p>
        </w:tc>
        <w:tc>
          <w:tcPr>
            <w:tcW w:w="1559" w:type="dxa"/>
          </w:tcPr>
          <w:p w14:paraId="74FEE356" w14:textId="77777777" w:rsidR="00627D55" w:rsidRPr="0010075A" w:rsidRDefault="00627D55" w:rsidP="0010075A">
            <w:pPr>
              <w:pStyle w:val="NoSpacing"/>
              <w:spacing w:line="480" w:lineRule="auto"/>
              <w:jc w:val="both"/>
              <w:rPr>
                <w:rFonts w:cstheme="minorHAnsi"/>
              </w:rPr>
            </w:pPr>
            <w:r w:rsidRPr="0010075A">
              <w:rPr>
                <w:rFonts w:cstheme="minorHAnsi"/>
              </w:rPr>
              <w:t>25421</w:t>
            </w:r>
          </w:p>
        </w:tc>
        <w:tc>
          <w:tcPr>
            <w:tcW w:w="2552" w:type="dxa"/>
          </w:tcPr>
          <w:p w14:paraId="71644982" w14:textId="77777777" w:rsidR="00627D55" w:rsidRPr="0010075A" w:rsidRDefault="00627D55" w:rsidP="0010075A">
            <w:pPr>
              <w:pStyle w:val="NoSpacing"/>
              <w:spacing w:line="480" w:lineRule="auto"/>
              <w:jc w:val="both"/>
              <w:rPr>
                <w:rFonts w:cstheme="minorHAnsi"/>
              </w:rPr>
            </w:pPr>
            <w:r w:rsidRPr="0010075A">
              <w:rPr>
                <w:rFonts w:cstheme="minorHAnsi"/>
              </w:rPr>
              <w:t>Complete blood counts</w:t>
            </w:r>
          </w:p>
        </w:tc>
        <w:tc>
          <w:tcPr>
            <w:tcW w:w="1138" w:type="dxa"/>
          </w:tcPr>
          <w:p w14:paraId="2F64F664" w14:textId="77777777" w:rsidR="00627D55" w:rsidRPr="0010075A" w:rsidRDefault="00627D55" w:rsidP="0010075A">
            <w:pPr>
              <w:pStyle w:val="NoSpacing"/>
              <w:spacing w:line="480" w:lineRule="auto"/>
              <w:jc w:val="both"/>
              <w:rPr>
                <w:rFonts w:cstheme="minorHAnsi"/>
              </w:rPr>
            </w:pPr>
            <w:r w:rsidRPr="0010075A">
              <w:rPr>
                <w:rFonts w:cstheme="minorHAnsi"/>
              </w:rPr>
              <w:t>Multiple</w:t>
            </w:r>
          </w:p>
        </w:tc>
      </w:tr>
    </w:tbl>
    <w:p w14:paraId="5CAC8BC3" w14:textId="77777777" w:rsidR="00627D55" w:rsidRPr="0010075A" w:rsidRDefault="00627D55" w:rsidP="0010075A">
      <w:pPr>
        <w:pStyle w:val="NoSpacing"/>
        <w:spacing w:line="480" w:lineRule="auto"/>
        <w:jc w:val="both"/>
        <w:rPr>
          <w:rFonts w:cstheme="minorHAnsi"/>
        </w:rPr>
      </w:pPr>
    </w:p>
    <w:p w14:paraId="627A9C77" w14:textId="77777777" w:rsidR="00627D55" w:rsidRPr="0010075A" w:rsidRDefault="00627D55" w:rsidP="0010075A">
      <w:pPr>
        <w:pStyle w:val="NoSpacing"/>
        <w:spacing w:line="480" w:lineRule="auto"/>
        <w:jc w:val="both"/>
        <w:rPr>
          <w:rFonts w:ascii="Arial" w:hAnsi="Arial" w:cs="Arial"/>
        </w:rPr>
      </w:pPr>
    </w:p>
    <w:p w14:paraId="14D17F43" w14:textId="4B87BFA2" w:rsidR="00627D55" w:rsidRPr="0010075A" w:rsidRDefault="00627D55" w:rsidP="0010075A">
      <w:pPr>
        <w:pStyle w:val="Heading2"/>
        <w:spacing w:line="480" w:lineRule="auto"/>
        <w:rPr>
          <w:color w:val="auto"/>
        </w:rPr>
      </w:pPr>
      <w:r w:rsidRPr="0010075A">
        <w:rPr>
          <w:color w:val="auto"/>
        </w:rPr>
        <w:t>Biomarker</w:t>
      </w:r>
      <w:r w:rsidR="00FF74C9" w:rsidRPr="0010075A">
        <w:rPr>
          <w:color w:val="auto"/>
        </w:rPr>
        <w:t>s</w:t>
      </w:r>
      <w:r w:rsidRPr="0010075A">
        <w:rPr>
          <w:color w:val="auto"/>
        </w:rPr>
        <w:t xml:space="preserve"> of </w:t>
      </w:r>
      <w:r w:rsidR="00FF74C9" w:rsidRPr="0010075A">
        <w:rPr>
          <w:color w:val="auto"/>
        </w:rPr>
        <w:t>e</w:t>
      </w:r>
      <w:r w:rsidRPr="0010075A">
        <w:rPr>
          <w:color w:val="auto"/>
        </w:rPr>
        <w:t>xposure in urine</w:t>
      </w:r>
    </w:p>
    <w:p w14:paraId="440BF4BF" w14:textId="77777777" w:rsidR="00627D55" w:rsidRPr="0010075A" w:rsidRDefault="00627D55" w:rsidP="0010075A">
      <w:pPr>
        <w:spacing w:line="480" w:lineRule="auto"/>
        <w:jc w:val="both"/>
        <w:rPr>
          <w:rFonts w:eastAsia="Times New Roman" w:cstheme="minorHAnsi"/>
          <w:b/>
          <w:bCs/>
        </w:rPr>
      </w:pPr>
      <w:r w:rsidRPr="0010075A">
        <w:rPr>
          <w:rFonts w:cstheme="minorHAnsi"/>
        </w:rPr>
        <w:t>Concentrations of biomarkers of exposure was determined by ABF (</w:t>
      </w:r>
      <w:proofErr w:type="spellStart"/>
      <w:r w:rsidRPr="0010075A">
        <w:rPr>
          <w:rFonts w:cstheme="minorHAnsi"/>
        </w:rPr>
        <w:t>Planegg</w:t>
      </w:r>
      <w:proofErr w:type="spellEnd"/>
      <w:r w:rsidRPr="0010075A">
        <w:rPr>
          <w:rFonts w:cstheme="minorHAnsi"/>
        </w:rPr>
        <w:t>, Germany) from urine samples.</w:t>
      </w:r>
    </w:p>
    <w:p w14:paraId="19B92133" w14:textId="039FAE56" w:rsidR="00627D55" w:rsidRPr="0010075A" w:rsidRDefault="00627D55" w:rsidP="0010075A">
      <w:pPr>
        <w:spacing w:line="480" w:lineRule="auto"/>
        <w:jc w:val="both"/>
        <w:rPr>
          <w:rFonts w:cstheme="minorHAnsi"/>
        </w:rPr>
      </w:pPr>
      <w:r w:rsidRPr="0010075A">
        <w:rPr>
          <w:rFonts w:cstheme="minorHAnsi"/>
          <w:b/>
          <w:bCs/>
        </w:rPr>
        <w:t>4-(</w:t>
      </w:r>
      <w:proofErr w:type="spellStart"/>
      <w:r w:rsidRPr="0010075A">
        <w:rPr>
          <w:rFonts w:cstheme="minorHAnsi"/>
          <w:b/>
          <w:bCs/>
        </w:rPr>
        <w:t>Methylnitrosamino</w:t>
      </w:r>
      <w:proofErr w:type="spellEnd"/>
      <w:r w:rsidRPr="0010075A">
        <w:rPr>
          <w:rFonts w:cstheme="minorHAnsi"/>
          <w:b/>
          <w:bCs/>
        </w:rPr>
        <w:t>)-1-(3-pyridyl)-1-butanol (Total NNAL)</w:t>
      </w:r>
      <w:r w:rsidRPr="0010075A">
        <w:rPr>
          <w:rFonts w:cstheme="minorHAnsi"/>
        </w:rPr>
        <w:t xml:space="preserve">. Analyses of total NNAL, resulting from the enzymatic hydrolysis of N- and O-glucuronide conjugated species, were </w:t>
      </w:r>
      <w:r w:rsidR="00570871" w:rsidRPr="0010075A">
        <w:rPr>
          <w:rFonts w:cstheme="minorHAnsi"/>
        </w:rPr>
        <w:t>carried out using</w:t>
      </w:r>
      <w:r w:rsidRPr="0010075A">
        <w:rPr>
          <w:rFonts w:cstheme="minorHAnsi"/>
        </w:rPr>
        <w:t xml:space="preserve"> liquid chromatography coupled to tandem mass spectrometry (LC-MS/MS)</w:t>
      </w:r>
      <w:r w:rsidR="006979FD" w:rsidRPr="0010075A">
        <w:rPr>
          <w:rFonts w:cstheme="minorHAnsi"/>
        </w:rPr>
        <w:fldChar w:fldCharType="begin"/>
      </w:r>
      <w:r w:rsidR="006979FD" w:rsidRPr="0010075A">
        <w:rPr>
          <w:rFonts w:cstheme="minorHAnsi"/>
        </w:rPr>
        <w:instrText xml:space="preserve"> ADDIN EN.CITE &lt;EndNote&gt;&lt;Cite&gt;&lt;Author&gt;Scherer&lt;/Author&gt;&lt;Year&gt;2022&lt;/Year&gt;&lt;RecNum&gt;53&lt;/RecNum&gt;&lt;DisplayText&gt;&lt;style face="superscript"&gt;1&lt;/style&gt;&lt;/DisplayText&gt;&lt;record&gt;&lt;rec-number&gt;53&lt;/rec-number&gt;&lt;foreign-keys&gt;&lt;key app="EN" db-id="f5sezdv5oxxxeyex004pedx9pfzdvvfzws9x" timestamp="1676236268"&gt;53&lt;/key&gt;&lt;/foreign-keys&gt;&lt;ref-type name="Journal Article"&gt;17&lt;/ref-type&gt;&lt;contributors&gt;&lt;authors&gt;&lt;author&gt;Scherer, Gerhard&lt;/author&gt;&lt;author&gt;Scherer, Max&lt;/author&gt;&lt;author&gt;Mütze, Janina&lt;/author&gt;&lt;author&gt;Hauke, Tobias&lt;/author&gt;&lt;author&gt;Pluym, Nikola&lt;/author&gt;&lt;/authors&gt;&lt;/contributors&gt;&lt;titles&gt;&lt;title&gt;Assessment of the exposure to tobacco-specific nitrosamines and minor tobacco alkaloids in users of various tobacco/nicotine products&lt;/title&gt;&lt;secondary-title&gt;Chemical Research in Toxicology&lt;/secondary-title&gt;&lt;/titles&gt;&lt;periodical&gt;&lt;full-title&gt;Chemical Research in Toxicology&lt;/full-title&gt;&lt;/periodical&gt;&lt;pages&gt;684-693&lt;/pages&gt;&lt;volume&gt;35&lt;/volume&gt;&lt;number&gt;4&lt;/number&gt;&lt;dates&gt;&lt;year&gt;2022&lt;/year&gt;&lt;/dates&gt;&lt;isbn&gt;0893-228X&lt;/isbn&gt;&lt;urls&gt;&lt;/urls&gt;&lt;/record&gt;&lt;/Cite&gt;&lt;/EndNote&gt;</w:instrText>
      </w:r>
      <w:r w:rsidR="006979FD" w:rsidRPr="0010075A">
        <w:rPr>
          <w:rFonts w:cstheme="minorHAnsi"/>
        </w:rPr>
        <w:fldChar w:fldCharType="separate"/>
      </w:r>
      <w:r w:rsidR="006979FD" w:rsidRPr="0010075A">
        <w:rPr>
          <w:rFonts w:cstheme="minorHAnsi"/>
          <w:noProof/>
          <w:vertAlign w:val="superscript"/>
        </w:rPr>
        <w:t>1</w:t>
      </w:r>
      <w:r w:rsidR="006979FD" w:rsidRPr="0010075A">
        <w:rPr>
          <w:rFonts w:cstheme="minorHAnsi"/>
        </w:rPr>
        <w:fldChar w:fldCharType="end"/>
      </w:r>
      <w:r w:rsidRPr="0010075A">
        <w:rPr>
          <w:rFonts w:cstheme="minorHAnsi"/>
        </w:rPr>
        <w:t xml:space="preserve">. </w:t>
      </w:r>
    </w:p>
    <w:p w14:paraId="6E3B64E3" w14:textId="4529A256" w:rsidR="00627D55" w:rsidRPr="0010075A" w:rsidRDefault="00627D55" w:rsidP="0010075A">
      <w:pPr>
        <w:spacing w:line="480" w:lineRule="auto"/>
        <w:jc w:val="both"/>
        <w:rPr>
          <w:rFonts w:cstheme="minorHAnsi"/>
        </w:rPr>
      </w:pPr>
      <w:r w:rsidRPr="0010075A">
        <w:rPr>
          <w:rFonts w:cstheme="minorHAnsi"/>
          <w:b/>
          <w:bCs/>
        </w:rPr>
        <w:t>Mercapturic acids</w:t>
      </w:r>
      <w:r w:rsidRPr="0010075A">
        <w:rPr>
          <w:rFonts w:cstheme="minorHAnsi"/>
        </w:rPr>
        <w:t>. Quantification of N-acetyl-S-(3-</w:t>
      </w:r>
      <w:r w:rsidR="0013182B" w:rsidRPr="0010075A">
        <w:rPr>
          <w:rFonts w:cstheme="minorHAnsi"/>
        </w:rPr>
        <w:t>h</w:t>
      </w:r>
      <w:r w:rsidRPr="0010075A">
        <w:rPr>
          <w:rFonts w:cstheme="minorHAnsi"/>
        </w:rPr>
        <w:t>ydroxypropyl)-L-cysteine (</w:t>
      </w:r>
      <w:r w:rsidRPr="0010075A">
        <w:rPr>
          <w:rFonts w:cstheme="minorHAnsi"/>
          <w:b/>
        </w:rPr>
        <w:t>3-HPMA</w:t>
      </w:r>
      <w:r w:rsidRPr="0010075A">
        <w:rPr>
          <w:rFonts w:cstheme="minorHAnsi"/>
        </w:rPr>
        <w:t>), N-acetyl-[S-(2-hydroxymethyl)-3-propenyl)-L-cysteine (</w:t>
      </w:r>
      <w:r w:rsidRPr="0010075A">
        <w:rPr>
          <w:rFonts w:cstheme="minorHAnsi"/>
          <w:b/>
        </w:rPr>
        <w:t>2-MHBMA</w:t>
      </w:r>
      <w:r w:rsidRPr="0010075A">
        <w:rPr>
          <w:rFonts w:cstheme="minorHAnsi"/>
        </w:rPr>
        <w:t>), N-acetyl-S-(phenyl)-L-cysteine (</w:t>
      </w:r>
      <w:r w:rsidRPr="0010075A">
        <w:rPr>
          <w:rFonts w:cstheme="minorHAnsi"/>
          <w:b/>
        </w:rPr>
        <w:t>SPMA</w:t>
      </w:r>
      <w:r w:rsidRPr="0010075A">
        <w:rPr>
          <w:rFonts w:cstheme="minorHAnsi"/>
        </w:rPr>
        <w:t>), N-acetyl-S-(3-hydroxypropyl-1-methyl)-L-cysteine (</w:t>
      </w:r>
      <w:r w:rsidRPr="0010075A">
        <w:rPr>
          <w:rFonts w:cstheme="minorHAnsi"/>
          <w:b/>
        </w:rPr>
        <w:t>HMPMA</w:t>
      </w:r>
      <w:r w:rsidRPr="0010075A">
        <w:rPr>
          <w:rFonts w:cstheme="minorHAnsi"/>
        </w:rPr>
        <w:t>), N-acetyl-S-(2-hydroxyethyl)-L-cysteine (</w:t>
      </w:r>
      <w:r w:rsidRPr="0010075A">
        <w:rPr>
          <w:rFonts w:cstheme="minorHAnsi"/>
          <w:b/>
        </w:rPr>
        <w:t>HEMA</w:t>
      </w:r>
      <w:r w:rsidRPr="0010075A">
        <w:rPr>
          <w:rFonts w:cstheme="minorHAnsi"/>
        </w:rPr>
        <w:t>), N-acetyl-S-(2-cyanoethyl)-L-cysteine (</w:t>
      </w:r>
      <w:r w:rsidRPr="0010075A">
        <w:rPr>
          <w:rFonts w:cstheme="minorHAnsi"/>
          <w:b/>
        </w:rPr>
        <w:t>CEMA</w:t>
      </w:r>
      <w:r w:rsidRPr="0010075A">
        <w:rPr>
          <w:rFonts w:cstheme="minorHAnsi"/>
        </w:rPr>
        <w:t xml:space="preserve">) were conducted by LC-MS/MS equipped with a BEH C18 column (150 x 3 mm, 1.7 </w:t>
      </w:r>
      <w:proofErr w:type="spellStart"/>
      <w:r w:rsidRPr="0010075A">
        <w:rPr>
          <w:rFonts w:eastAsia="Times New Roman" w:cstheme="minorHAnsi"/>
        </w:rPr>
        <w:t>μ</w:t>
      </w:r>
      <w:r w:rsidRPr="0010075A">
        <w:rPr>
          <w:rFonts w:cstheme="minorHAnsi"/>
        </w:rPr>
        <w:t>m</w:t>
      </w:r>
      <w:proofErr w:type="spellEnd"/>
      <w:r w:rsidRPr="0010075A">
        <w:rPr>
          <w:rFonts w:cstheme="minorHAnsi"/>
        </w:rPr>
        <w:t>). Quantification of the anal</w:t>
      </w:r>
      <w:r w:rsidR="005B4A68" w:rsidRPr="0010075A">
        <w:rPr>
          <w:rFonts w:cstheme="minorHAnsi"/>
        </w:rPr>
        <w:t>y</w:t>
      </w:r>
      <w:r w:rsidRPr="0010075A">
        <w:rPr>
          <w:rFonts w:cstheme="minorHAnsi"/>
        </w:rPr>
        <w:t xml:space="preserve">tes was </w:t>
      </w:r>
      <w:r w:rsidR="00570871" w:rsidRPr="0010075A">
        <w:rPr>
          <w:rFonts w:cstheme="minorHAnsi"/>
        </w:rPr>
        <w:t xml:space="preserve">performed </w:t>
      </w:r>
      <w:r w:rsidRPr="0010075A">
        <w:rPr>
          <w:rFonts w:cstheme="minorHAnsi"/>
        </w:rPr>
        <w:t xml:space="preserve">using </w:t>
      </w:r>
      <w:r w:rsidR="005B4A68" w:rsidRPr="0010075A">
        <w:rPr>
          <w:rFonts w:cstheme="minorHAnsi"/>
        </w:rPr>
        <w:t>s</w:t>
      </w:r>
      <w:r w:rsidRPr="0010075A">
        <w:rPr>
          <w:rFonts w:cstheme="minorHAnsi"/>
        </w:rPr>
        <w:t xml:space="preserve">pecific isotopic labeled compounds (ISs) according to Pluym </w:t>
      </w:r>
      <w:r w:rsidRPr="0010075A">
        <w:rPr>
          <w:rFonts w:cstheme="minorHAnsi"/>
          <w:iCs/>
        </w:rPr>
        <w:t xml:space="preserve">et al. </w:t>
      </w:r>
      <w:r w:rsidRPr="0010075A">
        <w:rPr>
          <w:rFonts w:cstheme="minorHAnsi"/>
        </w:rPr>
        <w:fldChar w:fldCharType="begin"/>
      </w:r>
      <w:r w:rsidR="006979FD" w:rsidRPr="0010075A">
        <w:rPr>
          <w:rFonts w:cstheme="minorHAnsi"/>
        </w:rPr>
        <w:instrText xml:space="preserve"> ADDIN EN.CITE &lt;EndNote&gt;&lt;Cite&gt;&lt;Author&gt;Pluym&lt;/Author&gt;&lt;Year&gt;2015&lt;/Year&gt;&lt;RecNum&gt;28&lt;/RecNum&gt;&lt;DisplayText&gt;&lt;style face="superscript"&gt;2&lt;/style&gt;&lt;/DisplayText&gt;&lt;record&gt;&lt;rec-number&gt;28&lt;/rec-number&gt;&lt;foreign-keys&gt;&lt;key app="EN" db-id="f5sezdv5oxxxeyex004pedx9pfzdvvfzws9x" timestamp="1658410282"&gt;28&lt;/key&gt;&lt;/foreign-keys&gt;&lt;ref-type name="Journal Article"&gt;17&lt;/ref-type&gt;&lt;contributors&gt;&lt;authors&gt;&lt;author&gt;Pluym, N.&lt;/author&gt;&lt;author&gt;Gilch, G.&lt;/author&gt;&lt;author&gt;Scherer, G.&lt;/author&gt;&lt;author&gt;Scherer, M.&lt;/author&gt;&lt;/authors&gt;&lt;/contributors&gt;&lt;auth-address&gt;ABF, Analytisch-Biologisches Forschungslabor Munchen, Goethestrasse 20, 80336, Munich, Germany.&lt;/auth-address&gt;&lt;titles&gt;&lt;title&gt;Analysis of 18 urinary mercapturic acids by two high-throughput multiplex-LC-MS/MS methods&lt;/title&gt;&lt;secondary-title&gt;Anal Bioanal Chem&lt;/secondary-title&gt;&lt;/titles&gt;&lt;periodical&gt;&lt;full-title&gt;Anal Bioanal Chem&lt;/full-title&gt;&lt;/periodical&gt;&lt;pages&gt;5463-76&lt;/pages&gt;&lt;volume&gt;407&lt;/volume&gt;&lt;number&gt;18&lt;/number&gt;&lt;edition&gt;20150503&lt;/edition&gt;&lt;keywords&gt;&lt;keyword&gt;Acetylcysteine/analysis/*urine&lt;/keyword&gt;&lt;keyword&gt;Chromatography, Liquid/methods&lt;/keyword&gt;&lt;keyword&gt;High-Throughput Screening Assays/methods&lt;/keyword&gt;&lt;keyword&gt;Humans&lt;/keyword&gt;&lt;keyword&gt;Limit of Detection&lt;/keyword&gt;&lt;keyword&gt;Smoking/*urine&lt;/keyword&gt;&lt;keyword&gt;Tandem Mass Spectrometry/*methods&lt;/keyword&gt;&lt;keyword&gt;Urinalysis/methods&lt;/keyword&gt;&lt;/keywords&gt;&lt;dates&gt;&lt;year&gt;2015&lt;/year&gt;&lt;pub-dates&gt;&lt;date&gt;Jul&lt;/date&gt;&lt;/pub-dates&gt;&lt;/dates&gt;&lt;isbn&gt;1618-2650 (Electronic)&amp;#xD;1618-2642 (Linking)&lt;/isbn&gt;&lt;accession-num&gt;25935678&lt;/accession-num&gt;&lt;urls&gt;&lt;related-urls&gt;&lt;url&gt;https://www.ncbi.nlm.nih.gov/pubmed/25935678&lt;/url&gt;&lt;/related-urls&gt;&lt;/urls&gt;&lt;electronic-resource-num&gt;10.1007/s00216-015-8719-x&lt;/electronic-resource-num&gt;&lt;remote-database-name&gt;Medline&lt;/remote-database-name&gt;&lt;remote-database-provider&gt;NLM&lt;/remote-database-provider&gt;&lt;/record&gt;&lt;/Cite&gt;&lt;/EndNote&gt;</w:instrText>
      </w:r>
      <w:r w:rsidRPr="0010075A">
        <w:rPr>
          <w:rFonts w:cstheme="minorHAnsi"/>
        </w:rPr>
        <w:fldChar w:fldCharType="separate"/>
      </w:r>
      <w:r w:rsidR="006979FD" w:rsidRPr="0010075A">
        <w:rPr>
          <w:rFonts w:cstheme="minorHAnsi"/>
          <w:noProof/>
          <w:vertAlign w:val="superscript"/>
        </w:rPr>
        <w:t>2</w:t>
      </w:r>
      <w:r w:rsidRPr="0010075A">
        <w:rPr>
          <w:rFonts w:cstheme="minorHAnsi"/>
        </w:rPr>
        <w:fldChar w:fldCharType="end"/>
      </w:r>
      <w:r w:rsidRPr="0010075A">
        <w:rPr>
          <w:rFonts w:cstheme="minorHAnsi"/>
        </w:rPr>
        <w:t xml:space="preserve">. An aliquot of 500 </w:t>
      </w:r>
      <w:proofErr w:type="spellStart"/>
      <w:r w:rsidRPr="0010075A">
        <w:rPr>
          <w:rFonts w:eastAsia="Times New Roman" w:cstheme="minorHAnsi"/>
          <w:sz w:val="24"/>
          <w:szCs w:val="24"/>
        </w:rPr>
        <w:t>μ</w:t>
      </w:r>
      <w:r w:rsidRPr="0010075A">
        <w:rPr>
          <w:rFonts w:cstheme="minorHAnsi"/>
        </w:rPr>
        <w:t>L</w:t>
      </w:r>
      <w:proofErr w:type="spellEnd"/>
      <w:r w:rsidRPr="0010075A">
        <w:rPr>
          <w:rFonts w:cstheme="minorHAnsi"/>
        </w:rPr>
        <w:t xml:space="preserve"> was taken for monitoring HEMA, CEMA, SPMA, and HMPMA (method 1) whereas 100 </w:t>
      </w:r>
      <w:proofErr w:type="spellStart"/>
      <w:r w:rsidRPr="0010075A">
        <w:rPr>
          <w:rFonts w:eastAsia="Times New Roman" w:cstheme="minorHAnsi"/>
          <w:sz w:val="24"/>
          <w:szCs w:val="24"/>
        </w:rPr>
        <w:t>μ</w:t>
      </w:r>
      <w:r w:rsidRPr="0010075A">
        <w:rPr>
          <w:rFonts w:cstheme="minorHAnsi"/>
        </w:rPr>
        <w:t>L</w:t>
      </w:r>
      <w:proofErr w:type="spellEnd"/>
      <w:r w:rsidRPr="0010075A">
        <w:rPr>
          <w:rFonts w:cstheme="minorHAnsi"/>
        </w:rPr>
        <w:t xml:space="preserve"> urine, spiked with ISs, was taken for 3-HPMA, 2-MHBMA (method 2). In method 1, the urine sample was acidified with 37% HCl before the pH was neutralized with 50% NaOH. After centrifugation, an aliquot of 50 </w:t>
      </w:r>
      <w:proofErr w:type="spellStart"/>
      <w:r w:rsidRPr="0010075A">
        <w:rPr>
          <w:rFonts w:eastAsia="Times New Roman" w:cstheme="minorHAnsi"/>
          <w:sz w:val="24"/>
          <w:szCs w:val="24"/>
        </w:rPr>
        <w:t>μ</w:t>
      </w:r>
      <w:r w:rsidRPr="0010075A">
        <w:rPr>
          <w:rFonts w:cstheme="minorHAnsi"/>
        </w:rPr>
        <w:t>L</w:t>
      </w:r>
      <w:proofErr w:type="spellEnd"/>
      <w:r w:rsidRPr="0010075A">
        <w:rPr>
          <w:rFonts w:cstheme="minorHAnsi"/>
        </w:rPr>
        <w:t xml:space="preserve"> supernatant was analy</w:t>
      </w:r>
      <w:r w:rsidR="00992310" w:rsidRPr="0010075A">
        <w:rPr>
          <w:rFonts w:cstheme="minorHAnsi"/>
        </w:rPr>
        <w:t>z</w:t>
      </w:r>
      <w:r w:rsidRPr="0010075A">
        <w:rPr>
          <w:rFonts w:cstheme="minorHAnsi"/>
        </w:rPr>
        <w:t xml:space="preserve">ed by a column-switching LC-MS/MS method. In method 2, the urine sample spiked with ISs was dried and resuspended in methanol before analysis by LC-MS/MS (AB </w:t>
      </w:r>
      <w:proofErr w:type="spellStart"/>
      <w:r w:rsidRPr="0010075A">
        <w:rPr>
          <w:rFonts w:cstheme="minorHAnsi"/>
        </w:rPr>
        <w:t>Sciex</w:t>
      </w:r>
      <w:proofErr w:type="spellEnd"/>
      <w:r w:rsidRPr="0010075A">
        <w:rPr>
          <w:rFonts w:cstheme="minorHAnsi"/>
        </w:rPr>
        <w:t xml:space="preserve"> API 5000 triple </w:t>
      </w:r>
      <w:proofErr w:type="spellStart"/>
      <w:r w:rsidRPr="0010075A">
        <w:rPr>
          <w:rFonts w:cstheme="minorHAnsi"/>
        </w:rPr>
        <w:t>quadrupole</w:t>
      </w:r>
      <w:proofErr w:type="spellEnd"/>
      <w:r w:rsidRPr="0010075A">
        <w:rPr>
          <w:rFonts w:cstheme="minorHAnsi"/>
        </w:rPr>
        <w:t xml:space="preserve"> mass spectrometer</w:t>
      </w:r>
      <w:r w:rsidR="00CA0B34" w:rsidRPr="0010075A">
        <w:rPr>
          <w:rFonts w:cstheme="minorHAnsi"/>
        </w:rPr>
        <w:t xml:space="preserve">; </w:t>
      </w:r>
      <w:proofErr w:type="spellStart"/>
      <w:r w:rsidR="00CA0B34" w:rsidRPr="0010075A">
        <w:rPr>
          <w:rFonts w:cstheme="minorHAnsi"/>
        </w:rPr>
        <w:t>Sciex</w:t>
      </w:r>
      <w:proofErr w:type="spellEnd"/>
      <w:r w:rsidR="00CA0B34" w:rsidRPr="0010075A">
        <w:rPr>
          <w:rFonts w:cstheme="minorHAnsi"/>
        </w:rPr>
        <w:t>, Framingham, MA</w:t>
      </w:r>
      <w:r w:rsidR="00252EA8" w:rsidRPr="0010075A">
        <w:rPr>
          <w:rFonts w:cstheme="minorHAnsi"/>
        </w:rPr>
        <w:t>, USA</w:t>
      </w:r>
      <w:r w:rsidRPr="0010075A">
        <w:rPr>
          <w:rFonts w:cstheme="minorHAnsi"/>
        </w:rPr>
        <w:t>). The method was validated according to FDA Guidance for Industry on Bioanalytical Method</w:t>
      </w:r>
      <w:r w:rsidR="00E3560D" w:rsidRPr="0010075A">
        <w:rPr>
          <w:rFonts w:cstheme="minorHAnsi"/>
        </w:rPr>
        <w:t>.</w:t>
      </w:r>
      <w:r w:rsidR="00992310" w:rsidRPr="0010075A">
        <w:rPr>
          <w:rFonts w:cstheme="minorHAnsi"/>
          <w:vertAlign w:val="superscript"/>
        </w:rPr>
        <w:t>44</w:t>
      </w:r>
    </w:p>
    <w:p w14:paraId="779A3D9D" w14:textId="369021F1" w:rsidR="00627D55" w:rsidRPr="0010075A" w:rsidRDefault="00627D55" w:rsidP="0010075A">
      <w:pPr>
        <w:spacing w:line="480" w:lineRule="auto"/>
        <w:jc w:val="both"/>
        <w:rPr>
          <w:rFonts w:cstheme="minorHAnsi"/>
        </w:rPr>
      </w:pPr>
      <w:r w:rsidRPr="0010075A">
        <w:rPr>
          <w:rFonts w:cstheme="minorHAnsi"/>
          <w:b/>
          <w:bCs/>
        </w:rPr>
        <w:t>Creatinine</w:t>
      </w:r>
      <w:r w:rsidRPr="0010075A">
        <w:rPr>
          <w:rFonts w:eastAsia="Calibri" w:cstheme="minorHAnsi"/>
        </w:rPr>
        <w:t>. The measurement of creatinine in urine followed the method described in Helger et al.</w:t>
      </w:r>
      <w:r w:rsidR="00E74733" w:rsidRPr="0010075A">
        <w:rPr>
          <w:rFonts w:eastAsia="Calibri" w:cstheme="minorHAnsi"/>
        </w:rPr>
        <w:fldChar w:fldCharType="begin"/>
      </w:r>
      <w:r w:rsidR="00E74733" w:rsidRPr="0010075A">
        <w:rPr>
          <w:rFonts w:eastAsia="Calibri" w:cstheme="minorHAnsi"/>
        </w:rPr>
        <w:instrText xml:space="preserve"> ADDIN EN.CITE &lt;EndNote&gt;&lt;Cite&gt;&lt;Author&gt;Helger&lt;/Author&gt;&lt;Year&gt;1974&lt;/Year&gt;&lt;RecNum&gt;49&lt;/RecNum&gt;&lt;DisplayText&gt;&lt;style face="superscript"&gt;3&lt;/style&gt;&lt;/DisplayText&gt;&lt;record&gt;&lt;rec-number&gt;49&lt;/rec-number&gt;&lt;foreign-keys&gt;&lt;key app="EN" db-id="2trar5vt4rp2vnef2s6pdf09pwf2p029wadz" timestamp="1698410801"&gt;49&lt;/key&gt;&lt;/foreign-keys&gt;&lt;ref-type name="Journal Article"&gt;17&lt;/ref-type&gt;&lt;contributors&gt;&lt;authors&gt;&lt;author&gt;Helger, R.&lt;/author&gt;&lt;author&gt;Rindfrey, H.&lt;/author&gt;&lt;author&gt;Hilgenfeldt, J.&lt;/author&gt;&lt;/authors&gt;&lt;/contributors&gt;&lt;titles&gt;&lt;title&gt;A method for the direct determination of creatinine in serum and urine without deproteinization using a modified Jaffé method&lt;/title&gt;&lt;secondary-title&gt;ZKlinChemKlinBiochem&lt;/secondary-title&gt;&lt;/titles&gt;&lt;periodical&gt;&lt;full-title&gt;ZKlinChemKlinBiochem&lt;/full-title&gt;&lt;/periodical&gt;&lt;pages&gt;344-349&lt;/pages&gt;&lt;volume&gt;12&lt;/volume&gt;&lt;dates&gt;&lt;year&gt;1974&lt;/year&gt;&lt;/dates&gt;&lt;urls&gt;&lt;/urls&gt;&lt;/record&gt;&lt;/Cite&gt;&lt;/EndNote&gt;</w:instrText>
      </w:r>
      <w:r w:rsidR="00E74733" w:rsidRPr="0010075A">
        <w:rPr>
          <w:rFonts w:eastAsia="Calibri" w:cstheme="minorHAnsi"/>
        </w:rPr>
        <w:fldChar w:fldCharType="separate"/>
      </w:r>
      <w:r w:rsidR="00E74733" w:rsidRPr="0010075A">
        <w:rPr>
          <w:rFonts w:eastAsia="Calibri" w:cstheme="minorHAnsi"/>
          <w:noProof/>
          <w:vertAlign w:val="superscript"/>
        </w:rPr>
        <w:t>3</w:t>
      </w:r>
      <w:r w:rsidR="00E74733" w:rsidRPr="0010075A">
        <w:rPr>
          <w:rFonts w:eastAsia="Calibri" w:cstheme="minorHAnsi"/>
        </w:rPr>
        <w:fldChar w:fldCharType="end"/>
      </w:r>
      <w:r w:rsidRPr="0010075A">
        <w:rPr>
          <w:rFonts w:eastAsia="Calibri" w:cstheme="minorHAnsi"/>
        </w:rPr>
        <w:t xml:space="preserve"> </w:t>
      </w:r>
    </w:p>
    <w:p w14:paraId="733AB8A0" w14:textId="7DB8EE17" w:rsidR="00627D55" w:rsidRPr="0010075A" w:rsidRDefault="00627D55" w:rsidP="0010075A">
      <w:pPr>
        <w:spacing w:line="480" w:lineRule="auto"/>
        <w:jc w:val="both"/>
        <w:rPr>
          <w:rFonts w:cstheme="minorHAnsi"/>
        </w:rPr>
      </w:pPr>
      <w:r w:rsidRPr="0010075A">
        <w:rPr>
          <w:rFonts w:cstheme="minorHAnsi"/>
          <w:b/>
          <w:bCs/>
        </w:rPr>
        <w:t>Malondialdehyde (MDA)</w:t>
      </w:r>
      <w:r w:rsidRPr="0010075A">
        <w:rPr>
          <w:rFonts w:eastAsia="Calibri" w:cstheme="minorHAnsi"/>
        </w:rPr>
        <w:t xml:space="preserve">. </w:t>
      </w:r>
      <w:r w:rsidRPr="0010075A">
        <w:rPr>
          <w:rFonts w:cstheme="minorHAnsi"/>
        </w:rPr>
        <w:t>MDA in urine was determined by GC-MS after derivatization with O-(2,3,4,5,6-pentafluorobenzyl)-hydroxylamine (PFBHA). To 300 µL urine, 30 µL of the IS solution containing 2-</w:t>
      </w:r>
      <w:r w:rsidR="00021B9E" w:rsidRPr="0010075A">
        <w:rPr>
          <w:rFonts w:cstheme="minorHAnsi"/>
        </w:rPr>
        <w:t>m</w:t>
      </w:r>
      <w:r w:rsidRPr="0010075A">
        <w:rPr>
          <w:rFonts w:cstheme="minorHAnsi"/>
        </w:rPr>
        <w:t>ethyl-malondialdehyde (MMDA, 33.3 nmol/mL) was spiked, followed by the addition of 100 µL PFBHA (0.05M). The mixture was vortexed for 5 min at room temperature and 2 mL of n-hexane was added. For acidification, 6-times 10 µL of conc</w:t>
      </w:r>
      <w:r w:rsidR="00021B9E" w:rsidRPr="0010075A">
        <w:rPr>
          <w:rFonts w:cstheme="minorHAnsi"/>
        </w:rPr>
        <w:t>entrated s</w:t>
      </w:r>
      <w:r w:rsidRPr="0010075A">
        <w:rPr>
          <w:rFonts w:cstheme="minorHAnsi"/>
        </w:rPr>
        <w:t xml:space="preserve">ulfuric acid was used and vortexed for 1 min. After centrifugation, the organic phase was evaporated in a vacuum concentrator and the residue was reconstituted on 50 µL of n-hexane. </w:t>
      </w:r>
      <w:r w:rsidR="00021B9E" w:rsidRPr="0010075A">
        <w:rPr>
          <w:rFonts w:cstheme="minorHAnsi"/>
        </w:rPr>
        <w:t>One microliter</w:t>
      </w:r>
      <w:r w:rsidRPr="0010075A">
        <w:rPr>
          <w:rFonts w:cstheme="minorHAnsi"/>
        </w:rPr>
        <w:t xml:space="preserve"> of the concentrated solution </w:t>
      </w:r>
      <w:r w:rsidR="00021B9E" w:rsidRPr="0010075A">
        <w:rPr>
          <w:rFonts w:cstheme="minorHAnsi"/>
        </w:rPr>
        <w:t xml:space="preserve">was </w:t>
      </w:r>
      <w:r w:rsidRPr="0010075A">
        <w:rPr>
          <w:rFonts w:cstheme="minorHAnsi"/>
        </w:rPr>
        <w:t>analyzed by GC/NCI-MS (ISQ LT, Thermo</w:t>
      </w:r>
      <w:r w:rsidR="00021B9E" w:rsidRPr="0010075A">
        <w:rPr>
          <w:rFonts w:cstheme="minorHAnsi"/>
        </w:rPr>
        <w:t xml:space="preserve"> F</w:t>
      </w:r>
      <w:r w:rsidRPr="0010075A">
        <w:rPr>
          <w:rFonts w:cstheme="minorHAnsi"/>
        </w:rPr>
        <w:t xml:space="preserve">isher Scientific, </w:t>
      </w:r>
      <w:r w:rsidR="00021B9E" w:rsidRPr="0010075A">
        <w:rPr>
          <w:rFonts w:cstheme="minorHAnsi"/>
        </w:rPr>
        <w:t>Waltham, MA, USA</w:t>
      </w:r>
      <w:r w:rsidRPr="0010075A">
        <w:rPr>
          <w:rFonts w:cstheme="minorHAnsi"/>
        </w:rPr>
        <w:t>) and quantification was performed by extracting the ions at m/z 415 (MDA) and 456 (MMDA), respectively. An RXI-5 MS (30 x 0.25 mm, 0.25</w:t>
      </w:r>
      <w:r w:rsidR="00C52D0C" w:rsidRPr="0010075A">
        <w:rPr>
          <w:rFonts w:cstheme="minorHAnsi"/>
        </w:rPr>
        <w:t>-</w:t>
      </w:r>
      <w:r w:rsidRPr="0010075A">
        <w:rPr>
          <w:rFonts w:cstheme="minorHAnsi"/>
        </w:rPr>
        <w:t xml:space="preserve">μm film thickness, </w:t>
      </w:r>
      <w:proofErr w:type="spellStart"/>
      <w:r w:rsidRPr="0010075A">
        <w:rPr>
          <w:rFonts w:cstheme="minorHAnsi"/>
        </w:rPr>
        <w:t>Restek</w:t>
      </w:r>
      <w:proofErr w:type="spellEnd"/>
      <w:r w:rsidRPr="0010075A">
        <w:rPr>
          <w:rFonts w:cstheme="minorHAnsi"/>
        </w:rPr>
        <w:t xml:space="preserve">, </w:t>
      </w:r>
      <w:r w:rsidR="00C52D0C" w:rsidRPr="0010075A">
        <w:rPr>
          <w:rFonts w:cstheme="minorHAnsi"/>
        </w:rPr>
        <w:t>Bellefonte, PA, USA</w:t>
      </w:r>
      <w:r w:rsidRPr="0010075A">
        <w:rPr>
          <w:rFonts w:cstheme="minorHAnsi"/>
        </w:rPr>
        <w:t>) was used as GC column. Temperature program: 60°C, 8.0°C/min to 150°C, 15°C/min to 300°C, hold for 4 min (run time: 19</w:t>
      </w:r>
      <w:r w:rsidR="00336B05" w:rsidRPr="0010075A">
        <w:rPr>
          <w:rFonts w:cstheme="minorHAnsi"/>
        </w:rPr>
        <w:t xml:space="preserve"> </w:t>
      </w:r>
      <w:r w:rsidRPr="0010075A">
        <w:rPr>
          <w:rFonts w:cstheme="minorHAnsi"/>
        </w:rPr>
        <w:t xml:space="preserve">min). The retention times were 17.35 min for MDA and 17.45 for MMDA, respectively. </w:t>
      </w:r>
    </w:p>
    <w:p w14:paraId="2EC9D76C" w14:textId="77777777" w:rsidR="00627D55" w:rsidRPr="0010075A" w:rsidRDefault="00627D55" w:rsidP="0010075A">
      <w:pPr>
        <w:spacing w:line="480" w:lineRule="auto"/>
        <w:jc w:val="both"/>
        <w:rPr>
          <w:rFonts w:ascii="Times New Roman" w:hAnsi="Times New Roman" w:cs="Times New Roman"/>
        </w:rPr>
      </w:pPr>
    </w:p>
    <w:p w14:paraId="105A2979" w14:textId="77777777" w:rsidR="00627D55" w:rsidRPr="0010075A" w:rsidRDefault="00627D55" w:rsidP="0010075A">
      <w:pPr>
        <w:pStyle w:val="Heading2"/>
        <w:spacing w:line="480" w:lineRule="auto"/>
        <w:jc w:val="both"/>
        <w:rPr>
          <w:color w:val="auto"/>
        </w:rPr>
      </w:pPr>
      <w:r w:rsidRPr="0010075A">
        <w:rPr>
          <w:color w:val="auto"/>
        </w:rPr>
        <w:t>Proteomics– Sample analysis and data processing</w:t>
      </w:r>
    </w:p>
    <w:p w14:paraId="6DF5B543" w14:textId="5272E94D" w:rsidR="00627D55" w:rsidRPr="0010075A" w:rsidRDefault="00627D55" w:rsidP="0010075A">
      <w:pPr>
        <w:spacing w:line="480" w:lineRule="auto"/>
        <w:jc w:val="both"/>
        <w:rPr>
          <w:rFonts w:cstheme="minorHAnsi"/>
        </w:rPr>
      </w:pPr>
      <w:r w:rsidRPr="0010075A">
        <w:rPr>
          <w:rFonts w:eastAsia="Times New Roman" w:cstheme="minorHAnsi"/>
          <w:b/>
          <w:bCs/>
        </w:rPr>
        <w:t>Sample preparation</w:t>
      </w:r>
      <w:r w:rsidRPr="0010075A">
        <w:rPr>
          <w:rFonts w:cstheme="minorHAnsi"/>
        </w:rPr>
        <w:t xml:space="preserve">. </w:t>
      </w:r>
      <w:r w:rsidRPr="0010075A">
        <w:rPr>
          <w:rFonts w:eastAsia="Times New Roman" w:cstheme="minorHAnsi"/>
        </w:rPr>
        <w:t xml:space="preserve">Ten </w:t>
      </w:r>
      <w:r w:rsidRPr="0010075A">
        <w:rPr>
          <w:rFonts w:eastAsia="Calibri" w:cstheme="minorHAnsi"/>
        </w:rPr>
        <w:t>µ</w:t>
      </w:r>
      <w:r w:rsidRPr="0010075A">
        <w:rPr>
          <w:rFonts w:eastAsia="Times New Roman" w:cstheme="minorHAnsi"/>
        </w:rPr>
        <w:t>L of randomized plasma samples were processed using the Sample Preparation Kit Pro (</w:t>
      </w:r>
      <w:proofErr w:type="spellStart"/>
      <w:r w:rsidRPr="0010075A">
        <w:rPr>
          <w:rFonts w:eastAsia="Times New Roman" w:cstheme="minorHAnsi"/>
        </w:rPr>
        <w:t>Biognosys</w:t>
      </w:r>
      <w:proofErr w:type="spellEnd"/>
      <w:r w:rsidRPr="0010075A">
        <w:rPr>
          <w:rFonts w:eastAsia="Times New Roman" w:cstheme="minorHAnsi"/>
        </w:rPr>
        <w:t xml:space="preserve">, </w:t>
      </w:r>
      <w:proofErr w:type="spellStart"/>
      <w:r w:rsidRPr="0010075A">
        <w:rPr>
          <w:rFonts w:eastAsia="Times New Roman" w:cstheme="minorHAnsi"/>
        </w:rPr>
        <w:t>Schlieren</w:t>
      </w:r>
      <w:proofErr w:type="spellEnd"/>
      <w:r w:rsidR="008556FA" w:rsidRPr="0010075A">
        <w:rPr>
          <w:rFonts w:eastAsia="Times New Roman" w:cstheme="minorHAnsi"/>
        </w:rPr>
        <w:t>,</w:t>
      </w:r>
      <w:r w:rsidRPr="0010075A">
        <w:rPr>
          <w:rFonts w:eastAsia="Times New Roman" w:cstheme="minorHAnsi"/>
        </w:rPr>
        <w:t xml:space="preserve"> Switzerland) following supplier protocol. Thirty-two</w:t>
      </w:r>
      <w:r w:rsidRPr="0010075A">
        <w:rPr>
          <w:rFonts w:eastAsia="Calibri" w:cstheme="minorHAnsi"/>
        </w:rPr>
        <w:t xml:space="preserve"> </w:t>
      </w:r>
      <w:r w:rsidR="00E74733" w:rsidRPr="0010075A">
        <w:rPr>
          <w:rFonts w:eastAsia="Calibri" w:cstheme="minorHAnsi"/>
        </w:rPr>
        <w:t>micro</w:t>
      </w:r>
      <w:r w:rsidRPr="0010075A">
        <w:rPr>
          <w:rFonts w:eastAsia="Times New Roman" w:cstheme="minorHAnsi"/>
        </w:rPr>
        <w:t>g</w:t>
      </w:r>
      <w:r w:rsidR="00E74733" w:rsidRPr="0010075A">
        <w:rPr>
          <w:rFonts w:eastAsia="Times New Roman" w:cstheme="minorHAnsi"/>
        </w:rPr>
        <w:t>rams</w:t>
      </w:r>
      <w:r w:rsidRPr="0010075A">
        <w:rPr>
          <w:rFonts w:eastAsia="Times New Roman" w:cstheme="minorHAnsi"/>
        </w:rPr>
        <w:t xml:space="preserve"> (16 µ</w:t>
      </w:r>
      <w:r w:rsidR="008556FA" w:rsidRPr="0010075A">
        <w:rPr>
          <w:rFonts w:eastAsia="Times New Roman" w:cstheme="minorHAnsi"/>
        </w:rPr>
        <w:t>L</w:t>
      </w:r>
      <w:r w:rsidRPr="0010075A">
        <w:rPr>
          <w:rFonts w:eastAsia="Times New Roman" w:cstheme="minorHAnsi"/>
        </w:rPr>
        <w:t xml:space="preserve">) of peptides were subsequently mixed with 6 </w:t>
      </w:r>
      <w:r w:rsidRPr="0010075A">
        <w:rPr>
          <w:rFonts w:eastAsia="Calibri" w:cstheme="minorHAnsi"/>
        </w:rPr>
        <w:t>µ</w:t>
      </w:r>
      <w:r w:rsidRPr="0010075A">
        <w:rPr>
          <w:rFonts w:eastAsia="Times New Roman" w:cstheme="minorHAnsi"/>
        </w:rPr>
        <w:t>L of PQ500 reference peptides (</w:t>
      </w:r>
      <w:proofErr w:type="spellStart"/>
      <w:r w:rsidRPr="0010075A">
        <w:rPr>
          <w:rFonts w:eastAsia="Times New Roman" w:cstheme="minorHAnsi"/>
        </w:rPr>
        <w:t>Biognosys</w:t>
      </w:r>
      <w:proofErr w:type="spellEnd"/>
      <w:r w:rsidRPr="0010075A">
        <w:rPr>
          <w:rFonts w:eastAsia="Times New Roman" w:cstheme="minorHAnsi"/>
        </w:rPr>
        <w:t>).</w:t>
      </w:r>
    </w:p>
    <w:p w14:paraId="0637AEEC" w14:textId="4AB2C017" w:rsidR="00627D55" w:rsidRPr="0010075A" w:rsidRDefault="00627D55" w:rsidP="0010075A">
      <w:pPr>
        <w:spacing w:line="480" w:lineRule="auto"/>
        <w:jc w:val="both"/>
        <w:rPr>
          <w:rFonts w:cstheme="minorHAnsi"/>
        </w:rPr>
      </w:pPr>
      <w:r w:rsidRPr="0010075A">
        <w:rPr>
          <w:rFonts w:eastAsia="Times New Roman" w:cstheme="minorHAnsi"/>
          <w:b/>
          <w:bCs/>
        </w:rPr>
        <w:t xml:space="preserve">Sample analysis by </w:t>
      </w:r>
      <w:proofErr w:type="spellStart"/>
      <w:r w:rsidRPr="0010075A">
        <w:rPr>
          <w:rFonts w:eastAsia="Times New Roman" w:cstheme="minorHAnsi"/>
          <w:b/>
          <w:bCs/>
        </w:rPr>
        <w:t>UltraHigh</w:t>
      </w:r>
      <w:proofErr w:type="spellEnd"/>
      <w:r w:rsidRPr="0010075A">
        <w:rPr>
          <w:rFonts w:eastAsia="Times New Roman" w:cstheme="minorHAnsi"/>
          <w:b/>
          <w:bCs/>
        </w:rPr>
        <w:t xml:space="preserve"> Performance Liquid Chromatography – Data Independent Acquisition (UHPLC-DIA).</w:t>
      </w:r>
      <w:r w:rsidRPr="0010075A">
        <w:rPr>
          <w:rFonts w:cstheme="minorHAnsi"/>
        </w:rPr>
        <w:t xml:space="preserve"> </w:t>
      </w:r>
      <w:r w:rsidRPr="0010075A">
        <w:rPr>
          <w:rFonts w:eastAsia="Times New Roman" w:cstheme="minorHAnsi"/>
        </w:rPr>
        <w:t xml:space="preserve">Five </w:t>
      </w:r>
      <w:r w:rsidR="001976D1" w:rsidRPr="0010075A">
        <w:rPr>
          <w:rFonts w:eastAsia="Times New Roman" w:cstheme="minorHAnsi"/>
        </w:rPr>
        <w:t>µ</w:t>
      </w:r>
      <w:r w:rsidRPr="0010075A">
        <w:rPr>
          <w:rFonts w:eastAsia="Times New Roman" w:cstheme="minorHAnsi"/>
        </w:rPr>
        <w:t xml:space="preserve">L of sample were injected on a </w:t>
      </w:r>
      <w:proofErr w:type="spellStart"/>
      <w:r w:rsidRPr="0010075A">
        <w:rPr>
          <w:rFonts w:eastAsia="Times New Roman" w:cstheme="minorHAnsi"/>
        </w:rPr>
        <w:t>Acquity</w:t>
      </w:r>
      <w:proofErr w:type="spellEnd"/>
      <w:r w:rsidRPr="0010075A">
        <w:rPr>
          <w:rFonts w:eastAsia="Times New Roman" w:cstheme="minorHAnsi"/>
        </w:rPr>
        <w:t xml:space="preserve"> </w:t>
      </w:r>
      <w:proofErr w:type="spellStart"/>
      <w:r w:rsidRPr="0010075A">
        <w:rPr>
          <w:rFonts w:eastAsia="Times New Roman" w:cstheme="minorHAnsi"/>
        </w:rPr>
        <w:t>MClass</w:t>
      </w:r>
      <w:proofErr w:type="spellEnd"/>
      <w:r w:rsidRPr="0010075A">
        <w:rPr>
          <w:rFonts w:eastAsia="Times New Roman" w:cstheme="minorHAnsi"/>
        </w:rPr>
        <w:t xml:space="preserve"> C18-CSH 1 mm i.d. x 150 mm </w:t>
      </w:r>
      <w:proofErr w:type="spellStart"/>
      <w:r w:rsidRPr="0010075A">
        <w:rPr>
          <w:rFonts w:eastAsia="Times New Roman" w:cstheme="minorHAnsi"/>
        </w:rPr>
        <w:t>i.d</w:t>
      </w:r>
      <w:proofErr w:type="spellEnd"/>
      <w:r w:rsidRPr="0010075A">
        <w:rPr>
          <w:rFonts w:eastAsia="Times New Roman" w:cstheme="minorHAnsi"/>
        </w:rPr>
        <w:t>, 1.7 µm columns (Waters</w:t>
      </w:r>
      <w:r w:rsidR="00C52D0C" w:rsidRPr="0010075A">
        <w:rPr>
          <w:rFonts w:eastAsia="Times New Roman" w:cstheme="minorHAnsi"/>
        </w:rPr>
        <w:t xml:space="preserve"> Corp.</w:t>
      </w:r>
      <w:r w:rsidRPr="0010075A">
        <w:rPr>
          <w:rFonts w:eastAsia="Times New Roman" w:cstheme="minorHAnsi"/>
        </w:rPr>
        <w:t xml:space="preserve">, Waltham, </w:t>
      </w:r>
      <w:r w:rsidR="00406FE7" w:rsidRPr="0010075A">
        <w:rPr>
          <w:rFonts w:eastAsia="Times New Roman" w:cstheme="minorHAnsi"/>
        </w:rPr>
        <w:t>MA</w:t>
      </w:r>
      <w:r w:rsidRPr="0010075A">
        <w:rPr>
          <w:rFonts w:eastAsia="Times New Roman" w:cstheme="minorHAnsi"/>
        </w:rPr>
        <w:t>, USA), separated by applying a 45</w:t>
      </w:r>
      <w:r w:rsidR="001976D1" w:rsidRPr="0010075A">
        <w:rPr>
          <w:rFonts w:eastAsia="Times New Roman" w:cstheme="minorHAnsi"/>
        </w:rPr>
        <w:t>-</w:t>
      </w:r>
      <w:r w:rsidRPr="0010075A">
        <w:rPr>
          <w:rFonts w:eastAsia="Times New Roman" w:cstheme="minorHAnsi"/>
        </w:rPr>
        <w:t xml:space="preserve">min gradient of increasing acetonitrile concentration (0.1% formic acid in water up to 40% acetonitrile/0.1% formic acid in water) followed by a column wash and equilibration step using an UHPLC </w:t>
      </w:r>
      <w:proofErr w:type="spellStart"/>
      <w:r w:rsidRPr="0010075A">
        <w:rPr>
          <w:rFonts w:eastAsia="Times New Roman" w:cstheme="minorHAnsi"/>
        </w:rPr>
        <w:t>Nexera</w:t>
      </w:r>
      <w:proofErr w:type="spellEnd"/>
      <w:r w:rsidRPr="0010075A">
        <w:rPr>
          <w:rFonts w:eastAsia="Times New Roman" w:cstheme="minorHAnsi"/>
        </w:rPr>
        <w:t xml:space="preserve"> X2 system (Shimadzu, Kyoto, Japan). Peptides were analyzed using a Q-Exactive HF mass spectrometer in DIA mode: a survey 120k MS1 scan was followed by 23 custom windows of 30k MS2 scans.</w:t>
      </w:r>
    </w:p>
    <w:p w14:paraId="213E56A6" w14:textId="6F0EA430" w:rsidR="00627D55" w:rsidRPr="0010075A" w:rsidRDefault="00627D55" w:rsidP="0010075A">
      <w:pPr>
        <w:spacing w:line="480" w:lineRule="auto"/>
        <w:jc w:val="both"/>
        <w:rPr>
          <w:rFonts w:cstheme="minorHAnsi"/>
        </w:rPr>
      </w:pPr>
      <w:r w:rsidRPr="0010075A">
        <w:rPr>
          <w:rFonts w:eastAsia="Times New Roman" w:cstheme="minorHAnsi"/>
          <w:b/>
          <w:bCs/>
        </w:rPr>
        <w:t>Targeted – Data-Independent Acquisition (</w:t>
      </w:r>
      <w:proofErr w:type="spellStart"/>
      <w:r w:rsidRPr="0010075A">
        <w:rPr>
          <w:rFonts w:eastAsia="Times New Roman" w:cstheme="minorHAnsi"/>
          <w:b/>
          <w:bCs/>
        </w:rPr>
        <w:t>tDIA</w:t>
      </w:r>
      <w:proofErr w:type="spellEnd"/>
      <w:r w:rsidRPr="0010075A">
        <w:rPr>
          <w:rFonts w:eastAsia="Times New Roman" w:cstheme="minorHAnsi"/>
          <w:b/>
          <w:bCs/>
        </w:rPr>
        <w:t>) processing</w:t>
      </w:r>
      <w:r w:rsidRPr="0010075A">
        <w:rPr>
          <w:rFonts w:cstheme="minorHAnsi"/>
        </w:rPr>
        <w:t xml:space="preserve">. </w:t>
      </w:r>
      <w:r w:rsidRPr="0010075A">
        <w:rPr>
          <w:rFonts w:eastAsia="Times New Roman" w:cstheme="minorHAnsi"/>
        </w:rPr>
        <w:t xml:space="preserve">MS files were analyzed using </w:t>
      </w:r>
      <w:proofErr w:type="spellStart"/>
      <w:r w:rsidRPr="0010075A">
        <w:rPr>
          <w:rFonts w:eastAsia="Times New Roman" w:cstheme="minorHAnsi"/>
        </w:rPr>
        <w:t>Spectronaut</w:t>
      </w:r>
      <w:proofErr w:type="spellEnd"/>
      <w:r w:rsidRPr="0010075A">
        <w:rPr>
          <w:rFonts w:eastAsia="Times New Roman" w:cstheme="minorHAnsi"/>
        </w:rPr>
        <w:t xml:space="preserve"> version 15.1.210713.50606 (</w:t>
      </w:r>
      <w:proofErr w:type="spellStart"/>
      <w:r w:rsidRPr="0010075A">
        <w:rPr>
          <w:rFonts w:eastAsia="Times New Roman" w:cstheme="minorHAnsi"/>
        </w:rPr>
        <w:t>Biognosys</w:t>
      </w:r>
      <w:proofErr w:type="spellEnd"/>
      <w:r w:rsidRPr="0010075A">
        <w:rPr>
          <w:rFonts w:eastAsia="Times New Roman" w:cstheme="minorHAnsi"/>
        </w:rPr>
        <w:t>). Vendor factory settings were applied for data extraction, consolidation and normalization. “Spike-in” was selected as workflow type and the PQ500 transition list was provided as library.</w:t>
      </w:r>
      <w:r w:rsidRPr="0010075A">
        <w:rPr>
          <w:rFonts w:cstheme="minorHAnsi"/>
        </w:rPr>
        <w:t xml:space="preserve"> </w:t>
      </w:r>
      <w:r w:rsidRPr="0010075A">
        <w:rPr>
          <w:rFonts w:eastAsia="Times New Roman" w:cstheme="minorHAnsi"/>
        </w:rPr>
        <w:t xml:space="preserve">Targeted DIA data were further processed in R statistical environment (v3.5.1). Coefficient of variation (CV) of PQ500 reference peptide intensities were calculated across samples and reference peptides </w:t>
      </w:r>
      <w:r w:rsidR="00DF75F6" w:rsidRPr="0010075A">
        <w:rPr>
          <w:rFonts w:eastAsia="Times New Roman" w:cstheme="minorHAnsi"/>
        </w:rPr>
        <w:t xml:space="preserve">with </w:t>
      </w:r>
      <w:r w:rsidRPr="0010075A">
        <w:rPr>
          <w:rFonts w:eastAsia="Times New Roman" w:cstheme="minorHAnsi"/>
        </w:rPr>
        <w:t>CV</w:t>
      </w:r>
      <w:r w:rsidR="00DF75F6" w:rsidRPr="0010075A">
        <w:rPr>
          <w:rFonts w:eastAsia="Times New Roman" w:cstheme="minorHAnsi"/>
        </w:rPr>
        <w:t>s</w:t>
      </w:r>
      <w:r w:rsidRPr="0010075A">
        <w:rPr>
          <w:rFonts w:eastAsia="Times New Roman" w:cstheme="minorHAnsi"/>
        </w:rPr>
        <w:t xml:space="preserve"> above 20% were filtered out. The endogenous peptide concentration was calculated based on the concentration of the reference peptide and endogenous to reference ratio. Protein concentrations were further evaluated by the means of the peptide concentrations. Protein</w:t>
      </w:r>
      <w:r w:rsidR="00DF75F6" w:rsidRPr="0010075A">
        <w:rPr>
          <w:rFonts w:eastAsia="Times New Roman" w:cstheme="minorHAnsi"/>
        </w:rPr>
        <w:t>s</w:t>
      </w:r>
      <w:r w:rsidRPr="0010075A">
        <w:rPr>
          <w:rFonts w:eastAsia="Times New Roman" w:cstheme="minorHAnsi"/>
        </w:rPr>
        <w:t xml:space="preserve"> with more than 50% missing values across samples were filtered out.</w:t>
      </w:r>
      <w:r w:rsidRPr="0010075A">
        <w:rPr>
          <w:rFonts w:cstheme="minorHAnsi"/>
        </w:rPr>
        <w:t xml:space="preserve"> </w:t>
      </w:r>
      <w:r w:rsidRPr="0010075A">
        <w:rPr>
          <w:rFonts w:eastAsia="Times New Roman" w:cstheme="minorHAnsi"/>
        </w:rPr>
        <w:t>Each protein concentration was normalized to its median. Further statistical analysis is described below (Computational data analysis - Systems response profiles of omics data)</w:t>
      </w:r>
    </w:p>
    <w:p w14:paraId="6F8ED9A5" w14:textId="4C4E8D9A" w:rsidR="00627D55" w:rsidRPr="0010075A" w:rsidRDefault="00627D55" w:rsidP="0010075A">
      <w:pPr>
        <w:spacing w:line="480" w:lineRule="auto"/>
        <w:jc w:val="both"/>
        <w:rPr>
          <w:rFonts w:eastAsia="Times New Roman" w:cstheme="minorHAnsi"/>
        </w:rPr>
      </w:pPr>
      <w:r w:rsidRPr="0010075A">
        <w:rPr>
          <w:rFonts w:eastAsia="Times New Roman" w:cstheme="minorHAnsi"/>
          <w:b/>
          <w:bCs/>
        </w:rPr>
        <w:t xml:space="preserve">Library – free DIA (also called </w:t>
      </w:r>
      <w:proofErr w:type="spellStart"/>
      <w:r w:rsidRPr="0010075A">
        <w:rPr>
          <w:rFonts w:eastAsia="Times New Roman" w:cstheme="minorHAnsi"/>
          <w:b/>
          <w:bCs/>
        </w:rPr>
        <w:t>directDIA</w:t>
      </w:r>
      <w:proofErr w:type="spellEnd"/>
      <w:r w:rsidRPr="0010075A">
        <w:rPr>
          <w:rFonts w:eastAsia="Times New Roman" w:cstheme="minorHAnsi"/>
          <w:b/>
          <w:bCs/>
        </w:rPr>
        <w:t xml:space="preserve">, </w:t>
      </w:r>
      <w:proofErr w:type="spellStart"/>
      <w:r w:rsidRPr="0010075A">
        <w:rPr>
          <w:rFonts w:eastAsia="Times New Roman" w:cstheme="minorHAnsi"/>
          <w:b/>
          <w:bCs/>
        </w:rPr>
        <w:t>dDIA</w:t>
      </w:r>
      <w:proofErr w:type="spellEnd"/>
      <w:r w:rsidRPr="0010075A">
        <w:rPr>
          <w:rFonts w:eastAsia="Times New Roman" w:cstheme="minorHAnsi"/>
          <w:b/>
          <w:bCs/>
        </w:rPr>
        <w:t>) processing</w:t>
      </w:r>
      <w:r w:rsidRPr="0010075A">
        <w:rPr>
          <w:rFonts w:eastAsia="MS Gothic" w:cstheme="minorHAnsi"/>
        </w:rPr>
        <w:t xml:space="preserve">. </w:t>
      </w:r>
      <w:r w:rsidRPr="0010075A">
        <w:rPr>
          <w:rFonts w:eastAsia="Times New Roman" w:cstheme="minorHAnsi"/>
        </w:rPr>
        <w:t xml:space="preserve">MS raw files were analyzed using </w:t>
      </w:r>
      <w:proofErr w:type="spellStart"/>
      <w:r w:rsidRPr="0010075A">
        <w:rPr>
          <w:rFonts w:eastAsia="Times New Roman" w:cstheme="minorHAnsi"/>
        </w:rPr>
        <w:t>Spectronaut</w:t>
      </w:r>
      <w:proofErr w:type="spellEnd"/>
      <w:r w:rsidRPr="0010075A">
        <w:rPr>
          <w:rFonts w:eastAsia="Times New Roman" w:cstheme="minorHAnsi"/>
        </w:rPr>
        <w:t xml:space="preserve"> version 15.1.210713.50606 (</w:t>
      </w:r>
      <w:proofErr w:type="spellStart"/>
      <w:r w:rsidRPr="0010075A">
        <w:rPr>
          <w:rFonts w:eastAsia="Times New Roman" w:cstheme="minorHAnsi"/>
        </w:rPr>
        <w:t>Biognosys</w:t>
      </w:r>
      <w:proofErr w:type="spellEnd"/>
      <w:r w:rsidRPr="0010075A">
        <w:rPr>
          <w:rFonts w:eastAsia="Times New Roman" w:cstheme="minorHAnsi"/>
        </w:rPr>
        <w:t xml:space="preserve">) using </w:t>
      </w:r>
      <w:proofErr w:type="spellStart"/>
      <w:r w:rsidRPr="0010075A">
        <w:rPr>
          <w:rFonts w:eastAsia="Times New Roman" w:cstheme="minorHAnsi"/>
        </w:rPr>
        <w:t>directDIA</w:t>
      </w:r>
      <w:proofErr w:type="spellEnd"/>
      <w:r w:rsidRPr="0010075A">
        <w:rPr>
          <w:rFonts w:eastAsia="Times New Roman" w:cstheme="minorHAnsi"/>
        </w:rPr>
        <w:t>. Vendor factory settings were applied for data extraction, consolidation</w:t>
      </w:r>
      <w:r w:rsidR="00DF75F6" w:rsidRPr="0010075A">
        <w:rPr>
          <w:rFonts w:eastAsia="Times New Roman" w:cstheme="minorHAnsi"/>
        </w:rPr>
        <w:t>,</w:t>
      </w:r>
      <w:r w:rsidRPr="0010075A">
        <w:rPr>
          <w:rFonts w:eastAsia="Times New Roman" w:cstheme="minorHAnsi"/>
        </w:rPr>
        <w:t xml:space="preserve"> and normalization. Protein identification was performed using The Swiss-Prot Human database (download date: February 2019).</w:t>
      </w:r>
      <w:r w:rsidRPr="0010075A">
        <w:rPr>
          <w:rFonts w:eastAsia="MS Gothic" w:cstheme="minorHAnsi"/>
        </w:rPr>
        <w:t xml:space="preserve"> </w:t>
      </w:r>
      <w:proofErr w:type="spellStart"/>
      <w:r w:rsidRPr="0010075A">
        <w:rPr>
          <w:rFonts w:eastAsia="Times New Roman" w:cstheme="minorHAnsi"/>
        </w:rPr>
        <w:t>DirectDIA</w:t>
      </w:r>
      <w:proofErr w:type="spellEnd"/>
      <w:r w:rsidRPr="0010075A">
        <w:rPr>
          <w:rFonts w:eastAsia="Times New Roman" w:cstheme="minorHAnsi"/>
        </w:rPr>
        <w:t xml:space="preserve"> data were further processed using R (v3.5.1). Protein intensities were calculated as the sum of the precu</w:t>
      </w:r>
      <w:r w:rsidR="00D06692" w:rsidRPr="0010075A">
        <w:rPr>
          <w:rFonts w:eastAsia="Times New Roman" w:cstheme="minorHAnsi"/>
        </w:rPr>
        <w:t>r</w:t>
      </w:r>
      <w:r w:rsidRPr="0010075A">
        <w:rPr>
          <w:rFonts w:eastAsia="Times New Roman" w:cstheme="minorHAnsi"/>
        </w:rPr>
        <w:t>sor intensities. Protein with more than 50% missing values across samples were filtered out. Each protein concentration was normalized to its median</w:t>
      </w:r>
      <w:r w:rsidR="00F13813" w:rsidRPr="0010075A">
        <w:rPr>
          <w:rFonts w:eastAsia="Times New Roman" w:cstheme="minorHAnsi"/>
        </w:rPr>
        <w:t>,</w:t>
      </w:r>
      <w:r w:rsidRPr="0010075A">
        <w:rPr>
          <w:rFonts w:eastAsia="Times New Roman" w:cstheme="minorHAnsi"/>
        </w:rPr>
        <w:t xml:space="preserve"> and the statistical analysis was performed as described for </w:t>
      </w:r>
      <w:proofErr w:type="spellStart"/>
      <w:r w:rsidRPr="0010075A">
        <w:rPr>
          <w:rFonts w:eastAsia="Times New Roman" w:cstheme="minorHAnsi"/>
        </w:rPr>
        <w:t>tDIA</w:t>
      </w:r>
      <w:proofErr w:type="spellEnd"/>
      <w:r w:rsidRPr="0010075A">
        <w:rPr>
          <w:rFonts w:eastAsia="Times New Roman" w:cstheme="minorHAnsi"/>
        </w:rPr>
        <w:t>.</w:t>
      </w:r>
    </w:p>
    <w:p w14:paraId="564089BF" w14:textId="77777777" w:rsidR="00627D55" w:rsidRPr="0010075A" w:rsidRDefault="00627D55" w:rsidP="0010075A">
      <w:pPr>
        <w:spacing w:line="480" w:lineRule="auto"/>
        <w:jc w:val="both"/>
        <w:rPr>
          <w:rFonts w:ascii="Times New Roman" w:eastAsia="MS Gothic" w:hAnsi="Times New Roman" w:cs="Times New Roman"/>
        </w:rPr>
      </w:pPr>
    </w:p>
    <w:p w14:paraId="04F15981" w14:textId="77777777" w:rsidR="00627D55" w:rsidRPr="0010075A" w:rsidRDefault="00627D55" w:rsidP="0010075A">
      <w:pPr>
        <w:pStyle w:val="Heading2"/>
        <w:spacing w:line="480" w:lineRule="auto"/>
        <w:jc w:val="both"/>
        <w:rPr>
          <w:color w:val="auto"/>
        </w:rPr>
      </w:pPr>
      <w:r w:rsidRPr="0010075A">
        <w:rPr>
          <w:color w:val="auto"/>
        </w:rPr>
        <w:t>Lipid mediators – Sample analysis and data processing</w:t>
      </w:r>
    </w:p>
    <w:p w14:paraId="3A0359AB" w14:textId="2EFB1799" w:rsidR="00627D55" w:rsidRPr="0010075A" w:rsidRDefault="00627D55" w:rsidP="0010075A">
      <w:pPr>
        <w:spacing w:line="480" w:lineRule="auto"/>
        <w:jc w:val="both"/>
        <w:rPr>
          <w:rFonts w:eastAsia="Arial" w:cstheme="minorHAnsi"/>
        </w:rPr>
      </w:pPr>
      <w:r w:rsidRPr="0010075A">
        <w:rPr>
          <w:rFonts w:cstheme="minorHAnsi"/>
          <w:b/>
          <w:bCs/>
        </w:rPr>
        <w:t xml:space="preserve">Sample preparation: </w:t>
      </w:r>
      <w:r w:rsidR="00F13813" w:rsidRPr="0010075A">
        <w:rPr>
          <w:rFonts w:cstheme="minorHAnsi"/>
        </w:rPr>
        <w:t>Human plasma aliquots (</w:t>
      </w:r>
      <w:r w:rsidRPr="0010075A">
        <w:rPr>
          <w:rFonts w:cstheme="minorHAnsi"/>
        </w:rPr>
        <w:t>100 µL</w:t>
      </w:r>
      <w:r w:rsidR="00F13813" w:rsidRPr="0010075A">
        <w:rPr>
          <w:rFonts w:cstheme="minorHAnsi"/>
        </w:rPr>
        <w:t>)</w:t>
      </w:r>
      <w:r w:rsidRPr="0010075A">
        <w:rPr>
          <w:rFonts w:cstheme="minorHAnsi"/>
        </w:rPr>
        <w:t xml:space="preserve"> were spiked with 10 µL of internal standard mixture, precipitated with </w:t>
      </w:r>
      <w:r w:rsidRPr="0010075A">
        <w:rPr>
          <w:rFonts w:eastAsia="Calibri" w:cstheme="minorHAnsi"/>
        </w:rPr>
        <w:t>400</w:t>
      </w:r>
      <w:r w:rsidR="00F13813" w:rsidRPr="0010075A">
        <w:rPr>
          <w:rFonts w:eastAsia="Calibri" w:cstheme="minorHAnsi"/>
        </w:rPr>
        <w:t xml:space="preserve"> </w:t>
      </w:r>
      <w:r w:rsidRPr="0010075A">
        <w:rPr>
          <w:rFonts w:eastAsia="Calibri" w:cstheme="minorHAnsi"/>
        </w:rPr>
        <w:t>µL of 0.1% formic acid in methanol, mixed for 10 min at 2000 rpm at room temperature. Then the sample was centrifuged at 4°C for 10 min at 12</w:t>
      </w:r>
      <w:r w:rsidR="00F13813" w:rsidRPr="0010075A">
        <w:rPr>
          <w:rFonts w:eastAsia="Calibri" w:cstheme="minorHAnsi"/>
        </w:rPr>
        <w:t>,</w:t>
      </w:r>
      <w:r w:rsidRPr="0010075A">
        <w:rPr>
          <w:rFonts w:eastAsia="Calibri" w:cstheme="minorHAnsi"/>
        </w:rPr>
        <w:t>700</w:t>
      </w:r>
      <w:r w:rsidR="00F13813" w:rsidRPr="0010075A">
        <w:rPr>
          <w:rFonts w:eastAsia="Calibri" w:cstheme="minorHAnsi"/>
        </w:rPr>
        <w:t xml:space="preserve"> </w:t>
      </w:r>
      <w:r w:rsidRPr="0010075A">
        <w:rPr>
          <w:rFonts w:eastAsia="Calibri" w:cstheme="minorHAnsi"/>
        </w:rPr>
        <w:t>rpm. The supernatant was collected and transferred to 2</w:t>
      </w:r>
      <w:r w:rsidR="00F13813" w:rsidRPr="0010075A">
        <w:rPr>
          <w:rFonts w:eastAsia="Calibri" w:cstheme="minorHAnsi"/>
        </w:rPr>
        <w:t>-</w:t>
      </w:r>
      <w:r w:rsidRPr="0010075A">
        <w:rPr>
          <w:rFonts w:eastAsia="Calibri" w:cstheme="minorHAnsi"/>
        </w:rPr>
        <w:t xml:space="preserve">mL </w:t>
      </w:r>
      <w:r w:rsidR="00F13813" w:rsidRPr="0010075A">
        <w:rPr>
          <w:rFonts w:eastAsia="Calibri" w:cstheme="minorHAnsi"/>
        </w:rPr>
        <w:t>E</w:t>
      </w:r>
      <w:r w:rsidRPr="0010075A">
        <w:rPr>
          <w:rFonts w:eastAsia="Calibri" w:cstheme="minorHAnsi"/>
        </w:rPr>
        <w:t>ppe</w:t>
      </w:r>
      <w:r w:rsidR="00F13813" w:rsidRPr="0010075A">
        <w:rPr>
          <w:rFonts w:eastAsia="Calibri" w:cstheme="minorHAnsi"/>
        </w:rPr>
        <w:t>n</w:t>
      </w:r>
      <w:r w:rsidRPr="0010075A">
        <w:rPr>
          <w:rFonts w:eastAsia="Calibri" w:cstheme="minorHAnsi"/>
        </w:rPr>
        <w:t>dorf tubes and diluted with 900 µL of 0.1% formic acid</w:t>
      </w:r>
      <w:r w:rsidR="00C52D0C" w:rsidRPr="0010075A">
        <w:rPr>
          <w:rFonts w:eastAsia="Calibri" w:cstheme="minorHAnsi"/>
        </w:rPr>
        <w:t xml:space="preserve"> (FA)</w:t>
      </w:r>
      <w:r w:rsidRPr="0010075A">
        <w:rPr>
          <w:rFonts w:eastAsia="Calibri" w:cstheme="minorHAnsi"/>
        </w:rPr>
        <w:t xml:space="preserve"> solution in water and vortexed. Samples were loaded into ABN Evolute 96-well plate (Biotage, </w:t>
      </w:r>
      <w:r w:rsidR="00406FE7" w:rsidRPr="0010075A">
        <w:rPr>
          <w:rFonts w:eastAsia="Calibri" w:cstheme="minorHAnsi"/>
        </w:rPr>
        <w:t xml:space="preserve">Uppsala, </w:t>
      </w:r>
      <w:r w:rsidRPr="0010075A">
        <w:rPr>
          <w:rFonts w:eastAsia="Calibri" w:cstheme="minorHAnsi"/>
        </w:rPr>
        <w:t>Sweden) and filtered under low nitrogen pressure on positive pressure manifold (Waters</w:t>
      </w:r>
      <w:r w:rsidR="00C52D0C" w:rsidRPr="0010075A">
        <w:rPr>
          <w:rFonts w:eastAsia="Calibri" w:cstheme="minorHAnsi"/>
        </w:rPr>
        <w:t xml:space="preserve"> Corp.</w:t>
      </w:r>
      <w:r w:rsidRPr="0010075A">
        <w:rPr>
          <w:rFonts w:eastAsia="Calibri" w:cstheme="minorHAnsi"/>
        </w:rPr>
        <w:t xml:space="preserve">). The plate was washed two times with 1 mL of 0.1% formic acid solution in 15% methanol/water and sequentially with 1 mL of hexane and the pressure was applied </w:t>
      </w:r>
      <w:r w:rsidR="00C52D0C" w:rsidRPr="0010075A">
        <w:rPr>
          <w:rFonts w:eastAsia="Calibri" w:cstheme="minorHAnsi"/>
        </w:rPr>
        <w:t>un</w:t>
      </w:r>
      <w:r w:rsidRPr="0010075A">
        <w:rPr>
          <w:rFonts w:eastAsia="Calibri" w:cstheme="minorHAnsi"/>
        </w:rPr>
        <w:t>til</w:t>
      </w:r>
      <w:r w:rsidR="00C52D0C" w:rsidRPr="0010075A">
        <w:rPr>
          <w:rFonts w:eastAsia="Calibri" w:cstheme="minorHAnsi"/>
        </w:rPr>
        <w:t xml:space="preserve"> the</w:t>
      </w:r>
      <w:r w:rsidRPr="0010075A">
        <w:rPr>
          <w:rFonts w:eastAsia="Calibri" w:cstheme="minorHAnsi"/>
        </w:rPr>
        <w:t xml:space="preserve"> plate was dried. Samples were eluted with 1 mL 0.1% formic acid in methanol and evaporated in vacuum concentrator. Dried samples were r</w:t>
      </w:r>
      <w:r w:rsidRPr="0010075A">
        <w:rPr>
          <w:rFonts w:eastAsia="Arial" w:cstheme="minorHAnsi"/>
        </w:rPr>
        <w:t>e-</w:t>
      </w:r>
      <w:r w:rsidRPr="0010075A">
        <w:rPr>
          <w:rFonts w:eastAsia="Arial" w:cstheme="minorHAnsi"/>
        </w:rPr>
        <w:lastRenderedPageBreak/>
        <w:t>suspended in 30 µL 80%MeOH/0.1% FA in water, vortexed and transferred to the LC injection vi</w:t>
      </w:r>
      <w:r w:rsidR="00C52D0C" w:rsidRPr="0010075A">
        <w:rPr>
          <w:rFonts w:eastAsia="Arial" w:cstheme="minorHAnsi"/>
        </w:rPr>
        <w:t>a</w:t>
      </w:r>
      <w:r w:rsidRPr="0010075A">
        <w:rPr>
          <w:rFonts w:eastAsia="Arial" w:cstheme="minorHAnsi"/>
        </w:rPr>
        <w:t xml:space="preserve">ls. </w:t>
      </w:r>
      <w:r w:rsidR="00C52D0C" w:rsidRPr="0010075A">
        <w:rPr>
          <w:rFonts w:eastAsia="Arial" w:cstheme="minorHAnsi"/>
        </w:rPr>
        <w:t>Ten microliters</w:t>
      </w:r>
      <w:r w:rsidRPr="0010075A">
        <w:rPr>
          <w:rFonts w:eastAsia="Arial" w:cstheme="minorHAnsi"/>
        </w:rPr>
        <w:t xml:space="preserve"> of sample was injected for further analysis. Each sample batch contained </w:t>
      </w:r>
      <w:r w:rsidR="00C52D0C" w:rsidRPr="0010075A">
        <w:rPr>
          <w:rFonts w:eastAsia="Arial" w:cstheme="minorHAnsi"/>
        </w:rPr>
        <w:t>four</w:t>
      </w:r>
      <w:r w:rsidRPr="0010075A">
        <w:rPr>
          <w:rFonts w:eastAsia="Arial" w:cstheme="minorHAnsi"/>
        </w:rPr>
        <w:t xml:space="preserve"> quality control samples (pooled commercial human plasma), one total blank and one internal standard blank sample.</w:t>
      </w:r>
    </w:p>
    <w:p w14:paraId="2D93CA9E" w14:textId="71C521F8" w:rsidR="00627D55" w:rsidRPr="0010075A" w:rsidRDefault="00627D55" w:rsidP="0010075A">
      <w:pPr>
        <w:spacing w:line="480" w:lineRule="auto"/>
        <w:jc w:val="both"/>
        <w:rPr>
          <w:rFonts w:cstheme="minorHAnsi"/>
          <w:b/>
          <w:bCs/>
        </w:rPr>
      </w:pPr>
      <w:r w:rsidRPr="0010075A">
        <w:rPr>
          <w:rFonts w:cstheme="minorHAnsi"/>
          <w:b/>
          <w:bCs/>
        </w:rPr>
        <w:t xml:space="preserve">Sample analysis by UPLC-MS/MS. </w:t>
      </w:r>
      <w:r w:rsidRPr="0010075A">
        <w:rPr>
          <w:rFonts w:cstheme="minorHAnsi"/>
        </w:rPr>
        <w:t xml:space="preserve">LC-MS analysis was performed on the Shimadzu </w:t>
      </w:r>
      <w:proofErr w:type="spellStart"/>
      <w:r w:rsidRPr="0010075A">
        <w:rPr>
          <w:rFonts w:cstheme="minorHAnsi"/>
        </w:rPr>
        <w:t>Nexera</w:t>
      </w:r>
      <w:proofErr w:type="spellEnd"/>
      <w:r w:rsidRPr="0010075A">
        <w:rPr>
          <w:rFonts w:cstheme="minorHAnsi"/>
        </w:rPr>
        <w:t xml:space="preserve"> X2 system connected to the 8060 triple quadrupole (Shimadzu, </w:t>
      </w:r>
      <w:r w:rsidR="009B71A9" w:rsidRPr="0010075A">
        <w:rPr>
          <w:rFonts w:eastAsiaTheme="minorEastAsia" w:cstheme="minorHAnsi"/>
        </w:rPr>
        <w:t>Kyoto, Japan</w:t>
      </w:r>
      <w:r w:rsidRPr="0010075A">
        <w:rPr>
          <w:rFonts w:cstheme="minorHAnsi"/>
        </w:rPr>
        <w:t xml:space="preserve">). The ESI source settings were set with the following parameters: gas flow of 2.5 L/min, heating gas flow of 10 L/min, interface temperature of 270°C, </w:t>
      </w:r>
      <w:proofErr w:type="spellStart"/>
      <w:r w:rsidRPr="0010075A">
        <w:rPr>
          <w:rFonts w:cstheme="minorHAnsi"/>
        </w:rPr>
        <w:t>desolvation</w:t>
      </w:r>
      <w:proofErr w:type="spellEnd"/>
      <w:r w:rsidRPr="0010075A">
        <w:rPr>
          <w:rFonts w:cstheme="minorHAnsi"/>
        </w:rPr>
        <w:t xml:space="preserve"> line temperature of 250°C, heat block temperature of 400°C and drying gas flow rate of 10 L/min. 196 compounds were separated by 30 min gradient UPLC program and analyzed in MRM mode 30 according to Shimadzu Lipid Mediator Method version 3.0. Relative quantification was done based on the normalization of signal intensity of each endogenous compound per the intensity of one out of 18 isotopically labelled standards (one standard per sub-family of compounds) which were added to each sample before the sample preparation. Data were processed using LabSolutions software</w:t>
      </w:r>
      <w:r w:rsidR="009B71A9" w:rsidRPr="0010075A">
        <w:rPr>
          <w:rFonts w:cstheme="minorHAnsi"/>
        </w:rPr>
        <w:t xml:space="preserve"> (Shimadzu)</w:t>
      </w:r>
      <w:r w:rsidRPr="0010075A">
        <w:rPr>
          <w:rFonts w:cstheme="minorHAnsi"/>
        </w:rPr>
        <w:t>.</w:t>
      </w:r>
    </w:p>
    <w:p w14:paraId="19D0CC8B" w14:textId="5E66AB54" w:rsidR="00627D55" w:rsidRPr="0010075A" w:rsidRDefault="00627D55" w:rsidP="0010075A">
      <w:pPr>
        <w:spacing w:line="480" w:lineRule="auto"/>
        <w:jc w:val="both"/>
        <w:rPr>
          <w:rFonts w:cstheme="minorHAnsi"/>
        </w:rPr>
      </w:pPr>
      <w:r w:rsidRPr="0010075A">
        <w:rPr>
          <w:rFonts w:cstheme="minorHAnsi"/>
          <w:b/>
          <w:bCs/>
        </w:rPr>
        <w:t>Data processing.</w:t>
      </w:r>
      <w:r w:rsidRPr="0010075A">
        <w:rPr>
          <w:rFonts w:cstheme="minorHAnsi"/>
        </w:rPr>
        <w:t xml:space="preserve"> Lipid medicators (LIPLMP) dataset was further processed in R statistical environment (v3.5.1). The concentrations of LIPLMP were normalized to the internal standards and sample volume. Lipid data with 90% or more missing values across samples. </w:t>
      </w:r>
      <w:r w:rsidRPr="0010075A">
        <w:rPr>
          <w:rFonts w:eastAsia="Times New Roman" w:cstheme="minorHAnsi"/>
        </w:rPr>
        <w:t>Further statistical analysis is described below (Computational data analysis - Systems response profiles of omics data)</w:t>
      </w:r>
      <w:r w:rsidR="00570871" w:rsidRPr="0010075A">
        <w:rPr>
          <w:rFonts w:eastAsia="Times New Roman" w:cstheme="minorHAnsi"/>
        </w:rPr>
        <w:t>.</w:t>
      </w:r>
    </w:p>
    <w:p w14:paraId="7A43AC5C" w14:textId="77777777" w:rsidR="00627D55" w:rsidRPr="0010075A" w:rsidRDefault="00627D55" w:rsidP="0010075A">
      <w:pPr>
        <w:spacing w:line="480" w:lineRule="auto"/>
        <w:jc w:val="both"/>
      </w:pPr>
    </w:p>
    <w:p w14:paraId="11384AA6" w14:textId="77777777" w:rsidR="00627D55" w:rsidRPr="0010075A" w:rsidRDefault="00627D55" w:rsidP="0010075A">
      <w:pPr>
        <w:pStyle w:val="Heading2"/>
        <w:spacing w:line="480" w:lineRule="auto"/>
        <w:jc w:val="both"/>
        <w:rPr>
          <w:color w:val="auto"/>
        </w:rPr>
      </w:pPr>
      <w:r w:rsidRPr="0010075A">
        <w:rPr>
          <w:color w:val="auto"/>
        </w:rPr>
        <w:t>Transcriptomics – Sample analysis and data processing</w:t>
      </w:r>
    </w:p>
    <w:p w14:paraId="37947448" w14:textId="32B51BAF" w:rsidR="00627D55" w:rsidRPr="0010075A" w:rsidRDefault="00627D55" w:rsidP="0010075A">
      <w:pPr>
        <w:spacing w:line="480" w:lineRule="auto"/>
        <w:jc w:val="both"/>
        <w:rPr>
          <w:rFonts w:cstheme="minorHAnsi"/>
        </w:rPr>
      </w:pPr>
      <w:r w:rsidRPr="0010075A">
        <w:rPr>
          <w:rFonts w:cstheme="minorHAnsi"/>
          <w:b/>
        </w:rPr>
        <w:t xml:space="preserve">RNA isolation. </w:t>
      </w:r>
      <w:r w:rsidRPr="0010075A">
        <w:rPr>
          <w:rFonts w:cstheme="minorHAnsi"/>
          <w:bCs/>
          <w:i/>
          <w:iCs/>
        </w:rPr>
        <w:t>B cells (B), Monocytes (M), Neutrophiles (N), Red blood cells (R), T4 cells, T8 cells</w:t>
      </w:r>
      <w:r w:rsidRPr="0010075A">
        <w:rPr>
          <w:rFonts w:cstheme="minorHAnsi"/>
          <w:bCs/>
        </w:rPr>
        <w:t xml:space="preserve">. </w:t>
      </w:r>
      <w:r w:rsidRPr="0010075A">
        <w:rPr>
          <w:rFonts w:cstheme="minorHAnsi"/>
        </w:rPr>
        <w:t xml:space="preserve">Samples were collected and lysed in 500 µL </w:t>
      </w:r>
      <w:proofErr w:type="spellStart"/>
      <w:r w:rsidRPr="0010075A">
        <w:rPr>
          <w:rFonts w:cstheme="minorHAnsi"/>
        </w:rPr>
        <w:t>Qiazol</w:t>
      </w:r>
      <w:proofErr w:type="spellEnd"/>
      <w:r w:rsidRPr="0010075A">
        <w:rPr>
          <w:rFonts w:cstheme="minorHAnsi"/>
        </w:rPr>
        <w:t xml:space="preserve"> buffer (</w:t>
      </w:r>
      <w:proofErr w:type="spellStart"/>
      <w:r w:rsidRPr="0010075A">
        <w:rPr>
          <w:rFonts w:cstheme="minorHAnsi"/>
        </w:rPr>
        <w:t>Qiagen</w:t>
      </w:r>
      <w:proofErr w:type="spellEnd"/>
      <w:r w:rsidRPr="0010075A">
        <w:rPr>
          <w:rFonts w:cstheme="minorHAnsi"/>
        </w:rPr>
        <w:t xml:space="preserve">, Hilden, Germany). Phase separation was obtained with 100 µL chloroform. </w:t>
      </w:r>
      <w:r w:rsidRPr="0010075A">
        <w:rPr>
          <w:rFonts w:cstheme="minorHAnsi"/>
          <w:i/>
          <w:iCs/>
        </w:rPr>
        <w:t>Platelets</w:t>
      </w:r>
      <w:r w:rsidRPr="0010075A">
        <w:rPr>
          <w:rFonts w:cstheme="minorHAnsi"/>
        </w:rPr>
        <w:t xml:space="preserve">. Samples were collected in 700 µL </w:t>
      </w:r>
      <w:proofErr w:type="spellStart"/>
      <w:r w:rsidRPr="0010075A">
        <w:rPr>
          <w:rFonts w:cstheme="minorHAnsi"/>
        </w:rPr>
        <w:t>Qiazol</w:t>
      </w:r>
      <w:proofErr w:type="spellEnd"/>
      <w:r w:rsidRPr="0010075A">
        <w:rPr>
          <w:rFonts w:cstheme="minorHAnsi"/>
        </w:rPr>
        <w:t xml:space="preserve"> reagent and phase separation was obtained with 140 µL chloroform. For all cell subtypes, RNA from the aqueous phase was extracted with RNeasy micro kit (Qiagen Cat. Number 74004) according to Qiagen protocol and RNA was eluted in 22 µL of RN</w:t>
      </w:r>
      <w:r w:rsidR="00141465" w:rsidRPr="0010075A">
        <w:rPr>
          <w:rFonts w:cstheme="minorHAnsi"/>
        </w:rPr>
        <w:t>a</w:t>
      </w:r>
      <w:r w:rsidRPr="0010075A">
        <w:rPr>
          <w:rFonts w:cstheme="minorHAnsi"/>
        </w:rPr>
        <w:t xml:space="preserve">se free water. </w:t>
      </w:r>
      <w:r w:rsidRPr="0010075A">
        <w:rPr>
          <w:rFonts w:cstheme="minorHAnsi"/>
          <w:i/>
          <w:iCs/>
        </w:rPr>
        <w:t>Whole blood.</w:t>
      </w:r>
      <w:r w:rsidRPr="0010075A">
        <w:rPr>
          <w:rFonts w:cstheme="minorHAnsi"/>
        </w:rPr>
        <w:t xml:space="preserve"> </w:t>
      </w:r>
      <w:proofErr w:type="spellStart"/>
      <w:r w:rsidRPr="0010075A">
        <w:rPr>
          <w:rFonts w:cstheme="minorHAnsi"/>
        </w:rPr>
        <w:t>Paxgene</w:t>
      </w:r>
      <w:proofErr w:type="spellEnd"/>
      <w:r w:rsidRPr="0010075A">
        <w:rPr>
          <w:rFonts w:cstheme="minorHAnsi"/>
        </w:rPr>
        <w:t xml:space="preserve"> Whole Blood (WB) samples were isolated with </w:t>
      </w:r>
      <w:proofErr w:type="spellStart"/>
      <w:r w:rsidRPr="0010075A">
        <w:rPr>
          <w:rFonts w:cstheme="minorHAnsi"/>
        </w:rPr>
        <w:t>PAXgene</w:t>
      </w:r>
      <w:proofErr w:type="spellEnd"/>
      <w:r w:rsidRPr="0010075A">
        <w:rPr>
          <w:rFonts w:cstheme="minorHAnsi"/>
        </w:rPr>
        <w:t xml:space="preserve"> Blood </w:t>
      </w:r>
      <w:proofErr w:type="spellStart"/>
      <w:r w:rsidRPr="0010075A">
        <w:rPr>
          <w:rFonts w:cstheme="minorHAnsi"/>
        </w:rPr>
        <w:t>miRNA</w:t>
      </w:r>
      <w:proofErr w:type="spellEnd"/>
      <w:r w:rsidRPr="0010075A">
        <w:rPr>
          <w:rFonts w:cstheme="minorHAnsi"/>
        </w:rPr>
        <w:t xml:space="preserve"> Kit (Qiagen cat. Number #763134).</w:t>
      </w:r>
    </w:p>
    <w:p w14:paraId="553DCDEA" w14:textId="6D25667E" w:rsidR="00627D55" w:rsidRPr="0010075A" w:rsidRDefault="00627D55" w:rsidP="0010075A">
      <w:pPr>
        <w:spacing w:line="480" w:lineRule="auto"/>
        <w:jc w:val="both"/>
        <w:rPr>
          <w:rFonts w:cstheme="minorHAnsi"/>
          <w:b/>
          <w:bCs/>
        </w:rPr>
      </w:pPr>
      <w:r w:rsidRPr="0010075A">
        <w:rPr>
          <w:rFonts w:cstheme="minorHAnsi"/>
          <w:b/>
          <w:bCs/>
        </w:rPr>
        <w:t xml:space="preserve">RNA quantification. </w:t>
      </w:r>
      <w:r w:rsidRPr="0010075A">
        <w:rPr>
          <w:rFonts w:cstheme="minorHAnsi"/>
        </w:rPr>
        <w:t>RNA was quantified using the Nanodrop 1000 instrument (Thermo</w:t>
      </w:r>
      <w:r w:rsidR="00DB5CD9" w:rsidRPr="0010075A">
        <w:rPr>
          <w:rFonts w:cstheme="minorHAnsi"/>
        </w:rPr>
        <w:t xml:space="preserve"> </w:t>
      </w:r>
      <w:r w:rsidRPr="0010075A">
        <w:rPr>
          <w:rFonts w:cstheme="minorHAnsi"/>
        </w:rPr>
        <w:t>Fisher</w:t>
      </w:r>
      <w:r w:rsidR="00DB5CD9" w:rsidRPr="0010075A">
        <w:rPr>
          <w:rFonts w:cstheme="minorHAnsi"/>
        </w:rPr>
        <w:t xml:space="preserve"> Scientific</w:t>
      </w:r>
      <w:r w:rsidRPr="0010075A">
        <w:rPr>
          <w:rFonts w:cstheme="minorHAnsi"/>
        </w:rPr>
        <w:t>). RNA integrity</w:t>
      </w:r>
      <w:r w:rsidR="00377744" w:rsidRPr="0010075A">
        <w:rPr>
          <w:rFonts w:cstheme="minorHAnsi"/>
        </w:rPr>
        <w:t xml:space="preserve"> number (RIN)</w:t>
      </w:r>
      <w:r w:rsidRPr="0010075A">
        <w:rPr>
          <w:rFonts w:cstheme="minorHAnsi"/>
        </w:rPr>
        <w:t xml:space="preserve"> was evaluated using the 2100 Bioanalyzer from Agilent (Agilent</w:t>
      </w:r>
      <w:r w:rsidR="00377744" w:rsidRPr="0010075A">
        <w:rPr>
          <w:rFonts w:cstheme="minorHAnsi"/>
        </w:rPr>
        <w:t xml:space="preserve"> Technologies</w:t>
      </w:r>
      <w:r w:rsidRPr="0010075A">
        <w:rPr>
          <w:rFonts w:cstheme="minorHAnsi"/>
        </w:rPr>
        <w:t>,</w:t>
      </w:r>
      <w:r w:rsidR="00377744" w:rsidRPr="0010075A">
        <w:rPr>
          <w:rFonts w:cstheme="minorHAnsi"/>
        </w:rPr>
        <w:t xml:space="preserve"> Santa Clara,</w:t>
      </w:r>
      <w:r w:rsidRPr="0010075A">
        <w:rPr>
          <w:rFonts w:cstheme="minorHAnsi"/>
        </w:rPr>
        <w:t xml:space="preserve"> CA, USA) with RNA 6000 Nano Kit Catalog number 5067-1511.</w:t>
      </w:r>
    </w:p>
    <w:p w14:paraId="3F116918" w14:textId="152691A1" w:rsidR="00627D55" w:rsidRPr="0010075A" w:rsidRDefault="00627D55" w:rsidP="0010075A">
      <w:pPr>
        <w:spacing w:line="480" w:lineRule="auto"/>
        <w:jc w:val="both"/>
        <w:rPr>
          <w:rFonts w:cstheme="minorHAnsi"/>
          <w:b/>
          <w:bCs/>
        </w:rPr>
      </w:pPr>
      <w:r w:rsidRPr="0010075A">
        <w:rPr>
          <w:rFonts w:cstheme="minorHAnsi"/>
          <w:i/>
          <w:iCs/>
        </w:rPr>
        <w:t>Lymphocytes B.</w:t>
      </w:r>
      <w:r w:rsidRPr="0010075A">
        <w:rPr>
          <w:rFonts w:cstheme="minorHAnsi"/>
        </w:rPr>
        <w:t xml:space="preserve"> RNA concentrations ranged between 10.4 and 121 ng/µL (mean 40.7 ng/µL). RIN ranged between 6.5 and 9.9 (mean 8.1). </w:t>
      </w:r>
      <w:r w:rsidR="00377744" w:rsidRPr="0010075A">
        <w:rPr>
          <w:rFonts w:cstheme="minorHAnsi"/>
        </w:rPr>
        <w:t xml:space="preserve">A total of </w:t>
      </w:r>
      <w:r w:rsidRPr="0010075A">
        <w:rPr>
          <w:rFonts w:cstheme="minorHAnsi"/>
        </w:rPr>
        <w:t>198/199 samples passed the acceptance criteria (concentration of at least 9 ng/µL and RIN greater than 6.0)</w:t>
      </w:r>
      <w:r w:rsidR="00377744" w:rsidRPr="0010075A">
        <w:rPr>
          <w:rFonts w:cstheme="minorHAnsi"/>
        </w:rPr>
        <w:t>;</w:t>
      </w:r>
      <w:r w:rsidRPr="0010075A">
        <w:rPr>
          <w:rFonts w:cstheme="minorHAnsi"/>
        </w:rPr>
        <w:t xml:space="preserve"> </w:t>
      </w:r>
      <w:r w:rsidR="00377744" w:rsidRPr="0010075A">
        <w:rPr>
          <w:rFonts w:cstheme="minorHAnsi"/>
        </w:rPr>
        <w:t>1</w:t>
      </w:r>
      <w:r w:rsidRPr="0010075A">
        <w:rPr>
          <w:rFonts w:cstheme="minorHAnsi"/>
        </w:rPr>
        <w:t xml:space="preserve"> sample did not pass due to a low concentration (7.35 ng/µL).</w:t>
      </w:r>
    </w:p>
    <w:p w14:paraId="19F98474" w14:textId="4EEE4FED" w:rsidR="00627D55" w:rsidRPr="0010075A" w:rsidRDefault="00627D55" w:rsidP="0010075A">
      <w:pPr>
        <w:spacing w:line="480" w:lineRule="auto"/>
        <w:jc w:val="both"/>
        <w:rPr>
          <w:rFonts w:cstheme="minorHAnsi"/>
        </w:rPr>
      </w:pPr>
      <w:r w:rsidRPr="0010075A">
        <w:rPr>
          <w:rFonts w:cstheme="minorHAnsi"/>
          <w:i/>
          <w:iCs/>
        </w:rPr>
        <w:t>Monocytes.</w:t>
      </w:r>
      <w:r w:rsidRPr="0010075A">
        <w:rPr>
          <w:rFonts w:cstheme="minorHAnsi"/>
        </w:rPr>
        <w:t xml:space="preserve"> RNA concentrations ranged between 19.1 and 121.4 ng/µL (mean 50 ng/µL). RIN ranged between 2.2 and 10 (mean 9.7). </w:t>
      </w:r>
      <w:r w:rsidR="00377744" w:rsidRPr="0010075A">
        <w:rPr>
          <w:rFonts w:cstheme="minorHAnsi"/>
        </w:rPr>
        <w:t xml:space="preserve">A total of </w:t>
      </w:r>
      <w:r w:rsidRPr="0010075A">
        <w:rPr>
          <w:rFonts w:cstheme="minorHAnsi"/>
        </w:rPr>
        <w:t>201/203 samples passed the acceptance criteria (concentration of at least 9 ng/µL and RIN greater than 6.0)</w:t>
      </w:r>
      <w:r w:rsidR="00377744" w:rsidRPr="0010075A">
        <w:rPr>
          <w:rFonts w:cstheme="minorHAnsi"/>
        </w:rPr>
        <w:t>;</w:t>
      </w:r>
      <w:r w:rsidRPr="0010075A">
        <w:rPr>
          <w:rFonts w:cstheme="minorHAnsi"/>
        </w:rPr>
        <w:t xml:space="preserve"> 2 samples did not pass due to suboptimal quality.</w:t>
      </w:r>
    </w:p>
    <w:p w14:paraId="145B1B9A" w14:textId="055B6937" w:rsidR="00627D55" w:rsidRPr="0010075A" w:rsidRDefault="00627D55" w:rsidP="0010075A">
      <w:pPr>
        <w:spacing w:line="480" w:lineRule="auto"/>
        <w:jc w:val="both"/>
        <w:rPr>
          <w:rFonts w:cstheme="minorHAnsi"/>
        </w:rPr>
      </w:pPr>
      <w:r w:rsidRPr="0010075A">
        <w:rPr>
          <w:rFonts w:cstheme="minorHAnsi"/>
          <w:i/>
          <w:iCs/>
        </w:rPr>
        <w:t>Neutrophils.</w:t>
      </w:r>
      <w:r w:rsidRPr="0010075A">
        <w:rPr>
          <w:rFonts w:cstheme="minorHAnsi"/>
        </w:rPr>
        <w:t xml:space="preserve"> RNA concentrations ranged between 9 and 35.3 ng/µL (mean 12.4 ng/µL). RIN ranged between 2.1 and 8.7 (mean 7.8). </w:t>
      </w:r>
      <w:r w:rsidR="00377744" w:rsidRPr="0010075A">
        <w:rPr>
          <w:rFonts w:cstheme="minorHAnsi"/>
        </w:rPr>
        <w:t xml:space="preserve">A total of </w:t>
      </w:r>
      <w:r w:rsidRPr="0010075A">
        <w:rPr>
          <w:rFonts w:cstheme="minorHAnsi"/>
        </w:rPr>
        <w:t>199/200 samples passed the acceptance criteria (concentration of at least 9 ng/µL and RIN greater than 6.0)</w:t>
      </w:r>
      <w:r w:rsidR="00377744" w:rsidRPr="0010075A">
        <w:rPr>
          <w:rFonts w:cstheme="minorHAnsi"/>
        </w:rPr>
        <w:t xml:space="preserve">; </w:t>
      </w:r>
      <w:r w:rsidRPr="0010075A">
        <w:rPr>
          <w:rFonts w:cstheme="minorHAnsi"/>
        </w:rPr>
        <w:t>1 sample did not pass due to suboptimal quality.</w:t>
      </w:r>
    </w:p>
    <w:p w14:paraId="063EA509" w14:textId="1EE01615" w:rsidR="00627D55" w:rsidRPr="0010075A" w:rsidRDefault="00627D55" w:rsidP="0010075A">
      <w:pPr>
        <w:spacing w:line="480" w:lineRule="auto"/>
        <w:jc w:val="both"/>
        <w:rPr>
          <w:rFonts w:cstheme="minorHAnsi"/>
        </w:rPr>
      </w:pPr>
      <w:r w:rsidRPr="0010075A">
        <w:rPr>
          <w:rFonts w:cstheme="minorHAnsi"/>
          <w:i/>
          <w:iCs/>
        </w:rPr>
        <w:lastRenderedPageBreak/>
        <w:t>Platelets.</w:t>
      </w:r>
      <w:r w:rsidRPr="0010075A">
        <w:rPr>
          <w:rFonts w:cstheme="minorHAnsi"/>
        </w:rPr>
        <w:t xml:space="preserve"> RNA concentrations ranged between 5.4 and 65.3 ng/µL (mean 20 ng/µL). RIN ranged between 2.1 and 7.7 (mean 4.3). </w:t>
      </w:r>
      <w:r w:rsidR="00377744" w:rsidRPr="0010075A">
        <w:rPr>
          <w:rFonts w:cstheme="minorHAnsi"/>
        </w:rPr>
        <w:t xml:space="preserve">A total of </w:t>
      </w:r>
      <w:r w:rsidRPr="0010075A">
        <w:rPr>
          <w:rFonts w:cstheme="minorHAnsi"/>
        </w:rPr>
        <w:t>15/204 samples passed the acceptance criteria (concentration of at least 9 ng/µL and RIN greater than 6.0). Due to the low quality and yields of the obtained RNA, the samples were addressed to a more sensitive downstream workflow (The</w:t>
      </w:r>
      <w:r w:rsidR="00CD0596" w:rsidRPr="0010075A">
        <w:rPr>
          <w:rFonts w:cstheme="minorHAnsi"/>
        </w:rPr>
        <w:t>r</w:t>
      </w:r>
      <w:r w:rsidRPr="0010075A">
        <w:rPr>
          <w:rFonts w:cstheme="minorHAnsi"/>
        </w:rPr>
        <w:t>mo</w:t>
      </w:r>
      <w:r w:rsidR="00CD0596" w:rsidRPr="0010075A">
        <w:rPr>
          <w:rFonts w:cstheme="minorHAnsi"/>
        </w:rPr>
        <w:t xml:space="preserve"> </w:t>
      </w:r>
      <w:r w:rsidRPr="0010075A">
        <w:rPr>
          <w:rFonts w:cstheme="minorHAnsi"/>
        </w:rPr>
        <w:t>Fisher IVT Pico) requiring 2 ng of total RNA as starting material.</w:t>
      </w:r>
    </w:p>
    <w:p w14:paraId="2C4E05B0" w14:textId="15BBF8D3" w:rsidR="00627D55" w:rsidRPr="0010075A" w:rsidRDefault="00627D55" w:rsidP="0010075A">
      <w:pPr>
        <w:spacing w:line="480" w:lineRule="auto"/>
        <w:jc w:val="both"/>
        <w:rPr>
          <w:rFonts w:cstheme="minorHAnsi"/>
        </w:rPr>
      </w:pPr>
      <w:r w:rsidRPr="0010075A">
        <w:rPr>
          <w:rFonts w:cstheme="minorHAnsi"/>
          <w:i/>
          <w:iCs/>
        </w:rPr>
        <w:t>Red blood cell:</w:t>
      </w:r>
      <w:r w:rsidRPr="0010075A">
        <w:rPr>
          <w:rFonts w:cstheme="minorHAnsi"/>
        </w:rPr>
        <w:t xml:space="preserve"> RNA concentrations ranged between 9.1 and 111.4 ng/µL (mean 30 ng/µL). RIN ranged between 5.2 and 10 (mean 8.4). </w:t>
      </w:r>
      <w:r w:rsidR="00377744" w:rsidRPr="0010075A">
        <w:rPr>
          <w:rFonts w:cstheme="minorHAnsi"/>
        </w:rPr>
        <w:t xml:space="preserve">All </w:t>
      </w:r>
      <w:r w:rsidRPr="0010075A">
        <w:rPr>
          <w:rFonts w:cstheme="minorHAnsi"/>
        </w:rPr>
        <w:t xml:space="preserve">204 samples passed the acceptance criteria (concentration of at least 9 ng/µL and RIN greater than 6.0). </w:t>
      </w:r>
    </w:p>
    <w:p w14:paraId="483D0C5A" w14:textId="67457E48" w:rsidR="00627D55" w:rsidRPr="0010075A" w:rsidRDefault="00627D55" w:rsidP="0010075A">
      <w:pPr>
        <w:spacing w:line="480" w:lineRule="auto"/>
        <w:jc w:val="both"/>
        <w:rPr>
          <w:rFonts w:cstheme="minorHAnsi"/>
        </w:rPr>
      </w:pPr>
      <w:r w:rsidRPr="0010075A">
        <w:rPr>
          <w:rFonts w:cstheme="minorHAnsi"/>
        </w:rPr>
        <w:t xml:space="preserve">T4 cells: RNA concentrations ranged between 14.4 and 146 ng/µL (mean 55.3 ng/µL). RIN ranged between 7.2 and 10 (mean 9.2). </w:t>
      </w:r>
      <w:r w:rsidR="00377744" w:rsidRPr="0010075A">
        <w:rPr>
          <w:rFonts w:cstheme="minorHAnsi"/>
        </w:rPr>
        <w:t xml:space="preserve">All </w:t>
      </w:r>
      <w:r w:rsidRPr="0010075A">
        <w:rPr>
          <w:rFonts w:cstheme="minorHAnsi"/>
        </w:rPr>
        <w:t>202 samples passed the acceptance criteria (concentration of at least 9 ng/µL and RIN greater than 6.0).</w:t>
      </w:r>
    </w:p>
    <w:p w14:paraId="690FA33F" w14:textId="01C5A202" w:rsidR="00627D55" w:rsidRPr="0010075A" w:rsidRDefault="00627D55" w:rsidP="0010075A">
      <w:pPr>
        <w:spacing w:line="480" w:lineRule="auto"/>
        <w:jc w:val="both"/>
        <w:rPr>
          <w:rFonts w:cstheme="minorHAnsi"/>
        </w:rPr>
      </w:pPr>
      <w:r w:rsidRPr="0010075A">
        <w:rPr>
          <w:rFonts w:cstheme="minorHAnsi"/>
          <w:i/>
          <w:iCs/>
        </w:rPr>
        <w:t>T8 cells.</w:t>
      </w:r>
      <w:r w:rsidRPr="0010075A">
        <w:rPr>
          <w:rFonts w:cstheme="minorHAnsi"/>
        </w:rPr>
        <w:t xml:space="preserve"> RNA concentrations ranged between 13.3 and 131 ng/µL (mean 53 ng/µL). RIN ranged between 6.5 and 10 (mean 9). </w:t>
      </w:r>
      <w:r w:rsidR="00377744" w:rsidRPr="0010075A">
        <w:rPr>
          <w:rFonts w:cstheme="minorHAnsi"/>
        </w:rPr>
        <w:t xml:space="preserve">A total of </w:t>
      </w:r>
      <w:r w:rsidRPr="0010075A">
        <w:rPr>
          <w:rFonts w:cstheme="minorHAnsi"/>
        </w:rPr>
        <w:t>202/203 samples passed the acceptance criteria (concentration of at least 9 ng/µL and RIN greater than 6.0).</w:t>
      </w:r>
    </w:p>
    <w:p w14:paraId="17F69DD4" w14:textId="2FEA9F74" w:rsidR="00627D55" w:rsidRPr="0010075A" w:rsidRDefault="00627D55" w:rsidP="0010075A">
      <w:pPr>
        <w:spacing w:line="480" w:lineRule="auto"/>
        <w:jc w:val="both"/>
        <w:rPr>
          <w:rFonts w:cstheme="minorHAnsi"/>
        </w:rPr>
      </w:pPr>
      <w:r w:rsidRPr="0010075A">
        <w:rPr>
          <w:rFonts w:cstheme="minorHAnsi"/>
          <w:i/>
          <w:iCs/>
        </w:rPr>
        <w:t>Whole blood.</w:t>
      </w:r>
      <w:r w:rsidRPr="0010075A">
        <w:rPr>
          <w:rFonts w:cstheme="minorHAnsi"/>
        </w:rPr>
        <w:t xml:space="preserve"> RNA concentrations ranged between 13.1 to 174 ng/µL (average 53). RIN ranged between 2.6 and 9.6 (mean 8.4). </w:t>
      </w:r>
      <w:r w:rsidR="00377744" w:rsidRPr="0010075A">
        <w:rPr>
          <w:rFonts w:cstheme="minorHAnsi"/>
        </w:rPr>
        <w:t xml:space="preserve">A total of </w:t>
      </w:r>
      <w:r w:rsidRPr="0010075A">
        <w:rPr>
          <w:rFonts w:cstheme="minorHAnsi"/>
        </w:rPr>
        <w:t>198/200 samples passed the acceptance criteria (concentration of at least 9 ng/µL and RIN greater than 6.0).</w:t>
      </w:r>
    </w:p>
    <w:p w14:paraId="6B117DBE" w14:textId="700A82DE" w:rsidR="00627D55" w:rsidRPr="0010075A" w:rsidRDefault="00627D55" w:rsidP="0010075A">
      <w:pPr>
        <w:spacing w:line="480" w:lineRule="auto"/>
        <w:jc w:val="both"/>
        <w:rPr>
          <w:rFonts w:cstheme="minorHAnsi"/>
        </w:rPr>
      </w:pPr>
      <w:r w:rsidRPr="0010075A">
        <w:rPr>
          <w:rFonts w:cstheme="minorHAnsi"/>
          <w:b/>
          <w:bCs/>
        </w:rPr>
        <w:t>Target preparation.</w:t>
      </w:r>
      <w:r w:rsidRPr="0010075A">
        <w:rPr>
          <w:rFonts w:cstheme="minorHAnsi"/>
        </w:rPr>
        <w:t xml:space="preserve"> </w:t>
      </w:r>
      <w:r w:rsidRPr="0010075A">
        <w:rPr>
          <w:rFonts w:cstheme="minorHAnsi"/>
          <w:i/>
          <w:iCs/>
        </w:rPr>
        <w:t>All cell types except platelets</w:t>
      </w:r>
      <w:r w:rsidRPr="0010075A">
        <w:rPr>
          <w:rFonts w:cstheme="minorHAnsi"/>
        </w:rPr>
        <w:t xml:space="preserve"> were subjected to the target preparation prior to the </w:t>
      </w:r>
      <w:proofErr w:type="spellStart"/>
      <w:r w:rsidRPr="0010075A">
        <w:rPr>
          <w:rFonts w:cstheme="minorHAnsi"/>
        </w:rPr>
        <w:t>Affymetrix</w:t>
      </w:r>
      <w:proofErr w:type="spellEnd"/>
      <w:r w:rsidRPr="0010075A">
        <w:rPr>
          <w:rFonts w:cstheme="minorHAnsi"/>
        </w:rPr>
        <w:t xml:space="preserve"> </w:t>
      </w:r>
      <w:proofErr w:type="spellStart"/>
      <w:r w:rsidRPr="0010075A">
        <w:rPr>
          <w:rFonts w:cstheme="minorHAnsi"/>
        </w:rPr>
        <w:t>genechip</w:t>
      </w:r>
      <w:proofErr w:type="spellEnd"/>
      <w:r w:rsidRPr="0010075A">
        <w:rPr>
          <w:rFonts w:cstheme="minorHAnsi"/>
        </w:rPr>
        <w:t xml:space="preserve"> hybridization using the Tecan Ovation RNA Amplification system V2 kit (</w:t>
      </w:r>
      <w:proofErr w:type="spellStart"/>
      <w:r w:rsidRPr="0010075A">
        <w:rPr>
          <w:rFonts w:cstheme="minorHAnsi"/>
        </w:rPr>
        <w:t>Tecan</w:t>
      </w:r>
      <w:proofErr w:type="spellEnd"/>
      <w:r w:rsidRPr="0010075A">
        <w:rPr>
          <w:rFonts w:cstheme="minorHAnsi"/>
        </w:rPr>
        <w:t xml:space="preserve">, </w:t>
      </w:r>
      <w:proofErr w:type="spellStart"/>
      <w:r w:rsidR="00377744" w:rsidRPr="0010075A">
        <w:rPr>
          <w:rFonts w:cstheme="minorHAnsi"/>
        </w:rPr>
        <w:t>Männedorf</w:t>
      </w:r>
      <w:proofErr w:type="spellEnd"/>
      <w:r w:rsidR="00377744" w:rsidRPr="0010075A">
        <w:rPr>
          <w:rFonts w:cstheme="minorHAnsi"/>
        </w:rPr>
        <w:t xml:space="preserve">, </w:t>
      </w:r>
      <w:r w:rsidRPr="0010075A">
        <w:rPr>
          <w:rFonts w:cstheme="minorHAnsi"/>
        </w:rPr>
        <w:t xml:space="preserve">Switzerland) followed by Encore </w:t>
      </w:r>
      <w:proofErr w:type="spellStart"/>
      <w:r w:rsidRPr="0010075A">
        <w:rPr>
          <w:rFonts w:cstheme="minorHAnsi"/>
        </w:rPr>
        <w:t>Biotine</w:t>
      </w:r>
      <w:proofErr w:type="spellEnd"/>
      <w:r w:rsidRPr="0010075A">
        <w:rPr>
          <w:rFonts w:cstheme="minorHAnsi"/>
        </w:rPr>
        <w:t xml:space="preserve"> module (</w:t>
      </w:r>
      <w:proofErr w:type="spellStart"/>
      <w:r w:rsidRPr="0010075A">
        <w:rPr>
          <w:rFonts w:cstheme="minorHAnsi"/>
        </w:rPr>
        <w:t>Tecan</w:t>
      </w:r>
      <w:proofErr w:type="spellEnd"/>
      <w:r w:rsidRPr="0010075A">
        <w:rPr>
          <w:rFonts w:cstheme="minorHAnsi"/>
        </w:rPr>
        <w:t xml:space="preserve">). Quality of the amplified single stranded cDNA was checked on a fragment Analyzer instrument. </w:t>
      </w:r>
      <w:r w:rsidRPr="0010075A">
        <w:rPr>
          <w:rFonts w:cstheme="minorHAnsi"/>
          <w:i/>
          <w:iCs/>
        </w:rPr>
        <w:t>Platelets.</w:t>
      </w:r>
      <w:r w:rsidRPr="0010075A">
        <w:rPr>
          <w:rFonts w:cstheme="minorHAnsi"/>
        </w:rPr>
        <w:t xml:space="preserve"> The Affymetrix target preparation workflow from platelets RNA was performed using Thermo </w:t>
      </w:r>
      <w:proofErr w:type="spellStart"/>
      <w:r w:rsidRPr="0010075A">
        <w:rPr>
          <w:rFonts w:cstheme="minorHAnsi"/>
        </w:rPr>
        <w:t>GeneChip</w:t>
      </w:r>
      <w:proofErr w:type="spellEnd"/>
      <w:r w:rsidRPr="0010075A">
        <w:rPr>
          <w:rFonts w:cstheme="minorHAnsi"/>
        </w:rPr>
        <w:t>™ 3' IVT Pico Kit (Cat. Number 902789). Quality of the amplified double</w:t>
      </w:r>
      <w:r w:rsidR="00377744" w:rsidRPr="0010075A">
        <w:rPr>
          <w:rFonts w:cstheme="minorHAnsi"/>
        </w:rPr>
        <w:t>-</w:t>
      </w:r>
      <w:r w:rsidRPr="0010075A">
        <w:rPr>
          <w:rFonts w:cstheme="minorHAnsi"/>
        </w:rPr>
        <w:t>stranded cDNA was checked on a fragment Analyzer instrument.</w:t>
      </w:r>
    </w:p>
    <w:p w14:paraId="1911D6EA" w14:textId="77777777" w:rsidR="00627D55" w:rsidRPr="0010075A" w:rsidRDefault="00627D55" w:rsidP="0010075A">
      <w:pPr>
        <w:spacing w:line="480" w:lineRule="auto"/>
        <w:jc w:val="both"/>
        <w:rPr>
          <w:rFonts w:cstheme="minorHAnsi"/>
        </w:rPr>
      </w:pPr>
      <w:r w:rsidRPr="0010075A">
        <w:rPr>
          <w:rFonts w:cstheme="minorHAnsi"/>
          <w:b/>
          <w:bCs/>
        </w:rPr>
        <w:t>Hybridization</w:t>
      </w:r>
      <w:r w:rsidRPr="0010075A">
        <w:rPr>
          <w:rFonts w:cstheme="minorHAnsi"/>
        </w:rPr>
        <w:t xml:space="preserve"> was performed on Human Genome U133 Plus 2.0 microarrays in a ThermoFisher Oven 645, washed on </w:t>
      </w:r>
      <w:proofErr w:type="spellStart"/>
      <w:r w:rsidRPr="0010075A">
        <w:rPr>
          <w:rFonts w:cstheme="minorHAnsi"/>
        </w:rPr>
        <w:t>ThermoFisher</w:t>
      </w:r>
      <w:proofErr w:type="spellEnd"/>
      <w:r w:rsidRPr="0010075A">
        <w:rPr>
          <w:rFonts w:cstheme="minorHAnsi"/>
        </w:rPr>
        <w:t xml:space="preserve"> </w:t>
      </w:r>
      <w:proofErr w:type="spellStart"/>
      <w:r w:rsidRPr="0010075A">
        <w:rPr>
          <w:rFonts w:cstheme="minorHAnsi"/>
        </w:rPr>
        <w:t>GeneChip</w:t>
      </w:r>
      <w:proofErr w:type="spellEnd"/>
      <w:r w:rsidRPr="0010075A">
        <w:rPr>
          <w:rFonts w:cstheme="minorHAnsi"/>
        </w:rPr>
        <w:t xml:space="preserve">™ Fluidics Stations 450Dx (protocols FS450-0004 for all cells except platelets and FS450-0001 for platelet) and scanned on a </w:t>
      </w:r>
      <w:proofErr w:type="spellStart"/>
      <w:r w:rsidRPr="0010075A">
        <w:rPr>
          <w:rFonts w:cstheme="minorHAnsi"/>
        </w:rPr>
        <w:t>ThermoFisher</w:t>
      </w:r>
      <w:proofErr w:type="spellEnd"/>
      <w:r w:rsidRPr="0010075A">
        <w:rPr>
          <w:rFonts w:cstheme="minorHAnsi"/>
        </w:rPr>
        <w:t xml:space="preserve"> </w:t>
      </w:r>
      <w:proofErr w:type="spellStart"/>
      <w:r w:rsidRPr="0010075A">
        <w:rPr>
          <w:rFonts w:cstheme="minorHAnsi"/>
        </w:rPr>
        <w:t>GeneChip</w:t>
      </w:r>
      <w:proofErr w:type="spellEnd"/>
      <w:r w:rsidRPr="0010075A">
        <w:rPr>
          <w:rFonts w:cstheme="minorHAnsi"/>
        </w:rPr>
        <w:t>™ Scanner 3000 7G.</w:t>
      </w:r>
    </w:p>
    <w:p w14:paraId="5C6E9045" w14:textId="77A7C38A" w:rsidR="00627D55" w:rsidRPr="0010075A" w:rsidRDefault="00627D55" w:rsidP="0010075A">
      <w:pPr>
        <w:spacing w:line="480" w:lineRule="auto"/>
        <w:jc w:val="both"/>
        <w:rPr>
          <w:rFonts w:cstheme="minorHAnsi"/>
        </w:rPr>
      </w:pPr>
      <w:r w:rsidRPr="0010075A">
        <w:rPr>
          <w:rFonts w:cstheme="minorHAnsi"/>
          <w:b/>
          <w:bCs/>
        </w:rPr>
        <w:t>Data processing.</w:t>
      </w:r>
      <w:r w:rsidRPr="0010075A">
        <w:rPr>
          <w:rFonts w:cstheme="minorHAnsi"/>
        </w:rPr>
        <w:t xml:space="preserve"> Probe intensities corresponding to the raw data were summarized by using the revised Entrez-based probe annotation of Dai</w:t>
      </w:r>
      <w:r w:rsidR="00121EDD" w:rsidRPr="0010075A">
        <w:rPr>
          <w:rFonts w:cstheme="minorHAnsi"/>
        </w:rPr>
        <w:t xml:space="preserve"> et al.</w:t>
      </w:r>
      <w:r w:rsidRPr="0010075A">
        <w:rPr>
          <w:rFonts w:cstheme="minorHAnsi"/>
        </w:rPr>
        <w:t xml:space="preserve"> (HGU133Plus2_Hs_ENTREZG </w:t>
      </w:r>
      <w:proofErr w:type="spellStart"/>
      <w:r w:rsidRPr="0010075A">
        <w:rPr>
          <w:rFonts w:cstheme="minorHAnsi"/>
        </w:rPr>
        <w:t>cdf</w:t>
      </w:r>
      <w:proofErr w:type="spellEnd"/>
      <w:r w:rsidRPr="0010075A">
        <w:rPr>
          <w:rFonts w:cstheme="minorHAnsi"/>
        </w:rPr>
        <w:t xml:space="preserve"> v16.0.0)</w:t>
      </w:r>
      <w:r w:rsidR="007D220F" w:rsidRPr="0010075A">
        <w:rPr>
          <w:rFonts w:cstheme="minorHAnsi"/>
        </w:rPr>
        <w:fldChar w:fldCharType="begin">
          <w:fldData xml:space="preserve">PEVuZE5vdGU+PENpdGU+PEF1dGhvcj5EYWk8L0F1dGhvcj48WWVhcj4yMDA1PC9ZZWFyPjxSZWNO
dW0+NTA8L1JlY051bT48RGlzcGxheVRleHQ+PHN0eWxlIGZhY2U9InN1cGVyc2NyaXB0Ij40PC9z
dHlsZT48L0Rpc3BsYXlUZXh0PjxyZWNvcmQ+PHJlYy1udW1iZXI+NTA8L3JlYy1udW1iZXI+PGZv
cmVpZ24ta2V5cz48a2V5IGFwcD0iRU4iIGRiLWlkPSIydHJhcjV2dDRycDJ2bmVmMnM2cGRmMDlw
d2YycDAyOXdhZHoiIHRpbWVzdGFtcD0iMTY5ODQxMDgwMSI+NTA8L2tleT48L2ZvcmVpZ24ta2V5
cz48cmVmLXR5cGUgbmFtZT0iSm91cm5hbCBBcnRpY2xlIj4xNzwvcmVmLXR5cGU+PGNvbnRyaWJ1
dG9ycz48YXV0aG9ycz48YXV0aG9yPkRhaSwgTS48L2F1dGhvcj48YXV0aG9yPldhbmcsIFAuPC9h
dXRob3I+PGF1dGhvcj5Cb3lkLCBBLiBELjwvYXV0aG9yPjxhdXRob3I+S29zdG92LCBHLjwvYXV0
aG9yPjxhdXRob3I+QXRoZXksIEIuPC9hdXRob3I+PGF1dGhvcj5Kb25lcywgRS4gRy48L2F1dGhv
cj48YXV0aG9yPkJ1bm5leSwgVy4gRS48L2F1dGhvcj48YXV0aG9yPk15ZXJzLCBSLiBNLjwvYXV0
aG9yPjxhdXRob3I+U3BlZWQsIFQuIFAuPC9hdXRob3I+PGF1dGhvcj5Ba2lsLCBILjwvYXV0aG9y
PjxhdXRob3I+V2F0c29uLCBTLiBKLjwvYXV0aG9yPjxhdXRob3I+TWVuZywgRi48L2F1dGhvcj48
L2F1dGhvcnM+PC9jb250cmlidXRvcnM+PGF1dGgtYWRkcmVzcz5Nb2xlY3VsYXIgYW5kIEJlaGF2
aW91cmFsIE5ldXJvc2NpZW5jZSBJbnN0aXR1dGUgYW5kIERlcGFydG1lbnQgb2YgUHN5Y2hpYXRy
eSwgVW5pdmVyc2l0eSBvZiBNaWNoaWdhbiwgQW5uIEFyYm9yLCBNSSA0ODEwOSwgVVNBLjwvYXV0
aC1hZGRyZXNzPjx0aXRsZXM+PHRpdGxlPkV2b2x2aW5nIGdlbmUvdHJhbnNjcmlwdCBkZWZpbml0
aW9ucyBzaWduaWZpY2FudGx5IGFsdGVyIHRoZSBpbnRlcnByZXRhdGlvbiBvZiBHZW5lQ2hpcCBk
YXRhPC90aXRsZT48c2Vjb25kYXJ5LXRpdGxlPk51Y2xlaWMgQWNpZHMgUmVzPC9zZWNvbmRhcnkt
dGl0bGU+PC90aXRsZXM+PHBlcmlvZGljYWw+PGZ1bGwtdGl0bGU+TnVjbGVpYyBBY2lkcyBSZXM8
L2Z1bGwtdGl0bGU+PC9wZXJpb2RpY2FsPjxwYWdlcz5lMTc1PC9wYWdlcz48dm9sdW1lPjMzPC92
b2x1bWU+PG51bWJlcj4yMDwvbnVtYmVyPjxlZGl0aW9uPjIwMDUxMTEwPC9lZGl0aW9uPjxrZXl3
b3Jkcz48a2V5d29yZD5BbGxlbGVzPC9rZXl3b3JkPjxrZXl3b3JkPkFuaW1hbHM8L2tleXdvcmQ+
PGtleXdvcmQ+Q2x1c3RlciBBbmFseXNpczwva2V5d29yZD48a2V5d29yZD5EYXRhYmFzZXMsIE51
Y2xlaWMgQWNpZDwva2V5d29yZD48a2V5d29yZD5FeG9uczwva2V5d29yZD48a2V5d29yZD4qR2Vu
ZSBFeHByZXNzaW9uIFByb2ZpbGluZzwva2V5d29yZD48a2V5d29yZD5IdW1hbnM8L2tleXdvcmQ+
PGtleXdvcmQ+TWljZTwva2V5d29yZD48a2V5d29yZD4qT2xpZ29udWNsZW90aWRlIEFycmF5IFNl
cXVlbmNlIEFuYWx5c2lzPC9rZXl3b3JkPjxrZXl3b3JkPipPbGlnb251Y2xlb3RpZGUgUHJvYmVz
PC9rZXl3b3JkPjxrZXl3b3JkPlJhdHM8L2tleXdvcmQ+PGtleXdvcmQ+UmVwcm9kdWNpYmlsaXR5
IG9mIFJlc3VsdHM8L2tleXdvcmQ+PGtleXdvcmQ+VHJhbnNjcmlwdGlvbiwgR2VuZXRpYzwva2V5
d29yZD48L2tleXdvcmRzPjxkYXRlcz48eWVhcj4yMDA1PC95ZWFyPjxwdWItZGF0ZXM+PGRhdGU+
Tm92IDEwPC9kYXRlPjwvcHViLWRhdGVzPjwvZGF0ZXM+PGlzYm4+MTM2Mi00OTYyIChFbGVjdHJv
bmljKSYjeEQ7MDMwNS0xMDQ4IChMaW5raW5nKTwvaXNibj48YWNjZXNzaW9uLW51bT4xNjI4NDIw
MDwvYWNjZXNzaW9uLW51bT48dXJscz48cmVsYXRlZC11cmxzPjx1cmw+aHR0cHM6Ly93d3cubmNi
aS5ubG0ubmloLmdvdi9wdWJtZWQvMTYyODQyMDA8L3VybD48L3JlbGF0ZWQtdXJscz48L3VybHM+
PGN1c3RvbTI+UE1DMTI4MzU0MjwvY3VzdG9tMj48ZWxlY3Ryb25pYy1yZXNvdXJjZS1udW0+MTAu
MTA5My9uYXIvZ25pMTc5PC9lbGVjdHJvbmljLXJlc291cmNlLW51bT48cmVtb3RlLWRhdGFiYXNl
LW5hbWU+TWVkbGluZTwvcmVtb3RlLWRhdGFiYXNlLW5hbWU+PHJlbW90ZS1kYXRhYmFzZS1wcm92
aWRlcj5OTE08L3JlbW90ZS1kYXRhYmFzZS1wcm92aWRlcj48L3JlY29yZD48L0NpdGU+PC9FbmRO
b3RlPn==
</w:fldData>
        </w:fldChar>
      </w:r>
      <w:r w:rsidR="007D220F" w:rsidRPr="0010075A">
        <w:rPr>
          <w:rFonts w:cstheme="minorHAnsi"/>
        </w:rPr>
        <w:instrText xml:space="preserve"> ADDIN EN.CITE </w:instrText>
      </w:r>
      <w:r w:rsidR="007D220F" w:rsidRPr="0010075A">
        <w:rPr>
          <w:rFonts w:cstheme="minorHAnsi"/>
        </w:rPr>
        <w:fldChar w:fldCharType="begin">
          <w:fldData xml:space="preserve">PEVuZE5vdGU+PENpdGU+PEF1dGhvcj5EYWk8L0F1dGhvcj48WWVhcj4yMDA1PC9ZZWFyPjxSZWNO
dW0+NTA8L1JlY051bT48RGlzcGxheVRleHQ+PHN0eWxlIGZhY2U9InN1cGVyc2NyaXB0Ij40PC9z
dHlsZT48L0Rpc3BsYXlUZXh0PjxyZWNvcmQ+PHJlYy1udW1iZXI+NTA8L3JlYy1udW1iZXI+PGZv
cmVpZ24ta2V5cz48a2V5IGFwcD0iRU4iIGRiLWlkPSIydHJhcjV2dDRycDJ2bmVmMnM2cGRmMDlw
d2YycDAyOXdhZHoiIHRpbWVzdGFtcD0iMTY5ODQxMDgwMSI+NTA8L2tleT48L2ZvcmVpZ24ta2V5
cz48cmVmLXR5cGUgbmFtZT0iSm91cm5hbCBBcnRpY2xlIj4xNzwvcmVmLXR5cGU+PGNvbnRyaWJ1
dG9ycz48YXV0aG9ycz48YXV0aG9yPkRhaSwgTS48L2F1dGhvcj48YXV0aG9yPldhbmcsIFAuPC9h
dXRob3I+PGF1dGhvcj5Cb3lkLCBBLiBELjwvYXV0aG9yPjxhdXRob3I+S29zdG92LCBHLjwvYXV0
aG9yPjxhdXRob3I+QXRoZXksIEIuPC9hdXRob3I+PGF1dGhvcj5Kb25lcywgRS4gRy48L2F1dGhv
cj48YXV0aG9yPkJ1bm5leSwgVy4gRS48L2F1dGhvcj48YXV0aG9yPk15ZXJzLCBSLiBNLjwvYXV0
aG9yPjxhdXRob3I+U3BlZWQsIFQuIFAuPC9hdXRob3I+PGF1dGhvcj5Ba2lsLCBILjwvYXV0aG9y
PjxhdXRob3I+V2F0c29uLCBTLiBKLjwvYXV0aG9yPjxhdXRob3I+TWVuZywgRi48L2F1dGhvcj48
L2F1dGhvcnM+PC9jb250cmlidXRvcnM+PGF1dGgtYWRkcmVzcz5Nb2xlY3VsYXIgYW5kIEJlaGF2
aW91cmFsIE5ldXJvc2NpZW5jZSBJbnN0aXR1dGUgYW5kIERlcGFydG1lbnQgb2YgUHN5Y2hpYXRy
eSwgVW5pdmVyc2l0eSBvZiBNaWNoaWdhbiwgQW5uIEFyYm9yLCBNSSA0ODEwOSwgVVNBLjwvYXV0
aC1hZGRyZXNzPjx0aXRsZXM+PHRpdGxlPkV2b2x2aW5nIGdlbmUvdHJhbnNjcmlwdCBkZWZpbml0
aW9ucyBzaWduaWZpY2FudGx5IGFsdGVyIHRoZSBpbnRlcnByZXRhdGlvbiBvZiBHZW5lQ2hpcCBk
YXRhPC90aXRsZT48c2Vjb25kYXJ5LXRpdGxlPk51Y2xlaWMgQWNpZHMgUmVzPC9zZWNvbmRhcnkt
dGl0bGU+PC90aXRsZXM+PHBlcmlvZGljYWw+PGZ1bGwtdGl0bGU+TnVjbGVpYyBBY2lkcyBSZXM8
L2Z1bGwtdGl0bGU+PC9wZXJpb2RpY2FsPjxwYWdlcz5lMTc1PC9wYWdlcz48dm9sdW1lPjMzPC92
b2x1bWU+PG51bWJlcj4yMDwvbnVtYmVyPjxlZGl0aW9uPjIwMDUxMTEwPC9lZGl0aW9uPjxrZXl3
b3Jkcz48a2V5d29yZD5BbGxlbGVzPC9rZXl3b3JkPjxrZXl3b3JkPkFuaW1hbHM8L2tleXdvcmQ+
PGtleXdvcmQ+Q2x1c3RlciBBbmFseXNpczwva2V5d29yZD48a2V5d29yZD5EYXRhYmFzZXMsIE51
Y2xlaWMgQWNpZDwva2V5d29yZD48a2V5d29yZD5FeG9uczwva2V5d29yZD48a2V5d29yZD4qR2Vu
ZSBFeHByZXNzaW9uIFByb2ZpbGluZzwva2V5d29yZD48a2V5d29yZD5IdW1hbnM8L2tleXdvcmQ+
PGtleXdvcmQ+TWljZTwva2V5d29yZD48a2V5d29yZD4qT2xpZ29udWNsZW90aWRlIEFycmF5IFNl
cXVlbmNlIEFuYWx5c2lzPC9rZXl3b3JkPjxrZXl3b3JkPipPbGlnb251Y2xlb3RpZGUgUHJvYmVz
PC9rZXl3b3JkPjxrZXl3b3JkPlJhdHM8L2tleXdvcmQ+PGtleXdvcmQ+UmVwcm9kdWNpYmlsaXR5
IG9mIFJlc3VsdHM8L2tleXdvcmQ+PGtleXdvcmQ+VHJhbnNjcmlwdGlvbiwgR2VuZXRpYzwva2V5
d29yZD48L2tleXdvcmRzPjxkYXRlcz48eWVhcj4yMDA1PC95ZWFyPjxwdWItZGF0ZXM+PGRhdGU+
Tm92IDEwPC9kYXRlPjwvcHViLWRhdGVzPjwvZGF0ZXM+PGlzYm4+MTM2Mi00OTYyIChFbGVjdHJv
bmljKSYjeEQ7MDMwNS0xMDQ4IChMaW5raW5nKTwvaXNibj48YWNjZXNzaW9uLW51bT4xNjI4NDIw
MDwvYWNjZXNzaW9uLW51bT48dXJscz48cmVsYXRlZC11cmxzPjx1cmw+aHR0cHM6Ly93d3cubmNi
aS5ubG0ubmloLmdvdi9wdWJtZWQvMTYyODQyMDA8L3VybD48L3JlbGF0ZWQtdXJscz48L3VybHM+
PGN1c3RvbTI+UE1DMTI4MzU0MjwvY3VzdG9tMj48ZWxlY3Ryb25pYy1yZXNvdXJjZS1udW0+MTAu
MTA5My9uYXIvZ25pMTc5PC9lbGVjdHJvbmljLXJlc291cmNlLW51bT48cmVtb3RlLWRhdGFiYXNl
LW5hbWU+TWVkbGluZTwvcmVtb3RlLWRhdGFiYXNlLW5hbWU+PHJlbW90ZS1kYXRhYmFzZS1wcm92
aWRlcj5OTE08L3JlbW90ZS1kYXRhYmFzZS1wcm92aWRlcj48L3JlY29yZD48L0NpdGU+PC9FbmRO
b3RlPn==
</w:fldData>
        </w:fldChar>
      </w:r>
      <w:r w:rsidR="007D220F" w:rsidRPr="0010075A">
        <w:rPr>
          <w:rFonts w:cstheme="minorHAnsi"/>
        </w:rPr>
        <w:instrText xml:space="preserve"> ADDIN EN.CITE.DATA </w:instrText>
      </w:r>
      <w:r w:rsidR="007D220F" w:rsidRPr="0010075A">
        <w:rPr>
          <w:rFonts w:cstheme="minorHAnsi"/>
        </w:rPr>
      </w:r>
      <w:r w:rsidR="007D220F" w:rsidRPr="0010075A">
        <w:rPr>
          <w:rFonts w:cstheme="minorHAnsi"/>
        </w:rPr>
        <w:fldChar w:fldCharType="end"/>
      </w:r>
      <w:r w:rsidR="007D220F" w:rsidRPr="0010075A">
        <w:rPr>
          <w:rFonts w:cstheme="minorHAnsi"/>
        </w:rPr>
      </w:r>
      <w:r w:rsidR="007D220F" w:rsidRPr="0010075A">
        <w:rPr>
          <w:rFonts w:cstheme="minorHAnsi"/>
        </w:rPr>
        <w:fldChar w:fldCharType="separate"/>
      </w:r>
      <w:r w:rsidR="007D220F" w:rsidRPr="0010075A">
        <w:rPr>
          <w:rFonts w:cstheme="minorHAnsi"/>
          <w:noProof/>
          <w:vertAlign w:val="superscript"/>
        </w:rPr>
        <w:t>4</w:t>
      </w:r>
      <w:r w:rsidR="007D220F" w:rsidRPr="0010075A">
        <w:rPr>
          <w:rFonts w:cstheme="minorHAnsi"/>
        </w:rPr>
        <w:fldChar w:fldCharType="end"/>
      </w:r>
      <w:r w:rsidR="00D02270" w:rsidRPr="0010075A">
        <w:rPr>
          <w:rFonts w:cstheme="minorHAnsi"/>
        </w:rPr>
        <w:t xml:space="preserve"> </w:t>
      </w:r>
      <w:r w:rsidRPr="0010075A">
        <w:rPr>
          <w:rFonts w:cstheme="minorHAnsi"/>
        </w:rPr>
        <w:t>and normalized by frozen robust microarray analysis (</w:t>
      </w:r>
      <w:proofErr w:type="spellStart"/>
      <w:r w:rsidRPr="0010075A">
        <w:rPr>
          <w:rFonts w:cstheme="minorHAnsi"/>
        </w:rPr>
        <w:t>fRMA</w:t>
      </w:r>
      <w:proofErr w:type="spellEnd"/>
      <w:r w:rsidRPr="0010075A">
        <w:rPr>
          <w:rFonts w:cstheme="minorHAnsi"/>
        </w:rPr>
        <w:t>)</w:t>
      </w:r>
      <w:r w:rsidR="00121EDD" w:rsidRPr="0010075A">
        <w:rPr>
          <w:rFonts w:cstheme="minorHAnsi"/>
        </w:rPr>
        <w:t>.</w:t>
      </w:r>
      <w:r w:rsidR="00807615" w:rsidRPr="0010075A">
        <w:rPr>
          <w:rFonts w:cstheme="minorHAnsi"/>
        </w:rPr>
        <w:fldChar w:fldCharType="begin"/>
      </w:r>
      <w:r w:rsidR="00807615" w:rsidRPr="0010075A">
        <w:rPr>
          <w:rFonts w:cstheme="minorHAnsi"/>
        </w:rPr>
        <w:instrText xml:space="preserve"> ADDIN EN.CITE &lt;EndNote&gt;&lt;Cite&gt;&lt;Author&gt;McCall&lt;/Author&gt;&lt;Year&gt;2010&lt;/Year&gt;&lt;RecNum&gt;51&lt;/RecNum&gt;&lt;DisplayText&gt;&lt;style face="superscript"&gt;5&lt;/style&gt;&lt;/DisplayText&gt;&lt;record&gt;&lt;rec-number&gt;51&lt;/rec-number&gt;&lt;foreign-keys&gt;&lt;key app="EN" db-id="2trar5vt4rp2vnef2s6pdf09pwf2p029wadz" timestamp="1698410801"&gt;51&lt;/key&gt;&lt;/foreign-keys&gt;&lt;ref-type name="Journal Article"&gt;17&lt;/ref-type&gt;&lt;contributors&gt;&lt;authors&gt;&lt;author&gt;McCall, M. N.&lt;/author&gt;&lt;author&gt;Bolstad, B. M.&lt;/author&gt;&lt;author&gt;Irizarry, R. A.&lt;/author&gt;&lt;/authors&gt;&lt;/contributors&gt;&lt;auth-address&gt;Department of Biostatistics, Johns Hopkins University, Baltimore, MD 21205, USA.&lt;/auth-address&gt;&lt;titles&gt;&lt;title&gt;Frozen robust multiarray analysis (fRMA)&lt;/title&gt;&lt;secondary-title&gt;Biostatistics&lt;/secondary-title&gt;&lt;/titles&gt;&lt;periodical&gt;&lt;full-title&gt;Biostatistics&lt;/full-title&gt;&lt;/periodical&gt;&lt;pages&gt;242-53&lt;/pages&gt;&lt;volume&gt;11&lt;/volume&gt;&lt;number&gt;2&lt;/number&gt;&lt;edition&gt;20100122&lt;/edition&gt;&lt;keywords&gt;&lt;keyword&gt;Algorithms&lt;/keyword&gt;&lt;keyword&gt;Biometry/*methods&lt;/keyword&gt;&lt;keyword&gt;Databases, Genetic&lt;/keyword&gt;&lt;keyword&gt;Humans&lt;/keyword&gt;&lt;keyword&gt;Internet&lt;/keyword&gt;&lt;keyword&gt;Oligonucleotide Array Sequence Analysis/*methods&lt;/keyword&gt;&lt;keyword&gt;Software&lt;/keyword&gt;&lt;/keywords&gt;&lt;dates&gt;&lt;year&gt;2010&lt;/year&gt;&lt;pub-dates&gt;&lt;date&gt;Apr&lt;/date&gt;&lt;/pub-dates&gt;&lt;/dates&gt;&lt;isbn&gt;1468-4357 (Electronic)&amp;#xD;1465-4644 (Linking)&lt;/isbn&gt;&lt;accession-num&gt;20097884&lt;/accession-num&gt;&lt;urls&gt;&lt;related-urls&gt;&lt;url&gt;https://www.ncbi.nlm.nih.gov/pubmed/20097884&lt;/url&gt;&lt;/related-urls&gt;&lt;/urls&gt;&lt;custom2&gt;PMC2830579&lt;/custom2&gt;&lt;electronic-resource-num&gt;10.1093/biostatistics/kxp059&lt;/electronic-resource-num&gt;&lt;remote-database-name&gt;Medline&lt;/remote-database-name&gt;&lt;remote-database-provider&gt;NLM&lt;/remote-database-provider&gt;&lt;/record&gt;&lt;/Cite&gt;&lt;/EndNote&gt;</w:instrText>
      </w:r>
      <w:r w:rsidR="00807615" w:rsidRPr="0010075A">
        <w:rPr>
          <w:rFonts w:cstheme="minorHAnsi"/>
        </w:rPr>
        <w:fldChar w:fldCharType="separate"/>
      </w:r>
      <w:r w:rsidR="00807615" w:rsidRPr="0010075A">
        <w:rPr>
          <w:rFonts w:cstheme="minorHAnsi"/>
          <w:noProof/>
          <w:vertAlign w:val="superscript"/>
        </w:rPr>
        <w:t>5</w:t>
      </w:r>
      <w:r w:rsidR="00807615" w:rsidRPr="0010075A">
        <w:rPr>
          <w:rFonts w:cstheme="minorHAnsi"/>
        </w:rPr>
        <w:fldChar w:fldCharType="end"/>
      </w:r>
      <w:r w:rsidR="00121EDD" w:rsidRPr="0010075A">
        <w:rPr>
          <w:rFonts w:cstheme="minorHAnsi"/>
        </w:rPr>
        <w:t xml:space="preserve"> </w:t>
      </w:r>
      <w:r w:rsidRPr="0010075A">
        <w:rPr>
          <w:rFonts w:cstheme="minorHAnsi"/>
        </w:rPr>
        <w:t xml:space="preserve">The normalization vector HGU133Plus2_fRMAvecs version 1.3.0 was used with the R package </w:t>
      </w:r>
      <w:proofErr w:type="spellStart"/>
      <w:r w:rsidRPr="0010075A">
        <w:rPr>
          <w:rFonts w:cstheme="minorHAnsi"/>
        </w:rPr>
        <w:t>fRMA</w:t>
      </w:r>
      <w:proofErr w:type="spellEnd"/>
      <w:r w:rsidRPr="0010075A">
        <w:rPr>
          <w:rFonts w:cstheme="minorHAnsi"/>
        </w:rPr>
        <w:t xml:space="preserve"> version 1.18.0. Quality control was performed with the </w:t>
      </w:r>
      <w:proofErr w:type="spellStart"/>
      <w:r w:rsidRPr="0010075A">
        <w:rPr>
          <w:rFonts w:cstheme="minorHAnsi"/>
        </w:rPr>
        <w:t>affyPLM</w:t>
      </w:r>
      <w:proofErr w:type="spellEnd"/>
      <w:r w:rsidRPr="0010075A">
        <w:rPr>
          <w:rFonts w:cstheme="minorHAnsi"/>
        </w:rPr>
        <w:t xml:space="preserve"> package version 1.42.0</w:t>
      </w:r>
      <w:r w:rsidR="00E3560D" w:rsidRPr="0010075A">
        <w:rPr>
          <w:rFonts w:cstheme="minorHAnsi"/>
        </w:rPr>
        <w:t>.</w:t>
      </w:r>
      <w:r w:rsidR="007A260C" w:rsidRPr="0010075A">
        <w:rPr>
          <w:rFonts w:cstheme="minorHAnsi"/>
        </w:rPr>
        <w:fldChar w:fldCharType="begin"/>
      </w:r>
      <w:r w:rsidR="007A260C" w:rsidRPr="0010075A">
        <w:rPr>
          <w:rFonts w:cstheme="minorHAnsi"/>
        </w:rPr>
        <w:instrText xml:space="preserve"> ADDIN EN.CITE &lt;EndNote&gt;&lt;Cite&gt;&lt;Author&gt;Bolstad&lt;/Author&gt;&lt;Year&gt;2005&lt;/Year&gt;&lt;RecNum&gt;52&lt;/RecNum&gt;&lt;DisplayText&gt;&lt;style face="superscript"&gt;6&lt;/style&gt;&lt;/DisplayText&gt;&lt;record&gt;&lt;rec-number&gt;52&lt;/rec-number&gt;&lt;foreign-keys&gt;&lt;key app="EN" db-id="2trar5vt4rp2vnef2s6pdf09pwf2p029wadz" timestamp="1698410801"&gt;52&lt;/key&gt;&lt;/foreign-keys&gt;&lt;ref-type name="Book Section"&gt;5&lt;/ref-type&gt;&lt;contributors&gt;&lt;authors&gt;&lt;author&gt;Bolstad, B. M.&lt;/author&gt;&lt;author&gt;Collin, F.&lt;/author&gt;&lt;author&gt;Brettschneider, Julia&lt;/author&gt;&lt;author&gt;Simpson, K.&lt;/author&gt;&lt;author&gt;Cope, L.&lt;/author&gt;&lt;author&gt;Irizarry, R. A.&lt;/author&gt;&lt;author&gt;Speed, T. P.&lt;/author&gt;&lt;/authors&gt;&lt;/contributors&gt;&lt;titles&gt;&lt;title&gt;Quality Assessment of Affymetrix GeneChip Data&lt;/title&gt;&lt;alt-title&gt;Bioinformatics and computational biology solutions using R and bioconductor&lt;/alt-title&gt;&lt;/titles&gt;&lt;pages&gt;33-47&lt;/pages&gt;&lt;volume&gt;2005&lt;/volume&gt;&lt;dates&gt;&lt;year&gt;2005&lt;/year&gt;&lt;/dates&gt;&lt;isbn&gt;0-387-25146-4&lt;/isbn&gt;&lt;urls&gt;&lt;/urls&gt;&lt;electronic-resource-num&gt;10.1007/0-387-29362-0_3&lt;/electronic-resource-num&gt;&lt;/record&gt;&lt;/Cite&gt;&lt;/EndNote&gt;</w:instrText>
      </w:r>
      <w:r w:rsidR="007A260C" w:rsidRPr="0010075A">
        <w:rPr>
          <w:rFonts w:cstheme="minorHAnsi"/>
        </w:rPr>
        <w:fldChar w:fldCharType="separate"/>
      </w:r>
      <w:r w:rsidR="007A260C" w:rsidRPr="0010075A">
        <w:rPr>
          <w:rFonts w:cstheme="minorHAnsi"/>
          <w:noProof/>
          <w:vertAlign w:val="superscript"/>
        </w:rPr>
        <w:t>6</w:t>
      </w:r>
      <w:r w:rsidR="007A260C" w:rsidRPr="0010075A">
        <w:rPr>
          <w:rFonts w:cstheme="minorHAnsi"/>
        </w:rPr>
        <w:fldChar w:fldCharType="end"/>
      </w:r>
      <w:r w:rsidR="00E3560D" w:rsidRPr="0010075A">
        <w:rPr>
          <w:rFonts w:cstheme="minorHAnsi"/>
        </w:rPr>
        <w:t xml:space="preserve"> </w:t>
      </w:r>
      <w:r w:rsidRPr="0010075A">
        <w:rPr>
          <w:rFonts w:cstheme="minorHAnsi"/>
        </w:rPr>
        <w:t xml:space="preserve">Transcriptomics data were processed in R statistical environment (v3.1.2). </w:t>
      </w:r>
      <w:r w:rsidRPr="0010075A">
        <w:rPr>
          <w:rFonts w:eastAsia="Times New Roman" w:cstheme="minorHAnsi"/>
        </w:rPr>
        <w:t>Further statistical analysis is described below (Computational data analysis - Systems response profiles of omics data)</w:t>
      </w:r>
      <w:r w:rsidR="00570871" w:rsidRPr="0010075A">
        <w:rPr>
          <w:rFonts w:eastAsia="Times New Roman" w:cstheme="minorHAnsi"/>
        </w:rPr>
        <w:t>.</w:t>
      </w:r>
    </w:p>
    <w:p w14:paraId="18A188ED" w14:textId="77777777" w:rsidR="00627D55" w:rsidRPr="0010075A" w:rsidRDefault="00627D55" w:rsidP="0010075A">
      <w:pPr>
        <w:spacing w:line="480" w:lineRule="auto"/>
        <w:jc w:val="both"/>
      </w:pPr>
    </w:p>
    <w:p w14:paraId="080EA81E" w14:textId="77777777" w:rsidR="00627D55" w:rsidRPr="0010075A" w:rsidRDefault="00627D55" w:rsidP="0010075A">
      <w:pPr>
        <w:pStyle w:val="Heading2"/>
        <w:spacing w:line="480" w:lineRule="auto"/>
        <w:rPr>
          <w:color w:val="auto"/>
        </w:rPr>
      </w:pPr>
      <w:r w:rsidRPr="0010075A">
        <w:rPr>
          <w:color w:val="auto"/>
        </w:rPr>
        <w:t>DNA methylation – Sample analysis and data processing</w:t>
      </w:r>
    </w:p>
    <w:p w14:paraId="35544D55" w14:textId="768B66E0" w:rsidR="00627D55" w:rsidRPr="0010075A" w:rsidRDefault="00627D55" w:rsidP="0010075A">
      <w:pPr>
        <w:spacing w:line="480" w:lineRule="auto"/>
        <w:jc w:val="both"/>
        <w:rPr>
          <w:rFonts w:cstheme="minorHAnsi"/>
        </w:rPr>
      </w:pPr>
      <w:r w:rsidRPr="0010075A">
        <w:rPr>
          <w:rFonts w:cstheme="minorHAnsi"/>
          <w:b/>
          <w:bCs/>
        </w:rPr>
        <w:t>DNA isolation.</w:t>
      </w:r>
      <w:r w:rsidRPr="0010075A">
        <w:rPr>
          <w:rFonts w:cstheme="minorHAnsi"/>
        </w:rPr>
        <w:t xml:space="preserve"> DNA was isolated from 210 EDTA blood samples with </w:t>
      </w:r>
      <w:proofErr w:type="spellStart"/>
      <w:r w:rsidRPr="0010075A">
        <w:rPr>
          <w:rFonts w:cstheme="minorHAnsi"/>
        </w:rPr>
        <w:t>Qiagen</w:t>
      </w:r>
      <w:proofErr w:type="spellEnd"/>
      <w:r w:rsidRPr="0010075A">
        <w:rPr>
          <w:rFonts w:cstheme="minorHAnsi"/>
        </w:rPr>
        <w:t xml:space="preserve"> </w:t>
      </w:r>
      <w:proofErr w:type="spellStart"/>
      <w:r w:rsidRPr="0010075A">
        <w:rPr>
          <w:rFonts w:cstheme="minorHAnsi"/>
        </w:rPr>
        <w:t>QIAamp</w:t>
      </w:r>
      <w:proofErr w:type="spellEnd"/>
      <w:r w:rsidRPr="0010075A">
        <w:rPr>
          <w:rFonts w:cstheme="minorHAnsi"/>
        </w:rPr>
        <w:t xml:space="preserve"> DNA Blood Mini (Cat. Number 51106). Briefly, 200</w:t>
      </w:r>
      <w:r w:rsidR="00AA35A1" w:rsidRPr="0010075A">
        <w:rPr>
          <w:rFonts w:cstheme="minorHAnsi"/>
        </w:rPr>
        <w:t xml:space="preserve"> </w:t>
      </w:r>
      <w:r w:rsidRPr="0010075A">
        <w:rPr>
          <w:rFonts w:cstheme="minorHAnsi"/>
        </w:rPr>
        <w:t>µL of blood was mixed with 20</w:t>
      </w:r>
      <w:r w:rsidR="00B5268A" w:rsidRPr="0010075A">
        <w:rPr>
          <w:rFonts w:cstheme="minorHAnsi"/>
        </w:rPr>
        <w:t xml:space="preserve"> </w:t>
      </w:r>
      <w:r w:rsidRPr="0010075A">
        <w:rPr>
          <w:rFonts w:cstheme="minorHAnsi"/>
        </w:rPr>
        <w:t>µL Protease followed by 4</w:t>
      </w:r>
      <w:r w:rsidR="00B5268A" w:rsidRPr="0010075A">
        <w:rPr>
          <w:rFonts w:cstheme="minorHAnsi"/>
        </w:rPr>
        <w:t xml:space="preserve"> </w:t>
      </w:r>
      <w:r w:rsidRPr="0010075A">
        <w:rPr>
          <w:rFonts w:cstheme="minorHAnsi"/>
        </w:rPr>
        <w:t xml:space="preserve">µL </w:t>
      </w:r>
      <w:proofErr w:type="spellStart"/>
      <w:r w:rsidRPr="0010075A">
        <w:rPr>
          <w:rFonts w:cstheme="minorHAnsi"/>
        </w:rPr>
        <w:t>RNAse</w:t>
      </w:r>
      <w:proofErr w:type="spellEnd"/>
      <w:r w:rsidRPr="0010075A">
        <w:rPr>
          <w:rFonts w:cstheme="minorHAnsi"/>
        </w:rPr>
        <w:t xml:space="preserve"> treatment and 200</w:t>
      </w:r>
      <w:r w:rsidR="00B5268A" w:rsidRPr="0010075A">
        <w:rPr>
          <w:rFonts w:cstheme="minorHAnsi"/>
        </w:rPr>
        <w:t xml:space="preserve"> </w:t>
      </w:r>
      <w:r w:rsidRPr="0010075A">
        <w:rPr>
          <w:rFonts w:cstheme="minorHAnsi"/>
        </w:rPr>
        <w:t xml:space="preserve">µL Buffer AL. DNA was washed with Ethanol 100% and eluted in 50 </w:t>
      </w:r>
      <w:r w:rsidR="00B5268A" w:rsidRPr="0010075A">
        <w:rPr>
          <w:rFonts w:cstheme="minorHAnsi"/>
        </w:rPr>
        <w:t>µ</w:t>
      </w:r>
      <w:r w:rsidRPr="0010075A">
        <w:rPr>
          <w:rFonts w:cstheme="minorHAnsi"/>
        </w:rPr>
        <w:t>L Buffer AE.</w:t>
      </w:r>
    </w:p>
    <w:p w14:paraId="7E2785D3" w14:textId="27CE7502" w:rsidR="00627D55" w:rsidRPr="0010075A" w:rsidRDefault="00627D55" w:rsidP="0010075A">
      <w:pPr>
        <w:spacing w:line="480" w:lineRule="auto"/>
        <w:jc w:val="both"/>
        <w:rPr>
          <w:rFonts w:cstheme="minorHAnsi"/>
        </w:rPr>
      </w:pPr>
      <w:r w:rsidRPr="0010075A">
        <w:rPr>
          <w:rFonts w:cstheme="minorHAnsi"/>
          <w:b/>
          <w:bCs/>
        </w:rPr>
        <w:lastRenderedPageBreak/>
        <w:t>Quantification.</w:t>
      </w:r>
      <w:r w:rsidRPr="0010075A">
        <w:rPr>
          <w:rFonts w:cstheme="minorHAnsi"/>
        </w:rPr>
        <w:t xml:space="preserve"> DNA quantification was performed with a </w:t>
      </w:r>
      <w:proofErr w:type="spellStart"/>
      <w:r w:rsidRPr="0010075A">
        <w:rPr>
          <w:rFonts w:cstheme="minorHAnsi"/>
        </w:rPr>
        <w:t>QuBit</w:t>
      </w:r>
      <w:proofErr w:type="spellEnd"/>
      <w:r w:rsidRPr="0010075A">
        <w:rPr>
          <w:rFonts w:cstheme="minorHAnsi"/>
        </w:rPr>
        <w:t xml:space="preserve"> instrument (Thermo Fisher Scientific) and Qubit® dsDNA BR Assay Kit (Cat number Q32853). Concentrations were distributed from 22.2 </w:t>
      </w:r>
      <w:r w:rsidR="00B5268A" w:rsidRPr="0010075A">
        <w:rPr>
          <w:rFonts w:cstheme="minorHAnsi"/>
        </w:rPr>
        <w:t xml:space="preserve">to </w:t>
      </w:r>
      <w:r w:rsidRPr="0010075A">
        <w:rPr>
          <w:rFonts w:cstheme="minorHAnsi"/>
        </w:rPr>
        <w:t>163 ng/</w:t>
      </w:r>
      <w:r w:rsidR="00AA35A1" w:rsidRPr="0010075A">
        <w:rPr>
          <w:rFonts w:cstheme="minorHAnsi"/>
        </w:rPr>
        <w:t>µ</w:t>
      </w:r>
      <w:r w:rsidRPr="0010075A">
        <w:rPr>
          <w:rFonts w:cstheme="minorHAnsi"/>
        </w:rPr>
        <w:t>L (average 53.1 ng/</w:t>
      </w:r>
      <w:r w:rsidR="00AA35A1" w:rsidRPr="0010075A">
        <w:rPr>
          <w:rFonts w:cstheme="minorHAnsi"/>
        </w:rPr>
        <w:t>µ</w:t>
      </w:r>
      <w:r w:rsidRPr="0010075A">
        <w:rPr>
          <w:rFonts w:cstheme="minorHAnsi"/>
        </w:rPr>
        <w:t>L).</w:t>
      </w:r>
    </w:p>
    <w:p w14:paraId="4D45E896" w14:textId="366B83E7" w:rsidR="00627D55" w:rsidRPr="0010075A" w:rsidRDefault="00627D55" w:rsidP="0010075A">
      <w:pPr>
        <w:spacing w:line="480" w:lineRule="auto"/>
        <w:jc w:val="both"/>
        <w:rPr>
          <w:rFonts w:cstheme="minorHAnsi"/>
        </w:rPr>
      </w:pPr>
      <w:r w:rsidRPr="0010075A">
        <w:rPr>
          <w:rFonts w:cstheme="minorHAnsi"/>
          <w:b/>
          <w:bCs/>
        </w:rPr>
        <w:t>Sequencing.</w:t>
      </w:r>
      <w:r w:rsidRPr="0010075A">
        <w:rPr>
          <w:rFonts w:cstheme="minorHAnsi"/>
        </w:rPr>
        <w:t xml:space="preserve"> DNA sequencing libraries were prepared starting from 500 ng of isolated DNA using the </w:t>
      </w:r>
      <w:proofErr w:type="spellStart"/>
      <w:r w:rsidRPr="0010075A">
        <w:rPr>
          <w:rFonts w:cstheme="minorHAnsi"/>
        </w:rPr>
        <w:t>TruSeq</w:t>
      </w:r>
      <w:proofErr w:type="spellEnd"/>
      <w:r w:rsidRPr="0010075A">
        <w:rPr>
          <w:rFonts w:cstheme="minorHAnsi"/>
        </w:rPr>
        <w:t xml:space="preserve"> Methyl Capture EPIC Library Prep Kit (Illumina, San Diego, </w:t>
      </w:r>
      <w:r w:rsidR="00B5268A" w:rsidRPr="0010075A">
        <w:rPr>
          <w:rFonts w:cstheme="minorHAnsi"/>
        </w:rPr>
        <w:t xml:space="preserve">CA, </w:t>
      </w:r>
      <w:r w:rsidRPr="0010075A">
        <w:rPr>
          <w:rFonts w:cstheme="minorHAnsi"/>
        </w:rPr>
        <w:t xml:space="preserve">USA), and clustered on </w:t>
      </w:r>
      <w:proofErr w:type="spellStart"/>
      <w:r w:rsidRPr="0010075A">
        <w:rPr>
          <w:rFonts w:cstheme="minorHAnsi"/>
        </w:rPr>
        <w:t>Illumina</w:t>
      </w:r>
      <w:proofErr w:type="spellEnd"/>
      <w:r w:rsidRPr="0010075A">
        <w:rPr>
          <w:rFonts w:cstheme="minorHAnsi"/>
        </w:rPr>
        <w:t xml:space="preserve"> </w:t>
      </w:r>
      <w:proofErr w:type="spellStart"/>
      <w:r w:rsidRPr="0010075A">
        <w:rPr>
          <w:rFonts w:cstheme="minorHAnsi"/>
        </w:rPr>
        <w:t>HiSeq</w:t>
      </w:r>
      <w:proofErr w:type="spellEnd"/>
      <w:r w:rsidRPr="0010075A">
        <w:rPr>
          <w:rFonts w:cstheme="minorHAnsi"/>
        </w:rPr>
        <w:t xml:space="preserve"> 3000/4000 PE flow cells using </w:t>
      </w:r>
      <w:proofErr w:type="spellStart"/>
      <w:r w:rsidRPr="0010075A">
        <w:rPr>
          <w:rFonts w:cstheme="minorHAnsi"/>
        </w:rPr>
        <w:t>Illumina</w:t>
      </w:r>
      <w:proofErr w:type="spellEnd"/>
      <w:r w:rsidRPr="0010075A">
        <w:rPr>
          <w:rFonts w:cstheme="minorHAnsi"/>
        </w:rPr>
        <w:t xml:space="preserve"> </w:t>
      </w:r>
      <w:proofErr w:type="spellStart"/>
      <w:r w:rsidRPr="0010075A">
        <w:rPr>
          <w:rFonts w:cstheme="minorHAnsi"/>
        </w:rPr>
        <w:t>HiSeq</w:t>
      </w:r>
      <w:proofErr w:type="spellEnd"/>
      <w:r w:rsidRPr="0010075A">
        <w:rPr>
          <w:rFonts w:cstheme="minorHAnsi"/>
        </w:rPr>
        <w:t xml:space="preserve"> 3000/4000 PE Cluster Kits (Illumina). Sequencing was performed on an </w:t>
      </w:r>
      <w:proofErr w:type="spellStart"/>
      <w:r w:rsidRPr="0010075A">
        <w:rPr>
          <w:rFonts w:cstheme="minorHAnsi"/>
        </w:rPr>
        <w:t>Illumina</w:t>
      </w:r>
      <w:proofErr w:type="spellEnd"/>
      <w:r w:rsidRPr="0010075A">
        <w:rPr>
          <w:rFonts w:cstheme="minorHAnsi"/>
        </w:rPr>
        <w:t xml:space="preserve"> </w:t>
      </w:r>
      <w:proofErr w:type="spellStart"/>
      <w:r w:rsidRPr="0010075A">
        <w:rPr>
          <w:rFonts w:cstheme="minorHAnsi"/>
        </w:rPr>
        <w:t>HiSeq</w:t>
      </w:r>
      <w:proofErr w:type="spellEnd"/>
      <w:r w:rsidRPr="0010075A">
        <w:rPr>
          <w:rFonts w:cstheme="minorHAnsi"/>
        </w:rPr>
        <w:t xml:space="preserve"> 4000 system using </w:t>
      </w:r>
      <w:proofErr w:type="spellStart"/>
      <w:r w:rsidRPr="0010075A">
        <w:rPr>
          <w:rFonts w:cstheme="minorHAnsi"/>
        </w:rPr>
        <w:t>Illumina</w:t>
      </w:r>
      <w:proofErr w:type="spellEnd"/>
      <w:r w:rsidRPr="0010075A">
        <w:rPr>
          <w:rFonts w:cstheme="minorHAnsi"/>
        </w:rPr>
        <w:t xml:space="preserve"> </w:t>
      </w:r>
      <w:proofErr w:type="spellStart"/>
      <w:r w:rsidRPr="0010075A">
        <w:rPr>
          <w:rFonts w:cstheme="minorHAnsi"/>
        </w:rPr>
        <w:t>HiSeq</w:t>
      </w:r>
      <w:proofErr w:type="spellEnd"/>
      <w:r w:rsidRPr="0010075A">
        <w:rPr>
          <w:rFonts w:cstheme="minorHAnsi"/>
        </w:rPr>
        <w:t xml:space="preserve"> 3000/4000 SBS kits (150 cycles).</w:t>
      </w:r>
    </w:p>
    <w:p w14:paraId="0DF8A2EE" w14:textId="7A058DB9" w:rsidR="00627D55" w:rsidRPr="0010075A" w:rsidRDefault="00627D55" w:rsidP="0010075A">
      <w:pPr>
        <w:spacing w:line="480" w:lineRule="auto"/>
        <w:jc w:val="both"/>
        <w:rPr>
          <w:rFonts w:cstheme="minorHAnsi"/>
          <w:highlight w:val="magenta"/>
        </w:rPr>
      </w:pPr>
      <w:r w:rsidRPr="0010075A">
        <w:rPr>
          <w:rFonts w:cstheme="minorHAnsi"/>
          <w:b/>
          <w:bCs/>
        </w:rPr>
        <w:t>Data processing.</w:t>
      </w:r>
      <w:r w:rsidRPr="0010075A">
        <w:rPr>
          <w:rFonts w:cstheme="minorHAnsi"/>
        </w:rPr>
        <w:t xml:space="preserve"> Sequencing reads were aligned to the human genome (version hg19) using the </w:t>
      </w:r>
      <w:proofErr w:type="spellStart"/>
      <w:r w:rsidRPr="0010075A">
        <w:rPr>
          <w:rFonts w:cstheme="minorHAnsi"/>
        </w:rPr>
        <w:t>qAlign</w:t>
      </w:r>
      <w:proofErr w:type="spellEnd"/>
      <w:r w:rsidRPr="0010075A">
        <w:rPr>
          <w:rFonts w:cstheme="minorHAnsi"/>
        </w:rPr>
        <w:t xml:space="preserve"> function from the </w:t>
      </w:r>
      <w:proofErr w:type="spellStart"/>
      <w:r w:rsidRPr="0010075A">
        <w:rPr>
          <w:rFonts w:cstheme="minorHAnsi"/>
        </w:rPr>
        <w:t>QuasR</w:t>
      </w:r>
      <w:proofErr w:type="spellEnd"/>
      <w:r w:rsidRPr="0010075A">
        <w:rPr>
          <w:rFonts w:cstheme="minorHAnsi"/>
        </w:rPr>
        <w:t xml:space="preserve"> package,</w:t>
      </w:r>
      <w:r w:rsidR="00D750FC" w:rsidRPr="0010075A">
        <w:rPr>
          <w:rFonts w:cstheme="minorHAnsi"/>
        </w:rPr>
        <w:fldChar w:fldCharType="begin">
          <w:fldData xml:space="preserve">PEVuZE5vdGU+PENpdGU+PEF1dGhvcj5HYWlkYXR6aXM8L0F1dGhvcj48WWVhcj4yMDE1PC9ZZWFy
PjxSZWNOdW0+NTM8L1JlY051bT48RGlzcGxheVRleHQ+PHN0eWxlIGZhY2U9InN1cGVyc2NyaXB0
Ij43PC9zdHlsZT48L0Rpc3BsYXlUZXh0PjxyZWNvcmQ+PHJlYy1udW1iZXI+NTM8L3JlYy1udW1i
ZXI+PGZvcmVpZ24ta2V5cz48a2V5IGFwcD0iRU4iIGRiLWlkPSIydHJhcjV2dDRycDJ2bmVmMnM2
cGRmMDlwd2YycDAyOXdhZHoiIHRpbWVzdGFtcD0iMTY5ODQxMDgwMSI+NTM8L2tleT48L2ZvcmVp
Z24ta2V5cz48cmVmLXR5cGUgbmFtZT0iSm91cm5hbCBBcnRpY2xlIj4xNzwvcmVmLXR5cGU+PGNv
bnRyaWJ1dG9ycz48YXV0aG9ycz48YXV0aG9yPkdhaWRhdHppcywgRC48L2F1dGhvcj48YXV0aG9y
PkxlcmNoLCBBLjwvYXV0aG9yPjxhdXRob3I+SGFobmUsIEYuPC9hdXRob3I+PGF1dGhvcj5TdGFk
bGVyLCBNLiBCLjwvYXV0aG9yPjwvYXV0aG9ycz48L2NvbnRyaWJ1dG9ycz48YXV0aC1hZGRyZXNz
PkZyaWVkcmljaCBNaWVzY2hlciBJbnN0aXR1dGUgZm9yIEJpb21lZGljYWwgUmVzZWFyY2gsIE1h
dWxiZWVyc3RyYXNzZSA2NiwgNDA1OCBCYXNlbCwgU3dpdHplcmxhbmQsIFN3aXNzIEluc3RpdHV0
ZSBvZiBCaW9pbmZvcm1hdGljcywgNDA1OCBCYXNlbCwgU3dpdHplcmxhbmQgYW5kIE5vdmFydGlz
IEluc3RpdHV0ZSBmb3IgQmlvbWVkaWNhbCBSZXNlYXJjaCwgQ0gtNDA1NyBCYXNlbCwgU3dpdHpl
cmxhbmQgRnJpZWRyaWNoIE1pZXNjaGVyIEluc3RpdHV0ZSBmb3IgQmlvbWVkaWNhbCBSZXNlYXJj
aCwgTWF1bGJlZXJzdHJhc3NlIDY2LCA0MDU4IEJhc2VsLCBTd2l0emVybGFuZCwgU3dpc3MgSW5z
dGl0dXRlIG9mIEJpb2luZm9ybWF0aWNzLCA0MDU4IEJhc2VsLCBTd2l0emVybGFuZCBhbmQgTm92
YXJ0aXMgSW5zdGl0dXRlIGZvciBCaW9tZWRpY2FsIFJlc2VhcmNoLCBDSC00MDU3IEJhc2VsLCBT
d2l0emVybGFuZC4mI3hEO0ZyaWVkcmljaCBNaWVzY2hlciBJbnN0aXR1dGUgZm9yIEJpb21lZGlj
YWwgUmVzZWFyY2gsIE1hdWxiZWVyc3RyYXNzZSA2NiwgNDA1OCBCYXNlbCwgU3dpdHplcmxhbmQs
IFN3aXNzIEluc3RpdHV0ZSBvZiBCaW9pbmZvcm1hdGljcywgNDA1OCBCYXNlbCwgU3dpdHplcmxh
bmQgYW5kIE5vdmFydGlzIEluc3RpdHV0ZSBmb3IgQmlvbWVkaWNhbCBSZXNlYXJjaCwgQ0gtNDA1
NyBCYXNlbCwgU3dpdHplcmxhbmQuPC9hdXRoLWFkZHJlc3M+PHRpdGxlcz48dGl0bGU+UXVhc1I6
IHF1YW50aWZpY2F0aW9uIGFuZCBhbm5vdGF0aW9uIG9mIHNob3J0IHJlYWRzIGluIFI8L3RpdGxl
PjxzZWNvbmRhcnktdGl0bGU+QmlvaW5mb3JtYXRpY3M8L3NlY29uZGFyeS10aXRsZT48L3RpdGxl
cz48cGVyaW9kaWNhbD48ZnVsbC10aXRsZT5CaW9pbmZvcm1hdGljczwvZnVsbC10aXRsZT48L3Bl
cmlvZGljYWw+PHBhZ2VzPjExMzAtMjwvcGFnZXM+PHZvbHVtZT4zMTwvdm9sdW1lPjxudW1iZXI+
NzwvbnVtYmVyPjxlZGl0aW9uPjIwMTQxMTIxPC9lZGl0aW9uPjxrZXl3b3Jkcz48a2V5d29yZD5B
bGdvcml0aG1zPC9rZXl3b3JkPjxrZXl3b3JkPipDb21wdXRhdGlvbmFsIEJpb2xvZ3k8L2tleXdv
cmQ+PGtleXdvcmQ+KkNvbnRpZyBNYXBwaW5nPC9rZXl3b3JkPjxrZXl3b3JkPkdlbm9taWNzLypt
ZXRob2RzPC9rZXl3b3JkPjxrZXl3b3JkPipIaWdoLVRocm91Z2hwdXQgTnVjbGVvdGlkZSBTZXF1
ZW5jaW5nPC9rZXl3b3JkPjxrZXl3b3JkPkh1bWFuczwva2V5d29yZD48a2V5d29yZD5TZXF1ZW5j
ZSBBbmFseXNpcywgRE5BLyptZXRob2RzPC9rZXl3b3JkPjxrZXl3b3JkPipTb2Z0d2FyZTwva2V5
d29yZD48L2tleXdvcmRzPjxkYXRlcz48eWVhcj4yMDE1PC95ZWFyPjxwdWItZGF0ZXM+PGRhdGU+
QXByIDE8L2RhdGU+PC9wdWItZGF0ZXM+PC9kYXRlcz48aXNibj4xMzY3LTQ4MTEgKEVsZWN0cm9u
aWMpJiN4RDsxMzY3LTQ4MDMgKExpbmtpbmcpPC9pc2JuPjxhY2Nlc3Npb24tbnVtPjI1NDE3MjA1
PC9hY2Nlc3Npb24tbnVtPjx1cmxzPjxyZWxhdGVkLXVybHM+PHVybD5odHRwczovL3d3dy5uY2Jp
Lm5sbS5uaWguZ292L3B1Ym1lZC8yNTQxNzIwNTwvdXJsPjwvcmVsYXRlZC11cmxzPjwvdXJscz48
Y3VzdG9tMj5QTUM0MzgyOTA0PC9jdXN0b20yPjxlbGVjdHJvbmljLXJlc291cmNlLW51bT4xMC4x
MDkzL2Jpb2luZm9ybWF0aWNzL2J0dTc4MTwvZWxlY3Ryb25pYy1yZXNvdXJjZS1udW0+PHJlbW90
ZS1kYXRhYmFzZS1uYW1lPk1lZGxpbmU8L3JlbW90ZS1kYXRhYmFzZS1uYW1lPjxyZW1vdGUtZGF0
YWJhc2UtcHJvdmlkZXI+TkxNPC9yZW1vdGUtZGF0YWJhc2UtcHJvdmlkZXI+PC9yZWNvcmQ+PC9D
aXRlPjwvRW5kTm90ZT4A
</w:fldData>
        </w:fldChar>
      </w:r>
      <w:r w:rsidR="00D750FC" w:rsidRPr="0010075A">
        <w:rPr>
          <w:rFonts w:cstheme="minorHAnsi"/>
        </w:rPr>
        <w:instrText xml:space="preserve"> ADDIN EN.CITE </w:instrText>
      </w:r>
      <w:r w:rsidR="00D750FC" w:rsidRPr="0010075A">
        <w:rPr>
          <w:rFonts w:cstheme="minorHAnsi"/>
        </w:rPr>
        <w:fldChar w:fldCharType="begin">
          <w:fldData xml:space="preserve">PEVuZE5vdGU+PENpdGU+PEF1dGhvcj5HYWlkYXR6aXM8L0F1dGhvcj48WWVhcj4yMDE1PC9ZZWFy
PjxSZWNOdW0+NTM8L1JlY051bT48RGlzcGxheVRleHQ+PHN0eWxlIGZhY2U9InN1cGVyc2NyaXB0
Ij43PC9zdHlsZT48L0Rpc3BsYXlUZXh0PjxyZWNvcmQ+PHJlYy1udW1iZXI+NTM8L3JlYy1udW1i
ZXI+PGZvcmVpZ24ta2V5cz48a2V5IGFwcD0iRU4iIGRiLWlkPSIydHJhcjV2dDRycDJ2bmVmMnM2
cGRmMDlwd2YycDAyOXdhZHoiIHRpbWVzdGFtcD0iMTY5ODQxMDgwMSI+NTM8L2tleT48L2ZvcmVp
Z24ta2V5cz48cmVmLXR5cGUgbmFtZT0iSm91cm5hbCBBcnRpY2xlIj4xNzwvcmVmLXR5cGU+PGNv
bnRyaWJ1dG9ycz48YXV0aG9ycz48YXV0aG9yPkdhaWRhdHppcywgRC48L2F1dGhvcj48YXV0aG9y
PkxlcmNoLCBBLjwvYXV0aG9yPjxhdXRob3I+SGFobmUsIEYuPC9hdXRob3I+PGF1dGhvcj5TdGFk
bGVyLCBNLiBCLjwvYXV0aG9yPjwvYXV0aG9ycz48L2NvbnRyaWJ1dG9ycz48YXV0aC1hZGRyZXNz
PkZyaWVkcmljaCBNaWVzY2hlciBJbnN0aXR1dGUgZm9yIEJpb21lZGljYWwgUmVzZWFyY2gsIE1h
dWxiZWVyc3RyYXNzZSA2NiwgNDA1OCBCYXNlbCwgU3dpdHplcmxhbmQsIFN3aXNzIEluc3RpdHV0
ZSBvZiBCaW9pbmZvcm1hdGljcywgNDA1OCBCYXNlbCwgU3dpdHplcmxhbmQgYW5kIE5vdmFydGlz
IEluc3RpdHV0ZSBmb3IgQmlvbWVkaWNhbCBSZXNlYXJjaCwgQ0gtNDA1NyBCYXNlbCwgU3dpdHpl
cmxhbmQgRnJpZWRyaWNoIE1pZXNjaGVyIEluc3RpdHV0ZSBmb3IgQmlvbWVkaWNhbCBSZXNlYXJj
aCwgTWF1bGJlZXJzdHJhc3NlIDY2LCA0MDU4IEJhc2VsLCBTd2l0emVybGFuZCwgU3dpc3MgSW5z
dGl0dXRlIG9mIEJpb2luZm9ybWF0aWNzLCA0MDU4IEJhc2VsLCBTd2l0emVybGFuZCBhbmQgTm92
YXJ0aXMgSW5zdGl0dXRlIGZvciBCaW9tZWRpY2FsIFJlc2VhcmNoLCBDSC00MDU3IEJhc2VsLCBT
d2l0emVybGFuZC4mI3hEO0ZyaWVkcmljaCBNaWVzY2hlciBJbnN0aXR1dGUgZm9yIEJpb21lZGlj
YWwgUmVzZWFyY2gsIE1hdWxiZWVyc3RyYXNzZSA2NiwgNDA1OCBCYXNlbCwgU3dpdHplcmxhbmQs
IFN3aXNzIEluc3RpdHV0ZSBvZiBCaW9pbmZvcm1hdGljcywgNDA1OCBCYXNlbCwgU3dpdHplcmxh
bmQgYW5kIE5vdmFydGlzIEluc3RpdHV0ZSBmb3IgQmlvbWVkaWNhbCBSZXNlYXJjaCwgQ0gtNDA1
NyBCYXNlbCwgU3dpdHplcmxhbmQuPC9hdXRoLWFkZHJlc3M+PHRpdGxlcz48dGl0bGU+UXVhc1I6
IHF1YW50aWZpY2F0aW9uIGFuZCBhbm5vdGF0aW9uIG9mIHNob3J0IHJlYWRzIGluIFI8L3RpdGxl
PjxzZWNvbmRhcnktdGl0bGU+QmlvaW5mb3JtYXRpY3M8L3NlY29uZGFyeS10aXRsZT48L3RpdGxl
cz48cGVyaW9kaWNhbD48ZnVsbC10aXRsZT5CaW9pbmZvcm1hdGljczwvZnVsbC10aXRsZT48L3Bl
cmlvZGljYWw+PHBhZ2VzPjExMzAtMjwvcGFnZXM+PHZvbHVtZT4zMTwvdm9sdW1lPjxudW1iZXI+
NzwvbnVtYmVyPjxlZGl0aW9uPjIwMTQxMTIxPC9lZGl0aW9uPjxrZXl3b3Jkcz48a2V5d29yZD5B
bGdvcml0aG1zPC9rZXl3b3JkPjxrZXl3b3JkPipDb21wdXRhdGlvbmFsIEJpb2xvZ3k8L2tleXdv
cmQ+PGtleXdvcmQ+KkNvbnRpZyBNYXBwaW5nPC9rZXl3b3JkPjxrZXl3b3JkPkdlbm9taWNzLypt
ZXRob2RzPC9rZXl3b3JkPjxrZXl3b3JkPipIaWdoLVRocm91Z2hwdXQgTnVjbGVvdGlkZSBTZXF1
ZW5jaW5nPC9rZXl3b3JkPjxrZXl3b3JkPkh1bWFuczwva2V5d29yZD48a2V5d29yZD5TZXF1ZW5j
ZSBBbmFseXNpcywgRE5BLyptZXRob2RzPC9rZXl3b3JkPjxrZXl3b3JkPipTb2Z0d2FyZTwva2V5
d29yZD48L2tleXdvcmRzPjxkYXRlcz48eWVhcj4yMDE1PC95ZWFyPjxwdWItZGF0ZXM+PGRhdGU+
QXByIDE8L2RhdGU+PC9wdWItZGF0ZXM+PC9kYXRlcz48aXNibj4xMzY3LTQ4MTEgKEVsZWN0cm9u
aWMpJiN4RDsxMzY3LTQ4MDMgKExpbmtpbmcpPC9pc2JuPjxhY2Nlc3Npb24tbnVtPjI1NDE3MjA1
PC9hY2Nlc3Npb24tbnVtPjx1cmxzPjxyZWxhdGVkLXVybHM+PHVybD5odHRwczovL3d3dy5uY2Jp
Lm5sbS5uaWguZ292L3B1Ym1lZC8yNTQxNzIwNTwvdXJsPjwvcmVsYXRlZC11cmxzPjwvdXJscz48
Y3VzdG9tMj5QTUM0MzgyOTA0PC9jdXN0b20yPjxlbGVjdHJvbmljLXJlc291cmNlLW51bT4xMC4x
MDkzL2Jpb2luZm9ybWF0aWNzL2J0dTc4MTwvZWxlY3Ryb25pYy1yZXNvdXJjZS1udW0+PHJlbW90
ZS1kYXRhYmFzZS1uYW1lPk1lZGxpbmU8L3JlbW90ZS1kYXRhYmFzZS1uYW1lPjxyZW1vdGUtZGF0
YWJhc2UtcHJvdmlkZXI+TkxNPC9yZW1vdGUtZGF0YWJhc2UtcHJvdmlkZXI+PC9yZWNvcmQ+PC9D
aXRlPjwvRW5kTm90ZT4A
</w:fldData>
        </w:fldChar>
      </w:r>
      <w:r w:rsidR="00D750FC" w:rsidRPr="0010075A">
        <w:rPr>
          <w:rFonts w:cstheme="minorHAnsi"/>
        </w:rPr>
        <w:instrText xml:space="preserve"> ADDIN EN.CITE.DATA </w:instrText>
      </w:r>
      <w:r w:rsidR="00D750FC" w:rsidRPr="0010075A">
        <w:rPr>
          <w:rFonts w:cstheme="minorHAnsi"/>
        </w:rPr>
      </w:r>
      <w:r w:rsidR="00D750FC" w:rsidRPr="0010075A">
        <w:rPr>
          <w:rFonts w:cstheme="minorHAnsi"/>
        </w:rPr>
        <w:fldChar w:fldCharType="end"/>
      </w:r>
      <w:r w:rsidR="00D750FC" w:rsidRPr="0010075A">
        <w:rPr>
          <w:rFonts w:cstheme="minorHAnsi"/>
        </w:rPr>
      </w:r>
      <w:r w:rsidR="00D750FC" w:rsidRPr="0010075A">
        <w:rPr>
          <w:rFonts w:cstheme="minorHAnsi"/>
        </w:rPr>
        <w:fldChar w:fldCharType="separate"/>
      </w:r>
      <w:r w:rsidR="00D750FC" w:rsidRPr="0010075A">
        <w:rPr>
          <w:rFonts w:cstheme="minorHAnsi"/>
          <w:noProof/>
          <w:vertAlign w:val="superscript"/>
        </w:rPr>
        <w:t>7</w:t>
      </w:r>
      <w:r w:rsidR="00D750FC" w:rsidRPr="0010075A">
        <w:rPr>
          <w:rFonts w:cstheme="minorHAnsi"/>
        </w:rPr>
        <w:fldChar w:fldCharType="end"/>
      </w:r>
      <w:r w:rsidRPr="0010075A">
        <w:rPr>
          <w:rFonts w:cstheme="minorHAnsi"/>
        </w:rPr>
        <w:t xml:space="preserve"> which internally uses bowtie (v 1.10.0) with alignment parameters fitting directional bisulfite-converted libraries. Methylation levels were quantified using the </w:t>
      </w:r>
      <w:proofErr w:type="spellStart"/>
      <w:r w:rsidRPr="0010075A">
        <w:rPr>
          <w:rFonts w:cstheme="minorHAnsi"/>
        </w:rPr>
        <w:t>qMeth</w:t>
      </w:r>
      <w:proofErr w:type="spellEnd"/>
      <w:r w:rsidRPr="0010075A">
        <w:rPr>
          <w:rFonts w:cstheme="minorHAnsi"/>
        </w:rPr>
        <w:t xml:space="preserve"> function from the </w:t>
      </w:r>
      <w:proofErr w:type="spellStart"/>
      <w:r w:rsidRPr="0010075A">
        <w:rPr>
          <w:rFonts w:cstheme="minorHAnsi"/>
        </w:rPr>
        <w:t>QuasR</w:t>
      </w:r>
      <w:proofErr w:type="spellEnd"/>
      <w:r w:rsidRPr="0010075A">
        <w:rPr>
          <w:rFonts w:cstheme="minorHAnsi"/>
        </w:rPr>
        <w:t xml:space="preserve"> package. Only cytosines in a CpG context were considered, and the counts were strand-combined. Methylation levels correspond to the ratio between methylated and total events and are presented as a 0 to 1 range, with 0 being a fully unmethylated state (methylated counts = 0) and 1 being a fully methylated state (methylated counts = total counts).</w:t>
      </w:r>
    </w:p>
    <w:p w14:paraId="168F2F2C" w14:textId="77777777" w:rsidR="00627D55" w:rsidRPr="0010075A" w:rsidRDefault="00627D55" w:rsidP="0010075A">
      <w:pPr>
        <w:spacing w:line="480" w:lineRule="auto"/>
      </w:pPr>
    </w:p>
    <w:p w14:paraId="0E1172FE" w14:textId="47CEA8EA" w:rsidR="00627D55" w:rsidRPr="0010075A" w:rsidRDefault="00627D55" w:rsidP="0010075A">
      <w:pPr>
        <w:pStyle w:val="Heading2"/>
        <w:spacing w:line="480" w:lineRule="auto"/>
        <w:rPr>
          <w:color w:val="auto"/>
        </w:rPr>
      </w:pPr>
      <w:r w:rsidRPr="0010075A">
        <w:rPr>
          <w:color w:val="auto"/>
        </w:rPr>
        <w:t>Metabolomics</w:t>
      </w:r>
      <w:r w:rsidR="00600E20" w:rsidRPr="0010075A">
        <w:rPr>
          <w:color w:val="auto"/>
        </w:rPr>
        <w:t xml:space="preserve"> – </w:t>
      </w:r>
      <w:r w:rsidRPr="0010075A">
        <w:rPr>
          <w:color w:val="auto"/>
        </w:rPr>
        <w:t>Sample analysis and data processing</w:t>
      </w:r>
    </w:p>
    <w:p w14:paraId="17570329" w14:textId="77777777" w:rsidR="00D82345" w:rsidRPr="0010075A" w:rsidRDefault="00D82345" w:rsidP="0010075A">
      <w:pPr>
        <w:pStyle w:val="Heading3"/>
        <w:spacing w:line="480" w:lineRule="auto"/>
        <w:rPr>
          <w:color w:val="auto"/>
        </w:rPr>
      </w:pPr>
      <w:r w:rsidRPr="0010075A">
        <w:rPr>
          <w:color w:val="auto"/>
        </w:rPr>
        <w:t>Metabolomics analysis by Metabolon</w:t>
      </w:r>
    </w:p>
    <w:p w14:paraId="002107F3" w14:textId="77777777" w:rsidR="00D82345" w:rsidRPr="0010075A" w:rsidRDefault="00D82345" w:rsidP="0010075A">
      <w:pPr>
        <w:spacing w:line="480" w:lineRule="auto"/>
        <w:jc w:val="both"/>
        <w:rPr>
          <w:rFonts w:cstheme="minorHAnsi"/>
        </w:rPr>
      </w:pPr>
      <w:r w:rsidRPr="0010075A">
        <w:rPr>
          <w:rFonts w:cstheme="minorHAnsi"/>
        </w:rPr>
        <w:t xml:space="preserve">For metabolomics analysis, frozen plasma sample aliquots (100-200 </w:t>
      </w:r>
      <w:proofErr w:type="spellStart"/>
      <w:r w:rsidRPr="0010075A">
        <w:rPr>
          <w:rFonts w:cstheme="minorHAnsi"/>
        </w:rPr>
        <w:t>μL</w:t>
      </w:r>
      <w:proofErr w:type="spellEnd"/>
      <w:r w:rsidRPr="0010075A">
        <w:rPr>
          <w:rFonts w:cstheme="minorHAnsi"/>
        </w:rPr>
        <w:t xml:space="preserve"> each) were shipped to Metabolon’s facility on dry ice. Samples were shipped and metadata was arranged according to the generated randomized order. Metabolon analyzed the samples using Metabolon’s proprietary metabolomics platform (DiscoveryHD4</w:t>
      </w:r>
      <w:r w:rsidRPr="0010075A">
        <w:rPr>
          <w:rFonts w:cstheme="minorHAnsi"/>
          <w:vertAlign w:val="superscript"/>
        </w:rPr>
        <w:t>TM</w:t>
      </w:r>
      <w:r w:rsidRPr="0010075A">
        <w:rPr>
          <w:rFonts w:cstheme="minorHAnsi"/>
        </w:rPr>
        <w:t xml:space="preserve"> Metabolomics Platform).</w:t>
      </w:r>
    </w:p>
    <w:p w14:paraId="72D05C1A" w14:textId="77777777" w:rsidR="00752946" w:rsidRPr="0010075A" w:rsidRDefault="00752946" w:rsidP="0010075A">
      <w:pPr>
        <w:spacing w:line="480" w:lineRule="auto"/>
        <w:rPr>
          <w:rFonts w:cstheme="minorHAnsi"/>
        </w:rPr>
      </w:pPr>
    </w:p>
    <w:p w14:paraId="4E75431A" w14:textId="77777777" w:rsidR="00627D55" w:rsidRPr="0010075A" w:rsidRDefault="00627D55" w:rsidP="0010075A">
      <w:pPr>
        <w:pStyle w:val="Heading3"/>
        <w:spacing w:line="480" w:lineRule="auto"/>
        <w:rPr>
          <w:rFonts w:asciiTheme="minorHAnsi" w:hAnsiTheme="minorHAnsi" w:cstheme="minorHAnsi"/>
          <w:color w:val="auto"/>
        </w:rPr>
      </w:pPr>
      <w:r w:rsidRPr="0010075A">
        <w:rPr>
          <w:rFonts w:asciiTheme="minorHAnsi" w:hAnsiTheme="minorHAnsi" w:cstheme="minorHAnsi"/>
          <w:color w:val="auto"/>
        </w:rPr>
        <w:t>Liquid chromatography (LC)-high resolution (HR)-mass spectrometry (MS)</w:t>
      </w:r>
    </w:p>
    <w:p w14:paraId="039C2B91" w14:textId="3E51D516" w:rsidR="00627D55" w:rsidRPr="0010075A" w:rsidRDefault="00627D55" w:rsidP="0010075A">
      <w:pPr>
        <w:spacing w:line="480" w:lineRule="auto"/>
        <w:jc w:val="both"/>
        <w:rPr>
          <w:rFonts w:cstheme="minorHAnsi"/>
        </w:rPr>
      </w:pPr>
      <w:r w:rsidRPr="0010075A">
        <w:rPr>
          <w:rFonts w:eastAsia="Calibri" w:cstheme="minorHAnsi"/>
          <w:b/>
          <w:bCs/>
        </w:rPr>
        <w:t>Quantification of creatinine in urine samples</w:t>
      </w:r>
      <w:r w:rsidRPr="0010075A">
        <w:rPr>
          <w:rFonts w:cstheme="minorHAnsi"/>
        </w:rPr>
        <w:t xml:space="preserve">. </w:t>
      </w:r>
      <w:r w:rsidRPr="0010075A">
        <w:rPr>
          <w:rFonts w:eastAsia="Calibri" w:cstheme="minorHAnsi"/>
        </w:rPr>
        <w:t>Urine samples were thawed at room temperature</w:t>
      </w:r>
      <w:r w:rsidR="008C3682" w:rsidRPr="0010075A">
        <w:rPr>
          <w:rFonts w:eastAsia="Calibri" w:cstheme="minorHAnsi"/>
        </w:rPr>
        <w:t>,</w:t>
      </w:r>
      <w:r w:rsidRPr="0010075A">
        <w:rPr>
          <w:rFonts w:eastAsia="Calibri" w:cstheme="minorHAnsi"/>
        </w:rPr>
        <w:t xml:space="preserve"> and an aliquot of 10 µL was diluted by addition of 990 µL water. An aliquot of 20 µL was further diluted 20-fold by addition of 380 µL water (final urine dilution of 2000-fold). A volume of 50 µL of diluted urine (calibrant standards and QCs) was added to 50 µL of </w:t>
      </w:r>
      <w:r w:rsidRPr="0010075A">
        <w:rPr>
          <w:rFonts w:eastAsia="Calibri" w:cstheme="minorHAnsi"/>
          <w:i/>
          <w:iCs/>
        </w:rPr>
        <w:t>d</w:t>
      </w:r>
      <w:r w:rsidRPr="0010075A">
        <w:rPr>
          <w:rFonts w:eastAsia="Calibri" w:cstheme="minorHAnsi"/>
          <w:i/>
          <w:iCs/>
          <w:vertAlign w:val="subscript"/>
        </w:rPr>
        <w:t>3</w:t>
      </w:r>
      <w:r w:rsidRPr="0010075A">
        <w:rPr>
          <w:rFonts w:eastAsia="Calibri" w:cstheme="minorHAnsi"/>
        </w:rPr>
        <w:t>-creatinine (1000 ng/mL in 50% methanol in water)</w:t>
      </w:r>
      <w:r w:rsidR="008C3682" w:rsidRPr="0010075A">
        <w:rPr>
          <w:rFonts w:eastAsia="Calibri" w:cstheme="minorHAnsi"/>
        </w:rPr>
        <w:t>,</w:t>
      </w:r>
      <w:r w:rsidRPr="0010075A">
        <w:rPr>
          <w:rFonts w:eastAsia="Calibri" w:cstheme="minorHAnsi"/>
        </w:rPr>
        <w:t xml:space="preserve"> and the samples were vortexed for 1 min at 600 rpm before adding a volume of 900 µL acetonitrile containing 0.1% formic acid. The mixture was vortexed for another 1 min at 300 rpm (room temperature) before centrifugation for 15 min at 3500 rpm (10°C). The supernatant was transferred to another 96-well plate and stored at -20°C before LC-MS/MS analyses.</w:t>
      </w:r>
    </w:p>
    <w:p w14:paraId="19401B77" w14:textId="657E2AC6" w:rsidR="00627D55" w:rsidRPr="0010075A" w:rsidRDefault="00627D55" w:rsidP="0010075A">
      <w:pPr>
        <w:spacing w:line="480" w:lineRule="auto"/>
        <w:jc w:val="both"/>
        <w:rPr>
          <w:rFonts w:cstheme="minorHAnsi"/>
        </w:rPr>
      </w:pPr>
      <w:r w:rsidRPr="0010075A">
        <w:rPr>
          <w:rFonts w:eastAsia="Calibri" w:cstheme="minorHAnsi"/>
        </w:rPr>
        <w:t xml:space="preserve">LC-MS/MS analyses were </w:t>
      </w:r>
      <w:r w:rsidR="008C3682" w:rsidRPr="0010075A">
        <w:rPr>
          <w:rFonts w:eastAsia="Calibri" w:cstheme="minorHAnsi"/>
        </w:rPr>
        <w:t xml:space="preserve">performed </w:t>
      </w:r>
      <w:r w:rsidRPr="0010075A">
        <w:rPr>
          <w:rFonts w:eastAsia="Calibri" w:cstheme="minorHAnsi"/>
        </w:rPr>
        <w:t xml:space="preserve">on a Shimadzu 8060 triple quadrupole mass spectrometer (Shimadzu, Kyoto, Japan). A 10 µL injection was </w:t>
      </w:r>
      <w:r w:rsidR="00570871" w:rsidRPr="0010075A">
        <w:rPr>
          <w:rFonts w:eastAsia="Calibri" w:cstheme="minorHAnsi"/>
        </w:rPr>
        <w:t xml:space="preserve">performed </w:t>
      </w:r>
      <w:r w:rsidRPr="0010075A">
        <w:rPr>
          <w:rFonts w:eastAsia="Calibri" w:cstheme="minorHAnsi"/>
        </w:rPr>
        <w:t>on the LC equipped with a Waters BEH amide HILIC column (3.0 x 50 mm, 1.7 µm particle size). Mobile phases A and B were respectively composed of acetonitrile/1 mM ammonium acetate (50:50, v/v) and acetonitrile, running at a constant flow rate of 0.4 mL/min. A 90% solvent B was maintained for the first min and ramped down to 5% B at 2 min. This 5% B was kept for an additional 1.5 min before going back to original condition (90% B) at 3.51 min, followed by a re-equilibration time until 6 min (total run time). T</w:t>
      </w:r>
      <w:r w:rsidR="004B7ED4" w:rsidRPr="0010075A">
        <w:rPr>
          <w:rFonts w:eastAsia="Calibri" w:cstheme="minorHAnsi"/>
        </w:rPr>
        <w:t>he t</w:t>
      </w:r>
      <w:r w:rsidRPr="0010075A">
        <w:rPr>
          <w:rFonts w:eastAsia="Calibri" w:cstheme="minorHAnsi"/>
        </w:rPr>
        <w:t xml:space="preserve">ypical retention time of creatinine was observed at 2.75 min. </w:t>
      </w:r>
    </w:p>
    <w:p w14:paraId="4B6A6A23" w14:textId="28780C42" w:rsidR="00627D55" w:rsidRPr="0010075A" w:rsidRDefault="00627D55" w:rsidP="0010075A">
      <w:pPr>
        <w:spacing w:line="480" w:lineRule="auto"/>
        <w:jc w:val="both"/>
        <w:rPr>
          <w:rFonts w:cstheme="minorHAnsi"/>
        </w:rPr>
      </w:pPr>
      <w:r w:rsidRPr="0010075A">
        <w:rPr>
          <w:rFonts w:eastAsia="Calibri" w:cstheme="minorHAnsi"/>
        </w:rPr>
        <w:lastRenderedPageBreak/>
        <w:t>MS/MS acquisition was performed in positive electrospray ionization (ESI) mode operating in MRM acquisition mode with source parameters set at a spray voltage of 4 kV, an interface temperature of 300</w:t>
      </w:r>
      <w:r w:rsidRPr="0010075A">
        <w:rPr>
          <w:rFonts w:eastAsia="Calibri Light" w:cstheme="minorHAnsi"/>
        </w:rPr>
        <w:t>°</w:t>
      </w:r>
      <w:r w:rsidRPr="0010075A">
        <w:rPr>
          <w:rFonts w:eastAsia="Calibri" w:cstheme="minorHAnsi"/>
        </w:rPr>
        <w:t>C, and nebulizing and heated gas flow of 3 and 10 L/min, respectively. MRM transitions monitored 114==&gt;44 and 114==&gt;86 for creatinine (collision energies of 17 and 14 eV, respectively) while 117==&gt;</w:t>
      </w:r>
      <w:r w:rsidRPr="0010075A">
        <w:rPr>
          <w:rFonts w:eastAsia="Wingdings" w:cstheme="minorHAnsi"/>
        </w:rPr>
        <w:t xml:space="preserve"> </w:t>
      </w:r>
      <w:r w:rsidRPr="0010075A">
        <w:rPr>
          <w:rFonts w:eastAsia="Calibri" w:cstheme="minorHAnsi"/>
        </w:rPr>
        <w:t xml:space="preserve">47 and 117==&gt;89 for </w:t>
      </w:r>
      <w:r w:rsidRPr="0010075A">
        <w:rPr>
          <w:rFonts w:eastAsia="Calibri" w:cstheme="minorHAnsi"/>
          <w:i/>
          <w:iCs/>
        </w:rPr>
        <w:t>d</w:t>
      </w:r>
      <w:r w:rsidRPr="0010075A">
        <w:rPr>
          <w:rFonts w:eastAsia="Calibri" w:cstheme="minorHAnsi"/>
          <w:i/>
          <w:iCs/>
          <w:vertAlign w:val="subscript"/>
        </w:rPr>
        <w:t>3</w:t>
      </w:r>
      <w:r w:rsidRPr="0010075A">
        <w:rPr>
          <w:rFonts w:eastAsia="Calibri" w:cstheme="minorHAnsi"/>
        </w:rPr>
        <w:t xml:space="preserve">-creatinine (collision energies of 18 and 14 eV, respectively), with a dwell time of 22 </w:t>
      </w:r>
      <w:proofErr w:type="spellStart"/>
      <w:r w:rsidRPr="0010075A">
        <w:rPr>
          <w:rFonts w:eastAsia="Calibri" w:cstheme="minorHAnsi"/>
        </w:rPr>
        <w:t>ms</w:t>
      </w:r>
      <w:proofErr w:type="spellEnd"/>
      <w:r w:rsidRPr="0010075A">
        <w:rPr>
          <w:rFonts w:eastAsia="Calibri" w:cstheme="minorHAnsi"/>
        </w:rPr>
        <w:t xml:space="preserve"> for each transition. Quantification of analyte was based on the peak area ratio between creatinine and its isotopically labelled internal standard </w:t>
      </w:r>
      <w:r w:rsidRPr="0010075A">
        <w:rPr>
          <w:rFonts w:eastAsia="Calibri" w:cstheme="minorHAnsi"/>
          <w:i/>
          <w:iCs/>
        </w:rPr>
        <w:t>d</w:t>
      </w:r>
      <w:r w:rsidRPr="0010075A">
        <w:rPr>
          <w:rFonts w:eastAsia="Calibri" w:cstheme="minorHAnsi"/>
          <w:i/>
          <w:iCs/>
          <w:vertAlign w:val="subscript"/>
        </w:rPr>
        <w:t>3</w:t>
      </w:r>
      <w:r w:rsidRPr="0010075A">
        <w:rPr>
          <w:rFonts w:eastAsia="Calibri" w:cstheme="minorHAnsi"/>
        </w:rPr>
        <w:t xml:space="preserve">-creatinine (both purchased from Sigma Aldrich, </w:t>
      </w:r>
      <w:r w:rsidR="008C3682" w:rsidRPr="0010075A">
        <w:rPr>
          <w:rFonts w:eastAsia="Calibri" w:cstheme="minorHAnsi"/>
        </w:rPr>
        <w:t>St. Louis, MO, USA</w:t>
      </w:r>
      <w:r w:rsidRPr="0010075A">
        <w:rPr>
          <w:rFonts w:eastAsia="Calibri" w:cstheme="minorHAnsi"/>
        </w:rPr>
        <w:t>) plotted against the concentration levels. Two calibration curves were injected at the beginning and the end of the samples batch, ranging from 50–5000 ng/mL with a linear regression equation using a weighting factor of 1/x. QC samples (low, medium, high) were prepared in water at concentration levels of 150, 1250, and 4500 ng/mL, respectively. Data processing was</w:t>
      </w:r>
      <w:r w:rsidR="00570871" w:rsidRPr="0010075A">
        <w:rPr>
          <w:rFonts w:eastAsia="Calibri" w:cstheme="minorHAnsi"/>
        </w:rPr>
        <w:t xml:space="preserve"> carried out </w:t>
      </w:r>
      <w:r w:rsidRPr="0010075A">
        <w:rPr>
          <w:rFonts w:eastAsia="Calibri" w:cstheme="minorHAnsi"/>
        </w:rPr>
        <w:t>using Shimadzu LabSolutions software (version 5.93).</w:t>
      </w:r>
    </w:p>
    <w:p w14:paraId="4C76AC9C" w14:textId="7E5A4616" w:rsidR="00627D55" w:rsidRPr="0010075A" w:rsidRDefault="00627D55" w:rsidP="0010075A">
      <w:pPr>
        <w:spacing w:line="480" w:lineRule="auto"/>
        <w:jc w:val="both"/>
        <w:rPr>
          <w:rFonts w:cstheme="minorHAnsi"/>
        </w:rPr>
      </w:pPr>
      <w:r w:rsidRPr="0010075A">
        <w:rPr>
          <w:rFonts w:eastAsia="Calibri" w:cstheme="minorHAnsi"/>
          <w:b/>
          <w:bCs/>
        </w:rPr>
        <w:t xml:space="preserve">Urine sample preparation for untargeted LC-HR-MS analyses. </w:t>
      </w:r>
      <w:r w:rsidRPr="0010075A">
        <w:rPr>
          <w:rFonts w:eastAsia="Calibri" w:cstheme="minorHAnsi"/>
        </w:rPr>
        <w:t xml:space="preserve">To minimize missing values of spot urine collected samples, the volume of urine was normalized to reach a defined creatinine concentration. An equivalent urine volume containing 21 µg of previously quantified creatinine was diluted to a total volume of 200 µL with water and evaporated to dryness using SPE Dry (Biotage). Samples were re-suspended with 80 µL IROA </w:t>
      </w:r>
      <w:r w:rsidRPr="0010075A">
        <w:rPr>
          <w:rFonts w:eastAsia="Calibri" w:cstheme="minorHAnsi"/>
          <w:vertAlign w:val="superscript"/>
        </w:rPr>
        <w:t>13</w:t>
      </w:r>
      <w:r w:rsidRPr="0010075A">
        <w:rPr>
          <w:rFonts w:eastAsia="Calibri" w:cstheme="minorHAnsi"/>
        </w:rPr>
        <w:t xml:space="preserve">C-metabolite yeast extract internal standard mix (IROA </w:t>
      </w:r>
      <w:r w:rsidR="00375617" w:rsidRPr="0010075A">
        <w:rPr>
          <w:rFonts w:eastAsia="Calibri" w:cstheme="minorHAnsi"/>
        </w:rPr>
        <w:t>T</w:t>
      </w:r>
      <w:r w:rsidRPr="0010075A">
        <w:rPr>
          <w:rFonts w:eastAsia="Calibri" w:cstheme="minorHAnsi"/>
        </w:rPr>
        <w:t>echnologies, Ann Arbor, MI, USA) solubilized either in acetonitrile/water (5:95, v/v) for C18 column injections or in acetonitrile/waterH2O (70:30, v/v) for HILIC column injections. A 2</w:t>
      </w:r>
      <w:r w:rsidR="00375617" w:rsidRPr="0010075A">
        <w:rPr>
          <w:rFonts w:eastAsia="Calibri" w:cstheme="minorHAnsi"/>
        </w:rPr>
        <w:t>-</w:t>
      </w:r>
      <w:r w:rsidRPr="0010075A">
        <w:rPr>
          <w:rFonts w:eastAsia="Calibri" w:cstheme="minorHAnsi"/>
        </w:rPr>
        <w:t>µL volume of urine extract was injected for LC-HR-MS.</w:t>
      </w:r>
    </w:p>
    <w:p w14:paraId="7FC8CC16" w14:textId="583EF09A" w:rsidR="00627D55" w:rsidRPr="0010075A" w:rsidRDefault="00627D55" w:rsidP="0010075A">
      <w:pPr>
        <w:spacing w:line="480" w:lineRule="auto"/>
        <w:jc w:val="both"/>
        <w:rPr>
          <w:rFonts w:cstheme="minorHAnsi"/>
        </w:rPr>
      </w:pPr>
      <w:r w:rsidRPr="0010075A">
        <w:rPr>
          <w:rFonts w:eastAsia="Calibri" w:cstheme="minorHAnsi"/>
          <w:b/>
          <w:bCs/>
        </w:rPr>
        <w:t xml:space="preserve">Plasma sample preparation for untargeted LC-HR-MS analyses. </w:t>
      </w:r>
      <w:r w:rsidRPr="0010075A">
        <w:rPr>
          <w:rFonts w:eastAsia="Calibri" w:cstheme="minorHAnsi"/>
        </w:rPr>
        <w:t>Proteins were precipitated from 125 µL of plasma sample using 375 µL of cold (-20°C) acetonitrile/isopropanol/water (3:3:2, v/v/v) solvent. After centrifugation</w:t>
      </w:r>
      <w:r w:rsidR="00B30F15" w:rsidRPr="0010075A">
        <w:rPr>
          <w:rFonts w:eastAsia="Calibri" w:cstheme="minorHAnsi"/>
        </w:rPr>
        <w:t xml:space="preserve"> at</w:t>
      </w:r>
      <w:r w:rsidRPr="0010075A">
        <w:rPr>
          <w:rFonts w:eastAsia="Calibri" w:cstheme="minorHAnsi"/>
        </w:rPr>
        <w:t xml:space="preserve"> 14</w:t>
      </w:r>
      <w:r w:rsidR="00B30F15" w:rsidRPr="0010075A">
        <w:rPr>
          <w:rFonts w:eastAsia="Calibri" w:cstheme="minorHAnsi"/>
        </w:rPr>
        <w:t>,</w:t>
      </w:r>
      <w:r w:rsidRPr="0010075A">
        <w:rPr>
          <w:rFonts w:eastAsia="Calibri" w:cstheme="minorHAnsi"/>
        </w:rPr>
        <w:t xml:space="preserve">000 </w:t>
      </w:r>
      <w:r w:rsidR="00B30F15" w:rsidRPr="0010075A">
        <w:rPr>
          <w:rFonts w:eastAsia="Calibri" w:cstheme="minorHAnsi"/>
        </w:rPr>
        <w:t xml:space="preserve">x </w:t>
      </w:r>
      <w:r w:rsidRPr="0010075A">
        <w:rPr>
          <w:rFonts w:eastAsia="Calibri" w:cstheme="minorHAnsi"/>
        </w:rPr>
        <w:t>g for 20 min at 4°C, 200 µL of supernatant were dispensed in a 96</w:t>
      </w:r>
      <w:r w:rsidR="00B30F15" w:rsidRPr="0010075A">
        <w:rPr>
          <w:rFonts w:eastAsia="Calibri" w:cstheme="minorHAnsi"/>
        </w:rPr>
        <w:t>-</w:t>
      </w:r>
      <w:r w:rsidRPr="0010075A">
        <w:rPr>
          <w:rFonts w:eastAsia="Calibri" w:cstheme="minorHAnsi"/>
        </w:rPr>
        <w:t xml:space="preserve">well plate and evaporated to dryness using SPE Dry (Biotage). Samples were re-suspended with 80 µL of IROA </w:t>
      </w:r>
      <w:r w:rsidRPr="0010075A">
        <w:rPr>
          <w:rFonts w:eastAsia="Calibri" w:cstheme="minorHAnsi"/>
          <w:vertAlign w:val="superscript"/>
        </w:rPr>
        <w:t>13</w:t>
      </w:r>
      <w:r w:rsidRPr="0010075A">
        <w:rPr>
          <w:rFonts w:eastAsia="Calibri" w:cstheme="minorHAnsi"/>
        </w:rPr>
        <w:t>C-metabolite yeast extract internal standard mix, as described for urine sample preparation (see above). A 2</w:t>
      </w:r>
      <w:r w:rsidR="00B30F15" w:rsidRPr="0010075A">
        <w:rPr>
          <w:rFonts w:eastAsia="Calibri" w:cstheme="minorHAnsi"/>
        </w:rPr>
        <w:t>-</w:t>
      </w:r>
      <w:r w:rsidRPr="0010075A">
        <w:rPr>
          <w:rFonts w:eastAsia="Calibri" w:cstheme="minorHAnsi"/>
        </w:rPr>
        <w:t>µL volume of plasma extract was injected for LC-HR-MS.</w:t>
      </w:r>
    </w:p>
    <w:p w14:paraId="554A6C04" w14:textId="5D4FF5DB" w:rsidR="00627D55" w:rsidRPr="0010075A" w:rsidRDefault="00627D55" w:rsidP="0010075A">
      <w:pPr>
        <w:spacing w:line="480" w:lineRule="auto"/>
        <w:jc w:val="both"/>
        <w:rPr>
          <w:rFonts w:cstheme="minorHAnsi"/>
        </w:rPr>
      </w:pPr>
      <w:r w:rsidRPr="0010075A">
        <w:rPr>
          <w:rFonts w:eastAsia="Calibri" w:cstheme="minorHAnsi"/>
          <w:b/>
          <w:bCs/>
        </w:rPr>
        <w:t xml:space="preserve">Sample analysis by LC-HR-MS for untargeted </w:t>
      </w:r>
      <w:r w:rsidR="00B30F15" w:rsidRPr="0010075A">
        <w:rPr>
          <w:rFonts w:eastAsia="Calibri" w:cstheme="minorHAnsi"/>
          <w:b/>
          <w:bCs/>
        </w:rPr>
        <w:t>m</w:t>
      </w:r>
      <w:r w:rsidRPr="0010075A">
        <w:rPr>
          <w:rFonts w:eastAsia="Calibri" w:cstheme="minorHAnsi"/>
          <w:b/>
          <w:bCs/>
        </w:rPr>
        <w:t xml:space="preserve">etabolomics. </w:t>
      </w:r>
      <w:r w:rsidRPr="0010075A">
        <w:rPr>
          <w:rFonts w:eastAsia="Calibri" w:cstheme="minorHAnsi"/>
        </w:rPr>
        <w:t xml:space="preserve">For both urine and plasma samples, three QC samples were prepared as QC1: IROA </w:t>
      </w:r>
      <w:r w:rsidRPr="0010075A">
        <w:rPr>
          <w:rFonts w:eastAsia="Calibri" w:cstheme="minorHAnsi"/>
          <w:vertAlign w:val="superscript"/>
        </w:rPr>
        <w:t>13</w:t>
      </w:r>
      <w:r w:rsidRPr="0010075A">
        <w:rPr>
          <w:rFonts w:eastAsia="Calibri" w:cstheme="minorHAnsi"/>
        </w:rPr>
        <w:t>C-metabolite yeast extract internal standard mix only, QC2: pooled aliquots of urine or plasma samples, QC3: mix of QC1 and QC2. Samples were analyzed using a Vanquish Duo UHPLC system linked to a Q-Exactive HF mass spectrometer (Thermo</w:t>
      </w:r>
      <w:r w:rsidR="004628F0" w:rsidRPr="0010075A">
        <w:rPr>
          <w:rFonts w:eastAsia="Calibri" w:cstheme="minorHAnsi"/>
        </w:rPr>
        <w:t xml:space="preserve"> </w:t>
      </w:r>
      <w:r w:rsidRPr="0010075A">
        <w:rPr>
          <w:rFonts w:eastAsia="Calibri" w:cstheme="minorHAnsi"/>
        </w:rPr>
        <w:t>Fisher Scientific) in full scan mode in both positive and negative ESI mode. Reverse phase separation was achieved using a 15-min linear gradient (solvent A: 0.1% formic acid in water; solvent B: 0.1% formic acid in acetonitrile) on a Hypersil GOLD column (150 x 2.1 mm, 1.9 µm; Thermo</w:t>
      </w:r>
      <w:r w:rsidR="004628F0" w:rsidRPr="0010075A">
        <w:rPr>
          <w:rFonts w:eastAsia="Calibri" w:cstheme="minorHAnsi"/>
        </w:rPr>
        <w:t xml:space="preserve"> </w:t>
      </w:r>
      <w:r w:rsidRPr="0010075A">
        <w:rPr>
          <w:rFonts w:eastAsia="Calibri" w:cstheme="minorHAnsi"/>
        </w:rPr>
        <w:t xml:space="preserve">Fisher Scientific), while HILIC chromatography was performed on an </w:t>
      </w:r>
      <w:proofErr w:type="spellStart"/>
      <w:r w:rsidRPr="0010075A">
        <w:rPr>
          <w:rFonts w:eastAsia="Calibri" w:cstheme="minorHAnsi"/>
        </w:rPr>
        <w:t>Acquity</w:t>
      </w:r>
      <w:proofErr w:type="spellEnd"/>
      <w:r w:rsidRPr="0010075A">
        <w:rPr>
          <w:rFonts w:eastAsia="Calibri" w:cstheme="minorHAnsi"/>
        </w:rPr>
        <w:t xml:space="preserve"> BEH Amide column (150 x 2.1 mm, 1.7 µm; Waters</w:t>
      </w:r>
      <w:r w:rsidR="00C52D0C" w:rsidRPr="0010075A">
        <w:rPr>
          <w:rFonts w:eastAsia="Calibri" w:cstheme="minorHAnsi"/>
        </w:rPr>
        <w:t xml:space="preserve"> Corp.</w:t>
      </w:r>
      <w:r w:rsidRPr="0010075A">
        <w:rPr>
          <w:rFonts w:eastAsia="Calibri" w:cstheme="minorHAnsi"/>
        </w:rPr>
        <w:t xml:space="preserve">) using a similar 15-min linear gradient (solvent A: 10 </w:t>
      </w:r>
      <w:proofErr w:type="spellStart"/>
      <w:r w:rsidRPr="0010075A">
        <w:rPr>
          <w:rFonts w:eastAsia="Calibri" w:cstheme="minorHAnsi"/>
        </w:rPr>
        <w:t>mM</w:t>
      </w:r>
      <w:proofErr w:type="spellEnd"/>
      <w:r w:rsidRPr="0010075A">
        <w:rPr>
          <w:rFonts w:eastAsia="Calibri" w:cstheme="minorHAnsi"/>
        </w:rPr>
        <w:t xml:space="preserve"> ammonium </w:t>
      </w:r>
      <w:proofErr w:type="spellStart"/>
      <w:r w:rsidRPr="0010075A">
        <w:rPr>
          <w:rFonts w:eastAsia="Calibri" w:cstheme="minorHAnsi"/>
        </w:rPr>
        <w:t>formate</w:t>
      </w:r>
      <w:proofErr w:type="spellEnd"/>
      <w:r w:rsidRPr="0010075A">
        <w:rPr>
          <w:rFonts w:eastAsia="Calibri" w:cstheme="minorHAnsi"/>
        </w:rPr>
        <w:t xml:space="preserve"> containing 0.1% formic acid (pH 3.1), solvent B: 0.1% formic acid in acetonitrile). MS acquisition was performed with 3.5 kV (pos ESI) and 2.8 kV (neg ESI) ion spray voltage by scanning a mass range of </w:t>
      </w:r>
      <w:r w:rsidRPr="0010075A">
        <w:rPr>
          <w:rFonts w:eastAsia="Calibri" w:cstheme="minorHAnsi"/>
          <w:i/>
          <w:iCs/>
        </w:rPr>
        <w:t>m/z</w:t>
      </w:r>
      <w:r w:rsidRPr="0010075A">
        <w:rPr>
          <w:rFonts w:eastAsia="Calibri" w:cstheme="minorHAnsi"/>
        </w:rPr>
        <w:t xml:space="preserve"> 75-1050 operating with a mass resolution of 60,000 (FWHM), AGC target 1e6, and maximum ion time 100 </w:t>
      </w:r>
      <w:proofErr w:type="spellStart"/>
      <w:r w:rsidRPr="0010075A">
        <w:rPr>
          <w:rFonts w:eastAsia="Calibri" w:cstheme="minorHAnsi"/>
        </w:rPr>
        <w:t>ms.</w:t>
      </w:r>
      <w:proofErr w:type="spellEnd"/>
      <w:r w:rsidRPr="0010075A">
        <w:rPr>
          <w:rFonts w:eastAsia="Calibri" w:cstheme="minorHAnsi"/>
        </w:rPr>
        <w:t xml:space="preserve"> To monitor potential instrumental drift over time, </w:t>
      </w:r>
      <w:r w:rsidR="00936EF4" w:rsidRPr="0010075A">
        <w:rPr>
          <w:rFonts w:eastAsia="Calibri" w:cstheme="minorHAnsi"/>
        </w:rPr>
        <w:t>u</w:t>
      </w:r>
      <w:r w:rsidRPr="0010075A">
        <w:rPr>
          <w:rFonts w:eastAsia="Calibri" w:cstheme="minorHAnsi"/>
        </w:rPr>
        <w:t xml:space="preserve">nknown urine and plasma extracts were intercalated every 10 samples with blank and our </w:t>
      </w:r>
      <w:r w:rsidR="00936EF4" w:rsidRPr="0010075A">
        <w:rPr>
          <w:rFonts w:eastAsia="Calibri" w:cstheme="minorHAnsi"/>
        </w:rPr>
        <w:t xml:space="preserve">3 </w:t>
      </w:r>
      <w:r w:rsidRPr="0010075A">
        <w:rPr>
          <w:rFonts w:eastAsia="Calibri" w:cstheme="minorHAnsi"/>
        </w:rPr>
        <w:t>QC samples.</w:t>
      </w:r>
    </w:p>
    <w:p w14:paraId="231EB164" w14:textId="5827DDD9" w:rsidR="00627D55" w:rsidRPr="0010075A" w:rsidRDefault="00627D55" w:rsidP="0010075A">
      <w:pPr>
        <w:spacing w:line="480" w:lineRule="auto"/>
        <w:jc w:val="both"/>
        <w:rPr>
          <w:rFonts w:cstheme="minorHAnsi"/>
        </w:rPr>
      </w:pPr>
      <w:r w:rsidRPr="0010075A">
        <w:rPr>
          <w:rFonts w:eastAsia="Calibri" w:cstheme="minorHAnsi"/>
          <w:b/>
          <w:bCs/>
        </w:rPr>
        <w:t>LC-HR-MS/MS analysis for metabolite identification.</w:t>
      </w:r>
      <w:r w:rsidRPr="0010075A">
        <w:rPr>
          <w:rFonts w:eastAsia="Calibri" w:cstheme="minorHAnsi"/>
        </w:rPr>
        <w:t xml:space="preserve"> For compound identification, a pooled urine and plasma sample (QC2) was injected on identical LC system and conditions as for relative quantification that was linked to an Orbitrap ID-X</w:t>
      </w:r>
      <w:r w:rsidR="00936EF4" w:rsidRPr="0010075A">
        <w:rPr>
          <w:rFonts w:eastAsia="Calibri" w:cstheme="minorHAnsi"/>
        </w:rPr>
        <w:t xml:space="preserve"> mass analyzer</w:t>
      </w:r>
      <w:r w:rsidRPr="0010075A">
        <w:rPr>
          <w:rFonts w:eastAsia="Calibri" w:cstheme="minorHAnsi"/>
        </w:rPr>
        <w:t xml:space="preserve"> (Thermo</w:t>
      </w:r>
      <w:r w:rsidR="004628F0" w:rsidRPr="0010075A">
        <w:rPr>
          <w:rFonts w:eastAsia="Calibri" w:cstheme="minorHAnsi"/>
        </w:rPr>
        <w:t xml:space="preserve"> </w:t>
      </w:r>
      <w:r w:rsidRPr="0010075A">
        <w:rPr>
          <w:rFonts w:eastAsia="Calibri" w:cstheme="minorHAnsi"/>
        </w:rPr>
        <w:t xml:space="preserve">Fisher Scientific). For comprehensive MS/MS </w:t>
      </w:r>
      <w:r w:rsidRPr="0010075A">
        <w:rPr>
          <w:rFonts w:eastAsia="Calibri" w:cstheme="minorHAnsi"/>
        </w:rPr>
        <w:lastRenderedPageBreak/>
        <w:t>analysis</w:t>
      </w:r>
      <w:r w:rsidR="00936EF4" w:rsidRPr="0010075A">
        <w:rPr>
          <w:rFonts w:eastAsia="Calibri" w:cstheme="minorHAnsi"/>
        </w:rPr>
        <w:t>, a</w:t>
      </w:r>
      <w:r w:rsidRPr="0010075A">
        <w:rPr>
          <w:rFonts w:eastAsia="Calibri" w:cstheme="minorHAnsi"/>
        </w:rPr>
        <w:t xml:space="preserve"> deep</w:t>
      </w:r>
      <w:r w:rsidR="00936EF4" w:rsidRPr="0010075A">
        <w:rPr>
          <w:rFonts w:eastAsia="Calibri" w:cstheme="minorHAnsi"/>
        </w:rPr>
        <w:t>-</w:t>
      </w:r>
      <w:r w:rsidRPr="0010075A">
        <w:rPr>
          <w:rFonts w:eastAsia="Calibri" w:cstheme="minorHAnsi"/>
        </w:rPr>
        <w:t xml:space="preserve">scan </w:t>
      </w:r>
      <w:proofErr w:type="spellStart"/>
      <w:r w:rsidRPr="0010075A">
        <w:rPr>
          <w:rFonts w:eastAsia="Calibri" w:cstheme="minorHAnsi"/>
        </w:rPr>
        <w:t>AquireX</w:t>
      </w:r>
      <w:proofErr w:type="spellEnd"/>
      <w:r w:rsidRPr="0010075A">
        <w:rPr>
          <w:rFonts w:eastAsia="Calibri" w:cstheme="minorHAnsi"/>
        </w:rPr>
        <w:t xml:space="preserve"> workflow was used, with five iterative injections operating in HCD and CID conditions.</w:t>
      </w:r>
    </w:p>
    <w:p w14:paraId="6B881E4B" w14:textId="2F678174" w:rsidR="00627D55" w:rsidRPr="0010075A" w:rsidRDefault="00627D55" w:rsidP="0010075A">
      <w:pPr>
        <w:spacing w:line="480" w:lineRule="auto"/>
        <w:jc w:val="both"/>
        <w:rPr>
          <w:rFonts w:cstheme="minorHAnsi"/>
        </w:rPr>
      </w:pPr>
      <w:r w:rsidRPr="0010075A">
        <w:rPr>
          <w:rFonts w:eastAsia="Calibri" w:cstheme="minorHAnsi"/>
          <w:b/>
          <w:bCs/>
        </w:rPr>
        <w:t>LC-MS data processing for relative quantification.</w:t>
      </w:r>
      <w:r w:rsidRPr="0010075A">
        <w:rPr>
          <w:rFonts w:eastAsia="Calibri" w:cstheme="minorHAnsi"/>
        </w:rPr>
        <w:t xml:space="preserve"> Acquired full</w:t>
      </w:r>
      <w:r w:rsidR="00936EF4" w:rsidRPr="0010075A">
        <w:rPr>
          <w:rFonts w:eastAsia="Calibri" w:cstheme="minorHAnsi"/>
        </w:rPr>
        <w:t>-</w:t>
      </w:r>
      <w:r w:rsidRPr="0010075A">
        <w:rPr>
          <w:rFonts w:eastAsia="Calibri" w:cstheme="minorHAnsi"/>
        </w:rPr>
        <w:t xml:space="preserve">scan data </w:t>
      </w:r>
      <w:r w:rsidR="00936EF4" w:rsidRPr="0010075A">
        <w:rPr>
          <w:rFonts w:eastAsia="Calibri" w:cstheme="minorHAnsi"/>
        </w:rPr>
        <w:t xml:space="preserve">were </w:t>
      </w:r>
      <w:r w:rsidRPr="0010075A">
        <w:rPr>
          <w:rFonts w:eastAsia="Calibri" w:cstheme="minorHAnsi"/>
        </w:rPr>
        <w:t xml:space="preserve">processed using MS-DIAL (Riken, Yokohama City, Kanagawa, Japan). </w:t>
      </w:r>
      <w:r w:rsidR="00936EF4" w:rsidRPr="0010075A">
        <w:rPr>
          <w:rFonts w:eastAsia="Calibri" w:cstheme="minorHAnsi"/>
        </w:rPr>
        <w:t>The p</w:t>
      </w:r>
      <w:r w:rsidRPr="0010075A">
        <w:rPr>
          <w:rFonts w:eastAsia="Calibri" w:cstheme="minorHAnsi"/>
        </w:rPr>
        <w:t>eak height</w:t>
      </w:r>
      <w:r w:rsidR="00936EF4" w:rsidRPr="0010075A">
        <w:rPr>
          <w:rFonts w:eastAsia="Calibri" w:cstheme="minorHAnsi"/>
        </w:rPr>
        <w:t>s</w:t>
      </w:r>
      <w:r w:rsidRPr="0010075A">
        <w:rPr>
          <w:rFonts w:eastAsia="Calibri" w:cstheme="minorHAnsi"/>
        </w:rPr>
        <w:t xml:space="preserve"> of identified unknown features were exported. Normalization was performed against the </w:t>
      </w:r>
      <w:r w:rsidRPr="0010075A">
        <w:rPr>
          <w:rFonts w:eastAsia="Calibri" w:cstheme="minorHAnsi"/>
          <w:vertAlign w:val="superscript"/>
        </w:rPr>
        <w:t>13</w:t>
      </w:r>
      <w:r w:rsidRPr="0010075A">
        <w:rPr>
          <w:rFonts w:eastAsia="Calibri" w:cstheme="minorHAnsi"/>
        </w:rPr>
        <w:t>C-metabolite yeast extract internal standard mix using a dedicated script developed in Python. A</w:t>
      </w:r>
      <w:r w:rsidR="00936EF4" w:rsidRPr="0010075A">
        <w:rPr>
          <w:rFonts w:eastAsia="Calibri" w:cstheme="minorHAnsi"/>
        </w:rPr>
        <w:t>n a</w:t>
      </w:r>
      <w:r w:rsidRPr="0010075A">
        <w:rPr>
          <w:rFonts w:eastAsia="Calibri" w:cstheme="minorHAnsi"/>
        </w:rPr>
        <w:t xml:space="preserve">utocorrelation matrix script was developed in Python to pool all ions (adducts, dimers, in-source fragmentation) related to the same metabolite in order to remove redundant information. The resulting information obtained from the four LC-HR-MS platforms (C18 and HILIC, each in ESI+ and – ionization modes) were merged into a final Excel file before further statistical data analysis </w:t>
      </w:r>
      <w:r w:rsidRPr="0010075A">
        <w:rPr>
          <w:rFonts w:eastAsia="Times New Roman" w:cstheme="minorHAnsi"/>
        </w:rPr>
        <w:t>described below (Computational data analysis - Systems response profiles of omics data)</w:t>
      </w:r>
      <w:r w:rsidRPr="0010075A">
        <w:rPr>
          <w:rFonts w:eastAsia="Calibri" w:cstheme="minorHAnsi"/>
        </w:rPr>
        <w:t>.</w:t>
      </w:r>
    </w:p>
    <w:p w14:paraId="5FFF22B3" w14:textId="4573D877" w:rsidR="00627D55" w:rsidRPr="0010075A" w:rsidRDefault="00627D55" w:rsidP="0010075A">
      <w:pPr>
        <w:spacing w:line="480" w:lineRule="auto"/>
        <w:jc w:val="both"/>
        <w:rPr>
          <w:rFonts w:cstheme="minorHAnsi"/>
        </w:rPr>
      </w:pPr>
      <w:r w:rsidRPr="0010075A">
        <w:rPr>
          <w:rFonts w:eastAsia="Calibri" w:cstheme="minorHAnsi"/>
          <w:b/>
          <w:bCs/>
        </w:rPr>
        <w:t xml:space="preserve">LC-MS data processing for compound identification. </w:t>
      </w:r>
      <w:r w:rsidRPr="0010075A">
        <w:rPr>
          <w:rFonts w:eastAsia="Calibri" w:cstheme="minorHAnsi"/>
        </w:rPr>
        <w:t>Retention time and fragmentation (CID, HCD) data of the pooled samples were processed using Compound Discoverer v3.2 (Thermo</w:t>
      </w:r>
      <w:r w:rsidR="004176FB" w:rsidRPr="0010075A">
        <w:rPr>
          <w:rFonts w:eastAsia="Calibri" w:cstheme="minorHAnsi"/>
        </w:rPr>
        <w:t xml:space="preserve"> </w:t>
      </w:r>
      <w:r w:rsidRPr="0010075A">
        <w:rPr>
          <w:rFonts w:eastAsia="Calibri" w:cstheme="minorHAnsi"/>
        </w:rPr>
        <w:t xml:space="preserve">Fisher Scientific). </w:t>
      </w:r>
      <w:proofErr w:type="spellStart"/>
      <w:r w:rsidRPr="0010075A">
        <w:rPr>
          <w:rFonts w:eastAsia="Calibri" w:cstheme="minorHAnsi"/>
        </w:rPr>
        <w:t>MaxID</w:t>
      </w:r>
      <w:proofErr w:type="spellEnd"/>
      <w:r w:rsidRPr="0010075A">
        <w:rPr>
          <w:rFonts w:eastAsia="Calibri" w:cstheme="minorHAnsi"/>
        </w:rPr>
        <w:t xml:space="preserve"> workflow was performed using the pooled sample full scan as the Unknown sample and the five MS/MS iterations as ID only samples. Local </w:t>
      </w:r>
      <w:proofErr w:type="spellStart"/>
      <w:r w:rsidRPr="0010075A">
        <w:rPr>
          <w:rFonts w:eastAsia="Calibri" w:cstheme="minorHAnsi"/>
        </w:rPr>
        <w:t>mzVault</w:t>
      </w:r>
      <w:proofErr w:type="spellEnd"/>
      <w:r w:rsidRPr="0010075A">
        <w:rPr>
          <w:rFonts w:eastAsia="Calibri" w:cstheme="minorHAnsi"/>
        </w:rPr>
        <w:t xml:space="preserve"> (containing n</w:t>
      </w:r>
      <w:r w:rsidR="00936EF4" w:rsidRPr="0010075A">
        <w:rPr>
          <w:rFonts w:eastAsia="Calibri" w:cstheme="minorHAnsi"/>
        </w:rPr>
        <w:t xml:space="preserve"> </w:t>
      </w:r>
      <w:r w:rsidRPr="0010075A">
        <w:rPr>
          <w:rFonts w:eastAsia="Calibri" w:cstheme="minorHAnsi"/>
        </w:rPr>
        <w:t>=</w:t>
      </w:r>
      <w:r w:rsidR="00936EF4" w:rsidRPr="0010075A">
        <w:rPr>
          <w:rFonts w:eastAsia="Calibri" w:cstheme="minorHAnsi"/>
        </w:rPr>
        <w:t xml:space="preserve"> </w:t>
      </w:r>
      <w:r w:rsidRPr="0010075A">
        <w:rPr>
          <w:rFonts w:eastAsia="Calibri" w:cstheme="minorHAnsi"/>
        </w:rPr>
        <w:t xml:space="preserve">1548 injected reference standard chemicals, online </w:t>
      </w:r>
      <w:proofErr w:type="spellStart"/>
      <w:r w:rsidRPr="0010075A">
        <w:rPr>
          <w:rFonts w:eastAsia="Calibri" w:cstheme="minorHAnsi"/>
        </w:rPr>
        <w:t>mzCloud</w:t>
      </w:r>
      <w:proofErr w:type="spellEnd"/>
      <w:r w:rsidRPr="0010075A">
        <w:rPr>
          <w:rFonts w:eastAsia="Calibri" w:cstheme="minorHAnsi"/>
        </w:rPr>
        <w:t xml:space="preserve"> (Thermo</w:t>
      </w:r>
      <w:r w:rsidR="004176FB" w:rsidRPr="0010075A">
        <w:rPr>
          <w:rFonts w:eastAsia="Calibri" w:cstheme="minorHAnsi"/>
        </w:rPr>
        <w:t xml:space="preserve"> </w:t>
      </w:r>
      <w:r w:rsidRPr="0010075A">
        <w:rPr>
          <w:rFonts w:eastAsia="Calibri" w:cstheme="minorHAnsi"/>
        </w:rPr>
        <w:t>Fisher</w:t>
      </w:r>
      <w:r w:rsidR="004176FB" w:rsidRPr="0010075A">
        <w:rPr>
          <w:rFonts w:eastAsia="Calibri" w:cstheme="minorHAnsi"/>
        </w:rPr>
        <w:t xml:space="preserve"> Scientific</w:t>
      </w:r>
      <w:r w:rsidRPr="0010075A">
        <w:rPr>
          <w:rFonts w:eastAsia="Calibri" w:cstheme="minorHAnsi"/>
        </w:rPr>
        <w:t>), NIST20 (National Institute of Standards and Technology, Gaithersburg, MD, USA) spectral libraries</w:t>
      </w:r>
      <w:r w:rsidR="00076B53" w:rsidRPr="0010075A">
        <w:rPr>
          <w:rFonts w:eastAsia="Calibri" w:cstheme="minorHAnsi"/>
        </w:rPr>
        <w:t>,</w:t>
      </w:r>
      <w:r w:rsidRPr="0010075A">
        <w:rPr>
          <w:rFonts w:eastAsia="Calibri" w:cstheme="minorHAnsi"/>
        </w:rPr>
        <w:t xml:space="preserve"> and </w:t>
      </w:r>
      <w:proofErr w:type="spellStart"/>
      <w:r w:rsidRPr="0010075A">
        <w:rPr>
          <w:rFonts w:eastAsia="Calibri" w:cstheme="minorHAnsi"/>
        </w:rPr>
        <w:t>Chemspider</w:t>
      </w:r>
      <w:proofErr w:type="spellEnd"/>
      <w:r w:rsidRPr="0010075A">
        <w:rPr>
          <w:rFonts w:eastAsia="Calibri" w:cstheme="minorHAnsi"/>
        </w:rPr>
        <w:t xml:space="preserve"> chemical structure database (Royal Chemical Society, </w:t>
      </w:r>
      <w:r w:rsidR="004176FB" w:rsidRPr="0010075A">
        <w:rPr>
          <w:rFonts w:eastAsia="Calibri" w:cstheme="minorHAnsi"/>
        </w:rPr>
        <w:t xml:space="preserve">London, </w:t>
      </w:r>
      <w:r w:rsidRPr="0010075A">
        <w:rPr>
          <w:rFonts w:eastAsia="Calibri" w:cstheme="minorHAnsi"/>
        </w:rPr>
        <w:t>UK) were used for compound identification (confidence levels from 1 to 5 according to Metabolomics standards).</w:t>
      </w:r>
    </w:p>
    <w:p w14:paraId="59E305D1" w14:textId="77777777" w:rsidR="00627D55" w:rsidRPr="0010075A" w:rsidRDefault="00627D55" w:rsidP="0010075A">
      <w:pPr>
        <w:spacing w:line="480" w:lineRule="auto"/>
        <w:jc w:val="both"/>
      </w:pPr>
    </w:p>
    <w:p w14:paraId="75630621" w14:textId="77777777" w:rsidR="00627D55" w:rsidRPr="0010075A" w:rsidRDefault="00627D55" w:rsidP="0010075A">
      <w:pPr>
        <w:pStyle w:val="Heading3"/>
        <w:spacing w:line="480" w:lineRule="auto"/>
        <w:rPr>
          <w:color w:val="auto"/>
        </w:rPr>
      </w:pPr>
      <w:r w:rsidRPr="0010075A">
        <w:rPr>
          <w:color w:val="auto"/>
        </w:rPr>
        <w:t>Gas chromatography (GC)-high resolution (HR)-mass spectrometry (MS)</w:t>
      </w:r>
    </w:p>
    <w:p w14:paraId="72EF0CB5" w14:textId="09F3AB49" w:rsidR="00627D55" w:rsidRPr="0010075A" w:rsidRDefault="00627D55" w:rsidP="0010075A">
      <w:pPr>
        <w:spacing w:line="480" w:lineRule="auto"/>
        <w:jc w:val="both"/>
        <w:rPr>
          <w:rFonts w:cstheme="minorHAnsi"/>
        </w:rPr>
      </w:pPr>
      <w:r w:rsidRPr="0010075A">
        <w:rPr>
          <w:rFonts w:eastAsia="Calibri" w:cstheme="minorHAnsi"/>
          <w:b/>
          <w:bCs/>
        </w:rPr>
        <w:t xml:space="preserve">Urine sample preparation for untargeted GC-HR-MS analyses. </w:t>
      </w:r>
      <w:r w:rsidRPr="0010075A">
        <w:rPr>
          <w:rFonts w:eastAsia="Calibri" w:cstheme="minorHAnsi"/>
        </w:rPr>
        <w:t>In a 1.5</w:t>
      </w:r>
      <w:r w:rsidR="004176FB" w:rsidRPr="0010075A">
        <w:rPr>
          <w:rFonts w:eastAsia="Calibri" w:cstheme="minorHAnsi"/>
        </w:rPr>
        <w:t>-</w:t>
      </w:r>
      <w:r w:rsidRPr="0010075A">
        <w:rPr>
          <w:rFonts w:eastAsia="Calibri" w:cstheme="minorHAnsi"/>
        </w:rPr>
        <w:t xml:space="preserve">mL Eppendorf tube, an aliquot of 750 </w:t>
      </w:r>
      <w:proofErr w:type="spellStart"/>
      <w:r w:rsidRPr="0010075A">
        <w:rPr>
          <w:rFonts w:eastAsia="Calibri" w:cstheme="minorHAnsi"/>
        </w:rPr>
        <w:t>μL</w:t>
      </w:r>
      <w:proofErr w:type="spellEnd"/>
      <w:r w:rsidRPr="0010075A">
        <w:rPr>
          <w:rFonts w:eastAsia="Calibri" w:cstheme="minorHAnsi"/>
        </w:rPr>
        <w:t xml:space="preserve"> cold methanol/acetonitrile/ethanol (1:1:1, v/v/v) was added to 250 </w:t>
      </w:r>
      <w:proofErr w:type="spellStart"/>
      <w:r w:rsidRPr="0010075A">
        <w:rPr>
          <w:rFonts w:eastAsia="Calibri" w:cstheme="minorHAnsi"/>
        </w:rPr>
        <w:t>μL</w:t>
      </w:r>
      <w:proofErr w:type="spellEnd"/>
      <w:r w:rsidRPr="0010075A">
        <w:rPr>
          <w:rFonts w:eastAsia="Calibri" w:cstheme="minorHAnsi"/>
        </w:rPr>
        <w:t xml:space="preserve"> urine. After </w:t>
      </w:r>
      <w:proofErr w:type="spellStart"/>
      <w:r w:rsidRPr="0010075A">
        <w:rPr>
          <w:rFonts w:eastAsia="Calibri" w:cstheme="minorHAnsi"/>
        </w:rPr>
        <w:t>vortexing</w:t>
      </w:r>
      <w:proofErr w:type="spellEnd"/>
      <w:r w:rsidRPr="0010075A">
        <w:rPr>
          <w:rFonts w:eastAsia="Calibri" w:cstheme="minorHAnsi"/>
        </w:rPr>
        <w:t xml:space="preserve"> for 1 min, samples were placed for 15 min at -20°C for protein precipitation before being centrifuged at 14,000 rpm for 20 min at 4°C. An aliquot of the supernatant was introduced into a HPLC glass vial which contained 10 µL internal standard </w:t>
      </w:r>
      <w:r w:rsidRPr="0010075A">
        <w:rPr>
          <w:rFonts w:eastAsia="Calibri" w:cstheme="minorHAnsi"/>
          <w:vertAlign w:val="superscript"/>
        </w:rPr>
        <w:t>13</w:t>
      </w:r>
      <w:r w:rsidRPr="0010075A">
        <w:rPr>
          <w:rFonts w:eastAsia="Calibri" w:cstheme="minorHAnsi"/>
        </w:rPr>
        <w:t>C</w:t>
      </w:r>
      <w:r w:rsidRPr="0010075A">
        <w:rPr>
          <w:rFonts w:eastAsia="Calibri" w:cstheme="minorHAnsi"/>
          <w:vertAlign w:val="subscript"/>
        </w:rPr>
        <w:t>1</w:t>
      </w:r>
      <w:r w:rsidRPr="0010075A">
        <w:rPr>
          <w:rFonts w:eastAsia="Calibri" w:cstheme="minorHAnsi"/>
        </w:rPr>
        <w:t xml:space="preserve">-palmitic acid (30 µg/mL solubilized in ethanol). Samples were evaporated to dryness using a </w:t>
      </w:r>
      <w:proofErr w:type="spellStart"/>
      <w:r w:rsidRPr="0010075A">
        <w:rPr>
          <w:rFonts w:eastAsia="Calibri" w:cstheme="minorHAnsi"/>
        </w:rPr>
        <w:t>SpeedVac</w:t>
      </w:r>
      <w:proofErr w:type="spellEnd"/>
      <w:r w:rsidRPr="0010075A">
        <w:rPr>
          <w:rFonts w:eastAsia="Calibri" w:cstheme="minorHAnsi"/>
        </w:rPr>
        <w:t xml:space="preserve"> and loaded onto the GC autosampler before on-line chemical derivatization GC-HR-MS analyses.</w:t>
      </w:r>
    </w:p>
    <w:p w14:paraId="57C76B2C" w14:textId="29ED745B" w:rsidR="00627D55" w:rsidRPr="0010075A" w:rsidRDefault="00627D55" w:rsidP="0010075A">
      <w:pPr>
        <w:spacing w:line="480" w:lineRule="auto"/>
        <w:jc w:val="both"/>
        <w:rPr>
          <w:rFonts w:cstheme="minorHAnsi"/>
        </w:rPr>
      </w:pPr>
      <w:r w:rsidRPr="0010075A">
        <w:rPr>
          <w:rFonts w:eastAsia="Calibri" w:cstheme="minorHAnsi"/>
          <w:b/>
          <w:bCs/>
        </w:rPr>
        <w:t xml:space="preserve">Plasma sample preparation for untargeted GC-HR-MS analyses. </w:t>
      </w:r>
      <w:r w:rsidRPr="0010075A">
        <w:rPr>
          <w:rFonts w:eastAsia="Calibri" w:cstheme="minorHAnsi"/>
        </w:rPr>
        <w:t>In a 1.5</w:t>
      </w:r>
      <w:r w:rsidR="00631267" w:rsidRPr="0010075A">
        <w:rPr>
          <w:rFonts w:eastAsia="Calibri" w:cstheme="minorHAnsi"/>
        </w:rPr>
        <w:t>-</w:t>
      </w:r>
      <w:r w:rsidRPr="0010075A">
        <w:rPr>
          <w:rFonts w:eastAsia="Calibri" w:cstheme="minorHAnsi"/>
        </w:rPr>
        <w:t>mL Eppendorf tube, a</w:t>
      </w:r>
      <w:r w:rsidR="00151844" w:rsidRPr="0010075A">
        <w:rPr>
          <w:rFonts w:eastAsia="Calibri" w:cstheme="minorHAnsi"/>
        </w:rPr>
        <w:t xml:space="preserve"> 300-μL</w:t>
      </w:r>
      <w:r w:rsidRPr="0010075A">
        <w:rPr>
          <w:rFonts w:eastAsia="Calibri" w:cstheme="minorHAnsi"/>
        </w:rPr>
        <w:t xml:space="preserve"> aliquot of cold methanol/acetonitrile/ethanol (1:1:1, v/v/v) was added to 100 </w:t>
      </w:r>
      <w:proofErr w:type="spellStart"/>
      <w:r w:rsidRPr="0010075A">
        <w:rPr>
          <w:rFonts w:eastAsia="Calibri" w:cstheme="minorHAnsi"/>
        </w:rPr>
        <w:t>μL</w:t>
      </w:r>
      <w:proofErr w:type="spellEnd"/>
      <w:r w:rsidRPr="0010075A">
        <w:rPr>
          <w:rFonts w:eastAsia="Calibri" w:cstheme="minorHAnsi"/>
        </w:rPr>
        <w:t xml:space="preserve"> of thawed plasma before </w:t>
      </w:r>
      <w:proofErr w:type="spellStart"/>
      <w:r w:rsidRPr="0010075A">
        <w:rPr>
          <w:rFonts w:eastAsia="Calibri" w:cstheme="minorHAnsi"/>
        </w:rPr>
        <w:t>vortexing</w:t>
      </w:r>
      <w:proofErr w:type="spellEnd"/>
      <w:r w:rsidRPr="0010075A">
        <w:rPr>
          <w:rFonts w:eastAsia="Calibri" w:cstheme="minorHAnsi"/>
        </w:rPr>
        <w:t xml:space="preserve"> for 1 min. The samples were placed for 15 min at -20°C to induce protein precipitation before being centrifuged at 14,000 rpm for 20 min at +4°C. An aliquot of 60 µL of supernatant was transferred into a</w:t>
      </w:r>
      <w:r w:rsidR="00501219" w:rsidRPr="0010075A">
        <w:rPr>
          <w:rFonts w:eastAsia="Calibri" w:cstheme="minorHAnsi"/>
        </w:rPr>
        <w:t>n</w:t>
      </w:r>
      <w:r w:rsidRPr="0010075A">
        <w:rPr>
          <w:rFonts w:eastAsia="Calibri" w:cstheme="minorHAnsi"/>
        </w:rPr>
        <w:t xml:space="preserve"> HPLC glass vial</w:t>
      </w:r>
      <w:r w:rsidR="00076B53" w:rsidRPr="0010075A">
        <w:rPr>
          <w:rFonts w:eastAsia="Calibri" w:cstheme="minorHAnsi"/>
        </w:rPr>
        <w:t>,</w:t>
      </w:r>
      <w:r w:rsidRPr="0010075A">
        <w:rPr>
          <w:rFonts w:eastAsia="Calibri" w:cstheme="minorHAnsi"/>
        </w:rPr>
        <w:t xml:space="preserve"> and another 10 µL internal standard </w:t>
      </w:r>
      <w:r w:rsidRPr="0010075A">
        <w:rPr>
          <w:rFonts w:eastAsia="Calibri" w:cstheme="minorHAnsi"/>
          <w:vertAlign w:val="superscript"/>
        </w:rPr>
        <w:t>13</w:t>
      </w:r>
      <w:r w:rsidRPr="0010075A">
        <w:rPr>
          <w:rFonts w:eastAsia="Calibri" w:cstheme="minorHAnsi"/>
        </w:rPr>
        <w:t>C</w:t>
      </w:r>
      <w:r w:rsidRPr="0010075A">
        <w:rPr>
          <w:rFonts w:eastAsia="Calibri" w:cstheme="minorHAnsi"/>
          <w:vertAlign w:val="subscript"/>
        </w:rPr>
        <w:t>1</w:t>
      </w:r>
      <w:r w:rsidRPr="0010075A">
        <w:rPr>
          <w:rFonts w:eastAsia="Calibri" w:cstheme="minorHAnsi"/>
        </w:rPr>
        <w:t xml:space="preserve">-palmitic acid (30 µg/mL solubilized in ethanol) was added. Samples were evaporated to dryness using a </w:t>
      </w:r>
      <w:proofErr w:type="spellStart"/>
      <w:r w:rsidRPr="0010075A">
        <w:rPr>
          <w:rFonts w:eastAsia="Calibri" w:cstheme="minorHAnsi"/>
        </w:rPr>
        <w:t>SpeedVac</w:t>
      </w:r>
      <w:proofErr w:type="spellEnd"/>
      <w:r w:rsidRPr="0010075A">
        <w:rPr>
          <w:rFonts w:eastAsia="Calibri" w:cstheme="minorHAnsi"/>
        </w:rPr>
        <w:t xml:space="preserve"> and were loaded onto the GC Autosampler (+4°C) before on-line chemical derivatization GC-HR-MS analyses.</w:t>
      </w:r>
    </w:p>
    <w:p w14:paraId="186754B9" w14:textId="421AF781" w:rsidR="00627D55" w:rsidRPr="0010075A" w:rsidRDefault="00627D55" w:rsidP="0010075A">
      <w:pPr>
        <w:spacing w:line="480" w:lineRule="auto"/>
        <w:jc w:val="both"/>
        <w:rPr>
          <w:rFonts w:cstheme="minorHAnsi"/>
        </w:rPr>
      </w:pPr>
      <w:r w:rsidRPr="0010075A">
        <w:rPr>
          <w:rFonts w:eastAsia="Calibri" w:cstheme="minorHAnsi"/>
          <w:b/>
          <w:bCs/>
        </w:rPr>
        <w:t xml:space="preserve">On-line </w:t>
      </w:r>
      <w:proofErr w:type="spellStart"/>
      <w:r w:rsidRPr="0010075A">
        <w:rPr>
          <w:rFonts w:eastAsia="Calibri" w:cstheme="minorHAnsi"/>
          <w:b/>
          <w:bCs/>
        </w:rPr>
        <w:t>oximation</w:t>
      </w:r>
      <w:proofErr w:type="spellEnd"/>
      <w:r w:rsidRPr="0010075A">
        <w:rPr>
          <w:rFonts w:eastAsia="Calibri" w:cstheme="minorHAnsi"/>
          <w:b/>
          <w:bCs/>
        </w:rPr>
        <w:t xml:space="preserve"> and </w:t>
      </w:r>
      <w:proofErr w:type="spellStart"/>
      <w:r w:rsidRPr="0010075A">
        <w:rPr>
          <w:rFonts w:eastAsia="Calibri" w:cstheme="minorHAnsi"/>
          <w:b/>
          <w:bCs/>
        </w:rPr>
        <w:t>trimethylsilylation</w:t>
      </w:r>
      <w:proofErr w:type="spellEnd"/>
      <w:r w:rsidRPr="0010075A">
        <w:rPr>
          <w:rFonts w:eastAsia="Calibri" w:cstheme="minorHAnsi"/>
          <w:b/>
          <w:bCs/>
        </w:rPr>
        <w:t xml:space="preserve"> chemical derivatization conditions. </w:t>
      </w:r>
      <w:r w:rsidRPr="0010075A">
        <w:rPr>
          <w:rFonts w:eastAsia="Calibri" w:cstheme="minorHAnsi"/>
        </w:rPr>
        <w:t>The on-line double derivatization protocol was adapted from Zarate et al.</w:t>
      </w:r>
      <w:r w:rsidR="00B6099D" w:rsidRPr="0010075A">
        <w:rPr>
          <w:rFonts w:eastAsia="Calibri" w:cstheme="minorHAnsi"/>
        </w:rPr>
        <w:fldChar w:fldCharType="begin"/>
      </w:r>
      <w:r w:rsidR="00B6099D" w:rsidRPr="0010075A">
        <w:rPr>
          <w:rFonts w:eastAsia="Calibri" w:cstheme="minorHAnsi"/>
        </w:rPr>
        <w:instrText xml:space="preserve"> ADDIN EN.CITE &lt;EndNote&gt;&lt;Cite&gt;&lt;Author&gt;Zarate&lt;/Author&gt;&lt;Year&gt;2017&lt;/Year&gt;&lt;RecNum&gt;61&lt;/RecNum&gt;&lt;DisplayText&gt;&lt;style face="superscript"&gt;8&lt;/style&gt;&lt;/DisplayText&gt;&lt;record&gt;&lt;rec-number&gt;61&lt;/rec-number&gt;&lt;foreign-keys&gt;&lt;key app="EN" db-id="2trar5vt4rp2vnef2s6pdf09pwf2p029wadz" timestamp="1698411527"&gt;61&lt;/key&gt;&lt;/foreign-keys&gt;&lt;ref-type name="Journal Article"&gt;17&lt;/ref-type&gt;&lt;contributors&gt;&lt;authors&gt;&lt;author&gt;Zarate, C.&lt;/author&gt;&lt;author&gt;Nakajima, M.&lt;/author&gt;&lt;author&gt;Martin, R.&lt;/author&gt;&lt;/authors&gt;&lt;/contributors&gt;&lt;auth-address&gt;Institute of Chemical Research of Catalonia (ICIQ), The Barcelona Institute of Science and Technology , Av. Paisos Catalans 16, 43007 Tarragona, Spain.&amp;#xD;ICREA , Passeig Lluis Companys, 23, 08010 Barcelona, Spain.&lt;/auth-address&gt;&lt;titles&gt;&lt;title&gt;A Mild and Ligand-Free Ni-Catalyzed Silylation via C-OMe Cleavage&lt;/title&gt;&lt;secondary-title&gt;J Am Chem Soc&lt;/secondary-title&gt;&lt;/titles&gt;&lt;periodical&gt;&lt;full-title&gt;J Am Chem Soc&lt;/full-title&gt;&lt;/periodical&gt;&lt;pages&gt;1191-1197&lt;/pages&gt;&lt;volume&gt;139&lt;/volume&gt;&lt;number&gt;3&lt;/number&gt;&lt;edition&gt;20170112&lt;/edition&gt;&lt;dates&gt;&lt;year&gt;2017&lt;/year&gt;&lt;pub-dates&gt;&lt;date&gt;Jan 25&lt;/date&gt;&lt;/pub-dates&gt;&lt;/dates&gt;&lt;isbn&gt;1520-5126 (Electronic)&amp;#xD;0002-7863 (Linking)&lt;/isbn&gt;&lt;accession-num&gt;28030761&lt;/accession-num&gt;&lt;urls&gt;&lt;related-urls&gt;&lt;url&gt;https://www.ncbi.nlm.nih.gov/pubmed/28030761&lt;/url&gt;&lt;/related-urls&gt;&lt;/urls&gt;&lt;electronic-resource-num&gt;10.1021/jacs.6b10998&lt;/electronic-resource-num&gt;&lt;remote-database-name&gt;PubMed-not-MEDLINE&lt;/remote-database-name&gt;&lt;remote-database-provider&gt;NLM&lt;/remote-database-provider&gt;&lt;/record&gt;&lt;/Cite&gt;&lt;/EndNote&gt;</w:instrText>
      </w:r>
      <w:r w:rsidR="00B6099D" w:rsidRPr="0010075A">
        <w:rPr>
          <w:rFonts w:eastAsia="Calibri" w:cstheme="minorHAnsi"/>
        </w:rPr>
        <w:fldChar w:fldCharType="separate"/>
      </w:r>
      <w:r w:rsidR="00B6099D" w:rsidRPr="0010075A">
        <w:rPr>
          <w:rFonts w:eastAsia="Calibri" w:cstheme="minorHAnsi"/>
          <w:noProof/>
          <w:vertAlign w:val="superscript"/>
        </w:rPr>
        <w:t>8</w:t>
      </w:r>
      <w:r w:rsidR="00B6099D" w:rsidRPr="0010075A">
        <w:rPr>
          <w:rFonts w:eastAsia="Calibri" w:cstheme="minorHAnsi"/>
        </w:rPr>
        <w:fldChar w:fldCharType="end"/>
      </w:r>
      <w:r w:rsidR="00121EDD" w:rsidRPr="0010075A">
        <w:rPr>
          <w:rFonts w:eastAsia="Calibri" w:cstheme="minorHAnsi"/>
        </w:rPr>
        <w:t xml:space="preserve"> </w:t>
      </w:r>
      <w:proofErr w:type="spellStart"/>
      <w:r w:rsidRPr="0010075A">
        <w:rPr>
          <w:rFonts w:eastAsia="Calibri" w:cstheme="minorHAnsi"/>
        </w:rPr>
        <w:t>Methoxyamine</w:t>
      </w:r>
      <w:proofErr w:type="spellEnd"/>
      <w:r w:rsidRPr="0010075A">
        <w:rPr>
          <w:rFonts w:eastAsia="Calibri" w:cstheme="minorHAnsi"/>
        </w:rPr>
        <w:t xml:space="preserve"> (</w:t>
      </w:r>
      <w:proofErr w:type="spellStart"/>
      <w:r w:rsidRPr="0010075A">
        <w:rPr>
          <w:rFonts w:eastAsia="Calibri" w:cstheme="minorHAnsi"/>
        </w:rPr>
        <w:t>MeOX</w:t>
      </w:r>
      <w:proofErr w:type="spellEnd"/>
      <w:r w:rsidRPr="0010075A">
        <w:rPr>
          <w:rFonts w:eastAsia="Calibri" w:cstheme="minorHAnsi"/>
        </w:rPr>
        <w:t>) hydrochloride (20 mg/mL solubilized in pyridine) and BSTFA were placed in distinct 1.5</w:t>
      </w:r>
      <w:r w:rsidR="00501219" w:rsidRPr="0010075A">
        <w:rPr>
          <w:rFonts w:eastAsia="Calibri" w:cstheme="minorHAnsi"/>
        </w:rPr>
        <w:t>-</w:t>
      </w:r>
      <w:r w:rsidRPr="0010075A">
        <w:rPr>
          <w:rFonts w:eastAsia="Calibri" w:cstheme="minorHAnsi"/>
        </w:rPr>
        <w:t xml:space="preserve">mL LC glass vials and kept in the cooler drawer (4°C) of the </w:t>
      </w:r>
      <w:proofErr w:type="spellStart"/>
      <w:r w:rsidRPr="0010075A">
        <w:rPr>
          <w:rFonts w:eastAsia="Calibri" w:cstheme="minorHAnsi"/>
        </w:rPr>
        <w:t>Triplus</w:t>
      </w:r>
      <w:proofErr w:type="spellEnd"/>
      <w:r w:rsidRPr="0010075A">
        <w:rPr>
          <w:rFonts w:eastAsia="Calibri" w:cstheme="minorHAnsi"/>
        </w:rPr>
        <w:t xml:space="preserve"> system (Thermo</w:t>
      </w:r>
      <w:r w:rsidR="004628F0" w:rsidRPr="0010075A">
        <w:rPr>
          <w:rFonts w:eastAsia="Calibri" w:cstheme="minorHAnsi"/>
        </w:rPr>
        <w:t xml:space="preserve"> </w:t>
      </w:r>
      <w:r w:rsidRPr="0010075A">
        <w:rPr>
          <w:rFonts w:eastAsia="Calibri" w:cstheme="minorHAnsi"/>
        </w:rPr>
        <w:t>Fisher Scientific). The vials containing dried extracts were capped with magnetic screw cap</w:t>
      </w:r>
      <w:r w:rsidR="00501219" w:rsidRPr="0010075A">
        <w:rPr>
          <w:rFonts w:eastAsia="Calibri" w:cstheme="minorHAnsi"/>
        </w:rPr>
        <w:t>s</w:t>
      </w:r>
      <w:r w:rsidRPr="0010075A">
        <w:rPr>
          <w:rFonts w:eastAsia="Calibri" w:cstheme="minorHAnsi"/>
        </w:rPr>
        <w:t xml:space="preserve"> and moved to the cooler drawer accordingly to the sequence order to continue the automated derivatization. </w:t>
      </w:r>
      <w:r w:rsidR="00B57639" w:rsidRPr="0010075A">
        <w:rPr>
          <w:rFonts w:eastAsia="Calibri" w:cstheme="minorHAnsi"/>
        </w:rPr>
        <w:t xml:space="preserve">Supplementary </w:t>
      </w:r>
      <w:r w:rsidRPr="0010075A">
        <w:rPr>
          <w:rFonts w:eastAsia="Calibri" w:cstheme="minorHAnsi"/>
        </w:rPr>
        <w:t>Fig</w:t>
      </w:r>
      <w:r w:rsidR="00773C9E" w:rsidRPr="0010075A">
        <w:rPr>
          <w:rFonts w:eastAsia="Calibri" w:cstheme="minorHAnsi"/>
        </w:rPr>
        <w:t>.</w:t>
      </w:r>
      <w:r w:rsidRPr="0010075A">
        <w:rPr>
          <w:rFonts w:eastAsia="Calibri" w:cstheme="minorHAnsi"/>
        </w:rPr>
        <w:t xml:space="preserve"> </w:t>
      </w:r>
      <w:r w:rsidR="00B57639" w:rsidRPr="0010075A">
        <w:rPr>
          <w:rFonts w:eastAsia="Calibri" w:cstheme="minorHAnsi"/>
        </w:rPr>
        <w:t>D</w:t>
      </w:r>
      <w:r w:rsidRPr="0010075A">
        <w:rPr>
          <w:rFonts w:eastAsia="Calibri" w:cstheme="minorHAnsi"/>
        </w:rPr>
        <w:t xml:space="preserve"> summarizes the sequence order to perform </w:t>
      </w:r>
      <w:r w:rsidRPr="0010075A">
        <w:rPr>
          <w:rFonts w:eastAsia="Calibri" w:cstheme="minorHAnsi"/>
        </w:rPr>
        <w:lastRenderedPageBreak/>
        <w:t xml:space="preserve">the consecutive </w:t>
      </w:r>
      <w:proofErr w:type="spellStart"/>
      <w:r w:rsidRPr="0010075A">
        <w:rPr>
          <w:rFonts w:eastAsia="Calibri" w:cstheme="minorHAnsi"/>
        </w:rPr>
        <w:t>oximation</w:t>
      </w:r>
      <w:proofErr w:type="spellEnd"/>
      <w:r w:rsidRPr="0010075A">
        <w:rPr>
          <w:rFonts w:eastAsia="Calibri" w:cstheme="minorHAnsi"/>
        </w:rPr>
        <w:t xml:space="preserve"> and </w:t>
      </w:r>
      <w:proofErr w:type="spellStart"/>
      <w:r w:rsidRPr="0010075A">
        <w:rPr>
          <w:rFonts w:eastAsia="Calibri" w:cstheme="minorHAnsi"/>
        </w:rPr>
        <w:t>silylation</w:t>
      </w:r>
      <w:proofErr w:type="spellEnd"/>
      <w:r w:rsidRPr="0010075A">
        <w:rPr>
          <w:rFonts w:eastAsia="Calibri" w:cstheme="minorHAnsi"/>
        </w:rPr>
        <w:t xml:space="preserve"> chemical derivatization. </w:t>
      </w:r>
      <w:r w:rsidR="00501219" w:rsidRPr="0010075A">
        <w:rPr>
          <w:rFonts w:eastAsia="Calibri" w:cstheme="minorHAnsi"/>
        </w:rPr>
        <w:t>A q</w:t>
      </w:r>
      <w:r w:rsidRPr="0010075A">
        <w:rPr>
          <w:rFonts w:eastAsia="Calibri" w:cstheme="minorHAnsi"/>
        </w:rPr>
        <w:t xml:space="preserve">uality control sample (QC) was prepared from a pooled aliquot of all biological samples (e.g., urine and plasma). </w:t>
      </w:r>
      <w:r w:rsidR="00501219" w:rsidRPr="0010075A">
        <w:rPr>
          <w:rFonts w:eastAsia="Calibri" w:cstheme="minorHAnsi"/>
        </w:rPr>
        <w:t xml:space="preserve">The </w:t>
      </w:r>
      <w:r w:rsidRPr="0010075A">
        <w:rPr>
          <w:rFonts w:eastAsia="Calibri" w:cstheme="minorHAnsi"/>
        </w:rPr>
        <w:t>QC was intercalated every 14 unknown samples to monitor reproducibility of double automated derivatization steps</w:t>
      </w:r>
      <w:r w:rsidR="00501219" w:rsidRPr="0010075A">
        <w:rPr>
          <w:rFonts w:eastAsia="Calibri" w:cstheme="minorHAnsi"/>
        </w:rPr>
        <w:t>,</w:t>
      </w:r>
      <w:r w:rsidRPr="0010075A">
        <w:rPr>
          <w:rFonts w:eastAsia="Calibri" w:cstheme="minorHAnsi"/>
        </w:rPr>
        <w:t xml:space="preserve"> as well as possible instrumental fluctuations. A volume of 10 µL of </w:t>
      </w:r>
      <w:proofErr w:type="spellStart"/>
      <w:r w:rsidRPr="0010075A">
        <w:rPr>
          <w:rFonts w:eastAsia="Calibri" w:cstheme="minorHAnsi"/>
        </w:rPr>
        <w:t>MeOX</w:t>
      </w:r>
      <w:proofErr w:type="spellEnd"/>
      <w:r w:rsidRPr="0010075A">
        <w:rPr>
          <w:rFonts w:eastAsia="Calibri" w:cstheme="minorHAnsi"/>
        </w:rPr>
        <w:t xml:space="preserve"> solution was added into the vial containing the dried extract. The vial was incubated in the first agitator module for 90 min at a temperature of +30°C under agitation at 600 rpm. Once methoximation was completed, the vial was moved to the second agitator module where a volume of 90 µL of N,O-bis(trimethylsilyl) trifluoroacetamide (BSTFA) containing 1% trimethylchlorosilane (TMCS) was added to the sample and the vial was then incubated at +37°C for 30 min under agitation at 600 rpm. In parallel, the next sample was moved to the first agitator module for methoximation. Once silylation was completed, the vial moved back to the cooler drawer and was diluted with addition of 600 µL acetone containing methyl </w:t>
      </w:r>
      <w:proofErr w:type="spellStart"/>
      <w:r w:rsidRPr="0010075A">
        <w:rPr>
          <w:rFonts w:eastAsia="Calibri" w:cstheme="minorHAnsi"/>
        </w:rPr>
        <w:t>dodecanoate</w:t>
      </w:r>
      <w:proofErr w:type="spellEnd"/>
      <w:r w:rsidRPr="0010075A">
        <w:rPr>
          <w:rFonts w:eastAsia="Calibri" w:cstheme="minorHAnsi"/>
        </w:rPr>
        <w:t xml:space="preserve"> used as IS (6 µg/mL). The vial was vortex at 2,000 rpm for 6 s</w:t>
      </w:r>
      <w:r w:rsidR="00331773" w:rsidRPr="0010075A">
        <w:rPr>
          <w:rFonts w:eastAsia="Calibri" w:cstheme="minorHAnsi"/>
        </w:rPr>
        <w:t>,</w:t>
      </w:r>
      <w:r w:rsidRPr="0010075A">
        <w:rPr>
          <w:rFonts w:eastAsia="Calibri" w:cstheme="minorHAnsi"/>
        </w:rPr>
        <w:t xml:space="preserve"> and 1 µL was directly injected on the GC-HR-MS. </w:t>
      </w:r>
    </w:p>
    <w:p w14:paraId="4F29F999" w14:textId="77777777" w:rsidR="00627D55" w:rsidRPr="0010075A" w:rsidRDefault="00627D55" w:rsidP="0010075A">
      <w:pPr>
        <w:spacing w:line="480" w:lineRule="auto"/>
        <w:jc w:val="both"/>
        <w:rPr>
          <w:rFonts w:cstheme="minorHAnsi"/>
          <w:b/>
          <w:bCs/>
        </w:rPr>
      </w:pPr>
      <w:r w:rsidRPr="0010075A">
        <w:rPr>
          <w:rFonts w:cstheme="minorHAnsi"/>
          <w:b/>
          <w:bCs/>
          <w:noProof/>
          <w:shd w:val="clear" w:color="auto" w:fill="E6E6E6"/>
          <w:lang w:val="en-IN" w:eastAsia="en-IN"/>
        </w:rPr>
        <w:drawing>
          <wp:inline distT="0" distB="0" distL="0" distR="0" wp14:anchorId="70E6E7D8" wp14:editId="65593DD5">
            <wp:extent cx="5562600" cy="2085975"/>
            <wp:effectExtent l="0" t="0" r="0" b="0"/>
            <wp:docPr id="179535829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5562600" cy="2085975"/>
                    </a:xfrm>
                    <a:prstGeom prst="rect">
                      <a:avLst/>
                    </a:prstGeom>
                  </pic:spPr>
                </pic:pic>
              </a:graphicData>
            </a:graphic>
          </wp:inline>
        </w:drawing>
      </w:r>
    </w:p>
    <w:p w14:paraId="18594BDC" w14:textId="5DF5641B" w:rsidR="00627D55" w:rsidRPr="0010075A" w:rsidRDefault="00B57639" w:rsidP="0010075A">
      <w:pPr>
        <w:spacing w:line="480" w:lineRule="auto"/>
        <w:jc w:val="both"/>
        <w:rPr>
          <w:rFonts w:cstheme="minorHAnsi"/>
          <w:b/>
          <w:bCs/>
        </w:rPr>
      </w:pPr>
      <w:r w:rsidRPr="0010075A">
        <w:rPr>
          <w:rFonts w:eastAsia="Calibri" w:cstheme="minorHAnsi"/>
          <w:b/>
          <w:bCs/>
        </w:rPr>
        <w:t xml:space="preserve">Supplementary </w:t>
      </w:r>
      <w:r w:rsidR="00627D55" w:rsidRPr="0010075A">
        <w:rPr>
          <w:rFonts w:eastAsia="Calibri" w:cstheme="minorHAnsi"/>
          <w:b/>
          <w:bCs/>
        </w:rPr>
        <w:t xml:space="preserve">Figure </w:t>
      </w:r>
      <w:r w:rsidRPr="0010075A">
        <w:rPr>
          <w:rFonts w:eastAsia="Calibri" w:cstheme="minorHAnsi"/>
          <w:b/>
          <w:bCs/>
        </w:rPr>
        <w:t>D</w:t>
      </w:r>
      <w:r w:rsidR="00627D55" w:rsidRPr="0010075A">
        <w:rPr>
          <w:rFonts w:eastAsia="Calibri" w:cstheme="minorHAnsi"/>
          <w:b/>
          <w:bCs/>
        </w:rPr>
        <w:t xml:space="preserve">. </w:t>
      </w:r>
      <w:r w:rsidR="00627D55" w:rsidRPr="0010075A">
        <w:rPr>
          <w:rFonts w:eastAsia="Calibri" w:cstheme="minorHAnsi"/>
        </w:rPr>
        <w:t>Example of a typical automated double derivatization sequence. The diagram in the foreground displays the sequence events for a sample. The overlapping is displayed in the background.</w:t>
      </w:r>
      <w:r w:rsidR="00627D55" w:rsidRPr="0010075A">
        <w:rPr>
          <w:rFonts w:eastAsia="Times New Roman" w:cstheme="minorHAnsi"/>
        </w:rPr>
        <w:t xml:space="preserve"> </w:t>
      </w:r>
    </w:p>
    <w:p w14:paraId="34BFF244" w14:textId="1AFB22D7" w:rsidR="00627D55" w:rsidRPr="0010075A" w:rsidRDefault="00627D55" w:rsidP="0010075A">
      <w:pPr>
        <w:spacing w:line="480" w:lineRule="auto"/>
        <w:jc w:val="both"/>
        <w:rPr>
          <w:rFonts w:cstheme="minorHAnsi"/>
        </w:rPr>
      </w:pPr>
      <w:r w:rsidRPr="0010075A">
        <w:rPr>
          <w:rFonts w:eastAsia="Calibri" w:cstheme="minorHAnsi"/>
          <w:b/>
          <w:bCs/>
        </w:rPr>
        <w:t xml:space="preserve">GC-HR-MS conditions for untargeted </w:t>
      </w:r>
      <w:r w:rsidR="00331773" w:rsidRPr="0010075A">
        <w:rPr>
          <w:rFonts w:eastAsia="Calibri" w:cstheme="minorHAnsi"/>
          <w:b/>
          <w:bCs/>
        </w:rPr>
        <w:t>m</w:t>
      </w:r>
      <w:r w:rsidRPr="0010075A">
        <w:rPr>
          <w:rFonts w:eastAsia="Calibri" w:cstheme="minorHAnsi"/>
          <w:b/>
          <w:bCs/>
        </w:rPr>
        <w:t xml:space="preserve">etabolomics. </w:t>
      </w:r>
      <w:r w:rsidRPr="0010075A">
        <w:rPr>
          <w:rFonts w:eastAsia="Calibri" w:cstheme="minorHAnsi"/>
        </w:rPr>
        <w:t xml:space="preserve">Sample preparation and analysis </w:t>
      </w:r>
      <w:r w:rsidR="00331773" w:rsidRPr="0010075A">
        <w:rPr>
          <w:rFonts w:eastAsia="Calibri" w:cstheme="minorHAnsi"/>
        </w:rPr>
        <w:t>were performed</w:t>
      </w:r>
      <w:r w:rsidRPr="0010075A">
        <w:rPr>
          <w:rFonts w:eastAsia="Calibri" w:cstheme="minorHAnsi"/>
        </w:rPr>
        <w:t xml:space="preserve"> using a Trace 1310 gas chromatograph (GC) coupled to a Q Exactive mass spectrometer (Thermo</w:t>
      </w:r>
      <w:r w:rsidR="004628F0" w:rsidRPr="0010075A">
        <w:rPr>
          <w:rFonts w:eastAsia="Calibri" w:cstheme="minorHAnsi"/>
        </w:rPr>
        <w:t xml:space="preserve"> </w:t>
      </w:r>
      <w:r w:rsidRPr="0010075A">
        <w:rPr>
          <w:rFonts w:eastAsia="Calibri" w:cstheme="minorHAnsi"/>
        </w:rPr>
        <w:t>Fisher Scientific). The GC instrument was equipped with a J&amp;W HP-5MS ultra inert (UI) column (30 m x 0.25 mm internal diameter, 0.25</w:t>
      </w:r>
      <w:r w:rsidR="00331773" w:rsidRPr="0010075A">
        <w:rPr>
          <w:rFonts w:eastAsia="Calibri" w:cstheme="minorHAnsi"/>
        </w:rPr>
        <w:t>-</w:t>
      </w:r>
      <w:r w:rsidRPr="0010075A">
        <w:rPr>
          <w:rFonts w:eastAsia="Calibri" w:cstheme="minorHAnsi"/>
        </w:rPr>
        <w:t>µm film thickness, Agilent</w:t>
      </w:r>
      <w:r w:rsidR="00331773" w:rsidRPr="0010075A">
        <w:rPr>
          <w:rFonts w:eastAsia="Calibri" w:cstheme="minorHAnsi"/>
        </w:rPr>
        <w:t xml:space="preserve"> Technologies</w:t>
      </w:r>
      <w:r w:rsidRPr="0010075A">
        <w:rPr>
          <w:rFonts w:eastAsia="Calibri" w:cstheme="minorHAnsi"/>
        </w:rPr>
        <w:t xml:space="preserve">). A </w:t>
      </w:r>
      <w:proofErr w:type="spellStart"/>
      <w:r w:rsidRPr="0010075A">
        <w:rPr>
          <w:rFonts w:eastAsia="Calibri" w:cstheme="minorHAnsi"/>
        </w:rPr>
        <w:t>Triplus</w:t>
      </w:r>
      <w:proofErr w:type="spellEnd"/>
      <w:r w:rsidRPr="0010075A">
        <w:rPr>
          <w:rFonts w:eastAsia="Calibri" w:cstheme="minorHAnsi"/>
        </w:rPr>
        <w:t xml:space="preserve"> was used to automate the chemical derivatization steps and to inject each sample with a consistent derivatization time (Cf. above). A volume of 1 µL extract sample was injected via the inlet set at 250°C in splitless mode. The oven was ramped up from 30°C until 320°C at constant rate of 15°C/min. Finally the temperature was maintained at 320°C for an additional 3.67 min (total GC-HR-MS run time of 23 min). The transfer line was held at 300°C, and the nitrogen flow rate was kept constant at 1.3 mL/min during the whole analysis. The mass spectrometer was operated in positive electron ionization mode (+EI) by scanning a mass range of </w:t>
      </w:r>
      <w:r w:rsidRPr="0010075A">
        <w:rPr>
          <w:rFonts w:eastAsia="Calibri" w:cstheme="minorHAnsi"/>
          <w:i/>
          <w:iCs/>
        </w:rPr>
        <w:t>m/z</w:t>
      </w:r>
      <w:r w:rsidRPr="0010075A">
        <w:rPr>
          <w:rFonts w:eastAsia="Calibri" w:cstheme="minorHAnsi"/>
        </w:rPr>
        <w:t xml:space="preserve"> 30-700. Temperature of the ion source and emission current were set at 280°C and 50 µA, respectively. To increase the scan rate; the resolution was set at 30,000 (full width half mass at </w:t>
      </w:r>
      <w:r w:rsidRPr="0010075A">
        <w:rPr>
          <w:rFonts w:eastAsia="Calibri" w:cstheme="minorHAnsi"/>
          <w:i/>
          <w:iCs/>
        </w:rPr>
        <w:t>m/z</w:t>
      </w:r>
      <w:r w:rsidRPr="0010075A">
        <w:rPr>
          <w:rFonts w:eastAsia="Calibri" w:cstheme="minorHAnsi"/>
        </w:rPr>
        <w:t xml:space="preserve"> 200). A solvent delay of 6.2 min was used to extend the filament lifetime. Acquisition was </w:t>
      </w:r>
      <w:r w:rsidR="00570871" w:rsidRPr="0010075A">
        <w:rPr>
          <w:rFonts w:eastAsia="Calibri" w:cstheme="minorHAnsi"/>
        </w:rPr>
        <w:t xml:space="preserve">performed </w:t>
      </w:r>
      <w:r w:rsidRPr="0010075A">
        <w:rPr>
          <w:rFonts w:eastAsia="Calibri" w:cstheme="minorHAnsi"/>
        </w:rPr>
        <w:t>in profile mode.</w:t>
      </w:r>
    </w:p>
    <w:p w14:paraId="42BDEF26" w14:textId="1C67423E" w:rsidR="00627D55" w:rsidRPr="0010075A" w:rsidRDefault="00627D55" w:rsidP="0010075A">
      <w:pPr>
        <w:spacing w:line="480" w:lineRule="auto"/>
        <w:jc w:val="both"/>
        <w:rPr>
          <w:rFonts w:cstheme="minorHAnsi"/>
        </w:rPr>
      </w:pPr>
      <w:r w:rsidRPr="0010075A">
        <w:rPr>
          <w:rFonts w:eastAsia="Calibri" w:cstheme="minorHAnsi"/>
          <w:b/>
          <w:bCs/>
        </w:rPr>
        <w:t>Data processing</w:t>
      </w:r>
      <w:r w:rsidRPr="0010075A">
        <w:rPr>
          <w:rFonts w:cstheme="minorHAnsi"/>
        </w:rPr>
        <w:t xml:space="preserve">. </w:t>
      </w:r>
      <w:r w:rsidRPr="0010075A">
        <w:rPr>
          <w:rFonts w:eastAsia="Calibri" w:cstheme="minorHAnsi"/>
        </w:rPr>
        <w:t xml:space="preserve">The raw data were processed using Compound </w:t>
      </w:r>
      <w:proofErr w:type="spellStart"/>
      <w:r w:rsidRPr="0010075A">
        <w:rPr>
          <w:rFonts w:eastAsia="Calibri" w:cstheme="minorHAnsi"/>
        </w:rPr>
        <w:t>Discoverer</w:t>
      </w:r>
      <w:r w:rsidRPr="0010075A">
        <w:rPr>
          <w:rFonts w:eastAsia="Calibri" w:cstheme="minorHAnsi"/>
          <w:vertAlign w:val="superscript"/>
        </w:rPr>
        <w:t>TM</w:t>
      </w:r>
      <w:proofErr w:type="spellEnd"/>
      <w:r w:rsidRPr="0010075A">
        <w:rPr>
          <w:rFonts w:eastAsia="Calibri" w:cstheme="minorHAnsi"/>
        </w:rPr>
        <w:t xml:space="preserve"> software (Thermo</w:t>
      </w:r>
      <w:r w:rsidR="004628F0" w:rsidRPr="0010075A">
        <w:rPr>
          <w:rFonts w:eastAsia="Calibri" w:cstheme="minorHAnsi"/>
        </w:rPr>
        <w:t xml:space="preserve"> </w:t>
      </w:r>
      <w:r w:rsidRPr="0010075A">
        <w:rPr>
          <w:rFonts w:eastAsia="Calibri" w:cstheme="minorHAnsi"/>
        </w:rPr>
        <w:t xml:space="preserve">Fisher Scientific) to obtain a peak list of features, resulting from the deconvoluted and aligned raw data files. From the statistical feature information (raw files were assigned to respective grouping, e.g., EV: e-vapors, </w:t>
      </w:r>
      <w:r w:rsidRPr="0010075A">
        <w:rPr>
          <w:rFonts w:eastAsia="Calibri" w:cstheme="minorHAnsi"/>
        </w:rPr>
        <w:lastRenderedPageBreak/>
        <w:t xml:space="preserve">NS: never smokers, FS: former smokers, CS: conventional smokers), a peak list was exported from Compound Discoverer software into Trace </w:t>
      </w:r>
      <w:proofErr w:type="spellStart"/>
      <w:r w:rsidRPr="0010075A">
        <w:rPr>
          <w:rFonts w:eastAsia="Calibri" w:cstheme="minorHAnsi"/>
        </w:rPr>
        <w:t>Finder</w:t>
      </w:r>
      <w:r w:rsidRPr="0010075A">
        <w:rPr>
          <w:rFonts w:eastAsia="Calibri" w:cstheme="minorHAnsi"/>
          <w:vertAlign w:val="superscript"/>
        </w:rPr>
        <w:t>TM</w:t>
      </w:r>
      <w:proofErr w:type="spellEnd"/>
      <w:r w:rsidRPr="0010075A">
        <w:rPr>
          <w:rFonts w:eastAsia="Calibri" w:cstheme="minorHAnsi"/>
        </w:rPr>
        <w:t xml:space="preserve"> software as targeted method. This step was useful to remove not related metabolite peaks (i.e., </w:t>
      </w:r>
      <w:r w:rsidRPr="0010075A">
        <w:rPr>
          <w:rFonts w:eastAsia="Calibri" w:cstheme="minorHAnsi"/>
          <w:i/>
          <w:iCs/>
        </w:rPr>
        <w:t>m/z</w:t>
      </w:r>
      <w:r w:rsidRPr="0010075A">
        <w:rPr>
          <w:rFonts w:eastAsia="Calibri" w:cstheme="minorHAnsi"/>
        </w:rPr>
        <w:t>-RT pairs present in blank samples, column bleeding, ion spike, …) and to improve the peak height integration parameters to reduce the number of missing values. Thus, a peak height threshold for feature</w:t>
      </w:r>
      <w:r w:rsidR="00C509F9" w:rsidRPr="0010075A">
        <w:rPr>
          <w:rFonts w:eastAsia="Calibri" w:cstheme="minorHAnsi"/>
        </w:rPr>
        <w:t>s</w:t>
      </w:r>
      <w:r w:rsidRPr="0010075A">
        <w:rPr>
          <w:rFonts w:eastAsia="Calibri" w:cstheme="minorHAnsi"/>
        </w:rPr>
        <w:t xml:space="preserve"> having a maximum peak height below 30,000 counts was applied to remove chemical noise. Moreover, an autocorrelation method was used to remove duplicate entries. Ultimately, the reprocessed batch provided unique </w:t>
      </w:r>
      <w:r w:rsidRPr="0010075A">
        <w:rPr>
          <w:rFonts w:eastAsia="Calibri" w:cstheme="minorHAnsi"/>
          <w:i/>
          <w:iCs/>
        </w:rPr>
        <w:t>m/z</w:t>
      </w:r>
      <w:r w:rsidRPr="0010075A">
        <w:rPr>
          <w:rFonts w:eastAsia="Calibri" w:cstheme="minorHAnsi"/>
        </w:rPr>
        <w:t>-RT pairs together with calculated linear retention indices from the injection of n-alkane standards analyzed before starting the batch. A final Excel file was exported including the metabolite ID name (from confirmed compounds, postulated ones and remaining unknowns)</w:t>
      </w:r>
      <w:r w:rsidR="00C509F9" w:rsidRPr="0010075A">
        <w:rPr>
          <w:rFonts w:eastAsia="Calibri" w:cstheme="minorHAnsi"/>
        </w:rPr>
        <w:t>,</w:t>
      </w:r>
      <w:r w:rsidRPr="0010075A">
        <w:rPr>
          <w:rFonts w:eastAsia="Calibri" w:cstheme="minorHAnsi"/>
        </w:rPr>
        <w:t xml:space="preserve"> as well as peak height and normalized peak height (ratio against peak height of methyl </w:t>
      </w:r>
      <w:proofErr w:type="spellStart"/>
      <w:r w:rsidRPr="0010075A">
        <w:rPr>
          <w:rFonts w:eastAsia="Calibri" w:cstheme="minorHAnsi"/>
        </w:rPr>
        <w:t>dodecanoate</w:t>
      </w:r>
      <w:proofErr w:type="spellEnd"/>
      <w:r w:rsidRPr="0010075A">
        <w:rPr>
          <w:rFonts w:eastAsia="Calibri" w:cstheme="minorHAnsi"/>
        </w:rPr>
        <w:t xml:space="preserve">) information for the corresponding </w:t>
      </w:r>
      <w:r w:rsidRPr="0010075A">
        <w:rPr>
          <w:rFonts w:eastAsia="Calibri" w:cstheme="minorHAnsi"/>
          <w:i/>
          <w:iCs/>
        </w:rPr>
        <w:t>m/z</w:t>
      </w:r>
      <w:r w:rsidRPr="0010075A">
        <w:rPr>
          <w:rFonts w:eastAsia="Calibri" w:cstheme="minorHAnsi"/>
        </w:rPr>
        <w:t>-RT pairs. When a metabolite was converted into two stereoisomers (syn- and anti-species) or into multiple trimethylsilyl (TMS) derivatives, the reported value was based on the summed peak heights of their two separate peaks or TMS-derivatives. All metabolites detected in the quality control samples (urine and plasma biological pool) were monitored to evaluate the instrument response over time during the period of analyses.</w:t>
      </w:r>
    </w:p>
    <w:p w14:paraId="0B8C537C" w14:textId="77777777" w:rsidR="00627D55" w:rsidRPr="0010075A" w:rsidRDefault="00627D55" w:rsidP="0010075A">
      <w:pPr>
        <w:spacing w:line="480" w:lineRule="auto"/>
        <w:jc w:val="both"/>
        <w:rPr>
          <w:rFonts w:ascii="Times New Roman" w:hAnsi="Times New Roman" w:cs="Times New Roman"/>
        </w:rPr>
      </w:pPr>
    </w:p>
    <w:p w14:paraId="216B64E3" w14:textId="77777777" w:rsidR="00627D55" w:rsidRPr="0010075A" w:rsidRDefault="00627D55" w:rsidP="0010075A">
      <w:pPr>
        <w:pStyle w:val="Heading2"/>
        <w:spacing w:line="480" w:lineRule="auto"/>
        <w:jc w:val="both"/>
        <w:rPr>
          <w:color w:val="auto"/>
        </w:rPr>
      </w:pPr>
      <w:r w:rsidRPr="0010075A">
        <w:rPr>
          <w:color w:val="auto"/>
        </w:rPr>
        <w:t>Computational data analysis</w:t>
      </w:r>
    </w:p>
    <w:p w14:paraId="300A0BB8" w14:textId="7C03CFBF" w:rsidR="00627D55" w:rsidRPr="0010075A" w:rsidRDefault="00627D55" w:rsidP="0010075A">
      <w:pPr>
        <w:spacing w:line="480" w:lineRule="auto"/>
        <w:jc w:val="both"/>
        <w:rPr>
          <w:rFonts w:cstheme="minorHAnsi"/>
        </w:rPr>
      </w:pPr>
      <w:r w:rsidRPr="0010075A">
        <w:rPr>
          <w:rFonts w:cstheme="minorHAnsi"/>
          <w:b/>
          <w:bCs/>
        </w:rPr>
        <w:t>Multivariate analysis of biomarkers of exposure (BoE).</w:t>
      </w:r>
      <w:r w:rsidRPr="0010075A">
        <w:rPr>
          <w:rFonts w:cstheme="minorHAnsi"/>
        </w:rPr>
        <w:t xml:space="preserve"> Principal component analysis of centered and scaled BoE analytes was conducted separately for nicotine and its metabolites (Nicotine, cotinine, 3OH-cotinine) on one side and combustion markers (CO, MHBMA, HPMA, CEMA, HEMA, HMPMA, SPMA, NNAL) on the other side. The analysis enabled</w:t>
      </w:r>
      <w:r w:rsidR="00CB2E14" w:rsidRPr="0010075A">
        <w:rPr>
          <w:rFonts w:cstheme="minorHAnsi"/>
        </w:rPr>
        <w:t xml:space="preserve"> us</w:t>
      </w:r>
      <w:r w:rsidRPr="0010075A">
        <w:rPr>
          <w:rFonts w:cstheme="minorHAnsi"/>
        </w:rPr>
        <w:t xml:space="preserve"> to calculate the variance explained by each principal component (PC). Scores associated with the PC representative of the larger variance were used to plot all subjects into a 2D space corresponding to combustion marker PC1 scores (x-axis) versus nicotine and its metabolites PC1 scores (y-axis). Subject data points fell into four quadrants </w:t>
      </w:r>
      <w:r w:rsidR="00CB2E14" w:rsidRPr="0010075A">
        <w:rPr>
          <w:rFonts w:cstheme="minorHAnsi"/>
        </w:rPr>
        <w:t xml:space="preserve">that </w:t>
      </w:r>
      <w:r w:rsidRPr="0010075A">
        <w:rPr>
          <w:rFonts w:cstheme="minorHAnsi"/>
        </w:rPr>
        <w:t>could be seen as different exposure patterns: high scores for combustion markers and high scores for nicotine and its metabolites (upper right quadrant), low scores for combustion markers and high scores for nicotine and its metabolites (upper left quadrant), medium/high scores for combustion markers and low scores for nicotine and its metabolites (lower right quadrant), and low scores for combustion markers and low scores for nicotine and its metabolites (lower left quadrant).</w:t>
      </w:r>
    </w:p>
    <w:p w14:paraId="0C704E9D" w14:textId="02C455C6" w:rsidR="00627D55" w:rsidRPr="0010075A" w:rsidRDefault="00627D55" w:rsidP="0010075A">
      <w:pPr>
        <w:spacing w:line="480" w:lineRule="auto"/>
        <w:jc w:val="both"/>
        <w:rPr>
          <w:rFonts w:cstheme="minorHAnsi"/>
        </w:rPr>
      </w:pPr>
      <w:r w:rsidRPr="0010075A">
        <w:rPr>
          <w:rFonts w:cstheme="minorHAnsi"/>
          <w:b/>
          <w:bCs/>
        </w:rPr>
        <w:t>Systems response profiles of omics data.</w:t>
      </w:r>
      <w:r w:rsidRPr="0010075A">
        <w:rPr>
          <w:rFonts w:cstheme="minorHAnsi"/>
        </w:rPr>
        <w:t xml:space="preserve"> For each data modality (except for methylation – specific description below), a linear model including </w:t>
      </w:r>
      <w:r w:rsidR="00FB5E12" w:rsidRPr="0010075A">
        <w:rPr>
          <w:rFonts w:cstheme="minorHAnsi"/>
        </w:rPr>
        <w:t>“</w:t>
      </w:r>
      <w:r w:rsidRPr="0010075A">
        <w:rPr>
          <w:rFonts w:cstheme="minorHAnsi"/>
        </w:rPr>
        <w:t>gender</w:t>
      </w:r>
      <w:r w:rsidR="00FB5E12" w:rsidRPr="0010075A">
        <w:rPr>
          <w:rFonts w:cstheme="minorHAnsi"/>
        </w:rPr>
        <w:t>”</w:t>
      </w:r>
      <w:r w:rsidRPr="0010075A">
        <w:rPr>
          <w:rFonts w:cstheme="minorHAnsi"/>
        </w:rPr>
        <w:t xml:space="preserve"> as covariate was fitted to estimate differential expression or abundance reported as log2-fold change of all molecular entities (termed </w:t>
      </w:r>
      <w:r w:rsidR="00FB5E12" w:rsidRPr="0010075A">
        <w:rPr>
          <w:rFonts w:cstheme="minorHAnsi"/>
        </w:rPr>
        <w:t>“</w:t>
      </w:r>
      <w:r w:rsidRPr="0010075A">
        <w:rPr>
          <w:rFonts w:cstheme="minorHAnsi"/>
        </w:rPr>
        <w:t>systems response profile</w:t>
      </w:r>
      <w:r w:rsidR="00FB5E12" w:rsidRPr="0010075A">
        <w:rPr>
          <w:rFonts w:cstheme="minorHAnsi"/>
        </w:rPr>
        <w:t>”</w:t>
      </w:r>
      <w:r w:rsidRPr="0010075A">
        <w:rPr>
          <w:rFonts w:cstheme="minorHAnsi"/>
        </w:rPr>
        <w:t xml:space="preserve">) between groups (CS vs NS, EV vs NS, FS vs NS, CS vs EV, CS vs FS, EV vs FS). The </w:t>
      </w:r>
      <w:proofErr w:type="spellStart"/>
      <w:r w:rsidRPr="0010075A">
        <w:rPr>
          <w:rFonts w:cstheme="minorHAnsi"/>
        </w:rPr>
        <w:t>bioconductor</w:t>
      </w:r>
      <w:proofErr w:type="spellEnd"/>
      <w:r w:rsidRPr="0010075A">
        <w:rPr>
          <w:rFonts w:cstheme="minorHAnsi"/>
        </w:rPr>
        <w:t xml:space="preserve"> </w:t>
      </w:r>
      <w:proofErr w:type="spellStart"/>
      <w:r w:rsidRPr="0010075A">
        <w:rPr>
          <w:rFonts w:cstheme="minorHAnsi"/>
        </w:rPr>
        <w:t>Limma</w:t>
      </w:r>
      <w:proofErr w:type="spellEnd"/>
      <w:r w:rsidRPr="0010075A">
        <w:rPr>
          <w:rFonts w:cstheme="minorHAnsi"/>
        </w:rPr>
        <w:t xml:space="preserve"> R package version 3.22.4 was used for this analysis.</w:t>
      </w:r>
      <w:r w:rsidR="00E95C8C" w:rsidRPr="0010075A">
        <w:rPr>
          <w:rFonts w:cstheme="minorHAnsi"/>
        </w:rPr>
        <w:fldChar w:fldCharType="begin"/>
      </w:r>
      <w:r w:rsidR="00E95C8C" w:rsidRPr="0010075A">
        <w:rPr>
          <w:rFonts w:cstheme="minorHAnsi"/>
        </w:rPr>
        <w:instrText xml:space="preserve"> ADDIN EN.CITE &lt;EndNote&gt;&lt;Cite&gt;&lt;Author&gt;Smyth&lt;/Author&gt;&lt;Year&gt;2004&lt;/Year&gt;&lt;RecNum&gt;54&lt;/RecNum&gt;&lt;DisplayText&gt;&lt;style face="superscript"&gt;9&lt;/style&gt;&lt;/DisplayText&gt;&lt;record&gt;&lt;rec-number&gt;54&lt;/rec-number&gt;&lt;foreign-keys&gt;&lt;key app="EN" db-id="2trar5vt4rp2vnef2s6pdf09pwf2p029wadz" timestamp="1698410801"&gt;54&lt;/key&gt;&lt;/foreign-keys&gt;&lt;ref-type name="Journal Article"&gt;17&lt;/ref-type&gt;&lt;contributors&gt;&lt;authors&gt;&lt;author&gt;Smyth, G. K.&lt;/author&gt;&lt;/authors&gt;&lt;/contributors&gt;&lt;auth-address&gt;Walter and Eliza Hall Institute. smyth@wehi.edu.au&lt;/auth-address&gt;&lt;titles&gt;&lt;title&gt;Linear models and empirical bayes methods for assessing differential expression in microarray experiments&lt;/title&gt;&lt;secondary-title&gt;Stat Appl Genet Mol Biol&lt;/secondary-title&gt;&lt;/titles&gt;&lt;periodical&gt;&lt;full-title&gt;Stat Appl Genet Mol Biol&lt;/full-title&gt;&lt;/periodical&gt;&lt;pages&gt;Article3&lt;/pages&gt;&lt;volume&gt;3&lt;/volume&gt;&lt;edition&gt;20040212&lt;/edition&gt;&lt;dates&gt;&lt;year&gt;2004&lt;/year&gt;&lt;/dates&gt;&lt;isbn&gt;1544-6115 (Electronic)&amp;#xD;1544-6115 (Linking)&lt;/isbn&gt;&lt;accession-num&gt;16646809&lt;/accession-num&gt;&lt;urls&gt;&lt;related-urls&gt;&lt;url&gt;https://www.ncbi.nlm.nih.gov/pubmed/16646809&lt;/url&gt;&lt;/related-urls&gt;&lt;/urls&gt;&lt;electronic-resource-num&gt;10.2202/1544-6115.1027&lt;/electronic-resource-num&gt;&lt;remote-database-name&gt;PubMed-not-MEDLINE&lt;/remote-database-name&gt;&lt;remote-database-provider&gt;NLM&lt;/remote-database-provider&gt;&lt;/record&gt;&lt;/Cite&gt;&lt;/EndNote&gt;</w:instrText>
      </w:r>
      <w:r w:rsidR="00E95C8C" w:rsidRPr="0010075A">
        <w:rPr>
          <w:rFonts w:cstheme="minorHAnsi"/>
        </w:rPr>
        <w:fldChar w:fldCharType="separate"/>
      </w:r>
      <w:r w:rsidR="00E95C8C" w:rsidRPr="0010075A">
        <w:rPr>
          <w:rFonts w:cstheme="minorHAnsi"/>
          <w:noProof/>
          <w:vertAlign w:val="superscript"/>
        </w:rPr>
        <w:t>9</w:t>
      </w:r>
      <w:r w:rsidR="00E95C8C" w:rsidRPr="0010075A">
        <w:rPr>
          <w:rFonts w:cstheme="minorHAnsi"/>
        </w:rPr>
        <w:fldChar w:fldCharType="end"/>
      </w:r>
      <w:r w:rsidRPr="0010075A">
        <w:rPr>
          <w:rFonts w:cstheme="minorHAnsi"/>
        </w:rPr>
        <w:t xml:space="preserve"> P</w:t>
      </w:r>
      <w:r w:rsidRPr="0010075A">
        <w:rPr>
          <w:rFonts w:eastAsia="Times New Roman" w:cstheme="minorHAnsi"/>
        </w:rPr>
        <w:t>-values were calculated from moderated t-statistics with the empirical Bayes approach, and molecular entities with a Benjamini–Hochberg FDR-adjusted p-value below 5% were considered differentially expressed or abundant</w:t>
      </w:r>
      <w:r w:rsidR="00121EDD" w:rsidRPr="0010075A">
        <w:rPr>
          <w:rFonts w:eastAsia="Times New Roman" w:cstheme="minorHAnsi"/>
        </w:rPr>
        <w:t>.</w:t>
      </w:r>
      <w:r w:rsidR="00CF688E" w:rsidRPr="0010075A">
        <w:rPr>
          <w:rFonts w:eastAsia="Times New Roman" w:cstheme="minorHAnsi"/>
        </w:rPr>
        <w:fldChar w:fldCharType="begin">
          <w:fldData xml:space="preserve">PEVuZE5vdGU+PENpdGU+PEF1dGhvcj5CZW5qYW1pbmk8L0F1dGhvcj48WWVhcj4xOTk1PC9ZZWFy
PjxSZWNOdW0+NTU8L1JlY051bT48RGlzcGxheVRleHQ+PHN0eWxlIGZhY2U9InN1cGVyc2NyaXB0
Ij4xMCwxMTwvc3R5bGU+PC9EaXNwbGF5VGV4dD48cmVjb3JkPjxyZWMtbnVtYmVyPjU1PC9yZWMt
bnVtYmVyPjxmb3JlaWduLWtleXM+PGtleSBhcHA9IkVOIiBkYi1pZD0iMnRyYXI1dnQ0cnAydm5l
ZjJzNnBkZjA5cHdmMnAwMjl3YWR6IiB0aW1lc3RhbXA9IjE2OTg0MTA4MDEiPjU1PC9rZXk+PC9m
b3JlaWduLWtleXM+PHJlZi10eXBlIG5hbWU9IkpvdXJuYWwgQXJ0aWNsZSI+MTc8L3JlZi10eXBl
Pjxjb250cmlidXRvcnM+PGF1dGhvcnM+PGF1dGhvcj5CZW5qYW1pbmksIFkuPC9hdXRob3I+PGF1
dGhvcj5Ib2NoYmVyZywgWS48L2F1dGhvcj48L2F1dGhvcnM+PC9jb250cmlidXRvcnM+PHRpdGxl
cz48dGl0bGU+Q29udHJvbGxpbmcgdGhlIEZhbHNlIERpc2NvdmVyeSBSYXRlOiBBIFByYWN0aWNh
bCBhbmQgUG93ZXJmdWwgQXBwcm9hY2ggdG8gTXVsdGlwbGUgVGVzdGluZzwvdGl0bGU+PHNlY29u
ZGFyeS10aXRsZT5Kb3VybmFsIG9mIHRoZSBSb3lhbCBTdGF0aXN0aWNhbCBTb2NpZXR5OiBTZXJp
ZXMgQjwvc2Vjb25kYXJ5LXRpdGxlPjwvdGl0bGVzPjxwZXJpb2RpY2FsPjxmdWxsLXRpdGxlPkpv
dXJuYWwgb2YgdGhlIFJveWFsIFN0YXRpc3RpY2FsIFNvY2lldHk6IFNlcmllcyBCPC9mdWxsLXRp
dGxlPjwvcGVyaW9kaWNhbD48cGFnZXM+Mjg5LTMwMDwvcGFnZXM+PHZvbHVtZT41Nzwvdm9sdW1l
PjxkYXRlcz48eWVhcj4xOTk1PC95ZWFyPjwvZGF0ZXM+PHVybHM+PC91cmxzPjwvcmVjb3JkPjwv
Q2l0ZT48Q2l0ZT48QXV0aG9yPkdlbnRsZW1hbjwvQXV0aG9yPjxZZWFyPjIwMDQ8L1llYXI+PFJl
Y051bT41NjwvUmVjTnVtPjxyZWNvcmQ+PHJlYy1udW1iZXI+NTY8L3JlYy1udW1iZXI+PGZvcmVp
Z24ta2V5cz48a2V5IGFwcD0iRU4iIGRiLWlkPSIydHJhcjV2dDRycDJ2bmVmMnM2cGRmMDlwd2Yy
cDAyOXdhZHoiIHRpbWVzdGFtcD0iMTY5ODQxMDgwMSI+NTY8L2tleT48L2ZvcmVpZ24ta2V5cz48
cmVmLXR5cGUgbmFtZT0iSm91cm5hbCBBcnRpY2xlIj4xNzwvcmVmLXR5cGU+PGNvbnRyaWJ1dG9y
cz48YXV0aG9ycz48YXV0aG9yPkdlbnRsZW1hbiwgUi4gQy48L2F1dGhvcj48YXV0aG9yPkNhcmV5
LCBWLiBKLjwvYXV0aG9yPjxhdXRob3I+QmF0ZXMsIEQuIE0uPC9hdXRob3I+PGF1dGhvcj5Cb2xz
dGFkLCBCLjwvYXV0aG9yPjxhdXRob3I+RGV0dGxpbmcsIE0uPC9hdXRob3I+PGF1dGhvcj5EdWRv
aXQsIFMuPC9hdXRob3I+PGF1dGhvcj5FbGxpcywgQi48L2F1dGhvcj48YXV0aG9yPkdhdXRpZXIs
IEwuPC9hdXRob3I+PGF1dGhvcj5HZSwgWS48L2F1dGhvcj48YXV0aG9yPkdlbnRyeSwgSi48L2F1
dGhvcj48YXV0aG9yPkhvcm5paywgSy48L2F1dGhvcj48YXV0aG9yPkhvdGhvcm4sIFQuPC9hdXRo
b3I+PGF1dGhvcj5IdWJlciwgVy48L2F1dGhvcj48YXV0aG9yPklhY3VzLCBTLjwvYXV0aG9yPjxh
dXRob3I+SXJpemFycnksIFIuPC9hdXRob3I+PGF1dGhvcj5MZWlzY2gsIEYuPC9hdXRob3I+PGF1
dGhvcj5MaSwgQy48L2F1dGhvcj48YXV0aG9yPk1hZWNobGVyLCBNLjwvYXV0aG9yPjxhdXRob3I+
Um9zc2luaSwgQS4gSi48L2F1dGhvcj48YXV0aG9yPlNhd2l0emtpLCBHLjwvYXV0aG9yPjxhdXRo
b3I+U21pdGgsIEMuPC9hdXRob3I+PGF1dGhvcj5TbXl0aCwgRy48L2F1dGhvcj48YXV0aG9yPlRp
ZXJuZXksIEwuPC9hdXRob3I+PGF1dGhvcj5ZYW5nLCBKLiBZLjwvYXV0aG9yPjxhdXRob3I+Wmhh
bmcsIEouPC9hdXRob3I+PC9hdXRob3JzPjwvY29udHJpYnV0b3JzPjxhdXRoLWFkZHJlc3M+RGVw
YXJ0bWVudCBvZiBCaW9zdGF0aXN0aWNhbCBTY2llbmNlLCBEYW5hLUZhcmJlciBDYW5jZXIgSW5z
dGl0dXRlLCA0NCBCaW5uZXkgU3QsIEJvc3RvbiwgTUEgMDIxMTUsIFVTQS4gcmdlbnRsZW1Aamlt
bXkuaGFydmFyZC5lZHU8L2F1dGgtYWRkcmVzcz48dGl0bGVzPjx0aXRsZT5CaW9jb25kdWN0b3I6
IG9wZW4gc29mdHdhcmUgZGV2ZWxvcG1lbnQgZm9yIGNvbXB1dGF0aW9uYWwgYmlvbG9neSBhbmQg
YmlvaW5mb3JtYXRpY3M8L3RpdGxlPjxzZWNvbmRhcnktdGl0bGU+R2Vub21lIEJpb2w8L3NlY29u
ZGFyeS10aXRsZT48L3RpdGxlcz48cGVyaW9kaWNhbD48ZnVsbC10aXRsZT5HZW5vbWUgQmlvbDwv
ZnVsbC10aXRsZT48L3BlcmlvZGljYWw+PHBhZ2VzPlI4MDwvcGFnZXM+PHZvbHVtZT41PC92b2x1
bWU+PG51bWJlcj4xMDwvbnVtYmVyPjxlZGl0aW9uPjIwMDQwOTE1PC9lZGl0aW9uPjxrZXl3b3Jk
cz48a2V5d29yZD5Db21wdXRhdGlvbmFsIEJpb2xvZ3kvKmluc3RydW1lbnRhdGlvbi8qbWV0aG9k
czwva2V5d29yZD48a2V5d29yZD5JbnRlcm5ldDwva2V5d29yZD48a2V5d29yZD5SZXByb2R1Y2li
aWxpdHkgb2YgUmVzdWx0czwva2V5d29yZD48a2V5d29yZD4qU29mdHdhcmU8L2tleXdvcmQ+PC9r
ZXl3b3Jkcz48ZGF0ZXM+PHllYXI+MjAwNDwveWVhcj48L2RhdGVzPjxpc2JuPjE0NzQtNzYwWCAo
RWxlY3Ryb25pYykmI3hEOzE0NzQtNzU5NiAoTGlua2luZyk8L2lzYm4+PGFjY2Vzc2lvbi1udW0+
MTU0NjE3OTg8L2FjY2Vzc2lvbi1udW0+PHVybHM+PHJlbGF0ZWQtdXJscz48dXJsPmh0dHBzOi8v
d3d3Lm5jYmkubmxtLm5paC5nb3YvcHVibWVkLzE1NDYxNzk4PC91cmw+PC9yZWxhdGVkLXVybHM+
PC91cmxzPjxjdXN0b20yPlBNQzU0NTYwMDwvY3VzdG9tMj48ZWxlY3Ryb25pYy1yZXNvdXJjZS1u
dW0+MTAuMTE4Ni9nYi0yMDA0LTUtMTAtcjgwPC9lbGVjdHJvbmljLXJlc291cmNlLW51bT48cmVt
b3RlLWRhdGFiYXNlLW5hbWU+TWVkbGluZTwvcmVtb3RlLWRhdGFiYXNlLW5hbWU+PHJlbW90ZS1k
YXRhYmFzZS1wcm92aWRlcj5OTE08L3JlbW90ZS1kYXRhYmFzZS1wcm92aWRlcj48L3JlY29yZD48
L0NpdGU+PC9FbmROb3RlPn==
</w:fldData>
        </w:fldChar>
      </w:r>
      <w:r w:rsidR="00CF688E" w:rsidRPr="0010075A">
        <w:rPr>
          <w:rFonts w:eastAsia="Times New Roman" w:cstheme="minorHAnsi"/>
        </w:rPr>
        <w:instrText xml:space="preserve"> ADDIN EN.CITE </w:instrText>
      </w:r>
      <w:r w:rsidR="00CF688E" w:rsidRPr="0010075A">
        <w:rPr>
          <w:rFonts w:eastAsia="Times New Roman" w:cstheme="minorHAnsi"/>
        </w:rPr>
        <w:fldChar w:fldCharType="begin">
          <w:fldData xml:space="preserve">PEVuZE5vdGU+PENpdGU+PEF1dGhvcj5CZW5qYW1pbmk8L0F1dGhvcj48WWVhcj4xOTk1PC9ZZWFy
PjxSZWNOdW0+NTU8L1JlY051bT48RGlzcGxheVRleHQ+PHN0eWxlIGZhY2U9InN1cGVyc2NyaXB0
Ij4xMCwxMTwvc3R5bGU+PC9EaXNwbGF5VGV4dD48cmVjb3JkPjxyZWMtbnVtYmVyPjU1PC9yZWMt
bnVtYmVyPjxmb3JlaWduLWtleXM+PGtleSBhcHA9IkVOIiBkYi1pZD0iMnRyYXI1dnQ0cnAydm5l
ZjJzNnBkZjA5cHdmMnAwMjl3YWR6IiB0aW1lc3RhbXA9IjE2OTg0MTA4MDEiPjU1PC9rZXk+PC9m
b3JlaWduLWtleXM+PHJlZi10eXBlIG5hbWU9IkpvdXJuYWwgQXJ0aWNsZSI+MTc8L3JlZi10eXBl
Pjxjb250cmlidXRvcnM+PGF1dGhvcnM+PGF1dGhvcj5CZW5qYW1pbmksIFkuPC9hdXRob3I+PGF1
dGhvcj5Ib2NoYmVyZywgWS48L2F1dGhvcj48L2F1dGhvcnM+PC9jb250cmlidXRvcnM+PHRpdGxl
cz48dGl0bGU+Q29udHJvbGxpbmcgdGhlIEZhbHNlIERpc2NvdmVyeSBSYXRlOiBBIFByYWN0aWNh
bCBhbmQgUG93ZXJmdWwgQXBwcm9hY2ggdG8gTXVsdGlwbGUgVGVzdGluZzwvdGl0bGU+PHNlY29u
ZGFyeS10aXRsZT5Kb3VybmFsIG9mIHRoZSBSb3lhbCBTdGF0aXN0aWNhbCBTb2NpZXR5OiBTZXJp
ZXMgQjwvc2Vjb25kYXJ5LXRpdGxlPjwvdGl0bGVzPjxwZXJpb2RpY2FsPjxmdWxsLXRpdGxlPkpv
dXJuYWwgb2YgdGhlIFJveWFsIFN0YXRpc3RpY2FsIFNvY2lldHk6IFNlcmllcyBCPC9mdWxsLXRp
dGxlPjwvcGVyaW9kaWNhbD48cGFnZXM+Mjg5LTMwMDwvcGFnZXM+PHZvbHVtZT41Nzwvdm9sdW1l
PjxkYXRlcz48eWVhcj4xOTk1PC95ZWFyPjwvZGF0ZXM+PHVybHM+PC91cmxzPjwvcmVjb3JkPjwv
Q2l0ZT48Q2l0ZT48QXV0aG9yPkdlbnRsZW1hbjwvQXV0aG9yPjxZZWFyPjIwMDQ8L1llYXI+PFJl
Y051bT41NjwvUmVjTnVtPjxyZWNvcmQ+PHJlYy1udW1iZXI+NTY8L3JlYy1udW1iZXI+PGZvcmVp
Z24ta2V5cz48a2V5IGFwcD0iRU4iIGRiLWlkPSIydHJhcjV2dDRycDJ2bmVmMnM2cGRmMDlwd2Yy
cDAyOXdhZHoiIHRpbWVzdGFtcD0iMTY5ODQxMDgwMSI+NTY8L2tleT48L2ZvcmVpZ24ta2V5cz48
cmVmLXR5cGUgbmFtZT0iSm91cm5hbCBBcnRpY2xlIj4xNzwvcmVmLXR5cGU+PGNvbnRyaWJ1dG9y
cz48YXV0aG9ycz48YXV0aG9yPkdlbnRsZW1hbiwgUi4gQy48L2F1dGhvcj48YXV0aG9yPkNhcmV5
LCBWLiBKLjwvYXV0aG9yPjxhdXRob3I+QmF0ZXMsIEQuIE0uPC9hdXRob3I+PGF1dGhvcj5Cb2xz
dGFkLCBCLjwvYXV0aG9yPjxhdXRob3I+RGV0dGxpbmcsIE0uPC9hdXRob3I+PGF1dGhvcj5EdWRv
aXQsIFMuPC9hdXRob3I+PGF1dGhvcj5FbGxpcywgQi48L2F1dGhvcj48YXV0aG9yPkdhdXRpZXIs
IEwuPC9hdXRob3I+PGF1dGhvcj5HZSwgWS48L2F1dGhvcj48YXV0aG9yPkdlbnRyeSwgSi48L2F1
dGhvcj48YXV0aG9yPkhvcm5paywgSy48L2F1dGhvcj48YXV0aG9yPkhvdGhvcm4sIFQuPC9hdXRo
b3I+PGF1dGhvcj5IdWJlciwgVy48L2F1dGhvcj48YXV0aG9yPklhY3VzLCBTLjwvYXV0aG9yPjxh
dXRob3I+SXJpemFycnksIFIuPC9hdXRob3I+PGF1dGhvcj5MZWlzY2gsIEYuPC9hdXRob3I+PGF1
dGhvcj5MaSwgQy48L2F1dGhvcj48YXV0aG9yPk1hZWNobGVyLCBNLjwvYXV0aG9yPjxhdXRob3I+
Um9zc2luaSwgQS4gSi48L2F1dGhvcj48YXV0aG9yPlNhd2l0emtpLCBHLjwvYXV0aG9yPjxhdXRo
b3I+U21pdGgsIEMuPC9hdXRob3I+PGF1dGhvcj5TbXl0aCwgRy48L2F1dGhvcj48YXV0aG9yPlRp
ZXJuZXksIEwuPC9hdXRob3I+PGF1dGhvcj5ZYW5nLCBKLiBZLjwvYXV0aG9yPjxhdXRob3I+Wmhh
bmcsIEouPC9hdXRob3I+PC9hdXRob3JzPjwvY29udHJpYnV0b3JzPjxhdXRoLWFkZHJlc3M+RGVw
YXJ0bWVudCBvZiBCaW9zdGF0aXN0aWNhbCBTY2llbmNlLCBEYW5hLUZhcmJlciBDYW5jZXIgSW5z
dGl0dXRlLCA0NCBCaW5uZXkgU3QsIEJvc3RvbiwgTUEgMDIxMTUsIFVTQS4gcmdlbnRsZW1Aamlt
bXkuaGFydmFyZC5lZHU8L2F1dGgtYWRkcmVzcz48dGl0bGVzPjx0aXRsZT5CaW9jb25kdWN0b3I6
IG9wZW4gc29mdHdhcmUgZGV2ZWxvcG1lbnQgZm9yIGNvbXB1dGF0aW9uYWwgYmlvbG9neSBhbmQg
YmlvaW5mb3JtYXRpY3M8L3RpdGxlPjxzZWNvbmRhcnktdGl0bGU+R2Vub21lIEJpb2w8L3NlY29u
ZGFyeS10aXRsZT48L3RpdGxlcz48cGVyaW9kaWNhbD48ZnVsbC10aXRsZT5HZW5vbWUgQmlvbDwv
ZnVsbC10aXRsZT48L3BlcmlvZGljYWw+PHBhZ2VzPlI4MDwvcGFnZXM+PHZvbHVtZT41PC92b2x1
bWU+PG51bWJlcj4xMDwvbnVtYmVyPjxlZGl0aW9uPjIwMDQwOTE1PC9lZGl0aW9uPjxrZXl3b3Jk
cz48a2V5d29yZD5Db21wdXRhdGlvbmFsIEJpb2xvZ3kvKmluc3RydW1lbnRhdGlvbi8qbWV0aG9k
czwva2V5d29yZD48a2V5d29yZD5JbnRlcm5ldDwva2V5d29yZD48a2V5d29yZD5SZXByb2R1Y2li
aWxpdHkgb2YgUmVzdWx0czwva2V5d29yZD48a2V5d29yZD4qU29mdHdhcmU8L2tleXdvcmQ+PC9r
ZXl3b3Jkcz48ZGF0ZXM+PHllYXI+MjAwNDwveWVhcj48L2RhdGVzPjxpc2JuPjE0NzQtNzYwWCAo
RWxlY3Ryb25pYykmI3hEOzE0NzQtNzU5NiAoTGlua2luZyk8L2lzYm4+PGFjY2Vzc2lvbi1udW0+
MTU0NjE3OTg8L2FjY2Vzc2lvbi1udW0+PHVybHM+PHJlbGF0ZWQtdXJscz48dXJsPmh0dHBzOi8v
d3d3Lm5jYmkubmxtLm5paC5nb3YvcHVibWVkLzE1NDYxNzk4PC91cmw+PC9yZWxhdGVkLXVybHM+
PC91cmxzPjxjdXN0b20yPlBNQzU0NTYwMDwvY3VzdG9tMj48ZWxlY3Ryb25pYy1yZXNvdXJjZS1u
dW0+MTAuMTE4Ni9nYi0yMDA0LTUtMTAtcjgwPC9lbGVjdHJvbmljLXJlc291cmNlLW51bT48cmVt
b3RlLWRhdGFiYXNlLW5hbWU+TWVkbGluZTwvcmVtb3RlLWRhdGFiYXNlLW5hbWU+PHJlbW90ZS1k
YXRhYmFzZS1wcm92aWRlcj5OTE08L3JlbW90ZS1kYXRhYmFzZS1wcm92aWRlcj48L3JlY29yZD48
L0NpdGU+PC9FbmROb3RlPn==
</w:fldData>
        </w:fldChar>
      </w:r>
      <w:r w:rsidR="00CF688E" w:rsidRPr="0010075A">
        <w:rPr>
          <w:rFonts w:eastAsia="Times New Roman" w:cstheme="minorHAnsi"/>
        </w:rPr>
        <w:instrText xml:space="preserve"> ADDIN EN.CITE.DATA </w:instrText>
      </w:r>
      <w:r w:rsidR="00CF688E" w:rsidRPr="0010075A">
        <w:rPr>
          <w:rFonts w:eastAsia="Times New Roman" w:cstheme="minorHAnsi"/>
        </w:rPr>
      </w:r>
      <w:r w:rsidR="00CF688E" w:rsidRPr="0010075A">
        <w:rPr>
          <w:rFonts w:eastAsia="Times New Roman" w:cstheme="minorHAnsi"/>
        </w:rPr>
        <w:fldChar w:fldCharType="end"/>
      </w:r>
      <w:r w:rsidR="00CF688E" w:rsidRPr="0010075A">
        <w:rPr>
          <w:rFonts w:eastAsia="Times New Roman" w:cstheme="minorHAnsi"/>
        </w:rPr>
      </w:r>
      <w:r w:rsidR="00CF688E" w:rsidRPr="0010075A">
        <w:rPr>
          <w:rFonts w:eastAsia="Times New Roman" w:cstheme="minorHAnsi"/>
        </w:rPr>
        <w:fldChar w:fldCharType="separate"/>
      </w:r>
      <w:r w:rsidR="00CF688E" w:rsidRPr="0010075A">
        <w:rPr>
          <w:rFonts w:eastAsia="Times New Roman" w:cstheme="minorHAnsi"/>
          <w:noProof/>
          <w:vertAlign w:val="superscript"/>
        </w:rPr>
        <w:t>10,11</w:t>
      </w:r>
      <w:r w:rsidR="00CF688E" w:rsidRPr="0010075A">
        <w:rPr>
          <w:rFonts w:eastAsia="Times New Roman" w:cstheme="minorHAnsi"/>
        </w:rPr>
        <w:fldChar w:fldCharType="end"/>
      </w:r>
    </w:p>
    <w:p w14:paraId="4B849C6D" w14:textId="411B51CA" w:rsidR="00627D55" w:rsidRPr="0010075A" w:rsidRDefault="00627D55" w:rsidP="0010075A">
      <w:pPr>
        <w:spacing w:line="480" w:lineRule="auto"/>
        <w:jc w:val="both"/>
        <w:rPr>
          <w:rFonts w:cstheme="minorHAnsi"/>
          <w:highlight w:val="magenta"/>
        </w:rPr>
      </w:pPr>
      <w:proofErr w:type="spellStart"/>
      <w:r w:rsidRPr="0010075A">
        <w:rPr>
          <w:rFonts w:cstheme="minorHAnsi"/>
          <w:i/>
          <w:iCs/>
        </w:rPr>
        <w:t>Methylomics</w:t>
      </w:r>
      <w:proofErr w:type="spellEnd"/>
      <w:r w:rsidRPr="0010075A">
        <w:rPr>
          <w:rFonts w:cstheme="minorHAnsi"/>
        </w:rPr>
        <w:t xml:space="preserve">. The significance of differential methylated </w:t>
      </w:r>
      <w:proofErr w:type="spellStart"/>
      <w:r w:rsidRPr="0010075A">
        <w:rPr>
          <w:rFonts w:cstheme="minorHAnsi"/>
        </w:rPr>
        <w:t>CpGs</w:t>
      </w:r>
      <w:proofErr w:type="spellEnd"/>
      <w:r w:rsidRPr="0010075A">
        <w:rPr>
          <w:rFonts w:cstheme="minorHAnsi"/>
        </w:rPr>
        <w:t xml:space="preserve"> (DMCs) between the experimental groups was assessed using </w:t>
      </w:r>
      <w:proofErr w:type="spellStart"/>
      <w:r w:rsidRPr="0010075A">
        <w:rPr>
          <w:rFonts w:cstheme="minorHAnsi"/>
        </w:rPr>
        <w:t>DMLfit.multiFactor</w:t>
      </w:r>
      <w:proofErr w:type="spellEnd"/>
      <w:r w:rsidRPr="0010075A">
        <w:rPr>
          <w:rFonts w:cstheme="minorHAnsi"/>
        </w:rPr>
        <w:t xml:space="preserve"> and </w:t>
      </w:r>
      <w:proofErr w:type="spellStart"/>
      <w:r w:rsidRPr="0010075A">
        <w:rPr>
          <w:rFonts w:cstheme="minorHAnsi"/>
        </w:rPr>
        <w:t>DMLtest.multiFactor</w:t>
      </w:r>
      <w:proofErr w:type="spellEnd"/>
      <w:r w:rsidRPr="0010075A">
        <w:rPr>
          <w:rFonts w:cstheme="minorHAnsi"/>
        </w:rPr>
        <w:t xml:space="preserve"> functions from </w:t>
      </w:r>
      <w:r w:rsidR="00121EDD" w:rsidRPr="0010075A">
        <w:rPr>
          <w:rFonts w:cstheme="minorHAnsi"/>
        </w:rPr>
        <w:t xml:space="preserve">the </w:t>
      </w:r>
      <w:r w:rsidRPr="0010075A">
        <w:rPr>
          <w:rFonts w:cstheme="minorHAnsi"/>
        </w:rPr>
        <w:t>DSS package.</w:t>
      </w:r>
      <w:r w:rsidR="00AA0083" w:rsidRPr="0010075A">
        <w:rPr>
          <w:rFonts w:cstheme="minorHAnsi"/>
        </w:rPr>
        <w:fldChar w:fldCharType="begin"/>
      </w:r>
      <w:r w:rsidR="00AA0083" w:rsidRPr="0010075A">
        <w:rPr>
          <w:rFonts w:cstheme="minorHAnsi"/>
        </w:rPr>
        <w:instrText xml:space="preserve"> ADDIN EN.CITE &lt;EndNote&gt;&lt;Cite&gt;&lt;Author&gt;Park&lt;/Author&gt;&lt;Year&gt;2016&lt;/Year&gt;&lt;RecNum&gt;58&lt;/RecNum&gt;&lt;DisplayText&gt;&lt;style face="superscript"&gt;12&lt;/style&gt;&lt;/DisplayText&gt;&lt;record&gt;&lt;rec-number&gt;58&lt;/rec-number&gt;&lt;foreign-keys&gt;&lt;key app="EN" db-id="2trar5vt4rp2vnef2s6pdf09pwf2p029wadz" timestamp="1698410801"&gt;58&lt;/key&gt;&lt;/foreign-keys&gt;&lt;ref-type name="Journal Article"&gt;17&lt;/ref-type&gt;&lt;contributors&gt;&lt;authors&gt;&lt;author&gt;Park, Y.&lt;/author&gt;&lt;author&gt;Wu, H.&lt;/author&gt;&lt;/authors&gt;&lt;/contributors&gt;&lt;auth-address&gt;Department of Biostatistics, University of Pittsburgh, Pittsburgh, PA 15261, USA and.&amp;#xD;Department of Biostatistics and Bioinformatics, Emory University, Atlanta, GA 30322, USA.&lt;/auth-address&gt;&lt;titles&gt;&lt;title&gt;Differential methylation analysis for BS-seq data under general experimental design&lt;/title&gt;&lt;secondary-title&gt;Bioinformatics&lt;/secondary-title&gt;&lt;/titles&gt;&lt;periodical&gt;&lt;full-title&gt;Bioinformatics&lt;/full-title&gt;&lt;/periodical&gt;&lt;pages&gt;1446-53&lt;/pages&gt;&lt;volume&gt;32&lt;/volume&gt;&lt;number&gt;10&lt;/number&gt;&lt;edition&gt;20160127&lt;/edition&gt;&lt;keywords&gt;&lt;keyword&gt;Algorithms&lt;/keyword&gt;&lt;keyword&gt;*DNA Methylation&lt;/keyword&gt;&lt;keyword&gt;Epigenesis, Genetic&lt;/keyword&gt;&lt;keyword&gt;Genome&lt;/keyword&gt;&lt;keyword&gt;Research Design&lt;/keyword&gt;&lt;/keywords&gt;&lt;dates&gt;&lt;year&gt;2016&lt;/year&gt;&lt;pub-dates&gt;&lt;date&gt;May 15&lt;/date&gt;&lt;/pub-dates&gt;&lt;/dates&gt;&lt;isbn&gt;1367-4811 (Electronic)&amp;#xD;1367-4803 (Linking)&lt;/isbn&gt;&lt;accession-num&gt;26819470&lt;/accession-num&gt;&lt;urls&gt;&lt;related-urls&gt;&lt;url&gt;https://www.ncbi.nlm.nih.gov/pubmed/26819470&lt;/url&gt;&lt;/related-urls&gt;&lt;/urls&gt;&lt;electronic-resource-num&gt;10.1093/bioinformatics/btw026&lt;/electronic-resource-num&gt;&lt;remote-database-name&gt;Medline&lt;/remote-database-name&gt;&lt;remote-database-provider&gt;NLM&lt;/remote-database-provider&gt;&lt;/record&gt;&lt;/Cite&gt;&lt;/EndNote&gt;</w:instrText>
      </w:r>
      <w:r w:rsidR="00AA0083" w:rsidRPr="0010075A">
        <w:rPr>
          <w:rFonts w:cstheme="minorHAnsi"/>
        </w:rPr>
        <w:fldChar w:fldCharType="separate"/>
      </w:r>
      <w:r w:rsidR="00AA0083" w:rsidRPr="0010075A">
        <w:rPr>
          <w:rFonts w:cstheme="minorHAnsi"/>
          <w:noProof/>
          <w:vertAlign w:val="superscript"/>
        </w:rPr>
        <w:t>12</w:t>
      </w:r>
      <w:r w:rsidR="00AA0083" w:rsidRPr="0010075A">
        <w:rPr>
          <w:rFonts w:cstheme="minorHAnsi"/>
        </w:rPr>
        <w:fldChar w:fldCharType="end"/>
      </w:r>
      <w:r w:rsidRPr="0010075A">
        <w:rPr>
          <w:rFonts w:cstheme="minorHAnsi"/>
        </w:rPr>
        <w:t xml:space="preserve"> Briefly, linear model fitting was performed through ordinary least square on the </w:t>
      </w:r>
      <w:proofErr w:type="spellStart"/>
      <w:r w:rsidRPr="0010075A">
        <w:rPr>
          <w:rFonts w:cstheme="minorHAnsi"/>
        </w:rPr>
        <w:t>arscine</w:t>
      </w:r>
      <w:proofErr w:type="spellEnd"/>
      <w:r w:rsidR="00571287" w:rsidRPr="0010075A">
        <w:rPr>
          <w:rFonts w:cstheme="minorHAnsi"/>
        </w:rPr>
        <w:t>-</w:t>
      </w:r>
      <w:r w:rsidRPr="0010075A">
        <w:rPr>
          <w:rFonts w:cstheme="minorHAnsi"/>
        </w:rPr>
        <w:t>transformed methylation percentages</w:t>
      </w:r>
      <w:r w:rsidR="00E468FB" w:rsidRPr="0010075A">
        <w:rPr>
          <w:rFonts w:cstheme="minorHAnsi"/>
        </w:rPr>
        <w:t>,</w:t>
      </w:r>
      <w:r w:rsidRPr="0010075A">
        <w:rPr>
          <w:rFonts w:cstheme="minorHAnsi"/>
        </w:rPr>
        <w:t xml:space="preserve"> </w:t>
      </w:r>
      <w:r w:rsidR="00121EDD" w:rsidRPr="0010075A">
        <w:rPr>
          <w:rFonts w:cstheme="minorHAnsi"/>
        </w:rPr>
        <w:t>then</w:t>
      </w:r>
      <w:r w:rsidRPr="0010075A">
        <w:rPr>
          <w:rFonts w:cstheme="minorHAnsi"/>
        </w:rPr>
        <w:t xml:space="preserve"> a Wald test procedure was applied for hypothesis testing to identify differentially methylated loci based on </w:t>
      </w:r>
      <w:r w:rsidR="00571287" w:rsidRPr="0010075A">
        <w:rPr>
          <w:rFonts w:cstheme="minorHAnsi"/>
        </w:rPr>
        <w:t xml:space="preserve">an </w:t>
      </w:r>
      <w:r w:rsidRPr="0010075A">
        <w:rPr>
          <w:rFonts w:cstheme="minorHAnsi"/>
        </w:rPr>
        <w:t xml:space="preserve">FDR-adjusted p-value cutoff of 5%. Loci with less than 10 read coverage were </w:t>
      </w:r>
      <w:r w:rsidRPr="0010075A">
        <w:rPr>
          <w:rFonts w:cstheme="minorHAnsi"/>
        </w:rPr>
        <w:lastRenderedPageBreak/>
        <w:t>excluded from the analysis</w:t>
      </w:r>
      <w:r w:rsidR="00571287" w:rsidRPr="0010075A">
        <w:rPr>
          <w:rFonts w:cstheme="minorHAnsi"/>
        </w:rPr>
        <w:t>,</w:t>
      </w:r>
      <w:r w:rsidRPr="0010075A">
        <w:rPr>
          <w:rFonts w:cstheme="minorHAnsi"/>
        </w:rPr>
        <w:t xml:space="preserve"> as well as loci in chromosome X and Y to avoid gender bias. Nearby DMCs were clustered into differentially methylated regions (DMRs) using </w:t>
      </w:r>
      <w:proofErr w:type="spellStart"/>
      <w:r w:rsidRPr="0010075A">
        <w:rPr>
          <w:rFonts w:cstheme="minorHAnsi"/>
        </w:rPr>
        <w:t>callDMR</w:t>
      </w:r>
      <w:proofErr w:type="spellEnd"/>
      <w:r w:rsidRPr="0010075A">
        <w:rPr>
          <w:rFonts w:cstheme="minorHAnsi"/>
        </w:rPr>
        <w:t xml:space="preserve"> function from DSS package.</w:t>
      </w:r>
    </w:p>
    <w:p w14:paraId="3971CEB3" w14:textId="77777777" w:rsidR="00627D55" w:rsidRPr="0010075A" w:rsidRDefault="00627D55" w:rsidP="0010075A">
      <w:pPr>
        <w:spacing w:line="480" w:lineRule="auto"/>
        <w:jc w:val="both"/>
        <w:rPr>
          <w:rFonts w:cstheme="minorHAnsi"/>
        </w:rPr>
      </w:pPr>
    </w:p>
    <w:p w14:paraId="5E137F58" w14:textId="501D8974" w:rsidR="00627D55" w:rsidRPr="0010075A" w:rsidRDefault="00627D55" w:rsidP="0010075A">
      <w:pPr>
        <w:spacing w:line="480" w:lineRule="auto"/>
        <w:jc w:val="both"/>
        <w:rPr>
          <w:rFonts w:cstheme="minorHAnsi"/>
          <w:b/>
          <w:bCs/>
        </w:rPr>
      </w:pPr>
      <w:r w:rsidRPr="0010075A">
        <w:rPr>
          <w:rFonts w:cstheme="minorHAnsi"/>
          <w:b/>
          <w:bCs/>
        </w:rPr>
        <w:t xml:space="preserve">Individual and multi-omics based models and signatures predictive of smoking status. </w:t>
      </w:r>
      <w:r w:rsidRPr="0010075A">
        <w:rPr>
          <w:rFonts w:eastAsia="Times New Roman" w:cstheme="minorHAnsi"/>
        </w:rPr>
        <w:t>The presence of confounding effects (also called confounds, confounders, or biases) is one of the most critical challenges in applying machine learning methods to advance discovery in biological studies. Confounders affect the relationship between input data (e.g., omics data) and output variables (e.g., CS here). Improper modeling of those relationships often results in spurious and biased associations. Different methods</w:t>
      </w:r>
      <w:r w:rsidR="00D846BD" w:rsidRPr="0010075A">
        <w:rPr>
          <w:rFonts w:eastAsia="Times New Roman" w:cstheme="minorHAnsi"/>
        </w:rPr>
        <w:t xml:space="preserve"> (</w:t>
      </w:r>
      <w:r w:rsidRPr="0010075A">
        <w:rPr>
          <w:rFonts w:eastAsia="Times New Roman" w:cstheme="minorHAnsi"/>
        </w:rPr>
        <w:t>e.g., matching data sets, stratifying data, or residualizing imaging measurements</w:t>
      </w:r>
      <w:r w:rsidR="00D846BD" w:rsidRPr="0010075A">
        <w:rPr>
          <w:rFonts w:eastAsia="Times New Roman" w:cstheme="minorHAnsi"/>
        </w:rPr>
        <w:t>)</w:t>
      </w:r>
      <w:r w:rsidRPr="0010075A">
        <w:rPr>
          <w:rFonts w:eastAsia="Times New Roman" w:cstheme="minorHAnsi"/>
        </w:rPr>
        <w:t xml:space="preserve"> have been developed to handle this challenge. A novel method, cross-validated confound regression (CVCR), is the </w:t>
      </w:r>
      <w:r w:rsidR="00991D43" w:rsidRPr="0010075A">
        <w:rPr>
          <w:rFonts w:eastAsia="Times New Roman" w:cstheme="minorHAnsi"/>
        </w:rPr>
        <w:t>one of the best</w:t>
      </w:r>
      <w:r w:rsidRPr="0010075A">
        <w:rPr>
          <w:rFonts w:eastAsia="Times New Roman" w:cstheme="minorHAnsi"/>
        </w:rPr>
        <w:t xml:space="preserve"> method</w:t>
      </w:r>
      <w:r w:rsidR="00991D43" w:rsidRPr="0010075A">
        <w:rPr>
          <w:rFonts w:eastAsia="Times New Roman" w:cstheme="minorHAnsi"/>
        </w:rPr>
        <w:t>s</w:t>
      </w:r>
      <w:r w:rsidRPr="0010075A">
        <w:rPr>
          <w:rFonts w:eastAsia="Times New Roman" w:cstheme="minorHAnsi"/>
        </w:rPr>
        <w:t xml:space="preserve"> that appears to appropriately control for confounds</w:t>
      </w:r>
      <w:r w:rsidR="00121EDD" w:rsidRPr="0010075A">
        <w:rPr>
          <w:rFonts w:eastAsia="Times New Roman" w:cstheme="minorHAnsi"/>
        </w:rPr>
        <w:t>.</w:t>
      </w:r>
      <w:r w:rsidR="000A5EA1" w:rsidRPr="0010075A">
        <w:rPr>
          <w:rFonts w:eastAsia="Times New Roman" w:cstheme="minorHAnsi"/>
          <w:vertAlign w:val="superscript"/>
        </w:rPr>
        <w:fldChar w:fldCharType="begin">
          <w:fldData xml:space="preserve">PEVuZE5vdGU+PENpdGU+PEF1dGhvcj5Nb3JlPC9BdXRob3I+PFllYXI+MjAyMTwvWWVhcj48UmVj
TnVtPjYwPC9SZWNOdW0+PERpc3BsYXlUZXh0PjxzdHlsZSBmYWNlPSJzdXBlcnNjcmlwdCI+MTMs
MTQ8L3N0eWxlPjwvRGlzcGxheVRleHQ+PHJlY29yZD48cmVjLW51bWJlcj42MDwvcmVjLW51bWJl
cj48Zm9yZWlnbi1rZXlzPjxrZXkgYXBwPSJFTiIgZGItaWQ9IjJ0cmFyNXZ0NHJwMnZuZWYyczZw
ZGYwOXB3ZjJwMDI5d2FkeiIgdGltZXN0YW1wPSIxNjk4NDEwODAxIj42MDwva2V5PjwvZm9yZWln
bi1rZXlzPjxyZWYtdHlwZSBuYW1lPSJKb3VybmFsIEFydGljbGUiPjE3PC9yZWYtdHlwZT48Y29u
dHJpYnV0b3JzPjxhdXRob3JzPjxhdXRob3I+TW9yZSwgUy48L2F1dGhvcj48YXV0aG9yPkVpY2to
b2ZmLCBTLkIuPC9hdXRob3I+PGF1dGhvcj5DYXNwZXJzLCBKLjwvYXV0aG9yPjxhdXRob3I+S2F1
c3R1YmgsIFIuUC48L2F1dGhvcj48L2F1dGhvcnM+PC9jb250cmlidXRvcnM+PHRpdGxlcz48dGl0
bGU+Q29uZm91bmQgUmVtb3ZhbCBhbmQgTm9ybWFsaXphdGlvbiBpbiBQcmFjdGljZTogQSBOZXVy
b2ltYWdpbmcgQmFzZWQgU2V4IFByZWRpY3Rpb24gQ2FzZSBTdHVkeTwvdGl0bGU+PHNlY29uZGFy
eS10aXRsZT5OYXR1cmUgUHVibGljIEhlYWx0aCBFbWVyZ2VuY3kgQ29sbGVjdGlvbiA8L3NlY29u
ZGFyeS10aXRsZT48L3RpdGxlcz48cGFnZXM+My0xODwvcGFnZXM+PHZvbHVtZT4xMjQ2MTwvdm9s
dW1lPjxkYXRlcz48eWVhcj4yMDIxPC95ZWFyPjwvZGF0ZXM+PHVybHM+PC91cmxzPjxjdXN0b20y
PlBNQzc5MDM5Mzk8L2N1c3RvbTI+PGVsZWN0cm9uaWMtcmVzb3VyY2UtbnVtPjEwLjEwMDcvOTc4
LTMtMDMwLTY3NjcwLTRfMTwvZWxlY3Ryb25pYy1yZXNvdXJjZS1udW0+PC9yZWNvcmQ+PC9DaXRl
PjxDaXRlPjxBdXRob3I+U25vZWs8L0F1dGhvcj48WWVhcj4yMDE5PC9ZZWFyPjxSZWNOdW0+NTk8
L1JlY051bT48cmVjb3JkPjxyZWMtbnVtYmVyPjU5PC9yZWMtbnVtYmVyPjxmb3JlaWduLWtleXM+
PGtleSBhcHA9IkVOIiBkYi1pZD0iMnRyYXI1dnQ0cnAydm5lZjJzNnBkZjA5cHdmMnAwMjl3YWR6
IiB0aW1lc3RhbXA9IjE2OTg0MTA4MDEiPjU5PC9rZXk+PC9mb3JlaWduLWtleXM+PHJlZi10eXBl
IG5hbWU9IkpvdXJuYWwgQXJ0aWNsZSI+MTc8L3JlZi10eXBlPjxjb250cmlidXRvcnM+PGF1dGhv
cnM+PGF1dGhvcj5Tbm9laywgTC48L2F1dGhvcj48YXV0aG9yPk1pbGV0aWMsIFMuPC9hdXRob3I+
PGF1dGhvcj5TY2hvbHRlLCBILiBTLjwvYXV0aG9yPjwvYXV0aG9ycz48L2NvbnRyaWJ1dG9ycz48
YXV0aC1hZGRyZXNzPlVuaXZlcnNpdHkgb2YgQW1zdGVyZGFtLCBEZXBhcnRtZW50IG9mIFBzeWNo
b2xvZ3kgKEJyYWluIGFuZCBDb2duaXRpb24pLCBBbXN0ZXJkYW0sIHRoZSBOZXRoZXJsYW5kczsg
U3Bpbm96YSBDZW50cmUgZm9yIE5ldXJvaW1hZ2luZywgQW1zdGVyZGFtLCB0aGUgTmV0aGVybGFu
ZHMuIEVsZWN0cm9uaWMgYWRkcmVzczogTC5Tbm9la0B1dmEubmwuJiN4RDtVbml2ZXJzaXR5IG9m
IEFtc3RlcmRhbSwgRGVwYXJ0bWVudCBvZiBQc3ljaG9sb2d5IChCcmFpbiBhbmQgQ29nbml0aW9u
KSwgQW1zdGVyZGFtLCB0aGUgTmV0aGVybGFuZHMuJiN4RDtVbml2ZXJzaXR5IG9mIEFtc3RlcmRh
bSwgRGVwYXJ0bWVudCBvZiBQc3ljaG9sb2d5IChCcmFpbiBhbmQgQ29nbml0aW9uKSwgQW1zdGVy
ZGFtLCB0aGUgTmV0aGVybGFuZHM7IFNwaW5vemEgQ2VudHJlIGZvciBOZXVyb2ltYWdpbmcsIEFt
c3RlcmRhbSwgdGhlIE5ldGhlcmxhbmRzLjwvYXV0aC1hZGRyZXNzPjx0aXRsZXM+PHRpdGxlPkhv
dyB0byBjb250cm9sIGZvciBjb25mb3VuZHMgaW4gZGVjb2RpbmcgYW5hbHlzZXMgb2YgbmV1cm9p
bWFnaW5nIGRhdGE8L3RpdGxlPjxzZWNvbmRhcnktdGl0bGU+TmV1cm9pbWFnZTwvc2Vjb25kYXJ5
LXRpdGxlPjwvdGl0bGVzPjxwZXJpb2RpY2FsPjxmdWxsLXRpdGxlPk5ldXJvaW1hZ2U8L2Z1bGwt
dGl0bGU+PC9wZXJpb2RpY2FsPjxwYWdlcz43NDEtNzYwPC9wYWdlcz48dm9sdW1lPjE4NDwvdm9s
dW1lPjxlZGl0aW9uPjIwMTgwOTI3PC9lZGl0aW9uPjxrZXl3b3Jkcz48a2V5d29yZD5CcmFpbi8q
YW5hdG9teSAmYW1wOyBoaXN0b2xvZ3k8L2tleXdvcmQ+PGtleXdvcmQ+QnJhaW4gTWFwcGluZy8q
bWV0aG9kczwva2V5d29yZD48a2V5d29yZD5Db21wdXRlciBTaW11bGF0aW9uPC9rZXl3b3JkPjxr
ZXl3b3JkPkZlbWFsZTwva2V5d29yZD48a2V5d29yZD5IdW1hbnM8L2tleXdvcmQ+PGtleXdvcmQ+
SW1hZ2UgUHJvY2Vzc2luZywgQ29tcHV0ZXItQXNzaXN0ZWQvKm1ldGhvZHM8L2tleXdvcmQ+PGtl
eXdvcmQ+TWFnbmV0aWMgUmVzb25hbmNlIEltYWdpbmc8L2tleXdvcmQ+PGtleXdvcmQ+TWFsZTwv
a2V5d29yZD48a2V5d29yZD5NdWx0aXZhcmlhdGUgQW5hbHlzaXM8L2tleXdvcmQ+PGtleXdvcmQ+
T3JnYW4gU2l6ZTwva2V5d29yZD48a2V5d29yZD4qQ29uZm91bmRzPC9rZXl3b3JkPjxrZXl3b3Jk
PipDb3VudGVyYmFsYW5jaW5nPC9rZXl3b3JkPjxrZXl3b3JkPipEZWNvZGluZzwva2V5d29yZD48
a2V5d29yZD4qbXZwYTwva2V5d29yZD48a2V5d29yZD4qTmV1cm9pbWFnaW5nPC9rZXl3b3JkPjwv
a2V5d29yZHM+PGRhdGVzPjx5ZWFyPjIwMTk8L3llYXI+PHB1Yi1kYXRlcz48ZGF0ZT5KYW4gMTwv
ZGF0ZT48L3B1Yi1kYXRlcz48L2RhdGVzPjxpc2JuPjEwOTUtOTU3MiAoRWxlY3Ryb25pYykmI3hE
OzEwNTMtODExOSAoTGlua2luZyk8L2lzYm4+PGFjY2Vzc2lvbi1udW0+MzAyNjg4NDY8L2FjY2Vz
c2lvbi1udW0+PHVybHM+PHJlbGF0ZWQtdXJscz48dXJsPmh0dHBzOi8vd3d3Lm5jYmkubmxtLm5p
aC5nb3YvcHVibWVkLzMwMjY4ODQ2PC91cmw+PC9yZWxhdGVkLXVybHM+PC91cmxzPjxlbGVjdHJv
bmljLXJlc291cmNlLW51bT4xMC4xMDE2L2oubmV1cm9pbWFnZS4yMDE4LjA5LjA3NDwvZWxlY3Ry
b25pYy1yZXNvdXJjZS1udW0+PHJlbW90ZS1kYXRhYmFzZS1uYW1lPk1lZGxpbmU8L3JlbW90ZS1k
YXRhYmFzZS1uYW1lPjxyZW1vdGUtZGF0YWJhc2UtcHJvdmlkZXI+TkxNPC9yZW1vdGUtZGF0YWJh
c2UtcHJvdmlkZXI+PC9yZWNvcmQ+PC9DaXRlPjwvRW5kTm90ZT5=
</w:fldData>
        </w:fldChar>
      </w:r>
      <w:r w:rsidR="000A5EA1" w:rsidRPr="0010075A">
        <w:rPr>
          <w:rFonts w:eastAsia="Times New Roman" w:cstheme="minorHAnsi"/>
          <w:vertAlign w:val="superscript"/>
        </w:rPr>
        <w:instrText xml:space="preserve"> ADDIN EN.CITE </w:instrText>
      </w:r>
      <w:r w:rsidR="000A5EA1" w:rsidRPr="0010075A">
        <w:rPr>
          <w:rFonts w:eastAsia="Times New Roman" w:cstheme="minorHAnsi"/>
          <w:vertAlign w:val="superscript"/>
        </w:rPr>
        <w:fldChar w:fldCharType="begin">
          <w:fldData xml:space="preserve">PEVuZE5vdGU+PENpdGU+PEF1dGhvcj5Nb3JlPC9BdXRob3I+PFllYXI+MjAyMTwvWWVhcj48UmVj
TnVtPjYwPC9SZWNOdW0+PERpc3BsYXlUZXh0PjxzdHlsZSBmYWNlPSJzdXBlcnNjcmlwdCI+MTMs
MTQ8L3N0eWxlPjwvRGlzcGxheVRleHQ+PHJlY29yZD48cmVjLW51bWJlcj42MDwvcmVjLW51bWJl
cj48Zm9yZWlnbi1rZXlzPjxrZXkgYXBwPSJFTiIgZGItaWQ9IjJ0cmFyNXZ0NHJwMnZuZWYyczZw
ZGYwOXB3ZjJwMDI5d2FkeiIgdGltZXN0YW1wPSIxNjk4NDEwODAxIj42MDwva2V5PjwvZm9yZWln
bi1rZXlzPjxyZWYtdHlwZSBuYW1lPSJKb3VybmFsIEFydGljbGUiPjE3PC9yZWYtdHlwZT48Y29u
dHJpYnV0b3JzPjxhdXRob3JzPjxhdXRob3I+TW9yZSwgUy48L2F1dGhvcj48YXV0aG9yPkVpY2to
b2ZmLCBTLkIuPC9hdXRob3I+PGF1dGhvcj5DYXNwZXJzLCBKLjwvYXV0aG9yPjxhdXRob3I+S2F1
c3R1YmgsIFIuUC48L2F1dGhvcj48L2F1dGhvcnM+PC9jb250cmlidXRvcnM+PHRpdGxlcz48dGl0
bGU+Q29uZm91bmQgUmVtb3ZhbCBhbmQgTm9ybWFsaXphdGlvbiBpbiBQcmFjdGljZTogQSBOZXVy
b2ltYWdpbmcgQmFzZWQgU2V4IFByZWRpY3Rpb24gQ2FzZSBTdHVkeTwvdGl0bGU+PHNlY29uZGFy
eS10aXRsZT5OYXR1cmUgUHVibGljIEhlYWx0aCBFbWVyZ2VuY3kgQ29sbGVjdGlvbiA8L3NlY29u
ZGFyeS10aXRsZT48L3RpdGxlcz48cGFnZXM+My0xODwvcGFnZXM+PHZvbHVtZT4xMjQ2MTwvdm9s
dW1lPjxkYXRlcz48eWVhcj4yMDIxPC95ZWFyPjwvZGF0ZXM+PHVybHM+PC91cmxzPjxjdXN0b20y
PlBNQzc5MDM5Mzk8L2N1c3RvbTI+PGVsZWN0cm9uaWMtcmVzb3VyY2UtbnVtPjEwLjEwMDcvOTc4
LTMtMDMwLTY3NjcwLTRfMTwvZWxlY3Ryb25pYy1yZXNvdXJjZS1udW0+PC9yZWNvcmQ+PC9DaXRl
PjxDaXRlPjxBdXRob3I+U25vZWs8L0F1dGhvcj48WWVhcj4yMDE5PC9ZZWFyPjxSZWNOdW0+NTk8
L1JlY051bT48cmVjb3JkPjxyZWMtbnVtYmVyPjU5PC9yZWMtbnVtYmVyPjxmb3JlaWduLWtleXM+
PGtleSBhcHA9IkVOIiBkYi1pZD0iMnRyYXI1dnQ0cnAydm5lZjJzNnBkZjA5cHdmMnAwMjl3YWR6
IiB0aW1lc3RhbXA9IjE2OTg0MTA4MDEiPjU5PC9rZXk+PC9mb3JlaWduLWtleXM+PHJlZi10eXBl
IG5hbWU9IkpvdXJuYWwgQXJ0aWNsZSI+MTc8L3JlZi10eXBlPjxjb250cmlidXRvcnM+PGF1dGhv
cnM+PGF1dGhvcj5Tbm9laywgTC48L2F1dGhvcj48YXV0aG9yPk1pbGV0aWMsIFMuPC9hdXRob3I+
PGF1dGhvcj5TY2hvbHRlLCBILiBTLjwvYXV0aG9yPjwvYXV0aG9ycz48L2NvbnRyaWJ1dG9ycz48
YXV0aC1hZGRyZXNzPlVuaXZlcnNpdHkgb2YgQW1zdGVyZGFtLCBEZXBhcnRtZW50IG9mIFBzeWNo
b2xvZ3kgKEJyYWluIGFuZCBDb2duaXRpb24pLCBBbXN0ZXJkYW0sIHRoZSBOZXRoZXJsYW5kczsg
U3Bpbm96YSBDZW50cmUgZm9yIE5ldXJvaW1hZ2luZywgQW1zdGVyZGFtLCB0aGUgTmV0aGVybGFu
ZHMuIEVsZWN0cm9uaWMgYWRkcmVzczogTC5Tbm9la0B1dmEubmwuJiN4RDtVbml2ZXJzaXR5IG9m
IEFtc3RlcmRhbSwgRGVwYXJ0bWVudCBvZiBQc3ljaG9sb2d5IChCcmFpbiBhbmQgQ29nbml0aW9u
KSwgQW1zdGVyZGFtLCB0aGUgTmV0aGVybGFuZHMuJiN4RDtVbml2ZXJzaXR5IG9mIEFtc3RlcmRh
bSwgRGVwYXJ0bWVudCBvZiBQc3ljaG9sb2d5IChCcmFpbiBhbmQgQ29nbml0aW9uKSwgQW1zdGVy
ZGFtLCB0aGUgTmV0aGVybGFuZHM7IFNwaW5vemEgQ2VudHJlIGZvciBOZXVyb2ltYWdpbmcsIEFt
c3RlcmRhbSwgdGhlIE5ldGhlcmxhbmRzLjwvYXV0aC1hZGRyZXNzPjx0aXRsZXM+PHRpdGxlPkhv
dyB0byBjb250cm9sIGZvciBjb25mb3VuZHMgaW4gZGVjb2RpbmcgYW5hbHlzZXMgb2YgbmV1cm9p
bWFnaW5nIGRhdGE8L3RpdGxlPjxzZWNvbmRhcnktdGl0bGU+TmV1cm9pbWFnZTwvc2Vjb25kYXJ5
LXRpdGxlPjwvdGl0bGVzPjxwZXJpb2RpY2FsPjxmdWxsLXRpdGxlPk5ldXJvaW1hZ2U8L2Z1bGwt
dGl0bGU+PC9wZXJpb2RpY2FsPjxwYWdlcz43NDEtNzYwPC9wYWdlcz48dm9sdW1lPjE4NDwvdm9s
dW1lPjxlZGl0aW9uPjIwMTgwOTI3PC9lZGl0aW9uPjxrZXl3b3Jkcz48a2V5d29yZD5CcmFpbi8q
YW5hdG9teSAmYW1wOyBoaXN0b2xvZ3k8L2tleXdvcmQ+PGtleXdvcmQ+QnJhaW4gTWFwcGluZy8q
bWV0aG9kczwva2V5d29yZD48a2V5d29yZD5Db21wdXRlciBTaW11bGF0aW9uPC9rZXl3b3JkPjxr
ZXl3b3JkPkZlbWFsZTwva2V5d29yZD48a2V5d29yZD5IdW1hbnM8L2tleXdvcmQ+PGtleXdvcmQ+
SW1hZ2UgUHJvY2Vzc2luZywgQ29tcHV0ZXItQXNzaXN0ZWQvKm1ldGhvZHM8L2tleXdvcmQ+PGtl
eXdvcmQ+TWFnbmV0aWMgUmVzb25hbmNlIEltYWdpbmc8L2tleXdvcmQ+PGtleXdvcmQ+TWFsZTwv
a2V5d29yZD48a2V5d29yZD5NdWx0aXZhcmlhdGUgQW5hbHlzaXM8L2tleXdvcmQ+PGtleXdvcmQ+
T3JnYW4gU2l6ZTwva2V5d29yZD48a2V5d29yZD4qQ29uZm91bmRzPC9rZXl3b3JkPjxrZXl3b3Jk
PipDb3VudGVyYmFsYW5jaW5nPC9rZXl3b3JkPjxrZXl3b3JkPipEZWNvZGluZzwva2V5d29yZD48
a2V5d29yZD4qbXZwYTwva2V5d29yZD48a2V5d29yZD4qTmV1cm9pbWFnaW5nPC9rZXl3b3JkPjwv
a2V5d29yZHM+PGRhdGVzPjx5ZWFyPjIwMTk8L3llYXI+PHB1Yi1kYXRlcz48ZGF0ZT5KYW4gMTwv
ZGF0ZT48L3B1Yi1kYXRlcz48L2RhdGVzPjxpc2JuPjEwOTUtOTU3MiAoRWxlY3Ryb25pYykmI3hE
OzEwNTMtODExOSAoTGlua2luZyk8L2lzYm4+PGFjY2Vzc2lvbi1udW0+MzAyNjg4NDY8L2FjY2Vz
c2lvbi1udW0+PHVybHM+PHJlbGF0ZWQtdXJscz48dXJsPmh0dHBzOi8vd3d3Lm5jYmkubmxtLm5p
aC5nb3YvcHVibWVkLzMwMjY4ODQ2PC91cmw+PC9yZWxhdGVkLXVybHM+PC91cmxzPjxlbGVjdHJv
bmljLXJlc291cmNlLW51bT4xMC4xMDE2L2oubmV1cm9pbWFnZS4yMDE4LjA5LjA3NDwvZWxlY3Ry
b25pYy1yZXNvdXJjZS1udW0+PHJlbW90ZS1kYXRhYmFzZS1uYW1lPk1lZGxpbmU8L3JlbW90ZS1k
YXRhYmFzZS1uYW1lPjxyZW1vdGUtZGF0YWJhc2UtcHJvdmlkZXI+TkxNPC9yZW1vdGUtZGF0YWJh
c2UtcHJvdmlkZXI+PC9yZWNvcmQ+PC9DaXRlPjwvRW5kTm90ZT5=
</w:fldData>
        </w:fldChar>
      </w:r>
      <w:r w:rsidR="000A5EA1" w:rsidRPr="0010075A">
        <w:rPr>
          <w:rFonts w:eastAsia="Times New Roman" w:cstheme="minorHAnsi"/>
          <w:vertAlign w:val="superscript"/>
        </w:rPr>
        <w:instrText xml:space="preserve"> ADDIN EN.CITE.DATA </w:instrText>
      </w:r>
      <w:r w:rsidR="000A5EA1" w:rsidRPr="0010075A">
        <w:rPr>
          <w:rFonts w:eastAsia="Times New Roman" w:cstheme="minorHAnsi"/>
          <w:vertAlign w:val="superscript"/>
        </w:rPr>
      </w:r>
      <w:r w:rsidR="000A5EA1" w:rsidRPr="0010075A">
        <w:rPr>
          <w:rFonts w:eastAsia="Times New Roman" w:cstheme="minorHAnsi"/>
          <w:vertAlign w:val="superscript"/>
        </w:rPr>
        <w:fldChar w:fldCharType="end"/>
      </w:r>
      <w:r w:rsidR="000A5EA1" w:rsidRPr="0010075A">
        <w:rPr>
          <w:rFonts w:eastAsia="Times New Roman" w:cstheme="minorHAnsi"/>
          <w:vertAlign w:val="superscript"/>
        </w:rPr>
      </w:r>
      <w:r w:rsidR="000A5EA1" w:rsidRPr="0010075A">
        <w:rPr>
          <w:rFonts w:eastAsia="Times New Roman" w:cstheme="minorHAnsi"/>
          <w:vertAlign w:val="superscript"/>
        </w:rPr>
        <w:fldChar w:fldCharType="separate"/>
      </w:r>
      <w:r w:rsidR="000A5EA1" w:rsidRPr="0010075A">
        <w:rPr>
          <w:rFonts w:eastAsia="Times New Roman" w:cstheme="minorHAnsi"/>
          <w:noProof/>
          <w:vertAlign w:val="superscript"/>
        </w:rPr>
        <w:t>13,14</w:t>
      </w:r>
      <w:r w:rsidR="000A5EA1" w:rsidRPr="0010075A">
        <w:rPr>
          <w:rFonts w:eastAsia="Times New Roman" w:cstheme="minorHAnsi"/>
          <w:vertAlign w:val="superscript"/>
        </w:rPr>
        <w:fldChar w:fldCharType="end"/>
      </w:r>
      <w:r w:rsidRPr="0010075A">
        <w:rPr>
          <w:rFonts w:eastAsia="Times New Roman" w:cstheme="minorHAnsi"/>
        </w:rPr>
        <w:t xml:space="preserve"> </w:t>
      </w:r>
    </w:p>
    <w:p w14:paraId="2D093666" w14:textId="0B03BC70" w:rsidR="00627D55" w:rsidRPr="0010075A" w:rsidRDefault="00627D55" w:rsidP="0010075A">
      <w:pPr>
        <w:spacing w:line="480" w:lineRule="auto"/>
        <w:jc w:val="both"/>
        <w:rPr>
          <w:rFonts w:eastAsia="Times New Roman" w:cstheme="minorHAnsi"/>
        </w:rPr>
      </w:pPr>
      <w:r w:rsidRPr="0010075A">
        <w:rPr>
          <w:rFonts w:eastAsia="Times New Roman" w:cstheme="minorHAnsi"/>
        </w:rPr>
        <w:t>Here we implemented cross-validated confound regression for four widely used machine learning methods</w:t>
      </w:r>
      <w:r w:rsidR="00D846BD" w:rsidRPr="0010075A">
        <w:rPr>
          <w:rFonts w:eastAsia="Times New Roman" w:cstheme="minorHAnsi"/>
        </w:rPr>
        <w:t xml:space="preserve"> (</w:t>
      </w:r>
      <w:r w:rsidRPr="0010075A">
        <w:rPr>
          <w:rFonts w:eastAsia="Times New Roman" w:cstheme="minorHAnsi"/>
        </w:rPr>
        <w:t>i.e.</w:t>
      </w:r>
      <w:r w:rsidR="00D846BD" w:rsidRPr="0010075A">
        <w:rPr>
          <w:rFonts w:eastAsia="Times New Roman" w:cstheme="minorHAnsi"/>
        </w:rPr>
        <w:t>,</w:t>
      </w:r>
      <w:r w:rsidRPr="0010075A">
        <w:rPr>
          <w:rFonts w:eastAsia="Times New Roman" w:cstheme="minorHAnsi"/>
        </w:rPr>
        <w:t xml:space="preserve"> partial least squares discriminant analysis (PLS), linear discriminant analysis (LDA), Random Forest (RF), and </w:t>
      </w:r>
      <w:proofErr w:type="spellStart"/>
      <w:r w:rsidRPr="0010075A">
        <w:rPr>
          <w:rFonts w:eastAsia="Times New Roman" w:cstheme="minorHAnsi"/>
        </w:rPr>
        <w:t>eXtreme</w:t>
      </w:r>
      <w:proofErr w:type="spellEnd"/>
      <w:r w:rsidRPr="0010075A">
        <w:rPr>
          <w:rFonts w:eastAsia="Times New Roman" w:cstheme="minorHAnsi"/>
        </w:rPr>
        <w:t xml:space="preserve"> Gradient Boosting (</w:t>
      </w:r>
      <w:proofErr w:type="spellStart"/>
      <w:r w:rsidRPr="0010075A">
        <w:rPr>
          <w:rFonts w:eastAsia="Times New Roman" w:cstheme="minorHAnsi"/>
        </w:rPr>
        <w:t>XGBoost</w:t>
      </w:r>
      <w:proofErr w:type="spellEnd"/>
      <w:r w:rsidRPr="0010075A">
        <w:rPr>
          <w:rFonts w:eastAsia="Times New Roman" w:cstheme="minorHAnsi"/>
        </w:rPr>
        <w:t>)</w:t>
      </w:r>
      <w:r w:rsidR="00D846BD" w:rsidRPr="0010075A">
        <w:rPr>
          <w:rFonts w:eastAsia="Times New Roman" w:cstheme="minorHAnsi"/>
        </w:rPr>
        <w:t>)</w:t>
      </w:r>
      <w:r w:rsidRPr="0010075A">
        <w:rPr>
          <w:rFonts w:eastAsia="Times New Roman" w:cstheme="minorHAnsi"/>
        </w:rPr>
        <w:t xml:space="preserve">. </w:t>
      </w:r>
      <w:r w:rsidR="008C4C7D" w:rsidRPr="0010075A">
        <w:rPr>
          <w:rFonts w:eastAsia="Times New Roman" w:cstheme="minorHAnsi"/>
        </w:rPr>
        <w:t>Four methods, CVCR-PLS, CVCR-</w:t>
      </w:r>
      <w:r w:rsidR="00352D46" w:rsidRPr="0010075A">
        <w:rPr>
          <w:rFonts w:eastAsia="Times New Roman" w:cstheme="minorHAnsi"/>
        </w:rPr>
        <w:t>RF, CVCR</w:t>
      </w:r>
      <w:r w:rsidR="00A15403" w:rsidRPr="0010075A">
        <w:rPr>
          <w:rFonts w:eastAsia="Times New Roman" w:cstheme="minorHAnsi"/>
        </w:rPr>
        <w:t>-</w:t>
      </w:r>
      <w:r w:rsidR="00352D46" w:rsidRPr="0010075A">
        <w:rPr>
          <w:rFonts w:eastAsia="Times New Roman" w:cstheme="minorHAnsi"/>
        </w:rPr>
        <w:t>LDA, and CVCR-</w:t>
      </w:r>
      <w:proofErr w:type="spellStart"/>
      <w:r w:rsidR="00352D46" w:rsidRPr="0010075A">
        <w:rPr>
          <w:rFonts w:eastAsia="Times New Roman" w:cstheme="minorHAnsi"/>
        </w:rPr>
        <w:t>XGBoost</w:t>
      </w:r>
      <w:proofErr w:type="spellEnd"/>
      <w:r w:rsidR="00352D46" w:rsidRPr="0010075A">
        <w:rPr>
          <w:rFonts w:eastAsia="Times New Roman" w:cstheme="minorHAnsi"/>
        </w:rPr>
        <w:t>, were built based on t</w:t>
      </w:r>
      <w:r w:rsidRPr="0010075A">
        <w:rPr>
          <w:rFonts w:eastAsia="Times New Roman" w:cstheme="minorHAnsi"/>
        </w:rPr>
        <w:t xml:space="preserve">he R package caret with version 6.0.81 (https://cran.r-project.org/web/packages/caret/index.html). </w:t>
      </w:r>
      <w:r w:rsidR="00525401" w:rsidRPr="0010075A">
        <w:rPr>
          <w:rFonts w:eastAsia="Times New Roman" w:cstheme="minorHAnsi"/>
        </w:rPr>
        <w:t>Th</w:t>
      </w:r>
      <w:r w:rsidR="007D4EE3" w:rsidRPr="0010075A">
        <w:rPr>
          <w:rFonts w:eastAsia="Times New Roman" w:cstheme="minorHAnsi"/>
        </w:rPr>
        <w:t>ese</w:t>
      </w:r>
      <w:r w:rsidR="00525401" w:rsidRPr="0010075A">
        <w:rPr>
          <w:rFonts w:eastAsia="Times New Roman" w:cstheme="minorHAnsi"/>
        </w:rPr>
        <w:t xml:space="preserve"> </w:t>
      </w:r>
      <w:r w:rsidR="006D374F" w:rsidRPr="0010075A">
        <w:rPr>
          <w:rFonts w:eastAsia="Times New Roman" w:cstheme="minorHAnsi"/>
        </w:rPr>
        <w:t xml:space="preserve">four methods </w:t>
      </w:r>
      <w:r w:rsidR="007D4EE3" w:rsidRPr="0010075A">
        <w:rPr>
          <w:rFonts w:eastAsia="Times New Roman" w:cstheme="minorHAnsi"/>
        </w:rPr>
        <w:t>are available in</w:t>
      </w:r>
      <w:r w:rsidR="00463175" w:rsidRPr="0010075A">
        <w:rPr>
          <w:rFonts w:eastAsia="Times New Roman" w:cstheme="minorHAnsi"/>
        </w:rPr>
        <w:t xml:space="preserve"> our </w:t>
      </w:r>
      <w:r w:rsidR="00F27063" w:rsidRPr="0010075A">
        <w:rPr>
          <w:rFonts w:eastAsia="Times New Roman" w:cstheme="minorHAnsi"/>
        </w:rPr>
        <w:t xml:space="preserve">new </w:t>
      </w:r>
      <w:r w:rsidR="00463175" w:rsidRPr="0010075A">
        <w:rPr>
          <w:rFonts w:eastAsia="Times New Roman" w:cstheme="minorHAnsi"/>
        </w:rPr>
        <w:t>R package</w:t>
      </w:r>
      <w:r w:rsidR="007D4EE3" w:rsidRPr="0010075A">
        <w:rPr>
          <w:rFonts w:eastAsia="Times New Roman" w:cstheme="minorHAnsi"/>
        </w:rPr>
        <w:t>,</w:t>
      </w:r>
      <w:r w:rsidR="0075113B" w:rsidRPr="0010075A">
        <w:rPr>
          <w:rFonts w:eastAsia="Times New Roman" w:cstheme="minorHAnsi"/>
        </w:rPr>
        <w:t xml:space="preserve"> </w:t>
      </w:r>
      <w:r w:rsidR="00F747C4" w:rsidRPr="0010075A">
        <w:rPr>
          <w:rFonts w:eastAsia="Times New Roman" w:cstheme="minorHAnsi"/>
        </w:rPr>
        <w:t xml:space="preserve">Confounds Removal in Classification </w:t>
      </w:r>
      <w:proofErr w:type="gramStart"/>
      <w:r w:rsidR="00F747C4" w:rsidRPr="0010075A">
        <w:rPr>
          <w:rFonts w:eastAsia="Times New Roman" w:cstheme="minorHAnsi"/>
        </w:rPr>
        <w:t>And</w:t>
      </w:r>
      <w:proofErr w:type="gramEnd"/>
      <w:r w:rsidR="00F747C4" w:rsidRPr="0010075A">
        <w:rPr>
          <w:rFonts w:eastAsia="Times New Roman" w:cstheme="minorHAnsi"/>
        </w:rPr>
        <w:t xml:space="preserve"> R</w:t>
      </w:r>
      <w:r w:rsidR="0075113B" w:rsidRPr="0010075A">
        <w:rPr>
          <w:rFonts w:eastAsia="Times New Roman" w:cstheme="minorHAnsi"/>
        </w:rPr>
        <w:t>e</w:t>
      </w:r>
      <w:r w:rsidR="00F747C4" w:rsidRPr="0010075A">
        <w:rPr>
          <w:rFonts w:eastAsia="Times New Roman" w:cstheme="minorHAnsi"/>
        </w:rPr>
        <w:t>gression</w:t>
      </w:r>
      <w:r w:rsidR="0075113B" w:rsidRPr="0010075A">
        <w:rPr>
          <w:rFonts w:eastAsia="Times New Roman" w:cstheme="minorHAnsi"/>
        </w:rPr>
        <w:t xml:space="preserve"> (</w:t>
      </w:r>
      <w:proofErr w:type="spellStart"/>
      <w:r w:rsidR="0075113B" w:rsidRPr="0010075A">
        <w:rPr>
          <w:rFonts w:eastAsia="Times New Roman" w:cstheme="minorHAnsi"/>
        </w:rPr>
        <w:t>coreCare</w:t>
      </w:r>
      <w:proofErr w:type="spellEnd"/>
      <w:r w:rsidR="0075113B" w:rsidRPr="0010075A">
        <w:rPr>
          <w:rFonts w:eastAsia="Times New Roman" w:cstheme="minorHAnsi"/>
        </w:rPr>
        <w:t xml:space="preserve">), which will be submitted to </w:t>
      </w:r>
      <w:r w:rsidR="00F27063" w:rsidRPr="0010075A">
        <w:rPr>
          <w:rFonts w:eastAsia="Times New Roman" w:cstheme="minorHAnsi"/>
        </w:rPr>
        <w:t>Bioconductor.</w:t>
      </w:r>
    </w:p>
    <w:p w14:paraId="5578C251" w14:textId="1F0976AB" w:rsidR="00627D55" w:rsidRPr="0010075A" w:rsidRDefault="00627D55" w:rsidP="0010075A">
      <w:pPr>
        <w:spacing w:line="480" w:lineRule="auto"/>
        <w:jc w:val="both"/>
        <w:rPr>
          <w:rFonts w:eastAsia="Times New Roman" w:cstheme="minorHAnsi"/>
        </w:rPr>
      </w:pPr>
      <w:r w:rsidRPr="0010075A">
        <w:rPr>
          <w:rFonts w:eastAsia="Times New Roman" w:cstheme="minorHAnsi"/>
        </w:rPr>
        <w:t xml:space="preserve">The above four methods have been applied to the 13 datasets composed of 8 gene expression datasets, </w:t>
      </w:r>
      <w:r w:rsidR="00D71733" w:rsidRPr="0010075A">
        <w:rPr>
          <w:rFonts w:eastAsia="Times New Roman" w:cstheme="minorHAnsi"/>
        </w:rPr>
        <w:t xml:space="preserve">1 </w:t>
      </w:r>
      <w:r w:rsidRPr="0010075A">
        <w:rPr>
          <w:rFonts w:eastAsia="Times New Roman" w:cstheme="minorHAnsi"/>
        </w:rPr>
        <w:t xml:space="preserve">proteomics dataset, </w:t>
      </w:r>
      <w:r w:rsidR="00D71733" w:rsidRPr="0010075A">
        <w:rPr>
          <w:rFonts w:eastAsia="Times New Roman" w:cstheme="minorHAnsi"/>
        </w:rPr>
        <w:t xml:space="preserve">1 </w:t>
      </w:r>
      <w:proofErr w:type="spellStart"/>
      <w:r w:rsidRPr="0010075A">
        <w:rPr>
          <w:rFonts w:eastAsia="Times New Roman" w:cstheme="minorHAnsi"/>
        </w:rPr>
        <w:t>lipidomics</w:t>
      </w:r>
      <w:proofErr w:type="spellEnd"/>
      <w:r w:rsidRPr="0010075A">
        <w:rPr>
          <w:rFonts w:eastAsia="Times New Roman" w:cstheme="minorHAnsi"/>
        </w:rPr>
        <w:t xml:space="preserve"> dataset, and metabolomics datasets for urine and plasma. Performance metrics, Matthews’ correlation coefficient (MCC) and the area under the precision-recall curve (AUPR), were used in </w:t>
      </w:r>
      <w:r w:rsidR="00D71733" w:rsidRPr="0010075A">
        <w:rPr>
          <w:rFonts w:eastAsia="Times New Roman" w:cstheme="minorHAnsi"/>
        </w:rPr>
        <w:t>f</w:t>
      </w:r>
      <w:r w:rsidRPr="0010075A">
        <w:rPr>
          <w:rFonts w:eastAsia="Times New Roman" w:cstheme="minorHAnsi"/>
        </w:rPr>
        <w:t>ive-fold cross-validation with 10 times repeats.</w:t>
      </w:r>
    </w:p>
    <w:p w14:paraId="14C38069" w14:textId="77777777" w:rsidR="00627D55" w:rsidRPr="0010075A" w:rsidRDefault="00627D55" w:rsidP="0010075A">
      <w:pPr>
        <w:spacing w:line="480" w:lineRule="auto"/>
        <w:jc w:val="both"/>
        <w:rPr>
          <w:rFonts w:ascii="Times New Roman" w:hAnsi="Times New Roman" w:cs="Times New Roman"/>
        </w:rPr>
      </w:pPr>
    </w:p>
    <w:p w14:paraId="2B21ED99" w14:textId="3A62E5D0" w:rsidR="00627D55" w:rsidRPr="0010075A" w:rsidRDefault="00627D55" w:rsidP="0010075A">
      <w:pPr>
        <w:pStyle w:val="Heading2"/>
        <w:spacing w:line="480" w:lineRule="auto"/>
        <w:rPr>
          <w:color w:val="auto"/>
        </w:rPr>
      </w:pPr>
      <w:r w:rsidRPr="0010075A">
        <w:rPr>
          <w:color w:val="auto"/>
        </w:rPr>
        <w:t>Statistical analysis</w:t>
      </w:r>
    </w:p>
    <w:p w14:paraId="4FA4DBED" w14:textId="1752D9F2" w:rsidR="00627D55" w:rsidRPr="0010075A" w:rsidRDefault="00627D55" w:rsidP="0010075A">
      <w:pPr>
        <w:spacing w:line="480" w:lineRule="auto"/>
        <w:jc w:val="both"/>
        <w:rPr>
          <w:rFonts w:cstheme="minorHAnsi"/>
        </w:rPr>
      </w:pPr>
      <w:r w:rsidRPr="0010075A">
        <w:rPr>
          <w:rFonts w:cstheme="minorHAnsi"/>
        </w:rPr>
        <w:t xml:space="preserve">Descriptive statistical measures of central tendency and dispersion are given in </w:t>
      </w:r>
      <w:r w:rsidR="00D71733" w:rsidRPr="0010075A">
        <w:rPr>
          <w:rFonts w:cstheme="minorHAnsi"/>
        </w:rPr>
        <w:t xml:space="preserve">the </w:t>
      </w:r>
      <w:r w:rsidRPr="0010075A">
        <w:rPr>
          <w:rFonts w:cstheme="minorHAnsi"/>
        </w:rPr>
        <w:t>form of summary statistics (e.g.</w:t>
      </w:r>
      <w:r w:rsidR="00D71733" w:rsidRPr="0010075A">
        <w:rPr>
          <w:rFonts w:cstheme="minorHAnsi"/>
        </w:rPr>
        <w:t>,</w:t>
      </w:r>
      <w:r w:rsidRPr="0010075A">
        <w:rPr>
          <w:rFonts w:cstheme="minorHAnsi"/>
        </w:rPr>
        <w:t xml:space="preserve"> mean and standard deviations) whenever the data dimension allow for all data but omics. Alternatively, data spread and location are depicted using boxplots or other informative univariate and multivariate plots. Statistical inference targets study group comparisons via difference testing on the 5% significan</w:t>
      </w:r>
      <w:r w:rsidR="00D71733" w:rsidRPr="0010075A">
        <w:rPr>
          <w:rFonts w:cstheme="minorHAnsi"/>
        </w:rPr>
        <w:t>ce</w:t>
      </w:r>
      <w:r w:rsidRPr="0010075A">
        <w:rPr>
          <w:rFonts w:cstheme="minorHAnsi"/>
        </w:rPr>
        <w:t xml:space="preserve"> level. The statistical comparisons </w:t>
      </w:r>
      <w:r w:rsidR="00D71733" w:rsidRPr="0010075A">
        <w:rPr>
          <w:rFonts w:cstheme="minorHAnsi"/>
        </w:rPr>
        <w:t xml:space="preserve">were </w:t>
      </w:r>
      <w:r w:rsidRPr="0010075A">
        <w:rPr>
          <w:rFonts w:cstheme="minorHAnsi"/>
        </w:rPr>
        <w:t>performed within the statistical model framework including gender as a covariate, and therefore, adjusting for gender differences. The statistical differences may be reported either in terms of fold</w:t>
      </w:r>
      <w:r w:rsidR="00D71733" w:rsidRPr="0010075A">
        <w:rPr>
          <w:rFonts w:cstheme="minorHAnsi"/>
        </w:rPr>
        <w:t xml:space="preserve"> </w:t>
      </w:r>
      <w:r w:rsidRPr="0010075A">
        <w:rPr>
          <w:rFonts w:cstheme="minorHAnsi"/>
        </w:rPr>
        <w:t>changes or average differences. In the former case</w:t>
      </w:r>
      <w:r w:rsidR="00D71733" w:rsidRPr="0010075A">
        <w:rPr>
          <w:rFonts w:cstheme="minorHAnsi"/>
        </w:rPr>
        <w:t>,</w:t>
      </w:r>
      <w:r w:rsidRPr="0010075A">
        <w:rPr>
          <w:rFonts w:cstheme="minorHAnsi"/>
        </w:rPr>
        <w:t xml:space="preserve"> the statistical output results from analyzing the data in the logarithmic scale, very common practice in the biosciences where outputs are strictly positive measurements and data distributions are skewed. In all cases and for high-dimensional data analyses (</w:t>
      </w:r>
      <w:r w:rsidR="00D71733" w:rsidRPr="0010075A">
        <w:rPr>
          <w:rFonts w:cstheme="minorHAnsi"/>
        </w:rPr>
        <w:t>i</w:t>
      </w:r>
      <w:r w:rsidRPr="0010075A">
        <w:rPr>
          <w:rFonts w:cstheme="minorHAnsi"/>
        </w:rPr>
        <w:t>.e.</w:t>
      </w:r>
      <w:r w:rsidR="00D71733" w:rsidRPr="0010075A">
        <w:rPr>
          <w:rFonts w:cstheme="minorHAnsi"/>
        </w:rPr>
        <w:t>,</w:t>
      </w:r>
      <w:r w:rsidRPr="0010075A">
        <w:rPr>
          <w:rFonts w:cstheme="minorHAnsi"/>
        </w:rPr>
        <w:t xml:space="preserve"> omics data analyses) multiple testing correction by means of the </w:t>
      </w:r>
      <w:r w:rsidR="009F3B35" w:rsidRPr="0010075A">
        <w:rPr>
          <w:rFonts w:cstheme="minorHAnsi"/>
        </w:rPr>
        <w:t>f</w:t>
      </w:r>
      <w:r w:rsidRPr="0010075A">
        <w:rPr>
          <w:rFonts w:cstheme="minorHAnsi"/>
        </w:rPr>
        <w:t xml:space="preserve">alse </w:t>
      </w:r>
      <w:r w:rsidR="009F3B35" w:rsidRPr="0010075A">
        <w:rPr>
          <w:rFonts w:cstheme="minorHAnsi"/>
        </w:rPr>
        <w:t>d</w:t>
      </w:r>
      <w:r w:rsidRPr="0010075A">
        <w:rPr>
          <w:rFonts w:cstheme="minorHAnsi"/>
        </w:rPr>
        <w:t xml:space="preserve">iscovery </w:t>
      </w:r>
      <w:r w:rsidR="009F3B35" w:rsidRPr="0010075A">
        <w:rPr>
          <w:rFonts w:cstheme="minorHAnsi"/>
        </w:rPr>
        <w:t>r</w:t>
      </w:r>
      <w:r w:rsidRPr="0010075A">
        <w:rPr>
          <w:rFonts w:cstheme="minorHAnsi"/>
        </w:rPr>
        <w:t xml:space="preserve">ate is used. Further details on a variety of univariate and multivariate statistical methods applied throughout the analyses </w:t>
      </w:r>
      <w:r w:rsidR="00D71733" w:rsidRPr="0010075A">
        <w:rPr>
          <w:rFonts w:cstheme="minorHAnsi"/>
        </w:rPr>
        <w:t>are</w:t>
      </w:r>
      <w:r w:rsidRPr="0010075A">
        <w:rPr>
          <w:rFonts w:cstheme="minorHAnsi"/>
        </w:rPr>
        <w:t xml:space="preserve"> provided in the individual analysis sections. </w:t>
      </w:r>
    </w:p>
    <w:p w14:paraId="5040B6AA" w14:textId="77777777" w:rsidR="00767B8E" w:rsidRPr="0010075A" w:rsidRDefault="00767B8E" w:rsidP="0010075A">
      <w:pPr>
        <w:spacing w:line="480" w:lineRule="auto"/>
        <w:rPr>
          <w:rFonts w:cstheme="minorHAnsi"/>
        </w:rPr>
      </w:pPr>
    </w:p>
    <w:p w14:paraId="0A69777F" w14:textId="77777777" w:rsidR="006979FD" w:rsidRPr="0010075A" w:rsidRDefault="006979FD" w:rsidP="0010075A">
      <w:pPr>
        <w:spacing w:line="480" w:lineRule="auto"/>
      </w:pPr>
    </w:p>
    <w:p w14:paraId="1E798FCD" w14:textId="77777777" w:rsidR="00774A5D" w:rsidRPr="0010075A" w:rsidRDefault="00774A5D" w:rsidP="0010075A">
      <w:pPr>
        <w:spacing w:line="480" w:lineRule="auto"/>
      </w:pPr>
    </w:p>
    <w:p w14:paraId="02A46DE5" w14:textId="14AF2DAD" w:rsidR="00774A5D" w:rsidRPr="0010075A" w:rsidRDefault="00774A5D" w:rsidP="0010075A">
      <w:pPr>
        <w:pStyle w:val="Heading2"/>
        <w:spacing w:line="480" w:lineRule="auto"/>
        <w:rPr>
          <w:color w:val="auto"/>
        </w:rPr>
      </w:pPr>
      <w:r w:rsidRPr="0010075A">
        <w:rPr>
          <w:color w:val="auto"/>
        </w:rPr>
        <w:lastRenderedPageBreak/>
        <w:t>References</w:t>
      </w:r>
    </w:p>
    <w:p w14:paraId="7E617357" w14:textId="77777777" w:rsidR="006979FD" w:rsidRPr="0010075A" w:rsidRDefault="006979FD" w:rsidP="0010075A">
      <w:pPr>
        <w:spacing w:line="480" w:lineRule="auto"/>
      </w:pPr>
    </w:p>
    <w:p w14:paraId="48CE8A62" w14:textId="22F79222" w:rsidR="000A5EA1" w:rsidRPr="0010075A" w:rsidRDefault="006979FD" w:rsidP="0010075A">
      <w:pPr>
        <w:pStyle w:val="EndNoteBibliography"/>
        <w:spacing w:line="480" w:lineRule="auto"/>
        <w:ind w:left="720" w:hanging="720"/>
      </w:pPr>
      <w:r w:rsidRPr="0010075A">
        <w:fldChar w:fldCharType="begin"/>
      </w:r>
      <w:r w:rsidRPr="0010075A">
        <w:instrText xml:space="preserve"> ADDIN EN.REFLIST </w:instrText>
      </w:r>
      <w:r w:rsidRPr="0010075A">
        <w:fldChar w:fldCharType="separate"/>
      </w:r>
      <w:r w:rsidR="000A5EA1" w:rsidRPr="0010075A">
        <w:t>1</w:t>
      </w:r>
      <w:r w:rsidR="000A5EA1" w:rsidRPr="0010075A">
        <w:tab/>
        <w:t xml:space="preserve">Scherer, G., Scherer, M., Mütze, J., Hauke, T. &amp; Pluym, N. Assessment of the exposure to tobacco-specific nitrosamines and minor tobacco alkaloids in users of various tobacco/nicotine products. </w:t>
      </w:r>
      <w:r w:rsidR="000A5EA1" w:rsidRPr="0010075A">
        <w:rPr>
          <w:i/>
        </w:rPr>
        <w:t>Chem. Res. Toxicol.</w:t>
      </w:r>
      <w:r w:rsidR="000A5EA1" w:rsidRPr="0010075A">
        <w:t xml:space="preserve"> </w:t>
      </w:r>
      <w:r w:rsidR="000A5EA1" w:rsidRPr="0010075A">
        <w:rPr>
          <w:b/>
        </w:rPr>
        <w:t>35</w:t>
      </w:r>
      <w:r w:rsidR="000A5EA1" w:rsidRPr="0010075A">
        <w:t xml:space="preserve">, 684-693 (2022). </w:t>
      </w:r>
    </w:p>
    <w:p w14:paraId="1B551592" w14:textId="498237A9" w:rsidR="000A5EA1" w:rsidRPr="0010075A" w:rsidRDefault="000A5EA1" w:rsidP="0010075A">
      <w:pPr>
        <w:pStyle w:val="EndNoteBibliography"/>
        <w:spacing w:line="480" w:lineRule="auto"/>
        <w:ind w:left="720" w:hanging="720"/>
      </w:pPr>
      <w:r w:rsidRPr="0010075A">
        <w:t>2</w:t>
      </w:r>
      <w:r w:rsidRPr="0010075A">
        <w:tab/>
        <w:t xml:space="preserve">Pluym, N., Gilch, G., Scherer, G. &amp; Scherer, M. Analysis of 18 urinary mercapturic acids by two high-throughput multiplex-LC-MS/MS methods. </w:t>
      </w:r>
      <w:r w:rsidRPr="0010075A">
        <w:rPr>
          <w:i/>
        </w:rPr>
        <w:t>Anal. Bioanal. Chem.</w:t>
      </w:r>
      <w:r w:rsidRPr="0010075A">
        <w:t xml:space="preserve"> </w:t>
      </w:r>
      <w:r w:rsidRPr="0010075A">
        <w:rPr>
          <w:b/>
        </w:rPr>
        <w:t>407</w:t>
      </w:r>
      <w:r w:rsidRPr="0010075A">
        <w:t>, 5463-5476</w:t>
      </w:r>
      <w:r w:rsidR="007B64E8" w:rsidRPr="0010075A">
        <w:t>;</w:t>
      </w:r>
      <w:r w:rsidRPr="0010075A">
        <w:t xml:space="preserve"> </w:t>
      </w:r>
      <w:hyperlink r:id="rId12" w:history="1">
        <w:r w:rsidRPr="0010075A">
          <w:rPr>
            <w:rStyle w:val="Hyperlink"/>
            <w:color w:val="auto"/>
          </w:rPr>
          <w:t>10.1007/s00216-015-8719-x</w:t>
        </w:r>
      </w:hyperlink>
      <w:r w:rsidR="007B64E8" w:rsidRPr="0010075A">
        <w:rPr>
          <w:rStyle w:val="Hyperlink"/>
          <w:color w:val="auto"/>
        </w:rPr>
        <w:t xml:space="preserve"> </w:t>
      </w:r>
      <w:r w:rsidR="007B64E8" w:rsidRPr="0010075A">
        <w:t>(2015).</w:t>
      </w:r>
    </w:p>
    <w:p w14:paraId="04D36855" w14:textId="146FFEC8" w:rsidR="000A5EA1" w:rsidRPr="0010075A" w:rsidRDefault="000A5EA1" w:rsidP="0010075A">
      <w:pPr>
        <w:pStyle w:val="EndNoteBibliography"/>
        <w:spacing w:line="480" w:lineRule="auto"/>
        <w:ind w:left="720" w:hanging="720"/>
      </w:pPr>
      <w:r w:rsidRPr="0010075A">
        <w:t>3</w:t>
      </w:r>
      <w:r w:rsidRPr="0010075A">
        <w:tab/>
        <w:t xml:space="preserve">Helger, R., Rindfrey, H. &amp; Hilgenfeldt, J. A method for the direct determination of creatinine in serum and urine without deproteinization using a modified Jaffé method. </w:t>
      </w:r>
      <w:r w:rsidRPr="0010075A">
        <w:rPr>
          <w:i/>
        </w:rPr>
        <w:t>Z</w:t>
      </w:r>
      <w:r w:rsidR="0076484A" w:rsidRPr="0010075A">
        <w:rPr>
          <w:i/>
        </w:rPr>
        <w:t xml:space="preserve">. </w:t>
      </w:r>
      <w:r w:rsidRPr="0010075A">
        <w:rPr>
          <w:i/>
        </w:rPr>
        <w:t>Klin</w:t>
      </w:r>
      <w:r w:rsidR="0076484A" w:rsidRPr="0010075A">
        <w:rPr>
          <w:i/>
        </w:rPr>
        <w:t xml:space="preserve">. </w:t>
      </w:r>
      <w:r w:rsidRPr="0010075A">
        <w:rPr>
          <w:i/>
        </w:rPr>
        <w:t>Chem</w:t>
      </w:r>
      <w:r w:rsidR="0076484A" w:rsidRPr="0010075A">
        <w:rPr>
          <w:i/>
        </w:rPr>
        <w:t xml:space="preserve">. </w:t>
      </w:r>
      <w:r w:rsidRPr="0010075A">
        <w:rPr>
          <w:i/>
        </w:rPr>
        <w:t>Klin</w:t>
      </w:r>
      <w:r w:rsidR="0076484A" w:rsidRPr="0010075A">
        <w:rPr>
          <w:i/>
        </w:rPr>
        <w:t xml:space="preserve">. </w:t>
      </w:r>
      <w:r w:rsidRPr="0010075A">
        <w:rPr>
          <w:i/>
        </w:rPr>
        <w:t>Biochem</w:t>
      </w:r>
      <w:r w:rsidR="0076484A" w:rsidRPr="0010075A">
        <w:rPr>
          <w:i/>
        </w:rPr>
        <w:t>.</w:t>
      </w:r>
      <w:r w:rsidRPr="0010075A">
        <w:t xml:space="preserve"> </w:t>
      </w:r>
      <w:r w:rsidRPr="0010075A">
        <w:rPr>
          <w:b/>
        </w:rPr>
        <w:t>12</w:t>
      </w:r>
      <w:r w:rsidRPr="0010075A">
        <w:t xml:space="preserve">, 344-349 (1974). </w:t>
      </w:r>
    </w:p>
    <w:p w14:paraId="4250AC41" w14:textId="6DF5932F" w:rsidR="000A5EA1" w:rsidRPr="0010075A" w:rsidRDefault="000A5EA1" w:rsidP="0010075A">
      <w:pPr>
        <w:pStyle w:val="EndNoteBibliography"/>
        <w:spacing w:line="480" w:lineRule="auto"/>
        <w:ind w:left="720" w:hanging="720"/>
      </w:pPr>
      <w:r w:rsidRPr="0010075A">
        <w:t>4</w:t>
      </w:r>
      <w:r w:rsidRPr="0010075A">
        <w:tab/>
        <w:t>Dai, M.</w:t>
      </w:r>
      <w:r w:rsidRPr="0010075A">
        <w:rPr>
          <w:i/>
        </w:rPr>
        <w:t xml:space="preserve"> et al.</w:t>
      </w:r>
      <w:r w:rsidRPr="0010075A">
        <w:t xml:space="preserve"> Evolving gene/transcript definitions significantly alter the interpretation of GeneChip data. </w:t>
      </w:r>
      <w:r w:rsidRPr="0010075A">
        <w:rPr>
          <w:i/>
        </w:rPr>
        <w:t>Nucleic Acids Res</w:t>
      </w:r>
      <w:r w:rsidR="0076484A" w:rsidRPr="0010075A">
        <w:rPr>
          <w:i/>
        </w:rPr>
        <w:t>.</w:t>
      </w:r>
      <w:r w:rsidRPr="0010075A">
        <w:t xml:space="preserve"> </w:t>
      </w:r>
      <w:r w:rsidRPr="0010075A">
        <w:rPr>
          <w:b/>
        </w:rPr>
        <w:t>33</w:t>
      </w:r>
      <w:r w:rsidRPr="0010075A">
        <w:t>, e175</w:t>
      </w:r>
      <w:r w:rsidR="007B64E8" w:rsidRPr="0010075A">
        <w:t>;</w:t>
      </w:r>
      <w:r w:rsidRPr="0010075A">
        <w:t xml:space="preserve"> </w:t>
      </w:r>
      <w:hyperlink r:id="rId13" w:history="1">
        <w:r w:rsidRPr="0010075A">
          <w:rPr>
            <w:rStyle w:val="Hyperlink"/>
            <w:color w:val="auto"/>
          </w:rPr>
          <w:t>10.1093/nar/gni179</w:t>
        </w:r>
      </w:hyperlink>
      <w:r w:rsidR="007B64E8" w:rsidRPr="0010075A">
        <w:rPr>
          <w:rStyle w:val="Hyperlink"/>
          <w:color w:val="auto"/>
        </w:rPr>
        <w:t xml:space="preserve"> </w:t>
      </w:r>
      <w:r w:rsidR="007B64E8" w:rsidRPr="0010075A">
        <w:t>(2005).</w:t>
      </w:r>
    </w:p>
    <w:p w14:paraId="65575E95" w14:textId="3F03FFE8" w:rsidR="000A5EA1" w:rsidRPr="0010075A" w:rsidRDefault="000A5EA1" w:rsidP="0010075A">
      <w:pPr>
        <w:pStyle w:val="EndNoteBibliography"/>
        <w:spacing w:line="480" w:lineRule="auto"/>
        <w:ind w:left="720" w:hanging="720"/>
      </w:pPr>
      <w:r w:rsidRPr="0010075A">
        <w:t>5</w:t>
      </w:r>
      <w:r w:rsidRPr="0010075A">
        <w:tab/>
        <w:t xml:space="preserve">McCall, M. N., Bolstad, B. M. &amp; Irizarry, R. A. Frozen robust multiarray analysis (fRMA). </w:t>
      </w:r>
      <w:r w:rsidRPr="0010075A">
        <w:rPr>
          <w:i/>
        </w:rPr>
        <w:t>Biostatistics</w:t>
      </w:r>
      <w:r w:rsidRPr="0010075A">
        <w:t xml:space="preserve"> </w:t>
      </w:r>
      <w:r w:rsidRPr="0010075A">
        <w:rPr>
          <w:b/>
        </w:rPr>
        <w:t>11</w:t>
      </w:r>
      <w:r w:rsidRPr="0010075A">
        <w:t>, 242-253</w:t>
      </w:r>
      <w:r w:rsidR="007B64E8" w:rsidRPr="0010075A">
        <w:t>;</w:t>
      </w:r>
      <w:r w:rsidRPr="0010075A">
        <w:t xml:space="preserve"> </w:t>
      </w:r>
      <w:hyperlink r:id="rId14" w:history="1">
        <w:r w:rsidRPr="0010075A">
          <w:rPr>
            <w:rStyle w:val="Hyperlink"/>
            <w:color w:val="auto"/>
          </w:rPr>
          <w:t>10.1093/biostatistics/kxp059</w:t>
        </w:r>
      </w:hyperlink>
      <w:r w:rsidR="007B64E8" w:rsidRPr="0010075A">
        <w:rPr>
          <w:rStyle w:val="Hyperlink"/>
          <w:color w:val="auto"/>
        </w:rPr>
        <w:t xml:space="preserve"> </w:t>
      </w:r>
      <w:r w:rsidR="007B64E8" w:rsidRPr="0010075A">
        <w:t>(2010).</w:t>
      </w:r>
    </w:p>
    <w:p w14:paraId="63F0DF67" w14:textId="48515287" w:rsidR="000A5EA1" w:rsidRPr="0010075A" w:rsidRDefault="000A5EA1" w:rsidP="0010075A">
      <w:pPr>
        <w:pStyle w:val="EndNoteBibliography"/>
        <w:spacing w:line="480" w:lineRule="auto"/>
        <w:ind w:left="720" w:hanging="720"/>
      </w:pPr>
      <w:r w:rsidRPr="0010075A">
        <w:rPr>
          <w:lang w:val="fr-CH"/>
        </w:rPr>
        <w:t>6</w:t>
      </w:r>
      <w:r w:rsidRPr="0010075A">
        <w:rPr>
          <w:lang w:val="fr-CH"/>
        </w:rPr>
        <w:tab/>
        <w:t>Bolstad, B. M.</w:t>
      </w:r>
      <w:r w:rsidRPr="0010075A">
        <w:rPr>
          <w:i/>
          <w:lang w:val="fr-CH"/>
        </w:rPr>
        <w:t xml:space="preserve"> et al.</w:t>
      </w:r>
      <w:r w:rsidRPr="0010075A">
        <w:rPr>
          <w:lang w:val="fr-CH"/>
        </w:rPr>
        <w:t xml:space="preserve"> </w:t>
      </w:r>
      <w:r w:rsidR="000D4020" w:rsidRPr="0010075A">
        <w:t>Quality assessment of Affymetrix GeneChip Data</w:t>
      </w:r>
      <w:r w:rsidR="000443EC" w:rsidRPr="0010075A">
        <w:t xml:space="preserve"> in </w:t>
      </w:r>
      <w:r w:rsidR="000443EC" w:rsidRPr="0010075A">
        <w:rPr>
          <w:i/>
          <w:iCs/>
        </w:rPr>
        <w:t>Bioinformatics and Computational Biology Solutions Using R and Bioconductor. Statistics for Biology and Health</w:t>
      </w:r>
      <w:r w:rsidR="000D4020" w:rsidRPr="0010075A">
        <w:t xml:space="preserve"> </w:t>
      </w:r>
      <w:r w:rsidRPr="0010075A">
        <w:t>Vol. 2005 33-47 (</w:t>
      </w:r>
      <w:r w:rsidR="00160FE7" w:rsidRPr="0010075A">
        <w:t xml:space="preserve">Springer, </w:t>
      </w:r>
      <w:r w:rsidRPr="0010075A">
        <w:t>2005).</w:t>
      </w:r>
    </w:p>
    <w:p w14:paraId="75CB83C2" w14:textId="03D95668" w:rsidR="000A5EA1" w:rsidRPr="0010075A" w:rsidRDefault="000A5EA1" w:rsidP="0010075A">
      <w:pPr>
        <w:pStyle w:val="EndNoteBibliography"/>
        <w:spacing w:line="480" w:lineRule="auto"/>
        <w:ind w:left="720" w:hanging="720"/>
      </w:pPr>
      <w:r w:rsidRPr="0010075A">
        <w:t>7</w:t>
      </w:r>
      <w:r w:rsidRPr="0010075A">
        <w:tab/>
        <w:t xml:space="preserve">Gaidatzis, D., Lerch, A., Hahne, F. &amp; Stadler, M. B. QuasR: quantification and annotation of short reads in R. </w:t>
      </w:r>
      <w:r w:rsidRPr="0010075A">
        <w:rPr>
          <w:i/>
        </w:rPr>
        <w:t>Bioinformatics</w:t>
      </w:r>
      <w:r w:rsidRPr="0010075A">
        <w:t xml:space="preserve"> </w:t>
      </w:r>
      <w:r w:rsidRPr="0010075A">
        <w:rPr>
          <w:b/>
        </w:rPr>
        <w:t>31</w:t>
      </w:r>
      <w:r w:rsidRPr="0010075A">
        <w:t>, 1130-1132</w:t>
      </w:r>
      <w:r w:rsidR="007B64E8" w:rsidRPr="0010075A">
        <w:t>;</w:t>
      </w:r>
      <w:r w:rsidRPr="0010075A">
        <w:t xml:space="preserve"> </w:t>
      </w:r>
      <w:hyperlink r:id="rId15" w:history="1">
        <w:r w:rsidRPr="0010075A">
          <w:rPr>
            <w:rStyle w:val="Hyperlink"/>
            <w:color w:val="auto"/>
          </w:rPr>
          <w:t>10.1093/bioinformatics/btu781</w:t>
        </w:r>
      </w:hyperlink>
      <w:r w:rsidR="007B64E8" w:rsidRPr="0010075A">
        <w:rPr>
          <w:rStyle w:val="Hyperlink"/>
          <w:color w:val="auto"/>
        </w:rPr>
        <w:t xml:space="preserve"> </w:t>
      </w:r>
      <w:r w:rsidR="007B64E8" w:rsidRPr="0010075A">
        <w:t>(2015).</w:t>
      </w:r>
    </w:p>
    <w:p w14:paraId="2FBC3F7B" w14:textId="387F769B" w:rsidR="000A5EA1" w:rsidRPr="0010075A" w:rsidRDefault="000A5EA1" w:rsidP="0010075A">
      <w:pPr>
        <w:pStyle w:val="EndNoteBibliography"/>
        <w:spacing w:line="480" w:lineRule="auto"/>
        <w:ind w:left="720" w:hanging="720"/>
      </w:pPr>
      <w:r w:rsidRPr="0010075A">
        <w:t>8</w:t>
      </w:r>
      <w:r w:rsidRPr="0010075A">
        <w:tab/>
        <w:t xml:space="preserve">Zarate, C., Nakajima, M. &amp; Martin, R. A Mild and Ligand-Free Ni-Catalyzed Silylation via C-OMe Cleavage. </w:t>
      </w:r>
      <w:r w:rsidRPr="0010075A">
        <w:rPr>
          <w:i/>
        </w:rPr>
        <w:t>J</w:t>
      </w:r>
      <w:r w:rsidR="00160FE7" w:rsidRPr="0010075A">
        <w:rPr>
          <w:i/>
        </w:rPr>
        <w:t>.</w:t>
      </w:r>
      <w:r w:rsidRPr="0010075A">
        <w:rPr>
          <w:i/>
        </w:rPr>
        <w:t xml:space="preserve"> Am</w:t>
      </w:r>
      <w:r w:rsidR="00160FE7" w:rsidRPr="0010075A">
        <w:rPr>
          <w:i/>
        </w:rPr>
        <w:t>.</w:t>
      </w:r>
      <w:r w:rsidRPr="0010075A">
        <w:rPr>
          <w:i/>
        </w:rPr>
        <w:t xml:space="preserve"> Chem</w:t>
      </w:r>
      <w:r w:rsidR="00160FE7" w:rsidRPr="0010075A">
        <w:rPr>
          <w:i/>
        </w:rPr>
        <w:t>.</w:t>
      </w:r>
      <w:r w:rsidRPr="0010075A">
        <w:rPr>
          <w:i/>
        </w:rPr>
        <w:t xml:space="preserve"> Soc</w:t>
      </w:r>
      <w:r w:rsidR="00160FE7" w:rsidRPr="0010075A">
        <w:rPr>
          <w:i/>
        </w:rPr>
        <w:t>.</w:t>
      </w:r>
      <w:r w:rsidRPr="0010075A">
        <w:t xml:space="preserve"> </w:t>
      </w:r>
      <w:r w:rsidRPr="0010075A">
        <w:rPr>
          <w:b/>
        </w:rPr>
        <w:t>139</w:t>
      </w:r>
      <w:r w:rsidRPr="0010075A">
        <w:t>, 1191-1197</w:t>
      </w:r>
      <w:r w:rsidR="007B64E8" w:rsidRPr="0010075A">
        <w:t>;</w:t>
      </w:r>
      <w:r w:rsidRPr="0010075A">
        <w:t xml:space="preserve"> </w:t>
      </w:r>
      <w:hyperlink r:id="rId16" w:history="1">
        <w:r w:rsidRPr="0010075A">
          <w:rPr>
            <w:rStyle w:val="Hyperlink"/>
            <w:color w:val="auto"/>
          </w:rPr>
          <w:t>10.1021/jacs.6b10998</w:t>
        </w:r>
      </w:hyperlink>
      <w:r w:rsidR="007B64E8" w:rsidRPr="0010075A">
        <w:rPr>
          <w:rStyle w:val="Hyperlink"/>
          <w:color w:val="auto"/>
        </w:rPr>
        <w:t xml:space="preserve"> </w:t>
      </w:r>
      <w:r w:rsidR="007B64E8" w:rsidRPr="0010075A">
        <w:t>(2017).</w:t>
      </w:r>
    </w:p>
    <w:p w14:paraId="70A15921" w14:textId="7E14AD59" w:rsidR="000A5EA1" w:rsidRPr="0010075A" w:rsidRDefault="000A5EA1" w:rsidP="0010075A">
      <w:pPr>
        <w:pStyle w:val="EndNoteBibliography"/>
        <w:spacing w:line="480" w:lineRule="auto"/>
        <w:ind w:left="720" w:hanging="720"/>
      </w:pPr>
      <w:r w:rsidRPr="0010075A">
        <w:t>9</w:t>
      </w:r>
      <w:r w:rsidRPr="0010075A">
        <w:tab/>
        <w:t xml:space="preserve">Smyth, G. K. Linear models and empirical bayes methods for assessing differential expression in microarray experiments. </w:t>
      </w:r>
      <w:r w:rsidRPr="0010075A">
        <w:rPr>
          <w:i/>
        </w:rPr>
        <w:t>Stat</w:t>
      </w:r>
      <w:r w:rsidR="00160FE7" w:rsidRPr="0010075A">
        <w:rPr>
          <w:i/>
        </w:rPr>
        <w:t>.</w:t>
      </w:r>
      <w:r w:rsidRPr="0010075A">
        <w:rPr>
          <w:i/>
        </w:rPr>
        <w:t xml:space="preserve"> Appl</w:t>
      </w:r>
      <w:r w:rsidR="00160FE7" w:rsidRPr="0010075A">
        <w:rPr>
          <w:i/>
        </w:rPr>
        <w:t>.</w:t>
      </w:r>
      <w:r w:rsidRPr="0010075A">
        <w:rPr>
          <w:i/>
        </w:rPr>
        <w:t xml:space="preserve"> Genet</w:t>
      </w:r>
      <w:r w:rsidR="00160FE7" w:rsidRPr="0010075A">
        <w:rPr>
          <w:i/>
        </w:rPr>
        <w:t>.</w:t>
      </w:r>
      <w:r w:rsidRPr="0010075A">
        <w:rPr>
          <w:i/>
        </w:rPr>
        <w:t xml:space="preserve"> Mol</w:t>
      </w:r>
      <w:r w:rsidR="00160FE7" w:rsidRPr="0010075A">
        <w:rPr>
          <w:i/>
        </w:rPr>
        <w:t>.</w:t>
      </w:r>
      <w:r w:rsidRPr="0010075A">
        <w:rPr>
          <w:i/>
        </w:rPr>
        <w:t xml:space="preserve"> Biol</w:t>
      </w:r>
      <w:r w:rsidR="00160FE7" w:rsidRPr="0010075A">
        <w:rPr>
          <w:i/>
        </w:rPr>
        <w:t>.</w:t>
      </w:r>
      <w:r w:rsidRPr="0010075A">
        <w:t xml:space="preserve"> </w:t>
      </w:r>
      <w:r w:rsidRPr="0010075A">
        <w:rPr>
          <w:b/>
        </w:rPr>
        <w:t>3</w:t>
      </w:r>
      <w:r w:rsidRPr="0010075A">
        <w:t>, Article</w:t>
      </w:r>
      <w:r w:rsidR="00774A5D" w:rsidRPr="0010075A">
        <w:t xml:space="preserve"> </w:t>
      </w:r>
      <w:r w:rsidRPr="0010075A">
        <w:t>3</w:t>
      </w:r>
      <w:r w:rsidR="007B64E8" w:rsidRPr="0010075A">
        <w:t>;</w:t>
      </w:r>
      <w:r w:rsidRPr="0010075A">
        <w:t xml:space="preserve"> </w:t>
      </w:r>
      <w:hyperlink r:id="rId17" w:history="1">
        <w:r w:rsidRPr="0010075A">
          <w:rPr>
            <w:rStyle w:val="Hyperlink"/>
            <w:color w:val="auto"/>
          </w:rPr>
          <w:t>10.2202/1544-6115.1027</w:t>
        </w:r>
      </w:hyperlink>
      <w:r w:rsidR="007B64E8" w:rsidRPr="0010075A">
        <w:rPr>
          <w:rStyle w:val="Hyperlink"/>
          <w:color w:val="auto"/>
        </w:rPr>
        <w:t xml:space="preserve"> </w:t>
      </w:r>
      <w:r w:rsidR="007B64E8" w:rsidRPr="0010075A">
        <w:t>(2004).</w:t>
      </w:r>
    </w:p>
    <w:p w14:paraId="2475DC78" w14:textId="21A586C1" w:rsidR="000A5EA1" w:rsidRPr="0010075A" w:rsidRDefault="000A5EA1" w:rsidP="0010075A">
      <w:pPr>
        <w:pStyle w:val="EndNoteBibliography"/>
        <w:spacing w:line="480" w:lineRule="auto"/>
        <w:ind w:left="720" w:hanging="720"/>
        <w:rPr>
          <w:lang w:val="fr-FR"/>
        </w:rPr>
      </w:pPr>
      <w:r w:rsidRPr="0010075A">
        <w:t>10</w:t>
      </w:r>
      <w:r w:rsidRPr="0010075A">
        <w:tab/>
        <w:t xml:space="preserve">Benjamini, Y. &amp; Hochberg, Y. Controlling the False Discovery Rate: A Practical and Powerful Approach to Multiple Testing. </w:t>
      </w:r>
      <w:r w:rsidRPr="0010075A">
        <w:rPr>
          <w:i/>
          <w:lang w:val="fr-FR"/>
        </w:rPr>
        <w:t>J</w:t>
      </w:r>
      <w:r w:rsidR="008D21C6" w:rsidRPr="0010075A">
        <w:rPr>
          <w:i/>
          <w:lang w:val="fr-FR"/>
        </w:rPr>
        <w:t>.</w:t>
      </w:r>
      <w:r w:rsidRPr="0010075A">
        <w:rPr>
          <w:i/>
          <w:lang w:val="fr-FR"/>
        </w:rPr>
        <w:t xml:space="preserve"> R</w:t>
      </w:r>
      <w:r w:rsidR="008D21C6" w:rsidRPr="0010075A">
        <w:rPr>
          <w:i/>
          <w:lang w:val="fr-FR"/>
        </w:rPr>
        <w:t>.</w:t>
      </w:r>
      <w:r w:rsidRPr="0010075A">
        <w:rPr>
          <w:i/>
          <w:lang w:val="fr-FR"/>
        </w:rPr>
        <w:t xml:space="preserve"> Stat</w:t>
      </w:r>
      <w:r w:rsidR="00E81F61" w:rsidRPr="0010075A">
        <w:rPr>
          <w:i/>
          <w:lang w:val="fr-FR"/>
        </w:rPr>
        <w:t>.</w:t>
      </w:r>
      <w:r w:rsidRPr="0010075A">
        <w:rPr>
          <w:i/>
          <w:lang w:val="fr-FR"/>
        </w:rPr>
        <w:t xml:space="preserve"> S</w:t>
      </w:r>
      <w:r w:rsidR="00E81F61" w:rsidRPr="0010075A">
        <w:rPr>
          <w:i/>
          <w:lang w:val="fr-FR"/>
        </w:rPr>
        <w:t>.</w:t>
      </w:r>
      <w:r w:rsidRPr="0010075A">
        <w:rPr>
          <w:i/>
          <w:lang w:val="fr-FR"/>
        </w:rPr>
        <w:t>: Series B</w:t>
      </w:r>
      <w:r w:rsidRPr="0010075A">
        <w:rPr>
          <w:lang w:val="fr-FR"/>
        </w:rPr>
        <w:t xml:space="preserve"> </w:t>
      </w:r>
      <w:r w:rsidRPr="0010075A">
        <w:rPr>
          <w:b/>
          <w:lang w:val="fr-FR"/>
        </w:rPr>
        <w:t>57</w:t>
      </w:r>
      <w:r w:rsidRPr="0010075A">
        <w:rPr>
          <w:lang w:val="fr-FR"/>
        </w:rPr>
        <w:t xml:space="preserve">, 289-300 (1995). </w:t>
      </w:r>
    </w:p>
    <w:p w14:paraId="605124C0" w14:textId="0A729440" w:rsidR="000A5EA1" w:rsidRPr="0010075A" w:rsidRDefault="000A5EA1" w:rsidP="0010075A">
      <w:pPr>
        <w:pStyle w:val="EndNoteBibliography"/>
        <w:spacing w:line="480" w:lineRule="auto"/>
        <w:ind w:left="720" w:hanging="720"/>
      </w:pPr>
      <w:r w:rsidRPr="0010075A">
        <w:rPr>
          <w:lang w:val="fr-FR"/>
        </w:rPr>
        <w:t>11</w:t>
      </w:r>
      <w:r w:rsidRPr="0010075A">
        <w:rPr>
          <w:lang w:val="fr-FR"/>
        </w:rPr>
        <w:tab/>
        <w:t>Gentleman, R. C.</w:t>
      </w:r>
      <w:r w:rsidRPr="0010075A">
        <w:rPr>
          <w:i/>
          <w:lang w:val="fr-FR"/>
        </w:rPr>
        <w:t xml:space="preserve"> et al.</w:t>
      </w:r>
      <w:r w:rsidRPr="0010075A">
        <w:rPr>
          <w:lang w:val="fr-FR"/>
        </w:rPr>
        <w:t xml:space="preserve"> </w:t>
      </w:r>
      <w:r w:rsidRPr="0010075A">
        <w:t xml:space="preserve">Bioconductor: open software development for computational biology and bioinformatics. </w:t>
      </w:r>
      <w:r w:rsidRPr="0010075A">
        <w:rPr>
          <w:i/>
        </w:rPr>
        <w:t>Genome Biol</w:t>
      </w:r>
      <w:r w:rsidR="00E81F61" w:rsidRPr="0010075A">
        <w:rPr>
          <w:i/>
        </w:rPr>
        <w:t>.</w:t>
      </w:r>
      <w:r w:rsidRPr="0010075A">
        <w:t xml:space="preserve"> </w:t>
      </w:r>
      <w:r w:rsidRPr="0010075A">
        <w:rPr>
          <w:b/>
        </w:rPr>
        <w:t>5</w:t>
      </w:r>
      <w:r w:rsidRPr="0010075A">
        <w:t>, R80</w:t>
      </w:r>
      <w:r w:rsidR="007B64E8" w:rsidRPr="0010075A">
        <w:t>;</w:t>
      </w:r>
      <w:r w:rsidRPr="0010075A">
        <w:t xml:space="preserve"> </w:t>
      </w:r>
      <w:hyperlink r:id="rId18" w:history="1">
        <w:r w:rsidRPr="0010075A">
          <w:rPr>
            <w:rStyle w:val="Hyperlink"/>
            <w:color w:val="auto"/>
          </w:rPr>
          <w:t>10.1186/gb-2004-5-10-r80</w:t>
        </w:r>
      </w:hyperlink>
      <w:r w:rsidR="007B64E8" w:rsidRPr="0010075A">
        <w:rPr>
          <w:rStyle w:val="Hyperlink"/>
          <w:color w:val="auto"/>
        </w:rPr>
        <w:t xml:space="preserve"> </w:t>
      </w:r>
      <w:r w:rsidR="007B64E8" w:rsidRPr="0010075A">
        <w:t>(2004).</w:t>
      </w:r>
    </w:p>
    <w:p w14:paraId="09E07CA2" w14:textId="2F35F64B" w:rsidR="000A5EA1" w:rsidRPr="0010075A" w:rsidRDefault="000A5EA1" w:rsidP="0010075A">
      <w:pPr>
        <w:pStyle w:val="EndNoteBibliography"/>
        <w:spacing w:line="480" w:lineRule="auto"/>
        <w:ind w:left="720" w:hanging="720"/>
      </w:pPr>
      <w:r w:rsidRPr="0010075A">
        <w:t>12</w:t>
      </w:r>
      <w:r w:rsidRPr="0010075A">
        <w:tab/>
        <w:t xml:space="preserve">Park, Y. &amp; Wu, H. Differential methylation analysis for BS-seq data under general experimental design. </w:t>
      </w:r>
      <w:r w:rsidRPr="0010075A">
        <w:rPr>
          <w:i/>
        </w:rPr>
        <w:t>Bioinformatics</w:t>
      </w:r>
      <w:r w:rsidRPr="0010075A">
        <w:t xml:space="preserve"> </w:t>
      </w:r>
      <w:r w:rsidRPr="0010075A">
        <w:rPr>
          <w:b/>
        </w:rPr>
        <w:t>32</w:t>
      </w:r>
      <w:r w:rsidRPr="0010075A">
        <w:t>, 1446-1453</w:t>
      </w:r>
      <w:r w:rsidR="007B64E8" w:rsidRPr="0010075A">
        <w:t>;</w:t>
      </w:r>
      <w:r w:rsidRPr="0010075A">
        <w:t xml:space="preserve"> </w:t>
      </w:r>
      <w:hyperlink r:id="rId19" w:history="1">
        <w:r w:rsidRPr="0010075A">
          <w:rPr>
            <w:rStyle w:val="Hyperlink"/>
            <w:color w:val="auto"/>
          </w:rPr>
          <w:t>10.1093/bioinformatics/btw026</w:t>
        </w:r>
      </w:hyperlink>
      <w:r w:rsidR="007B64E8" w:rsidRPr="0010075A">
        <w:rPr>
          <w:rStyle w:val="Hyperlink"/>
          <w:color w:val="auto"/>
        </w:rPr>
        <w:t xml:space="preserve"> </w:t>
      </w:r>
      <w:r w:rsidR="007B64E8" w:rsidRPr="0010075A">
        <w:t>(2016).</w:t>
      </w:r>
    </w:p>
    <w:p w14:paraId="0D5F7D1F" w14:textId="109328EA" w:rsidR="000A5EA1" w:rsidRPr="0010075A" w:rsidRDefault="000A5EA1" w:rsidP="0010075A">
      <w:pPr>
        <w:pStyle w:val="EndNoteBibliography"/>
        <w:spacing w:line="480" w:lineRule="auto"/>
        <w:ind w:left="720" w:hanging="720"/>
      </w:pPr>
      <w:r w:rsidRPr="0010075A">
        <w:t>13</w:t>
      </w:r>
      <w:r w:rsidRPr="0010075A">
        <w:tab/>
        <w:t xml:space="preserve">More, S., Eickhoff, S. B., Caspers, J. &amp; Kaustubh, R. P. Confound Removal and Normalization in Practice: A Neuroimaging Based Sex Prediction Case Study. </w:t>
      </w:r>
      <w:r w:rsidRPr="0010075A">
        <w:rPr>
          <w:i/>
        </w:rPr>
        <w:t>Nat</w:t>
      </w:r>
      <w:r w:rsidR="00E81F61" w:rsidRPr="0010075A">
        <w:rPr>
          <w:i/>
        </w:rPr>
        <w:t>.</w:t>
      </w:r>
      <w:r w:rsidRPr="0010075A">
        <w:rPr>
          <w:i/>
        </w:rPr>
        <w:t xml:space="preserve"> Public Health Emer</w:t>
      </w:r>
      <w:r w:rsidR="00E81F61" w:rsidRPr="0010075A">
        <w:rPr>
          <w:i/>
        </w:rPr>
        <w:t>.</w:t>
      </w:r>
      <w:r w:rsidRPr="0010075A">
        <w:rPr>
          <w:i/>
        </w:rPr>
        <w:t xml:space="preserve"> Collect</w:t>
      </w:r>
      <w:r w:rsidR="00E81F61" w:rsidRPr="0010075A">
        <w:rPr>
          <w:i/>
        </w:rPr>
        <w:t>.</w:t>
      </w:r>
      <w:r w:rsidRPr="0010075A">
        <w:rPr>
          <w:i/>
        </w:rPr>
        <w:t xml:space="preserve"> </w:t>
      </w:r>
      <w:r w:rsidRPr="0010075A">
        <w:rPr>
          <w:b/>
        </w:rPr>
        <w:t>12461</w:t>
      </w:r>
      <w:r w:rsidRPr="0010075A">
        <w:t>, 3-18</w:t>
      </w:r>
      <w:r w:rsidR="007B64E8" w:rsidRPr="0010075A">
        <w:t>;</w:t>
      </w:r>
      <w:r w:rsidRPr="0010075A">
        <w:t xml:space="preserve"> </w:t>
      </w:r>
      <w:hyperlink r:id="rId20" w:history="1">
        <w:r w:rsidRPr="0010075A">
          <w:rPr>
            <w:rStyle w:val="Hyperlink"/>
            <w:color w:val="auto"/>
          </w:rPr>
          <w:t>10.1007/978-3-030-67670-4_1</w:t>
        </w:r>
      </w:hyperlink>
      <w:r w:rsidR="007B64E8" w:rsidRPr="0010075A">
        <w:t>(2021).</w:t>
      </w:r>
    </w:p>
    <w:p w14:paraId="594FB587" w14:textId="71130AA9" w:rsidR="000A5EA1" w:rsidRPr="0010075A" w:rsidRDefault="000A5EA1" w:rsidP="0010075A">
      <w:pPr>
        <w:pStyle w:val="EndNoteBibliography"/>
        <w:spacing w:line="480" w:lineRule="auto"/>
        <w:ind w:left="720" w:hanging="720"/>
      </w:pPr>
      <w:r w:rsidRPr="0010075A">
        <w:t>14</w:t>
      </w:r>
      <w:r w:rsidRPr="0010075A">
        <w:tab/>
        <w:t xml:space="preserve">Snoek, L., Miletic, S. &amp; Scholte, H. S. How to control for confounds in decoding analyses of neuroimaging data. </w:t>
      </w:r>
      <w:r w:rsidRPr="0010075A">
        <w:rPr>
          <w:i/>
        </w:rPr>
        <w:t>Neuroimage</w:t>
      </w:r>
      <w:r w:rsidRPr="0010075A">
        <w:t xml:space="preserve"> </w:t>
      </w:r>
      <w:r w:rsidRPr="0010075A">
        <w:rPr>
          <w:b/>
        </w:rPr>
        <w:t>184</w:t>
      </w:r>
      <w:r w:rsidRPr="0010075A">
        <w:t>, 741-760</w:t>
      </w:r>
      <w:r w:rsidR="007B64E8" w:rsidRPr="0010075A">
        <w:t>;</w:t>
      </w:r>
      <w:r w:rsidRPr="0010075A">
        <w:t xml:space="preserve"> </w:t>
      </w:r>
      <w:hyperlink r:id="rId21" w:history="1">
        <w:r w:rsidRPr="0010075A">
          <w:rPr>
            <w:rStyle w:val="Hyperlink"/>
            <w:color w:val="auto"/>
          </w:rPr>
          <w:t>10.1016/j.neuroimage.2018.09.074</w:t>
        </w:r>
      </w:hyperlink>
      <w:r w:rsidR="007B64E8" w:rsidRPr="0010075A">
        <w:rPr>
          <w:rStyle w:val="Hyperlink"/>
          <w:color w:val="auto"/>
        </w:rPr>
        <w:t xml:space="preserve"> </w:t>
      </w:r>
      <w:r w:rsidR="007B64E8" w:rsidRPr="0010075A">
        <w:t>(2019).</w:t>
      </w:r>
    </w:p>
    <w:p w14:paraId="4F74A2AA" w14:textId="48D61E28" w:rsidR="0082330C" w:rsidRPr="0010075A" w:rsidRDefault="006979FD" w:rsidP="0010075A">
      <w:pPr>
        <w:spacing w:line="480" w:lineRule="auto"/>
      </w:pPr>
      <w:r w:rsidRPr="0010075A">
        <w:fldChar w:fldCharType="end"/>
      </w:r>
      <w:bookmarkEnd w:id="0"/>
    </w:p>
    <w:sectPr w:rsidR="0082330C" w:rsidRPr="001007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253A6"/>
    <w:multiLevelType w:val="hybridMultilevel"/>
    <w:tmpl w:val="BEF2E724"/>
    <w:lvl w:ilvl="0" w:tplc="100C0003">
      <w:start w:val="1"/>
      <w:numFmt w:val="bullet"/>
      <w:lvlText w:val="o"/>
      <w:lvlJc w:val="left"/>
      <w:pPr>
        <w:ind w:left="720" w:hanging="360"/>
      </w:pPr>
      <w:rPr>
        <w:rFonts w:ascii="Courier New" w:hAnsi="Courier New" w:cs="Courier New"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nsid w:val="012526FA"/>
    <w:multiLevelType w:val="hybridMultilevel"/>
    <w:tmpl w:val="EBF46ECA"/>
    <w:lvl w:ilvl="0" w:tplc="B22E3FAC">
      <w:start w:val="1"/>
      <w:numFmt w:val="bullet"/>
      <w:lvlText w:val="•"/>
      <w:lvlJc w:val="left"/>
      <w:pPr>
        <w:tabs>
          <w:tab w:val="num" w:pos="720"/>
        </w:tabs>
        <w:ind w:left="720" w:hanging="360"/>
      </w:pPr>
      <w:rPr>
        <w:rFonts w:ascii="Arial" w:hAnsi="Arial" w:hint="default"/>
      </w:rPr>
    </w:lvl>
    <w:lvl w:ilvl="1" w:tplc="233C21A6">
      <w:numFmt w:val="bullet"/>
      <w:lvlText w:val="o"/>
      <w:lvlJc w:val="left"/>
      <w:pPr>
        <w:tabs>
          <w:tab w:val="num" w:pos="1440"/>
        </w:tabs>
        <w:ind w:left="1440" w:hanging="360"/>
      </w:pPr>
      <w:rPr>
        <w:rFonts w:ascii="Courier New" w:hAnsi="Courier New" w:hint="default"/>
      </w:rPr>
    </w:lvl>
    <w:lvl w:ilvl="2" w:tplc="4C001A2E" w:tentative="1">
      <w:start w:val="1"/>
      <w:numFmt w:val="bullet"/>
      <w:lvlText w:val="•"/>
      <w:lvlJc w:val="left"/>
      <w:pPr>
        <w:tabs>
          <w:tab w:val="num" w:pos="2160"/>
        </w:tabs>
        <w:ind w:left="2160" w:hanging="360"/>
      </w:pPr>
      <w:rPr>
        <w:rFonts w:ascii="Arial" w:hAnsi="Arial" w:hint="default"/>
      </w:rPr>
    </w:lvl>
    <w:lvl w:ilvl="3" w:tplc="AA10AE3C" w:tentative="1">
      <w:start w:val="1"/>
      <w:numFmt w:val="bullet"/>
      <w:lvlText w:val="•"/>
      <w:lvlJc w:val="left"/>
      <w:pPr>
        <w:tabs>
          <w:tab w:val="num" w:pos="2880"/>
        </w:tabs>
        <w:ind w:left="2880" w:hanging="360"/>
      </w:pPr>
      <w:rPr>
        <w:rFonts w:ascii="Arial" w:hAnsi="Arial" w:hint="default"/>
      </w:rPr>
    </w:lvl>
    <w:lvl w:ilvl="4" w:tplc="B1349506" w:tentative="1">
      <w:start w:val="1"/>
      <w:numFmt w:val="bullet"/>
      <w:lvlText w:val="•"/>
      <w:lvlJc w:val="left"/>
      <w:pPr>
        <w:tabs>
          <w:tab w:val="num" w:pos="3600"/>
        </w:tabs>
        <w:ind w:left="3600" w:hanging="360"/>
      </w:pPr>
      <w:rPr>
        <w:rFonts w:ascii="Arial" w:hAnsi="Arial" w:hint="default"/>
      </w:rPr>
    </w:lvl>
    <w:lvl w:ilvl="5" w:tplc="7EECA774" w:tentative="1">
      <w:start w:val="1"/>
      <w:numFmt w:val="bullet"/>
      <w:lvlText w:val="•"/>
      <w:lvlJc w:val="left"/>
      <w:pPr>
        <w:tabs>
          <w:tab w:val="num" w:pos="4320"/>
        </w:tabs>
        <w:ind w:left="4320" w:hanging="360"/>
      </w:pPr>
      <w:rPr>
        <w:rFonts w:ascii="Arial" w:hAnsi="Arial" w:hint="default"/>
      </w:rPr>
    </w:lvl>
    <w:lvl w:ilvl="6" w:tplc="80EEA0BE" w:tentative="1">
      <w:start w:val="1"/>
      <w:numFmt w:val="bullet"/>
      <w:lvlText w:val="•"/>
      <w:lvlJc w:val="left"/>
      <w:pPr>
        <w:tabs>
          <w:tab w:val="num" w:pos="5040"/>
        </w:tabs>
        <w:ind w:left="5040" w:hanging="360"/>
      </w:pPr>
      <w:rPr>
        <w:rFonts w:ascii="Arial" w:hAnsi="Arial" w:hint="default"/>
      </w:rPr>
    </w:lvl>
    <w:lvl w:ilvl="7" w:tplc="2BF4939E" w:tentative="1">
      <w:start w:val="1"/>
      <w:numFmt w:val="bullet"/>
      <w:lvlText w:val="•"/>
      <w:lvlJc w:val="left"/>
      <w:pPr>
        <w:tabs>
          <w:tab w:val="num" w:pos="5760"/>
        </w:tabs>
        <w:ind w:left="5760" w:hanging="360"/>
      </w:pPr>
      <w:rPr>
        <w:rFonts w:ascii="Arial" w:hAnsi="Arial" w:hint="default"/>
      </w:rPr>
    </w:lvl>
    <w:lvl w:ilvl="8" w:tplc="C1C05336" w:tentative="1">
      <w:start w:val="1"/>
      <w:numFmt w:val="bullet"/>
      <w:lvlText w:val="•"/>
      <w:lvlJc w:val="left"/>
      <w:pPr>
        <w:tabs>
          <w:tab w:val="num" w:pos="6480"/>
        </w:tabs>
        <w:ind w:left="6480" w:hanging="360"/>
      </w:pPr>
      <w:rPr>
        <w:rFonts w:ascii="Arial" w:hAnsi="Arial" w:hint="default"/>
      </w:rPr>
    </w:lvl>
  </w:abstractNum>
  <w:abstractNum w:abstractNumId="2">
    <w:nsid w:val="030B7E01"/>
    <w:multiLevelType w:val="hybridMultilevel"/>
    <w:tmpl w:val="918C11CE"/>
    <w:lvl w:ilvl="0" w:tplc="100C0001">
      <w:start w:val="1"/>
      <w:numFmt w:val="bullet"/>
      <w:lvlText w:val=""/>
      <w:lvlJc w:val="left"/>
      <w:pPr>
        <w:ind w:left="360" w:hanging="360"/>
      </w:pPr>
      <w:rPr>
        <w:rFonts w:ascii="Symbol" w:hAnsi="Symbo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3">
    <w:nsid w:val="03C9756E"/>
    <w:multiLevelType w:val="hybridMultilevel"/>
    <w:tmpl w:val="8BF24DD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nsid w:val="08821579"/>
    <w:multiLevelType w:val="hybridMultilevel"/>
    <w:tmpl w:val="E4C874B8"/>
    <w:lvl w:ilvl="0" w:tplc="100C0003">
      <w:start w:val="1"/>
      <w:numFmt w:val="bullet"/>
      <w:lvlText w:val="o"/>
      <w:lvlJc w:val="left"/>
      <w:pPr>
        <w:ind w:left="720" w:hanging="360"/>
      </w:pPr>
      <w:rPr>
        <w:rFonts w:ascii="Courier New" w:hAnsi="Courier New" w:cs="Courier New"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nsid w:val="0C205B57"/>
    <w:multiLevelType w:val="hybridMultilevel"/>
    <w:tmpl w:val="D7EC36A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nsid w:val="0CBE169F"/>
    <w:multiLevelType w:val="hybridMultilevel"/>
    <w:tmpl w:val="FC12F8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E381C0B"/>
    <w:multiLevelType w:val="hybridMultilevel"/>
    <w:tmpl w:val="D9786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F3931FA"/>
    <w:multiLevelType w:val="hybridMultilevel"/>
    <w:tmpl w:val="3B885A72"/>
    <w:lvl w:ilvl="0" w:tplc="100C0003">
      <w:start w:val="1"/>
      <w:numFmt w:val="bullet"/>
      <w:lvlText w:val="o"/>
      <w:lvlJc w:val="left"/>
      <w:pPr>
        <w:ind w:left="1428" w:hanging="360"/>
      </w:pPr>
      <w:rPr>
        <w:rFonts w:ascii="Courier New" w:hAnsi="Courier New" w:cs="Courier New" w:hint="default"/>
      </w:rPr>
    </w:lvl>
    <w:lvl w:ilvl="1" w:tplc="100C0003" w:tentative="1">
      <w:start w:val="1"/>
      <w:numFmt w:val="bullet"/>
      <w:lvlText w:val="o"/>
      <w:lvlJc w:val="left"/>
      <w:pPr>
        <w:ind w:left="2148" w:hanging="360"/>
      </w:pPr>
      <w:rPr>
        <w:rFonts w:ascii="Courier New" w:hAnsi="Courier New" w:cs="Courier New" w:hint="default"/>
      </w:rPr>
    </w:lvl>
    <w:lvl w:ilvl="2" w:tplc="100C0005" w:tentative="1">
      <w:start w:val="1"/>
      <w:numFmt w:val="bullet"/>
      <w:lvlText w:val=""/>
      <w:lvlJc w:val="left"/>
      <w:pPr>
        <w:ind w:left="2868" w:hanging="360"/>
      </w:pPr>
      <w:rPr>
        <w:rFonts w:ascii="Wingdings" w:hAnsi="Wingdings" w:hint="default"/>
      </w:rPr>
    </w:lvl>
    <w:lvl w:ilvl="3" w:tplc="100C0001" w:tentative="1">
      <w:start w:val="1"/>
      <w:numFmt w:val="bullet"/>
      <w:lvlText w:val=""/>
      <w:lvlJc w:val="left"/>
      <w:pPr>
        <w:ind w:left="3588" w:hanging="360"/>
      </w:pPr>
      <w:rPr>
        <w:rFonts w:ascii="Symbol" w:hAnsi="Symbol" w:hint="default"/>
      </w:rPr>
    </w:lvl>
    <w:lvl w:ilvl="4" w:tplc="100C0003" w:tentative="1">
      <w:start w:val="1"/>
      <w:numFmt w:val="bullet"/>
      <w:lvlText w:val="o"/>
      <w:lvlJc w:val="left"/>
      <w:pPr>
        <w:ind w:left="4308" w:hanging="360"/>
      </w:pPr>
      <w:rPr>
        <w:rFonts w:ascii="Courier New" w:hAnsi="Courier New" w:cs="Courier New" w:hint="default"/>
      </w:rPr>
    </w:lvl>
    <w:lvl w:ilvl="5" w:tplc="100C0005" w:tentative="1">
      <w:start w:val="1"/>
      <w:numFmt w:val="bullet"/>
      <w:lvlText w:val=""/>
      <w:lvlJc w:val="left"/>
      <w:pPr>
        <w:ind w:left="5028" w:hanging="360"/>
      </w:pPr>
      <w:rPr>
        <w:rFonts w:ascii="Wingdings" w:hAnsi="Wingdings" w:hint="default"/>
      </w:rPr>
    </w:lvl>
    <w:lvl w:ilvl="6" w:tplc="100C0001" w:tentative="1">
      <w:start w:val="1"/>
      <w:numFmt w:val="bullet"/>
      <w:lvlText w:val=""/>
      <w:lvlJc w:val="left"/>
      <w:pPr>
        <w:ind w:left="5748" w:hanging="360"/>
      </w:pPr>
      <w:rPr>
        <w:rFonts w:ascii="Symbol" w:hAnsi="Symbol" w:hint="default"/>
      </w:rPr>
    </w:lvl>
    <w:lvl w:ilvl="7" w:tplc="100C0003" w:tentative="1">
      <w:start w:val="1"/>
      <w:numFmt w:val="bullet"/>
      <w:lvlText w:val="o"/>
      <w:lvlJc w:val="left"/>
      <w:pPr>
        <w:ind w:left="6468" w:hanging="360"/>
      </w:pPr>
      <w:rPr>
        <w:rFonts w:ascii="Courier New" w:hAnsi="Courier New" w:cs="Courier New" w:hint="default"/>
      </w:rPr>
    </w:lvl>
    <w:lvl w:ilvl="8" w:tplc="100C0005" w:tentative="1">
      <w:start w:val="1"/>
      <w:numFmt w:val="bullet"/>
      <w:lvlText w:val=""/>
      <w:lvlJc w:val="left"/>
      <w:pPr>
        <w:ind w:left="7188" w:hanging="360"/>
      </w:pPr>
      <w:rPr>
        <w:rFonts w:ascii="Wingdings" w:hAnsi="Wingdings" w:hint="default"/>
      </w:rPr>
    </w:lvl>
  </w:abstractNum>
  <w:abstractNum w:abstractNumId="9">
    <w:nsid w:val="13CA50A3"/>
    <w:multiLevelType w:val="hybridMultilevel"/>
    <w:tmpl w:val="559CB560"/>
    <w:lvl w:ilvl="0" w:tplc="9210060C">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4135A9D"/>
    <w:multiLevelType w:val="hybridMultilevel"/>
    <w:tmpl w:val="E10AE2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5E5392A"/>
    <w:multiLevelType w:val="hybridMultilevel"/>
    <w:tmpl w:val="9D566C0C"/>
    <w:lvl w:ilvl="0" w:tplc="100C0001">
      <w:start w:val="1"/>
      <w:numFmt w:val="bullet"/>
      <w:lvlText w:val=""/>
      <w:lvlJc w:val="left"/>
      <w:pPr>
        <w:ind w:left="360" w:hanging="360"/>
      </w:pPr>
      <w:rPr>
        <w:rFonts w:ascii="Symbol" w:hAnsi="Symbo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12">
    <w:nsid w:val="1BB65B58"/>
    <w:multiLevelType w:val="hybridMultilevel"/>
    <w:tmpl w:val="2B5A697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3">
    <w:nsid w:val="1C8D0F8C"/>
    <w:multiLevelType w:val="singleLevel"/>
    <w:tmpl w:val="C34A94CE"/>
    <w:lvl w:ilvl="0">
      <w:start w:val="1"/>
      <w:numFmt w:val="decimal"/>
      <w:pStyle w:val="reference"/>
      <w:lvlText w:val="%1."/>
      <w:lvlJc w:val="left"/>
      <w:pPr>
        <w:ind w:left="283" w:hanging="283"/>
      </w:pPr>
      <w:rPr>
        <w:rFonts w:hint="default"/>
        <w:color w:val="000000" w:themeColor="text1"/>
        <w:lang w:val="fr-CH"/>
      </w:rPr>
    </w:lvl>
  </w:abstractNum>
  <w:abstractNum w:abstractNumId="14">
    <w:nsid w:val="1DD53D0C"/>
    <w:multiLevelType w:val="hybridMultilevel"/>
    <w:tmpl w:val="7C9C0C3C"/>
    <w:lvl w:ilvl="0" w:tplc="100C0001">
      <w:start w:val="1"/>
      <w:numFmt w:val="bullet"/>
      <w:lvlText w:val=""/>
      <w:lvlJc w:val="left"/>
      <w:pPr>
        <w:ind w:left="360" w:hanging="360"/>
      </w:pPr>
      <w:rPr>
        <w:rFonts w:ascii="Symbol" w:hAnsi="Symbo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15">
    <w:nsid w:val="24E77771"/>
    <w:multiLevelType w:val="hybridMultilevel"/>
    <w:tmpl w:val="0280646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6">
    <w:nsid w:val="265306ED"/>
    <w:multiLevelType w:val="hybridMultilevel"/>
    <w:tmpl w:val="CB480AE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7">
    <w:nsid w:val="27F46A02"/>
    <w:multiLevelType w:val="hybridMultilevel"/>
    <w:tmpl w:val="4E90840E"/>
    <w:lvl w:ilvl="0" w:tplc="78E45D76">
      <w:start w:val="1"/>
      <w:numFmt w:val="bullet"/>
      <w:lvlText w:val=""/>
      <w:lvlJc w:val="left"/>
      <w:pPr>
        <w:tabs>
          <w:tab w:val="num" w:pos="720"/>
        </w:tabs>
        <w:ind w:left="720" w:hanging="360"/>
      </w:pPr>
      <w:rPr>
        <w:rFonts w:ascii="Wingdings" w:hAnsi="Wingdings" w:hint="default"/>
      </w:rPr>
    </w:lvl>
    <w:lvl w:ilvl="1" w:tplc="E650201C" w:tentative="1">
      <w:start w:val="1"/>
      <w:numFmt w:val="bullet"/>
      <w:lvlText w:val=""/>
      <w:lvlJc w:val="left"/>
      <w:pPr>
        <w:tabs>
          <w:tab w:val="num" w:pos="1440"/>
        </w:tabs>
        <w:ind w:left="1440" w:hanging="360"/>
      </w:pPr>
      <w:rPr>
        <w:rFonts w:ascii="Wingdings" w:hAnsi="Wingdings" w:hint="default"/>
      </w:rPr>
    </w:lvl>
    <w:lvl w:ilvl="2" w:tplc="19705D1E" w:tentative="1">
      <w:start w:val="1"/>
      <w:numFmt w:val="bullet"/>
      <w:lvlText w:val=""/>
      <w:lvlJc w:val="left"/>
      <w:pPr>
        <w:tabs>
          <w:tab w:val="num" w:pos="2160"/>
        </w:tabs>
        <w:ind w:left="2160" w:hanging="360"/>
      </w:pPr>
      <w:rPr>
        <w:rFonts w:ascii="Wingdings" w:hAnsi="Wingdings" w:hint="default"/>
      </w:rPr>
    </w:lvl>
    <w:lvl w:ilvl="3" w:tplc="DA2C5DDA" w:tentative="1">
      <w:start w:val="1"/>
      <w:numFmt w:val="bullet"/>
      <w:lvlText w:val=""/>
      <w:lvlJc w:val="left"/>
      <w:pPr>
        <w:tabs>
          <w:tab w:val="num" w:pos="2880"/>
        </w:tabs>
        <w:ind w:left="2880" w:hanging="360"/>
      </w:pPr>
      <w:rPr>
        <w:rFonts w:ascii="Wingdings" w:hAnsi="Wingdings" w:hint="default"/>
      </w:rPr>
    </w:lvl>
    <w:lvl w:ilvl="4" w:tplc="072EDF96" w:tentative="1">
      <w:start w:val="1"/>
      <w:numFmt w:val="bullet"/>
      <w:lvlText w:val=""/>
      <w:lvlJc w:val="left"/>
      <w:pPr>
        <w:tabs>
          <w:tab w:val="num" w:pos="3600"/>
        </w:tabs>
        <w:ind w:left="3600" w:hanging="360"/>
      </w:pPr>
      <w:rPr>
        <w:rFonts w:ascii="Wingdings" w:hAnsi="Wingdings" w:hint="default"/>
      </w:rPr>
    </w:lvl>
    <w:lvl w:ilvl="5" w:tplc="2334DDB6" w:tentative="1">
      <w:start w:val="1"/>
      <w:numFmt w:val="bullet"/>
      <w:lvlText w:val=""/>
      <w:lvlJc w:val="left"/>
      <w:pPr>
        <w:tabs>
          <w:tab w:val="num" w:pos="4320"/>
        </w:tabs>
        <w:ind w:left="4320" w:hanging="360"/>
      </w:pPr>
      <w:rPr>
        <w:rFonts w:ascii="Wingdings" w:hAnsi="Wingdings" w:hint="default"/>
      </w:rPr>
    </w:lvl>
    <w:lvl w:ilvl="6" w:tplc="341C86CC" w:tentative="1">
      <w:start w:val="1"/>
      <w:numFmt w:val="bullet"/>
      <w:lvlText w:val=""/>
      <w:lvlJc w:val="left"/>
      <w:pPr>
        <w:tabs>
          <w:tab w:val="num" w:pos="5040"/>
        </w:tabs>
        <w:ind w:left="5040" w:hanging="360"/>
      </w:pPr>
      <w:rPr>
        <w:rFonts w:ascii="Wingdings" w:hAnsi="Wingdings" w:hint="default"/>
      </w:rPr>
    </w:lvl>
    <w:lvl w:ilvl="7" w:tplc="BAC6CB72" w:tentative="1">
      <w:start w:val="1"/>
      <w:numFmt w:val="bullet"/>
      <w:lvlText w:val=""/>
      <w:lvlJc w:val="left"/>
      <w:pPr>
        <w:tabs>
          <w:tab w:val="num" w:pos="5760"/>
        </w:tabs>
        <w:ind w:left="5760" w:hanging="360"/>
      </w:pPr>
      <w:rPr>
        <w:rFonts w:ascii="Wingdings" w:hAnsi="Wingdings" w:hint="default"/>
      </w:rPr>
    </w:lvl>
    <w:lvl w:ilvl="8" w:tplc="78B671FC" w:tentative="1">
      <w:start w:val="1"/>
      <w:numFmt w:val="bullet"/>
      <w:lvlText w:val=""/>
      <w:lvlJc w:val="left"/>
      <w:pPr>
        <w:tabs>
          <w:tab w:val="num" w:pos="6480"/>
        </w:tabs>
        <w:ind w:left="6480" w:hanging="360"/>
      </w:pPr>
      <w:rPr>
        <w:rFonts w:ascii="Wingdings" w:hAnsi="Wingdings" w:hint="default"/>
      </w:rPr>
    </w:lvl>
  </w:abstractNum>
  <w:abstractNum w:abstractNumId="18">
    <w:nsid w:val="298A4E11"/>
    <w:multiLevelType w:val="hybridMultilevel"/>
    <w:tmpl w:val="58CE3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9C930C9"/>
    <w:multiLevelType w:val="multilevel"/>
    <w:tmpl w:val="9C168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9FC6F75"/>
    <w:multiLevelType w:val="hybridMultilevel"/>
    <w:tmpl w:val="1EDAF428"/>
    <w:lvl w:ilvl="0" w:tplc="E2CC4008">
      <w:start w:val="1"/>
      <w:numFmt w:val="lowerLetter"/>
      <w:lvlText w:val="%1)"/>
      <w:lvlJc w:val="left"/>
      <w:pPr>
        <w:ind w:left="1080" w:hanging="360"/>
      </w:pPr>
      <w:rPr>
        <w:b/>
      </w:rPr>
    </w:lvl>
    <w:lvl w:ilvl="1" w:tplc="3BDA6E86">
      <w:start w:val="1"/>
      <w:numFmt w:val="decimal"/>
      <w:lvlText w:val="%2."/>
      <w:lvlJc w:val="left"/>
      <w:pPr>
        <w:ind w:left="540" w:hanging="360"/>
      </w:pPr>
      <w:rPr>
        <w:rFonts w:hint="default"/>
        <w:b/>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2C7407A5"/>
    <w:multiLevelType w:val="hybridMultilevel"/>
    <w:tmpl w:val="7840990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2">
    <w:nsid w:val="2D6A7476"/>
    <w:multiLevelType w:val="hybridMultilevel"/>
    <w:tmpl w:val="27822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DB533C9"/>
    <w:multiLevelType w:val="hybridMultilevel"/>
    <w:tmpl w:val="B742DD8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4">
    <w:nsid w:val="2DCC2F3B"/>
    <w:multiLevelType w:val="hybridMultilevel"/>
    <w:tmpl w:val="60B2F80C"/>
    <w:lvl w:ilvl="0" w:tplc="FFFFFFFF">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2FF33DD2"/>
    <w:multiLevelType w:val="hybridMultilevel"/>
    <w:tmpl w:val="A5C06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4D041AA"/>
    <w:multiLevelType w:val="hybridMultilevel"/>
    <w:tmpl w:val="B9C0A9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5DE24ED"/>
    <w:multiLevelType w:val="hybridMultilevel"/>
    <w:tmpl w:val="7DDE4594"/>
    <w:lvl w:ilvl="0" w:tplc="100C0001">
      <w:start w:val="1"/>
      <w:numFmt w:val="bullet"/>
      <w:lvlText w:val=""/>
      <w:lvlJc w:val="left"/>
      <w:pPr>
        <w:ind w:left="360" w:hanging="360"/>
      </w:pPr>
      <w:rPr>
        <w:rFonts w:ascii="Symbol" w:hAnsi="Symbo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28">
    <w:nsid w:val="46E17272"/>
    <w:multiLevelType w:val="hybridMultilevel"/>
    <w:tmpl w:val="F3F24AC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9">
    <w:nsid w:val="479A1B9F"/>
    <w:multiLevelType w:val="multilevel"/>
    <w:tmpl w:val="E942189A"/>
    <w:lvl w:ilvl="0">
      <w:start w:val="1"/>
      <w:numFmt w:val="decimal"/>
      <w:lvlText w:val="%1)"/>
      <w:lvlJc w:val="left"/>
      <w:pPr>
        <w:ind w:left="360" w:hanging="360"/>
      </w:pPr>
      <w:rPr>
        <w:b w:val="0"/>
      </w:rPr>
    </w:lvl>
    <w:lvl w:ilvl="1">
      <w:start w:val="1"/>
      <w:numFmt w:val="lowerLetter"/>
      <w:lvlText w:val="%2)"/>
      <w:lvlJc w:val="left"/>
      <w:pPr>
        <w:ind w:left="117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720" w:hanging="360"/>
      </w:pPr>
      <w:rPr>
        <w:b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48B32BF7"/>
    <w:multiLevelType w:val="hybridMultilevel"/>
    <w:tmpl w:val="AA0ABFE2"/>
    <w:lvl w:ilvl="0" w:tplc="DA70B256">
      <w:start w:val="1"/>
      <w:numFmt w:val="decimal"/>
      <w:lvlText w:val="%1."/>
      <w:lvlJc w:val="left"/>
      <w:pPr>
        <w:ind w:left="720" w:hanging="360"/>
      </w:pPr>
    </w:lvl>
    <w:lvl w:ilvl="1" w:tplc="1832AF68">
      <w:start w:val="1"/>
      <w:numFmt w:val="lowerLetter"/>
      <w:lvlText w:val="%2."/>
      <w:lvlJc w:val="left"/>
      <w:pPr>
        <w:ind w:left="1440" w:hanging="360"/>
      </w:pPr>
    </w:lvl>
    <w:lvl w:ilvl="2" w:tplc="D71C0FA0">
      <w:start w:val="1"/>
      <w:numFmt w:val="lowerRoman"/>
      <w:lvlText w:val="%3."/>
      <w:lvlJc w:val="right"/>
      <w:pPr>
        <w:ind w:left="2160" w:hanging="180"/>
      </w:pPr>
    </w:lvl>
    <w:lvl w:ilvl="3" w:tplc="BF1E7FE8">
      <w:start w:val="1"/>
      <w:numFmt w:val="decimal"/>
      <w:lvlText w:val="%4."/>
      <w:lvlJc w:val="left"/>
      <w:pPr>
        <w:ind w:left="2880" w:hanging="360"/>
      </w:pPr>
    </w:lvl>
    <w:lvl w:ilvl="4" w:tplc="8E5012CA">
      <w:start w:val="1"/>
      <w:numFmt w:val="lowerLetter"/>
      <w:lvlText w:val="%5."/>
      <w:lvlJc w:val="left"/>
      <w:pPr>
        <w:ind w:left="3600" w:hanging="360"/>
      </w:pPr>
    </w:lvl>
    <w:lvl w:ilvl="5" w:tplc="279263FC">
      <w:start w:val="1"/>
      <w:numFmt w:val="lowerRoman"/>
      <w:lvlText w:val="%6."/>
      <w:lvlJc w:val="right"/>
      <w:pPr>
        <w:ind w:left="4320" w:hanging="180"/>
      </w:pPr>
    </w:lvl>
    <w:lvl w:ilvl="6" w:tplc="30A0B63C">
      <w:start w:val="1"/>
      <w:numFmt w:val="decimal"/>
      <w:lvlText w:val="%7."/>
      <w:lvlJc w:val="left"/>
      <w:pPr>
        <w:ind w:left="5040" w:hanging="360"/>
      </w:pPr>
    </w:lvl>
    <w:lvl w:ilvl="7" w:tplc="AD58A2F0">
      <w:start w:val="1"/>
      <w:numFmt w:val="lowerLetter"/>
      <w:lvlText w:val="%8."/>
      <w:lvlJc w:val="left"/>
      <w:pPr>
        <w:ind w:left="5760" w:hanging="360"/>
      </w:pPr>
    </w:lvl>
    <w:lvl w:ilvl="8" w:tplc="815896FE">
      <w:start w:val="1"/>
      <w:numFmt w:val="lowerRoman"/>
      <w:lvlText w:val="%9."/>
      <w:lvlJc w:val="right"/>
      <w:pPr>
        <w:ind w:left="6480" w:hanging="180"/>
      </w:pPr>
    </w:lvl>
  </w:abstractNum>
  <w:abstractNum w:abstractNumId="31">
    <w:nsid w:val="4CBF055C"/>
    <w:multiLevelType w:val="hybridMultilevel"/>
    <w:tmpl w:val="8258F1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FB633ED"/>
    <w:multiLevelType w:val="hybridMultilevel"/>
    <w:tmpl w:val="AD8C53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500A461E"/>
    <w:multiLevelType w:val="hybridMultilevel"/>
    <w:tmpl w:val="64C42F64"/>
    <w:lvl w:ilvl="0" w:tplc="6F8CEE50">
      <w:start w:val="1"/>
      <w:numFmt w:val="bullet"/>
      <w:lvlText w:val="•"/>
      <w:lvlJc w:val="left"/>
      <w:pPr>
        <w:tabs>
          <w:tab w:val="num" w:pos="720"/>
        </w:tabs>
        <w:ind w:left="720" w:hanging="360"/>
      </w:pPr>
      <w:rPr>
        <w:rFonts w:ascii="Arial" w:hAnsi="Arial" w:hint="default"/>
      </w:rPr>
    </w:lvl>
    <w:lvl w:ilvl="1" w:tplc="FFD2A306" w:tentative="1">
      <w:start w:val="1"/>
      <w:numFmt w:val="bullet"/>
      <w:lvlText w:val="•"/>
      <w:lvlJc w:val="left"/>
      <w:pPr>
        <w:tabs>
          <w:tab w:val="num" w:pos="1440"/>
        </w:tabs>
        <w:ind w:left="1440" w:hanging="360"/>
      </w:pPr>
      <w:rPr>
        <w:rFonts w:ascii="Arial" w:hAnsi="Arial" w:hint="default"/>
      </w:rPr>
    </w:lvl>
    <w:lvl w:ilvl="2" w:tplc="C92AD5D8" w:tentative="1">
      <w:start w:val="1"/>
      <w:numFmt w:val="bullet"/>
      <w:lvlText w:val="•"/>
      <w:lvlJc w:val="left"/>
      <w:pPr>
        <w:tabs>
          <w:tab w:val="num" w:pos="2160"/>
        </w:tabs>
        <w:ind w:left="2160" w:hanging="360"/>
      </w:pPr>
      <w:rPr>
        <w:rFonts w:ascii="Arial" w:hAnsi="Arial" w:hint="default"/>
      </w:rPr>
    </w:lvl>
    <w:lvl w:ilvl="3" w:tplc="7E3A179A" w:tentative="1">
      <w:start w:val="1"/>
      <w:numFmt w:val="bullet"/>
      <w:lvlText w:val="•"/>
      <w:lvlJc w:val="left"/>
      <w:pPr>
        <w:tabs>
          <w:tab w:val="num" w:pos="2880"/>
        </w:tabs>
        <w:ind w:left="2880" w:hanging="360"/>
      </w:pPr>
      <w:rPr>
        <w:rFonts w:ascii="Arial" w:hAnsi="Arial" w:hint="default"/>
      </w:rPr>
    </w:lvl>
    <w:lvl w:ilvl="4" w:tplc="C0924AF0" w:tentative="1">
      <w:start w:val="1"/>
      <w:numFmt w:val="bullet"/>
      <w:lvlText w:val="•"/>
      <w:lvlJc w:val="left"/>
      <w:pPr>
        <w:tabs>
          <w:tab w:val="num" w:pos="3600"/>
        </w:tabs>
        <w:ind w:left="3600" w:hanging="360"/>
      </w:pPr>
      <w:rPr>
        <w:rFonts w:ascii="Arial" w:hAnsi="Arial" w:hint="default"/>
      </w:rPr>
    </w:lvl>
    <w:lvl w:ilvl="5" w:tplc="45183BDE" w:tentative="1">
      <w:start w:val="1"/>
      <w:numFmt w:val="bullet"/>
      <w:lvlText w:val="•"/>
      <w:lvlJc w:val="left"/>
      <w:pPr>
        <w:tabs>
          <w:tab w:val="num" w:pos="4320"/>
        </w:tabs>
        <w:ind w:left="4320" w:hanging="360"/>
      </w:pPr>
      <w:rPr>
        <w:rFonts w:ascii="Arial" w:hAnsi="Arial" w:hint="default"/>
      </w:rPr>
    </w:lvl>
    <w:lvl w:ilvl="6" w:tplc="22521FF6" w:tentative="1">
      <w:start w:val="1"/>
      <w:numFmt w:val="bullet"/>
      <w:lvlText w:val="•"/>
      <w:lvlJc w:val="left"/>
      <w:pPr>
        <w:tabs>
          <w:tab w:val="num" w:pos="5040"/>
        </w:tabs>
        <w:ind w:left="5040" w:hanging="360"/>
      </w:pPr>
      <w:rPr>
        <w:rFonts w:ascii="Arial" w:hAnsi="Arial" w:hint="default"/>
      </w:rPr>
    </w:lvl>
    <w:lvl w:ilvl="7" w:tplc="A19A37DE" w:tentative="1">
      <w:start w:val="1"/>
      <w:numFmt w:val="bullet"/>
      <w:lvlText w:val="•"/>
      <w:lvlJc w:val="left"/>
      <w:pPr>
        <w:tabs>
          <w:tab w:val="num" w:pos="5760"/>
        </w:tabs>
        <w:ind w:left="5760" w:hanging="360"/>
      </w:pPr>
      <w:rPr>
        <w:rFonts w:ascii="Arial" w:hAnsi="Arial" w:hint="default"/>
      </w:rPr>
    </w:lvl>
    <w:lvl w:ilvl="8" w:tplc="B358B07E" w:tentative="1">
      <w:start w:val="1"/>
      <w:numFmt w:val="bullet"/>
      <w:lvlText w:val="•"/>
      <w:lvlJc w:val="left"/>
      <w:pPr>
        <w:tabs>
          <w:tab w:val="num" w:pos="6480"/>
        </w:tabs>
        <w:ind w:left="6480" w:hanging="360"/>
      </w:pPr>
      <w:rPr>
        <w:rFonts w:ascii="Arial" w:hAnsi="Arial" w:hint="default"/>
      </w:rPr>
    </w:lvl>
  </w:abstractNum>
  <w:abstractNum w:abstractNumId="34">
    <w:nsid w:val="55752B50"/>
    <w:multiLevelType w:val="hybridMultilevel"/>
    <w:tmpl w:val="A9CC7F7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5">
    <w:nsid w:val="57F3483D"/>
    <w:multiLevelType w:val="hybridMultilevel"/>
    <w:tmpl w:val="1464A9CE"/>
    <w:lvl w:ilvl="0" w:tplc="100C0003">
      <w:start w:val="1"/>
      <w:numFmt w:val="bullet"/>
      <w:lvlText w:val="o"/>
      <w:lvlJc w:val="left"/>
      <w:pPr>
        <w:ind w:left="1080" w:hanging="360"/>
      </w:pPr>
      <w:rPr>
        <w:rFonts w:ascii="Courier New" w:hAnsi="Courier New" w:cs="Courier New"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36">
    <w:nsid w:val="58D367BA"/>
    <w:multiLevelType w:val="hybridMultilevel"/>
    <w:tmpl w:val="28EC67C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7">
    <w:nsid w:val="5BD66FCD"/>
    <w:multiLevelType w:val="hybridMultilevel"/>
    <w:tmpl w:val="D6540720"/>
    <w:lvl w:ilvl="0" w:tplc="100C0001">
      <w:start w:val="1"/>
      <w:numFmt w:val="bullet"/>
      <w:lvlText w:val=""/>
      <w:lvlJc w:val="left"/>
      <w:pPr>
        <w:ind w:left="360" w:hanging="360"/>
      </w:pPr>
      <w:rPr>
        <w:rFonts w:ascii="Symbol" w:hAnsi="Symbo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38">
    <w:nsid w:val="65D27FDC"/>
    <w:multiLevelType w:val="hybridMultilevel"/>
    <w:tmpl w:val="773251A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9">
    <w:nsid w:val="67864925"/>
    <w:multiLevelType w:val="hybridMultilevel"/>
    <w:tmpl w:val="A7001D70"/>
    <w:lvl w:ilvl="0" w:tplc="100C0003">
      <w:start w:val="1"/>
      <w:numFmt w:val="bullet"/>
      <w:lvlText w:val="o"/>
      <w:lvlJc w:val="left"/>
      <w:pPr>
        <w:ind w:left="1428" w:hanging="360"/>
      </w:pPr>
      <w:rPr>
        <w:rFonts w:ascii="Courier New" w:hAnsi="Courier New" w:cs="Courier New" w:hint="default"/>
      </w:rPr>
    </w:lvl>
    <w:lvl w:ilvl="1" w:tplc="100C0003" w:tentative="1">
      <w:start w:val="1"/>
      <w:numFmt w:val="bullet"/>
      <w:lvlText w:val="o"/>
      <w:lvlJc w:val="left"/>
      <w:pPr>
        <w:ind w:left="2148" w:hanging="360"/>
      </w:pPr>
      <w:rPr>
        <w:rFonts w:ascii="Courier New" w:hAnsi="Courier New" w:cs="Courier New" w:hint="default"/>
      </w:rPr>
    </w:lvl>
    <w:lvl w:ilvl="2" w:tplc="100C0005" w:tentative="1">
      <w:start w:val="1"/>
      <w:numFmt w:val="bullet"/>
      <w:lvlText w:val=""/>
      <w:lvlJc w:val="left"/>
      <w:pPr>
        <w:ind w:left="2868" w:hanging="360"/>
      </w:pPr>
      <w:rPr>
        <w:rFonts w:ascii="Wingdings" w:hAnsi="Wingdings" w:hint="default"/>
      </w:rPr>
    </w:lvl>
    <w:lvl w:ilvl="3" w:tplc="100C0001" w:tentative="1">
      <w:start w:val="1"/>
      <w:numFmt w:val="bullet"/>
      <w:lvlText w:val=""/>
      <w:lvlJc w:val="left"/>
      <w:pPr>
        <w:ind w:left="3588" w:hanging="360"/>
      </w:pPr>
      <w:rPr>
        <w:rFonts w:ascii="Symbol" w:hAnsi="Symbol" w:hint="default"/>
      </w:rPr>
    </w:lvl>
    <w:lvl w:ilvl="4" w:tplc="100C0003" w:tentative="1">
      <w:start w:val="1"/>
      <w:numFmt w:val="bullet"/>
      <w:lvlText w:val="o"/>
      <w:lvlJc w:val="left"/>
      <w:pPr>
        <w:ind w:left="4308" w:hanging="360"/>
      </w:pPr>
      <w:rPr>
        <w:rFonts w:ascii="Courier New" w:hAnsi="Courier New" w:cs="Courier New" w:hint="default"/>
      </w:rPr>
    </w:lvl>
    <w:lvl w:ilvl="5" w:tplc="100C0005" w:tentative="1">
      <w:start w:val="1"/>
      <w:numFmt w:val="bullet"/>
      <w:lvlText w:val=""/>
      <w:lvlJc w:val="left"/>
      <w:pPr>
        <w:ind w:left="5028" w:hanging="360"/>
      </w:pPr>
      <w:rPr>
        <w:rFonts w:ascii="Wingdings" w:hAnsi="Wingdings" w:hint="default"/>
      </w:rPr>
    </w:lvl>
    <w:lvl w:ilvl="6" w:tplc="100C0001" w:tentative="1">
      <w:start w:val="1"/>
      <w:numFmt w:val="bullet"/>
      <w:lvlText w:val=""/>
      <w:lvlJc w:val="left"/>
      <w:pPr>
        <w:ind w:left="5748" w:hanging="360"/>
      </w:pPr>
      <w:rPr>
        <w:rFonts w:ascii="Symbol" w:hAnsi="Symbol" w:hint="default"/>
      </w:rPr>
    </w:lvl>
    <w:lvl w:ilvl="7" w:tplc="100C0003" w:tentative="1">
      <w:start w:val="1"/>
      <w:numFmt w:val="bullet"/>
      <w:lvlText w:val="o"/>
      <w:lvlJc w:val="left"/>
      <w:pPr>
        <w:ind w:left="6468" w:hanging="360"/>
      </w:pPr>
      <w:rPr>
        <w:rFonts w:ascii="Courier New" w:hAnsi="Courier New" w:cs="Courier New" w:hint="default"/>
      </w:rPr>
    </w:lvl>
    <w:lvl w:ilvl="8" w:tplc="100C0005" w:tentative="1">
      <w:start w:val="1"/>
      <w:numFmt w:val="bullet"/>
      <w:lvlText w:val=""/>
      <w:lvlJc w:val="left"/>
      <w:pPr>
        <w:ind w:left="7188" w:hanging="360"/>
      </w:pPr>
      <w:rPr>
        <w:rFonts w:ascii="Wingdings" w:hAnsi="Wingdings" w:hint="default"/>
      </w:rPr>
    </w:lvl>
  </w:abstractNum>
  <w:abstractNum w:abstractNumId="40">
    <w:nsid w:val="68B9570E"/>
    <w:multiLevelType w:val="hybridMultilevel"/>
    <w:tmpl w:val="E8D86C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6B642FDB"/>
    <w:multiLevelType w:val="hybridMultilevel"/>
    <w:tmpl w:val="58D8B6E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2">
    <w:nsid w:val="6BFE3313"/>
    <w:multiLevelType w:val="hybridMultilevel"/>
    <w:tmpl w:val="93580FBE"/>
    <w:lvl w:ilvl="0" w:tplc="100C0001">
      <w:start w:val="1"/>
      <w:numFmt w:val="bullet"/>
      <w:lvlText w:val=""/>
      <w:lvlJc w:val="left"/>
      <w:pPr>
        <w:ind w:left="360" w:hanging="360"/>
      </w:pPr>
      <w:rPr>
        <w:rFonts w:ascii="Symbol" w:hAnsi="Symbo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43">
    <w:nsid w:val="76346B4A"/>
    <w:multiLevelType w:val="hybridMultilevel"/>
    <w:tmpl w:val="6EBEC656"/>
    <w:lvl w:ilvl="0" w:tplc="100C0003">
      <w:start w:val="1"/>
      <w:numFmt w:val="bullet"/>
      <w:lvlText w:val="o"/>
      <w:lvlJc w:val="left"/>
      <w:pPr>
        <w:ind w:left="1068" w:hanging="360"/>
      </w:pPr>
      <w:rPr>
        <w:rFonts w:ascii="Courier New" w:hAnsi="Courier New" w:cs="Courier New" w:hint="default"/>
      </w:rPr>
    </w:lvl>
    <w:lvl w:ilvl="1" w:tplc="100C0003" w:tentative="1">
      <w:start w:val="1"/>
      <w:numFmt w:val="bullet"/>
      <w:lvlText w:val="o"/>
      <w:lvlJc w:val="left"/>
      <w:pPr>
        <w:ind w:left="1788" w:hanging="360"/>
      </w:pPr>
      <w:rPr>
        <w:rFonts w:ascii="Courier New" w:hAnsi="Courier New" w:cs="Courier New" w:hint="default"/>
      </w:rPr>
    </w:lvl>
    <w:lvl w:ilvl="2" w:tplc="100C0005" w:tentative="1">
      <w:start w:val="1"/>
      <w:numFmt w:val="bullet"/>
      <w:lvlText w:val=""/>
      <w:lvlJc w:val="left"/>
      <w:pPr>
        <w:ind w:left="2508" w:hanging="360"/>
      </w:pPr>
      <w:rPr>
        <w:rFonts w:ascii="Wingdings" w:hAnsi="Wingdings" w:hint="default"/>
      </w:rPr>
    </w:lvl>
    <w:lvl w:ilvl="3" w:tplc="100C0001" w:tentative="1">
      <w:start w:val="1"/>
      <w:numFmt w:val="bullet"/>
      <w:lvlText w:val=""/>
      <w:lvlJc w:val="left"/>
      <w:pPr>
        <w:ind w:left="3228" w:hanging="360"/>
      </w:pPr>
      <w:rPr>
        <w:rFonts w:ascii="Symbol" w:hAnsi="Symbol" w:hint="default"/>
      </w:rPr>
    </w:lvl>
    <w:lvl w:ilvl="4" w:tplc="100C0003" w:tentative="1">
      <w:start w:val="1"/>
      <w:numFmt w:val="bullet"/>
      <w:lvlText w:val="o"/>
      <w:lvlJc w:val="left"/>
      <w:pPr>
        <w:ind w:left="3948" w:hanging="360"/>
      </w:pPr>
      <w:rPr>
        <w:rFonts w:ascii="Courier New" w:hAnsi="Courier New" w:cs="Courier New" w:hint="default"/>
      </w:rPr>
    </w:lvl>
    <w:lvl w:ilvl="5" w:tplc="100C0005" w:tentative="1">
      <w:start w:val="1"/>
      <w:numFmt w:val="bullet"/>
      <w:lvlText w:val=""/>
      <w:lvlJc w:val="left"/>
      <w:pPr>
        <w:ind w:left="4668" w:hanging="360"/>
      </w:pPr>
      <w:rPr>
        <w:rFonts w:ascii="Wingdings" w:hAnsi="Wingdings" w:hint="default"/>
      </w:rPr>
    </w:lvl>
    <w:lvl w:ilvl="6" w:tplc="100C0001" w:tentative="1">
      <w:start w:val="1"/>
      <w:numFmt w:val="bullet"/>
      <w:lvlText w:val=""/>
      <w:lvlJc w:val="left"/>
      <w:pPr>
        <w:ind w:left="5388" w:hanging="360"/>
      </w:pPr>
      <w:rPr>
        <w:rFonts w:ascii="Symbol" w:hAnsi="Symbol" w:hint="default"/>
      </w:rPr>
    </w:lvl>
    <w:lvl w:ilvl="7" w:tplc="100C0003" w:tentative="1">
      <w:start w:val="1"/>
      <w:numFmt w:val="bullet"/>
      <w:lvlText w:val="o"/>
      <w:lvlJc w:val="left"/>
      <w:pPr>
        <w:ind w:left="6108" w:hanging="360"/>
      </w:pPr>
      <w:rPr>
        <w:rFonts w:ascii="Courier New" w:hAnsi="Courier New" w:cs="Courier New" w:hint="default"/>
      </w:rPr>
    </w:lvl>
    <w:lvl w:ilvl="8" w:tplc="100C0005" w:tentative="1">
      <w:start w:val="1"/>
      <w:numFmt w:val="bullet"/>
      <w:lvlText w:val=""/>
      <w:lvlJc w:val="left"/>
      <w:pPr>
        <w:ind w:left="6828" w:hanging="360"/>
      </w:pPr>
      <w:rPr>
        <w:rFonts w:ascii="Wingdings" w:hAnsi="Wingdings" w:hint="default"/>
      </w:rPr>
    </w:lvl>
  </w:abstractNum>
  <w:abstractNum w:abstractNumId="44">
    <w:nsid w:val="77030E90"/>
    <w:multiLevelType w:val="hybridMultilevel"/>
    <w:tmpl w:val="A05A1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8F93F5C"/>
    <w:multiLevelType w:val="hybridMultilevel"/>
    <w:tmpl w:val="CBCCE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BF23AFE"/>
    <w:multiLevelType w:val="hybridMultilevel"/>
    <w:tmpl w:val="C26C3B6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7">
    <w:nsid w:val="7C4C351A"/>
    <w:multiLevelType w:val="hybridMultilevel"/>
    <w:tmpl w:val="CB729174"/>
    <w:lvl w:ilvl="0" w:tplc="100C0001">
      <w:start w:val="1"/>
      <w:numFmt w:val="bullet"/>
      <w:lvlText w:val=""/>
      <w:lvlJc w:val="left"/>
      <w:pPr>
        <w:ind w:left="360" w:hanging="360"/>
      </w:pPr>
      <w:rPr>
        <w:rFonts w:ascii="Symbol" w:hAnsi="Symbo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48">
    <w:nsid w:val="7D1724A0"/>
    <w:multiLevelType w:val="hybridMultilevel"/>
    <w:tmpl w:val="FFFFFFFF"/>
    <w:lvl w:ilvl="0" w:tplc="6D3C08E0">
      <w:start w:val="1"/>
      <w:numFmt w:val="bullet"/>
      <w:lvlText w:val=""/>
      <w:lvlJc w:val="left"/>
      <w:pPr>
        <w:ind w:left="360" w:hanging="360"/>
      </w:pPr>
      <w:rPr>
        <w:rFonts w:ascii="Symbol" w:hAnsi="Symbol" w:hint="default"/>
      </w:rPr>
    </w:lvl>
    <w:lvl w:ilvl="1" w:tplc="CB60C2EC">
      <w:start w:val="1"/>
      <w:numFmt w:val="bullet"/>
      <w:lvlText w:val="o"/>
      <w:lvlJc w:val="left"/>
      <w:pPr>
        <w:ind w:left="1080" w:hanging="360"/>
      </w:pPr>
      <w:rPr>
        <w:rFonts w:ascii="Courier New" w:hAnsi="Courier New" w:hint="default"/>
      </w:rPr>
    </w:lvl>
    <w:lvl w:ilvl="2" w:tplc="8E8AD5BA">
      <w:start w:val="1"/>
      <w:numFmt w:val="bullet"/>
      <w:lvlText w:val=""/>
      <w:lvlJc w:val="left"/>
      <w:pPr>
        <w:ind w:left="1800" w:hanging="360"/>
      </w:pPr>
      <w:rPr>
        <w:rFonts w:ascii="Wingdings" w:hAnsi="Wingdings" w:hint="default"/>
      </w:rPr>
    </w:lvl>
    <w:lvl w:ilvl="3" w:tplc="D728D0FC">
      <w:start w:val="1"/>
      <w:numFmt w:val="bullet"/>
      <w:lvlText w:val=""/>
      <w:lvlJc w:val="left"/>
      <w:pPr>
        <w:ind w:left="2520" w:hanging="360"/>
      </w:pPr>
      <w:rPr>
        <w:rFonts w:ascii="Symbol" w:hAnsi="Symbol" w:hint="default"/>
      </w:rPr>
    </w:lvl>
    <w:lvl w:ilvl="4" w:tplc="E2B8470E">
      <w:start w:val="1"/>
      <w:numFmt w:val="bullet"/>
      <w:lvlText w:val="o"/>
      <w:lvlJc w:val="left"/>
      <w:pPr>
        <w:ind w:left="3240" w:hanging="360"/>
      </w:pPr>
      <w:rPr>
        <w:rFonts w:ascii="Courier New" w:hAnsi="Courier New" w:hint="default"/>
      </w:rPr>
    </w:lvl>
    <w:lvl w:ilvl="5" w:tplc="56A8C580">
      <w:start w:val="1"/>
      <w:numFmt w:val="bullet"/>
      <w:lvlText w:val=""/>
      <w:lvlJc w:val="left"/>
      <w:pPr>
        <w:ind w:left="3960" w:hanging="360"/>
      </w:pPr>
      <w:rPr>
        <w:rFonts w:ascii="Wingdings" w:hAnsi="Wingdings" w:hint="default"/>
      </w:rPr>
    </w:lvl>
    <w:lvl w:ilvl="6" w:tplc="6FA6B4E6">
      <w:start w:val="1"/>
      <w:numFmt w:val="bullet"/>
      <w:lvlText w:val=""/>
      <w:lvlJc w:val="left"/>
      <w:pPr>
        <w:ind w:left="4680" w:hanging="360"/>
      </w:pPr>
      <w:rPr>
        <w:rFonts w:ascii="Symbol" w:hAnsi="Symbol" w:hint="default"/>
      </w:rPr>
    </w:lvl>
    <w:lvl w:ilvl="7" w:tplc="6B169582">
      <w:start w:val="1"/>
      <w:numFmt w:val="bullet"/>
      <w:lvlText w:val="o"/>
      <w:lvlJc w:val="left"/>
      <w:pPr>
        <w:ind w:left="5400" w:hanging="360"/>
      </w:pPr>
      <w:rPr>
        <w:rFonts w:ascii="Courier New" w:hAnsi="Courier New" w:hint="default"/>
      </w:rPr>
    </w:lvl>
    <w:lvl w:ilvl="8" w:tplc="42BECFF8">
      <w:start w:val="1"/>
      <w:numFmt w:val="bullet"/>
      <w:lvlText w:val=""/>
      <w:lvlJc w:val="left"/>
      <w:pPr>
        <w:ind w:left="6120" w:hanging="360"/>
      </w:pPr>
      <w:rPr>
        <w:rFonts w:ascii="Wingdings" w:hAnsi="Wingdings" w:hint="default"/>
      </w:rPr>
    </w:lvl>
  </w:abstractNum>
  <w:num w:numId="1">
    <w:abstractNumId w:val="30"/>
  </w:num>
  <w:num w:numId="2">
    <w:abstractNumId w:val="16"/>
  </w:num>
  <w:num w:numId="3">
    <w:abstractNumId w:val="12"/>
  </w:num>
  <w:num w:numId="4">
    <w:abstractNumId w:val="38"/>
  </w:num>
  <w:num w:numId="5">
    <w:abstractNumId w:val="8"/>
  </w:num>
  <w:num w:numId="6">
    <w:abstractNumId w:val="27"/>
  </w:num>
  <w:num w:numId="7">
    <w:abstractNumId w:val="39"/>
  </w:num>
  <w:num w:numId="8">
    <w:abstractNumId w:val="21"/>
  </w:num>
  <w:num w:numId="9">
    <w:abstractNumId w:val="1"/>
  </w:num>
  <w:num w:numId="10">
    <w:abstractNumId w:val="17"/>
  </w:num>
  <w:num w:numId="11">
    <w:abstractNumId w:val="33"/>
  </w:num>
  <w:num w:numId="12">
    <w:abstractNumId w:val="41"/>
  </w:num>
  <w:num w:numId="13">
    <w:abstractNumId w:val="15"/>
  </w:num>
  <w:num w:numId="14">
    <w:abstractNumId w:val="36"/>
  </w:num>
  <w:num w:numId="15">
    <w:abstractNumId w:val="28"/>
  </w:num>
  <w:num w:numId="16">
    <w:abstractNumId w:val="3"/>
  </w:num>
  <w:num w:numId="17">
    <w:abstractNumId w:val="47"/>
  </w:num>
  <w:num w:numId="18">
    <w:abstractNumId w:val="37"/>
  </w:num>
  <w:num w:numId="19">
    <w:abstractNumId w:val="48"/>
  </w:num>
  <w:num w:numId="20">
    <w:abstractNumId w:val="5"/>
  </w:num>
  <w:num w:numId="21">
    <w:abstractNumId w:val="23"/>
  </w:num>
  <w:num w:numId="22">
    <w:abstractNumId w:val="34"/>
  </w:num>
  <w:num w:numId="23">
    <w:abstractNumId w:val="46"/>
  </w:num>
  <w:num w:numId="24">
    <w:abstractNumId w:val="44"/>
  </w:num>
  <w:num w:numId="25">
    <w:abstractNumId w:val="10"/>
  </w:num>
  <w:num w:numId="26">
    <w:abstractNumId w:val="7"/>
  </w:num>
  <w:num w:numId="27">
    <w:abstractNumId w:val="24"/>
  </w:num>
  <w:num w:numId="28">
    <w:abstractNumId w:val="26"/>
  </w:num>
  <w:num w:numId="29">
    <w:abstractNumId w:val="31"/>
  </w:num>
  <w:num w:numId="30">
    <w:abstractNumId w:val="18"/>
  </w:num>
  <w:num w:numId="31">
    <w:abstractNumId w:val="9"/>
  </w:num>
  <w:num w:numId="32">
    <w:abstractNumId w:val="29"/>
  </w:num>
  <w:num w:numId="33">
    <w:abstractNumId w:val="20"/>
  </w:num>
  <w:num w:numId="34">
    <w:abstractNumId w:val="2"/>
  </w:num>
  <w:num w:numId="35">
    <w:abstractNumId w:val="14"/>
  </w:num>
  <w:num w:numId="36">
    <w:abstractNumId w:val="42"/>
  </w:num>
  <w:num w:numId="37">
    <w:abstractNumId w:val="35"/>
  </w:num>
  <w:num w:numId="38">
    <w:abstractNumId w:val="4"/>
  </w:num>
  <w:num w:numId="39">
    <w:abstractNumId w:val="0"/>
  </w:num>
  <w:num w:numId="40">
    <w:abstractNumId w:val="19"/>
  </w:num>
  <w:num w:numId="41">
    <w:abstractNumId w:val="13"/>
  </w:num>
  <w:num w:numId="42">
    <w:abstractNumId w:val="13"/>
    <w:lvlOverride w:ilvl="0">
      <w:startOverride w:val="1"/>
    </w:lvlOverride>
  </w:num>
  <w:num w:numId="43">
    <w:abstractNumId w:val="11"/>
  </w:num>
  <w:num w:numId="44">
    <w:abstractNumId w:val="43"/>
  </w:num>
  <w:num w:numId="45">
    <w:abstractNumId w:val="22"/>
  </w:num>
  <w:num w:numId="46">
    <w:abstractNumId w:val="25"/>
  </w:num>
  <w:num w:numId="47">
    <w:abstractNumId w:val="32"/>
  </w:num>
  <w:num w:numId="48">
    <w:abstractNumId w:val="6"/>
  </w:num>
  <w:num w:numId="49">
    <w:abstractNumId w:val="45"/>
  </w:num>
  <w:num w:numId="5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Natur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trar5vt4rp2vnef2s6pdf09pwf2p029wadz&quot;&gt;poussin et al&lt;record-ids&gt;&lt;item&gt;49&lt;/item&gt;&lt;item&gt;50&lt;/item&gt;&lt;item&gt;51&lt;/item&gt;&lt;item&gt;52&lt;/item&gt;&lt;item&gt;53&lt;/item&gt;&lt;item&gt;54&lt;/item&gt;&lt;item&gt;55&lt;/item&gt;&lt;item&gt;56&lt;/item&gt;&lt;item&gt;58&lt;/item&gt;&lt;item&gt;59&lt;/item&gt;&lt;item&gt;60&lt;/item&gt;&lt;item&gt;61&lt;/item&gt;&lt;/record-ids&gt;&lt;/item&gt;&lt;/Libraries&gt;"/>
  </w:docVars>
  <w:rsids>
    <w:rsidRoot w:val="0090050A"/>
    <w:rsid w:val="000040B8"/>
    <w:rsid w:val="00021B9E"/>
    <w:rsid w:val="00037200"/>
    <w:rsid w:val="000443EC"/>
    <w:rsid w:val="00076B53"/>
    <w:rsid w:val="000A5EA1"/>
    <w:rsid w:val="000B23F9"/>
    <w:rsid w:val="000D4020"/>
    <w:rsid w:val="000E2EC3"/>
    <w:rsid w:val="0010075A"/>
    <w:rsid w:val="0011469E"/>
    <w:rsid w:val="00121EDD"/>
    <w:rsid w:val="0013182B"/>
    <w:rsid w:val="001325A2"/>
    <w:rsid w:val="00141465"/>
    <w:rsid w:val="00141D89"/>
    <w:rsid w:val="0014543A"/>
    <w:rsid w:val="00151844"/>
    <w:rsid w:val="00160A14"/>
    <w:rsid w:val="00160FE7"/>
    <w:rsid w:val="00164BFA"/>
    <w:rsid w:val="00191F80"/>
    <w:rsid w:val="0019741C"/>
    <w:rsid w:val="001976D1"/>
    <w:rsid w:val="001A6A3C"/>
    <w:rsid w:val="001B3902"/>
    <w:rsid w:val="001F0275"/>
    <w:rsid w:val="00201E19"/>
    <w:rsid w:val="00202617"/>
    <w:rsid w:val="00244C36"/>
    <w:rsid w:val="002473BB"/>
    <w:rsid w:val="00252EA8"/>
    <w:rsid w:val="00266064"/>
    <w:rsid w:val="0028531A"/>
    <w:rsid w:val="002974C7"/>
    <w:rsid w:val="002E4404"/>
    <w:rsid w:val="00303065"/>
    <w:rsid w:val="00305BE7"/>
    <w:rsid w:val="00313088"/>
    <w:rsid w:val="00331773"/>
    <w:rsid w:val="00336B05"/>
    <w:rsid w:val="00352D46"/>
    <w:rsid w:val="0035526C"/>
    <w:rsid w:val="00375617"/>
    <w:rsid w:val="00377744"/>
    <w:rsid w:val="003A533D"/>
    <w:rsid w:val="003F05B8"/>
    <w:rsid w:val="00406FE7"/>
    <w:rsid w:val="0041302F"/>
    <w:rsid w:val="004176FB"/>
    <w:rsid w:val="004628F0"/>
    <w:rsid w:val="00463175"/>
    <w:rsid w:val="00481C13"/>
    <w:rsid w:val="004B7ED4"/>
    <w:rsid w:val="004F07BF"/>
    <w:rsid w:val="00501219"/>
    <w:rsid w:val="00510759"/>
    <w:rsid w:val="00525401"/>
    <w:rsid w:val="00526E5A"/>
    <w:rsid w:val="00532C09"/>
    <w:rsid w:val="00536A03"/>
    <w:rsid w:val="0053739D"/>
    <w:rsid w:val="00567622"/>
    <w:rsid w:val="00570871"/>
    <w:rsid w:val="00571287"/>
    <w:rsid w:val="005A506A"/>
    <w:rsid w:val="005B4A68"/>
    <w:rsid w:val="005C327D"/>
    <w:rsid w:val="005F5CF6"/>
    <w:rsid w:val="00600E20"/>
    <w:rsid w:val="006149F3"/>
    <w:rsid w:val="00616E59"/>
    <w:rsid w:val="00626106"/>
    <w:rsid w:val="00627D55"/>
    <w:rsid w:val="00631267"/>
    <w:rsid w:val="0063512D"/>
    <w:rsid w:val="00655A6B"/>
    <w:rsid w:val="00665C33"/>
    <w:rsid w:val="006807E0"/>
    <w:rsid w:val="006858AD"/>
    <w:rsid w:val="006979FD"/>
    <w:rsid w:val="006D374F"/>
    <w:rsid w:val="006E180C"/>
    <w:rsid w:val="007043E5"/>
    <w:rsid w:val="0075113B"/>
    <w:rsid w:val="00752946"/>
    <w:rsid w:val="0076484A"/>
    <w:rsid w:val="00767B8E"/>
    <w:rsid w:val="00773C9E"/>
    <w:rsid w:val="00774A5D"/>
    <w:rsid w:val="0078487A"/>
    <w:rsid w:val="00785F59"/>
    <w:rsid w:val="007A260C"/>
    <w:rsid w:val="007B64E8"/>
    <w:rsid w:val="007D220F"/>
    <w:rsid w:val="007D4EE3"/>
    <w:rsid w:val="007E17EC"/>
    <w:rsid w:val="007F3559"/>
    <w:rsid w:val="00807615"/>
    <w:rsid w:val="0082330C"/>
    <w:rsid w:val="00833600"/>
    <w:rsid w:val="0085461C"/>
    <w:rsid w:val="008556FA"/>
    <w:rsid w:val="00884DA1"/>
    <w:rsid w:val="008C3682"/>
    <w:rsid w:val="008C4C7D"/>
    <w:rsid w:val="008D21C6"/>
    <w:rsid w:val="0090050A"/>
    <w:rsid w:val="00906B10"/>
    <w:rsid w:val="0091430A"/>
    <w:rsid w:val="00936EF4"/>
    <w:rsid w:val="00951CF6"/>
    <w:rsid w:val="00954E5F"/>
    <w:rsid w:val="00991D43"/>
    <w:rsid w:val="00992310"/>
    <w:rsid w:val="009B36D8"/>
    <w:rsid w:val="009B71A9"/>
    <w:rsid w:val="009F3B35"/>
    <w:rsid w:val="00A15403"/>
    <w:rsid w:val="00AA0083"/>
    <w:rsid w:val="00AA35A1"/>
    <w:rsid w:val="00AF3885"/>
    <w:rsid w:val="00B30F15"/>
    <w:rsid w:val="00B4498E"/>
    <w:rsid w:val="00B45FA8"/>
    <w:rsid w:val="00B5268A"/>
    <w:rsid w:val="00B57639"/>
    <w:rsid w:val="00B6099D"/>
    <w:rsid w:val="00B65B1A"/>
    <w:rsid w:val="00B70DB6"/>
    <w:rsid w:val="00B81E01"/>
    <w:rsid w:val="00BB502F"/>
    <w:rsid w:val="00BC547D"/>
    <w:rsid w:val="00BD2142"/>
    <w:rsid w:val="00C225B8"/>
    <w:rsid w:val="00C509F9"/>
    <w:rsid w:val="00C52D0C"/>
    <w:rsid w:val="00CA0B34"/>
    <w:rsid w:val="00CB2E14"/>
    <w:rsid w:val="00CC6687"/>
    <w:rsid w:val="00CD0596"/>
    <w:rsid w:val="00CF688E"/>
    <w:rsid w:val="00D02270"/>
    <w:rsid w:val="00D06692"/>
    <w:rsid w:val="00D10A3C"/>
    <w:rsid w:val="00D17FAE"/>
    <w:rsid w:val="00D71733"/>
    <w:rsid w:val="00D750FC"/>
    <w:rsid w:val="00D82345"/>
    <w:rsid w:val="00D846BD"/>
    <w:rsid w:val="00D9161D"/>
    <w:rsid w:val="00D96A83"/>
    <w:rsid w:val="00DB5CD9"/>
    <w:rsid w:val="00DC6915"/>
    <w:rsid w:val="00DE4BAF"/>
    <w:rsid w:val="00DF75F6"/>
    <w:rsid w:val="00E3560D"/>
    <w:rsid w:val="00E468FB"/>
    <w:rsid w:val="00E55236"/>
    <w:rsid w:val="00E74733"/>
    <w:rsid w:val="00E81F61"/>
    <w:rsid w:val="00E9582D"/>
    <w:rsid w:val="00E95C8C"/>
    <w:rsid w:val="00EC0099"/>
    <w:rsid w:val="00ED5D26"/>
    <w:rsid w:val="00F13813"/>
    <w:rsid w:val="00F27063"/>
    <w:rsid w:val="00F27760"/>
    <w:rsid w:val="00F461C3"/>
    <w:rsid w:val="00F647D1"/>
    <w:rsid w:val="00F747C4"/>
    <w:rsid w:val="00F916EA"/>
    <w:rsid w:val="00FB5E12"/>
    <w:rsid w:val="00FF74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7447A"/>
  <w15:chartTrackingRefBased/>
  <w15:docId w15:val="{9B590E60-18A6-48E6-B539-3BDB1B6F0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7B8E"/>
  </w:style>
  <w:style w:type="paragraph" w:styleId="Heading1">
    <w:name w:val="heading 1"/>
    <w:basedOn w:val="Normal"/>
    <w:next w:val="Normal"/>
    <w:link w:val="Heading1Char"/>
    <w:uiPriority w:val="9"/>
    <w:qFormat/>
    <w:rsid w:val="00627D5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27D5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27D5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D8234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67B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7B8E"/>
    <w:rPr>
      <w:rFonts w:ascii="Segoe UI" w:hAnsi="Segoe UI" w:cs="Segoe UI"/>
      <w:sz w:val="18"/>
      <w:szCs w:val="18"/>
    </w:rPr>
  </w:style>
  <w:style w:type="character" w:styleId="Hyperlink">
    <w:name w:val="Hyperlink"/>
    <w:uiPriority w:val="99"/>
    <w:unhideWhenUsed/>
    <w:rsid w:val="00767B8E"/>
    <w:rPr>
      <w:color w:val="0563C1"/>
      <w:u w:val="single"/>
    </w:rPr>
  </w:style>
  <w:style w:type="character" w:customStyle="1" w:styleId="UnresolvedMention">
    <w:name w:val="Unresolved Mention"/>
    <w:basedOn w:val="DefaultParagraphFont"/>
    <w:uiPriority w:val="99"/>
    <w:semiHidden/>
    <w:unhideWhenUsed/>
    <w:rsid w:val="00767B8E"/>
    <w:rPr>
      <w:color w:val="605E5C"/>
      <w:shd w:val="clear" w:color="auto" w:fill="E1DFDD"/>
    </w:rPr>
  </w:style>
  <w:style w:type="character" w:customStyle="1" w:styleId="Heading1Char">
    <w:name w:val="Heading 1 Char"/>
    <w:basedOn w:val="DefaultParagraphFont"/>
    <w:link w:val="Heading1"/>
    <w:uiPriority w:val="9"/>
    <w:rsid w:val="00627D5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27D55"/>
    <w:rPr>
      <w:rFonts w:asciiTheme="majorHAnsi" w:eastAsiaTheme="majorEastAsia" w:hAnsiTheme="majorHAnsi" w:cstheme="majorBidi"/>
      <w:color w:val="2F5496" w:themeColor="accent1" w:themeShade="BF"/>
      <w:sz w:val="26"/>
      <w:szCs w:val="26"/>
      <w:lang w:val="fr-CH"/>
    </w:rPr>
  </w:style>
  <w:style w:type="character" w:customStyle="1" w:styleId="Heading3Char">
    <w:name w:val="Heading 3 Char"/>
    <w:basedOn w:val="DefaultParagraphFont"/>
    <w:link w:val="Heading3"/>
    <w:uiPriority w:val="9"/>
    <w:rsid w:val="00627D55"/>
    <w:rPr>
      <w:rFonts w:asciiTheme="majorHAnsi" w:eastAsiaTheme="majorEastAsia" w:hAnsiTheme="majorHAnsi" w:cstheme="majorBidi"/>
      <w:color w:val="1F3763" w:themeColor="accent1" w:themeShade="7F"/>
      <w:sz w:val="24"/>
      <w:szCs w:val="24"/>
      <w:lang w:val="fr-CH"/>
    </w:rPr>
  </w:style>
  <w:style w:type="paragraph" w:styleId="ListParagraph">
    <w:name w:val="List Paragraph"/>
    <w:basedOn w:val="Normal"/>
    <w:uiPriority w:val="34"/>
    <w:qFormat/>
    <w:rsid w:val="00627D55"/>
    <w:pPr>
      <w:ind w:left="720"/>
      <w:contextualSpacing/>
    </w:pPr>
  </w:style>
  <w:style w:type="character" w:styleId="CommentReference">
    <w:name w:val="annotation reference"/>
    <w:basedOn w:val="DefaultParagraphFont"/>
    <w:uiPriority w:val="99"/>
    <w:unhideWhenUsed/>
    <w:rsid w:val="00627D55"/>
    <w:rPr>
      <w:sz w:val="16"/>
      <w:szCs w:val="16"/>
    </w:rPr>
  </w:style>
  <w:style w:type="paragraph" w:styleId="CommentText">
    <w:name w:val="annotation text"/>
    <w:basedOn w:val="Normal"/>
    <w:link w:val="CommentTextChar"/>
    <w:uiPriority w:val="99"/>
    <w:unhideWhenUsed/>
    <w:rsid w:val="00627D55"/>
    <w:pPr>
      <w:spacing w:line="240" w:lineRule="auto"/>
    </w:pPr>
    <w:rPr>
      <w:sz w:val="20"/>
      <w:szCs w:val="20"/>
    </w:rPr>
  </w:style>
  <w:style w:type="character" w:customStyle="1" w:styleId="CommentTextChar">
    <w:name w:val="Comment Text Char"/>
    <w:basedOn w:val="DefaultParagraphFont"/>
    <w:link w:val="CommentText"/>
    <w:uiPriority w:val="99"/>
    <w:rsid w:val="00627D55"/>
    <w:rPr>
      <w:sz w:val="20"/>
      <w:szCs w:val="20"/>
      <w:lang w:val="fr-CH"/>
    </w:rPr>
  </w:style>
  <w:style w:type="paragraph" w:styleId="CommentSubject">
    <w:name w:val="annotation subject"/>
    <w:basedOn w:val="CommentText"/>
    <w:next w:val="CommentText"/>
    <w:link w:val="CommentSubjectChar"/>
    <w:uiPriority w:val="99"/>
    <w:semiHidden/>
    <w:unhideWhenUsed/>
    <w:rsid w:val="00627D55"/>
    <w:rPr>
      <w:b/>
      <w:bCs/>
    </w:rPr>
  </w:style>
  <w:style w:type="character" w:customStyle="1" w:styleId="CommentSubjectChar">
    <w:name w:val="Comment Subject Char"/>
    <w:basedOn w:val="CommentTextChar"/>
    <w:link w:val="CommentSubject"/>
    <w:uiPriority w:val="99"/>
    <w:semiHidden/>
    <w:rsid w:val="00627D55"/>
    <w:rPr>
      <w:b/>
      <w:bCs/>
      <w:sz w:val="20"/>
      <w:szCs w:val="20"/>
      <w:lang w:val="fr-CH"/>
    </w:rPr>
  </w:style>
  <w:style w:type="paragraph" w:styleId="NoSpacing">
    <w:name w:val="No Spacing"/>
    <w:link w:val="NoSpacingChar"/>
    <w:uiPriority w:val="1"/>
    <w:qFormat/>
    <w:rsid w:val="00627D55"/>
    <w:pPr>
      <w:spacing w:after="0" w:line="240" w:lineRule="auto"/>
    </w:pPr>
  </w:style>
  <w:style w:type="paragraph" w:customStyle="1" w:styleId="EndNoteBibliography">
    <w:name w:val="EndNote Bibliography"/>
    <w:basedOn w:val="Normal"/>
    <w:link w:val="EndNoteBibliographyChar"/>
    <w:rsid w:val="00627D55"/>
    <w:pPr>
      <w:spacing w:after="0" w:line="240" w:lineRule="auto"/>
      <w:jc w:val="both"/>
    </w:pPr>
    <w:rPr>
      <w:rFonts w:ascii="Calibri" w:eastAsia="Batang" w:hAnsi="Calibri" w:cs="Calibri"/>
      <w:noProof/>
    </w:rPr>
  </w:style>
  <w:style w:type="character" w:customStyle="1" w:styleId="EndNoteBibliographyChar">
    <w:name w:val="EndNote Bibliography Char"/>
    <w:link w:val="EndNoteBibliography"/>
    <w:rsid w:val="00627D55"/>
    <w:rPr>
      <w:rFonts w:ascii="Calibri" w:eastAsia="Batang" w:hAnsi="Calibri" w:cs="Calibri"/>
      <w:noProof/>
    </w:rPr>
  </w:style>
  <w:style w:type="character" w:customStyle="1" w:styleId="NoSpacingChar">
    <w:name w:val="No Spacing Char"/>
    <w:basedOn w:val="DefaultParagraphFont"/>
    <w:link w:val="NoSpacing"/>
    <w:uiPriority w:val="1"/>
    <w:rsid w:val="00627D55"/>
  </w:style>
  <w:style w:type="table" w:styleId="TableGrid">
    <w:name w:val="Table Grid"/>
    <w:basedOn w:val="TableNormal"/>
    <w:uiPriority w:val="59"/>
    <w:rsid w:val="00627D55"/>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DefaultParagraphFont"/>
    <w:uiPriority w:val="99"/>
    <w:unhideWhenUsed/>
    <w:rsid w:val="00627D55"/>
    <w:rPr>
      <w:color w:val="605E5C"/>
      <w:shd w:val="clear" w:color="auto" w:fill="E1DFDD"/>
    </w:rPr>
  </w:style>
  <w:style w:type="character" w:customStyle="1" w:styleId="Mention1">
    <w:name w:val="Mention1"/>
    <w:basedOn w:val="DefaultParagraphFont"/>
    <w:uiPriority w:val="99"/>
    <w:unhideWhenUsed/>
    <w:rsid w:val="00627D55"/>
    <w:rPr>
      <w:color w:val="2B579A"/>
      <w:shd w:val="clear" w:color="auto" w:fill="E1DFDD"/>
    </w:rPr>
  </w:style>
  <w:style w:type="character" w:customStyle="1" w:styleId="id-label">
    <w:name w:val="id-label"/>
    <w:basedOn w:val="DefaultParagraphFont"/>
    <w:rsid w:val="00627D55"/>
  </w:style>
  <w:style w:type="character" w:styleId="Strong">
    <w:name w:val="Strong"/>
    <w:basedOn w:val="DefaultParagraphFont"/>
    <w:uiPriority w:val="22"/>
    <w:qFormat/>
    <w:rsid w:val="00627D55"/>
    <w:rPr>
      <w:b/>
      <w:bCs/>
    </w:rPr>
  </w:style>
  <w:style w:type="paragraph" w:styleId="Bibliography">
    <w:name w:val="Bibliography"/>
    <w:basedOn w:val="Normal"/>
    <w:next w:val="Normal"/>
    <w:uiPriority w:val="37"/>
    <w:semiHidden/>
    <w:unhideWhenUsed/>
    <w:rsid w:val="00627D55"/>
  </w:style>
  <w:style w:type="paragraph" w:customStyle="1" w:styleId="reference">
    <w:name w:val="reference"/>
    <w:basedOn w:val="Normal"/>
    <w:rsid w:val="00627D55"/>
    <w:pPr>
      <w:keepLines/>
      <w:numPr>
        <w:numId w:val="41"/>
      </w:numPr>
      <w:spacing w:after="120" w:line="240" w:lineRule="auto"/>
      <w:jc w:val="both"/>
    </w:pPr>
    <w:rPr>
      <w:rFonts w:ascii="Garamond" w:eastAsia="Times New Roman" w:hAnsi="Garamond" w:cs="Times New Roman"/>
      <w:szCs w:val="20"/>
      <w:lang w:val="en-GB" w:eastAsia="fr-FR"/>
    </w:rPr>
  </w:style>
  <w:style w:type="paragraph" w:styleId="NormalWeb">
    <w:name w:val="Normal (Web)"/>
    <w:basedOn w:val="Normal"/>
    <w:uiPriority w:val="99"/>
    <w:semiHidden/>
    <w:unhideWhenUsed/>
    <w:rsid w:val="00627D55"/>
    <w:pPr>
      <w:spacing w:before="100" w:beforeAutospacing="1" w:after="100" w:afterAutospacing="1" w:line="240" w:lineRule="auto"/>
    </w:pPr>
    <w:rPr>
      <w:rFonts w:ascii="Times New Roman" w:eastAsia="Times New Roman" w:hAnsi="Times New Roman" w:cs="Times New Roman"/>
      <w:sz w:val="24"/>
      <w:szCs w:val="24"/>
      <w:lang w:eastAsia="fr-CH"/>
    </w:rPr>
  </w:style>
  <w:style w:type="paragraph" w:styleId="Revision">
    <w:name w:val="Revision"/>
    <w:hidden/>
    <w:uiPriority w:val="99"/>
    <w:semiHidden/>
    <w:rsid w:val="00627D55"/>
    <w:pPr>
      <w:spacing w:after="0" w:line="240" w:lineRule="auto"/>
    </w:pPr>
    <w:rPr>
      <w:lang w:val="fr-CH"/>
    </w:rPr>
  </w:style>
  <w:style w:type="paragraph" w:styleId="Header">
    <w:name w:val="header"/>
    <w:basedOn w:val="Normal"/>
    <w:link w:val="HeaderChar"/>
    <w:uiPriority w:val="99"/>
    <w:unhideWhenUsed/>
    <w:rsid w:val="00627D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7D55"/>
    <w:rPr>
      <w:lang w:val="fr-CH"/>
    </w:rPr>
  </w:style>
  <w:style w:type="paragraph" w:styleId="Footer">
    <w:name w:val="footer"/>
    <w:basedOn w:val="Normal"/>
    <w:link w:val="FooterChar"/>
    <w:uiPriority w:val="99"/>
    <w:unhideWhenUsed/>
    <w:rsid w:val="00627D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7D55"/>
    <w:rPr>
      <w:lang w:val="fr-CH"/>
    </w:rPr>
  </w:style>
  <w:style w:type="character" w:styleId="FollowedHyperlink">
    <w:name w:val="FollowedHyperlink"/>
    <w:basedOn w:val="DefaultParagraphFont"/>
    <w:uiPriority w:val="99"/>
    <w:semiHidden/>
    <w:unhideWhenUsed/>
    <w:rsid w:val="00627D55"/>
    <w:rPr>
      <w:color w:val="954F72" w:themeColor="followedHyperlink"/>
      <w:u w:val="single"/>
    </w:rPr>
  </w:style>
  <w:style w:type="character" w:customStyle="1" w:styleId="Mention2">
    <w:name w:val="Mention2"/>
    <w:basedOn w:val="DefaultParagraphFont"/>
    <w:uiPriority w:val="99"/>
    <w:unhideWhenUsed/>
    <w:rsid w:val="00627D55"/>
    <w:rPr>
      <w:color w:val="2B579A"/>
      <w:shd w:val="clear" w:color="auto" w:fill="E6E6E6"/>
    </w:rPr>
  </w:style>
  <w:style w:type="character" w:customStyle="1" w:styleId="UnresolvedMention2">
    <w:name w:val="Unresolved Mention2"/>
    <w:basedOn w:val="DefaultParagraphFont"/>
    <w:uiPriority w:val="99"/>
    <w:semiHidden/>
    <w:unhideWhenUsed/>
    <w:rsid w:val="00627D55"/>
    <w:rPr>
      <w:color w:val="605E5C"/>
      <w:shd w:val="clear" w:color="auto" w:fill="E1DFDD"/>
    </w:rPr>
  </w:style>
  <w:style w:type="paragraph" w:customStyle="1" w:styleId="EndNoteBibliographyTitle">
    <w:name w:val="EndNote Bibliography Title"/>
    <w:basedOn w:val="Normal"/>
    <w:link w:val="EndNoteBibliographyTitleChar"/>
    <w:rsid w:val="00627D55"/>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627D55"/>
    <w:rPr>
      <w:rFonts w:ascii="Calibri" w:hAnsi="Calibri" w:cs="Calibri"/>
      <w:noProof/>
    </w:rPr>
  </w:style>
  <w:style w:type="character" w:customStyle="1" w:styleId="Heading4Char">
    <w:name w:val="Heading 4 Char"/>
    <w:basedOn w:val="DefaultParagraphFont"/>
    <w:link w:val="Heading4"/>
    <w:uiPriority w:val="9"/>
    <w:semiHidden/>
    <w:rsid w:val="00D82345"/>
    <w:rPr>
      <w:rFonts w:asciiTheme="majorHAnsi" w:eastAsiaTheme="majorEastAsia" w:hAnsiTheme="majorHAnsi" w:cstheme="majorBidi"/>
      <w:i/>
      <w:iCs/>
      <w:color w:val="2F5496" w:themeColor="accent1" w:themeShade="BF"/>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93/nar/gni179" TargetMode="External"/><Relationship Id="rId18" Type="http://schemas.openxmlformats.org/officeDocument/2006/relationships/hyperlink" Target="https://doi.org:10.1186/gb-2004-5-10-r80" TargetMode="External"/><Relationship Id="rId3" Type="http://schemas.openxmlformats.org/officeDocument/2006/relationships/customXml" Target="../customXml/item3.xml"/><Relationship Id="rId21" Type="http://schemas.openxmlformats.org/officeDocument/2006/relationships/hyperlink" Target="https://doi.org:10.1016/j.neuroimage.2018.09.074" TargetMode="External"/><Relationship Id="rId7" Type="http://schemas.openxmlformats.org/officeDocument/2006/relationships/webSettings" Target="webSettings.xml"/><Relationship Id="rId12" Type="http://schemas.openxmlformats.org/officeDocument/2006/relationships/hyperlink" Target="https://doi.org:10.1007/s00216-015-8719-x" TargetMode="External"/><Relationship Id="rId17" Type="http://schemas.openxmlformats.org/officeDocument/2006/relationships/hyperlink" Target="https://doi.org:10.2202/1544-6115.1027" TargetMode="External"/><Relationship Id="rId2" Type="http://schemas.openxmlformats.org/officeDocument/2006/relationships/customXml" Target="../customXml/item2.xml"/><Relationship Id="rId16" Type="http://schemas.openxmlformats.org/officeDocument/2006/relationships/hyperlink" Target="https://doi.org:10.1021/jacs.6b10998" TargetMode="External"/><Relationship Id="rId20" Type="http://schemas.openxmlformats.org/officeDocument/2006/relationships/hyperlink" Target="https://doi.org:10.1007/978-3-030-67670-4_1"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hyperlink" Target="https://doi.org:10.1093/bioinformatics/btu781" TargetMode="External"/><Relationship Id="rId23"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hyperlink" Target="https://doi.org:10.1093/bioinformatics/btw026" TargetMode="External"/><Relationship Id="rId4" Type="http://schemas.openxmlformats.org/officeDocument/2006/relationships/numbering" Target="numbering.xml"/><Relationship Id="rId9" Type="http://schemas.openxmlformats.org/officeDocument/2006/relationships/image" Target="media/image2.emf"/><Relationship Id="rId14" Type="http://schemas.openxmlformats.org/officeDocument/2006/relationships/hyperlink" Target="https://doi.org:10.1093/biostatistics/kxp059"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46BF2A32722214599D533E5739A5376" ma:contentTypeVersion="6" ma:contentTypeDescription="Create a new document." ma:contentTypeScope="" ma:versionID="aef3d01f693078c9a3865784b6a0cca9">
  <xsd:schema xmlns:xsd="http://www.w3.org/2001/XMLSchema" xmlns:xs="http://www.w3.org/2001/XMLSchema" xmlns:p="http://schemas.microsoft.com/office/2006/metadata/properties" xmlns:ns2="2514d24a-a57c-4538-928b-e7532685b2fc" xmlns:ns3="20f58be1-d57c-4137-8f88-b7cda5ebbd2b" targetNamespace="http://schemas.microsoft.com/office/2006/metadata/properties" ma:root="true" ma:fieldsID="47fcbbff7f252fac9318d862fc0374b3" ns2:_="" ns3:_="">
    <xsd:import namespace="2514d24a-a57c-4538-928b-e7532685b2fc"/>
    <xsd:import namespace="20f58be1-d57c-4137-8f88-b7cda5ebbd2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14d24a-a57c-4538-928b-e7532685b2f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f58be1-d57c-4137-8f88-b7cda5ebbd2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2514d24a-a57c-4538-928b-e7532685b2fc">
      <UserInfo>
        <DisplayName>Placentino, Davide Pio</DisplayName>
        <AccountId>47</AccountId>
        <AccountType/>
      </UserInfo>
      <UserInfo>
        <DisplayName>Olariu, Adrian</DisplayName>
        <AccountId>19</AccountId>
        <AccountType/>
      </UserInfo>
      <UserInfo>
        <DisplayName>Frenzel, Philipp</DisplayName>
        <AccountId>16</AccountId>
        <AccountType/>
      </UserInfo>
      <UserInfo>
        <DisplayName>All Users (windows)</DisplayName>
        <AccountId>13</AccountId>
        <AccountType/>
      </UserInfo>
      <UserInfo>
        <DisplayName>PMI Global UR Veeva Sys Admin PRD IMDL</DisplayName>
        <AccountId>14</AccountId>
        <AccountType/>
      </UserInfo>
      <UserInfo>
        <DisplayName>Pinelli, Francesca</DisplayName>
        <AccountId>22</AccountId>
        <AccountType/>
      </UserInfo>
      <UserInfo>
        <DisplayName>Berbeyer, Pascale</DisplayName>
        <AccountId>30</AccountId>
        <AccountType/>
      </UserInfo>
    </SharedWithUsers>
  </documentManagement>
</p:properties>
</file>

<file path=customXml/itemProps1.xml><?xml version="1.0" encoding="utf-8"?>
<ds:datastoreItem xmlns:ds="http://schemas.openxmlformats.org/officeDocument/2006/customXml" ds:itemID="{B7A7AFEF-14D9-4897-9FEA-9C41E9C8FC6A}">
  <ds:schemaRefs>
    <ds:schemaRef ds:uri="http://schemas.microsoft.com/sharepoint/v3/contenttype/forms"/>
  </ds:schemaRefs>
</ds:datastoreItem>
</file>

<file path=customXml/itemProps2.xml><?xml version="1.0" encoding="utf-8"?>
<ds:datastoreItem xmlns:ds="http://schemas.openxmlformats.org/officeDocument/2006/customXml" ds:itemID="{72EB1000-D09F-4776-ADDE-2CB3224C2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14d24a-a57c-4538-928b-e7532685b2fc"/>
    <ds:schemaRef ds:uri="20f58be1-d57c-4137-8f88-b7cda5ebbd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B7DEC-8731-4B74-804A-1C95457FCFC0}">
  <ds:schemaRefs>
    <ds:schemaRef ds:uri="http://schemas.microsoft.com/office/2006/metadata/properties"/>
    <ds:schemaRef ds:uri="http://schemas.microsoft.com/office/infopath/2007/PartnerControls"/>
    <ds:schemaRef ds:uri="2514d24a-a57c-4538-928b-e7532685b2fc"/>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32</Pages>
  <Words>10224</Words>
  <Characters>58281</Characters>
  <Application>Microsoft Office Word</Application>
  <DocSecurity>0</DocSecurity>
  <Lines>485</Lines>
  <Paragraphs>136</Paragraphs>
  <ScaleCrop>false</ScaleCrop>
  <Company/>
  <LinksUpToDate>false</LinksUpToDate>
  <CharactersWithSpaces>68369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Titz, Bjorn</dc:creator>
  <cp:keywords/>
  <dc:description/>
  <cp:lastModifiedBy>Prabhu S.M.</cp:lastModifiedBy>
  <cp:revision>9</cp:revision>
  <dcterms:created xsi:type="dcterms:W3CDTF">2023-10-30T11:36:00Z</dcterms:created>
  <dcterms:modified xsi:type="dcterms:W3CDTF">2024-02-16T02:20:00Z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0x010100246BF2A32722214599D533E5739A5376</vt:lpwstr>
  </property>
  <property fmtid="{D5CDD505-2E9C-101B-9397-08002B2CF9AE}" pid="3" name="GrammarlyDocumentId">
    <vt:lpwstr>0a9d5f1fa9c51af2efcdc0ceaaf83c7b8ce61cd946ca24f69e2d80a4627955b3</vt:lpwstr>
  </property>
</Properties>
</file>