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EBD73E" w14:textId="2C424DC7" w:rsidR="00715F94" w:rsidRPr="00110790" w:rsidRDefault="00272BB2" w:rsidP="00272BB2">
      <w:pPr>
        <w:snapToGrid w:val="0"/>
        <w:spacing w:line="480" w:lineRule="auto"/>
        <w:contextualSpacing/>
        <w:mirrorIndents/>
        <w:jc w:val="center"/>
        <w:rPr>
          <w:rFonts w:ascii="Palatino Linotype" w:hAnsi="Palatino Linotype" w:cs="Times New Roman"/>
          <w:b/>
          <w:snapToGrid w:val="0"/>
          <w:color w:val="000000"/>
          <w:kern w:val="0"/>
          <w:sz w:val="22"/>
          <w:szCs w:val="28"/>
          <w:lang w:bidi="en-US"/>
        </w:rPr>
      </w:pPr>
      <w:r w:rsidRPr="00110790">
        <w:rPr>
          <w:rFonts w:ascii="Palatino Linotype" w:hAnsi="Palatino Linotype" w:cs="Times New Roman"/>
          <w:b/>
          <w:snapToGrid w:val="0"/>
          <w:color w:val="000000"/>
          <w:kern w:val="0"/>
          <w:sz w:val="22"/>
          <w:szCs w:val="28"/>
          <w:lang w:bidi="en-US"/>
        </w:rPr>
        <w:t>Methods</w:t>
      </w:r>
    </w:p>
    <w:p w14:paraId="7A918E12" w14:textId="334F43B8" w:rsidR="00844E2C" w:rsidRPr="00110790" w:rsidRDefault="00844E2C" w:rsidP="00EF55CE">
      <w:pPr>
        <w:pStyle w:val="MDPI21heading1"/>
        <w:ind w:left="0"/>
        <w:rPr>
          <w:lang w:eastAsia="zh-CN"/>
        </w:rPr>
      </w:pPr>
      <w:r w:rsidRPr="00110790">
        <w:rPr>
          <w:lang w:eastAsia="zh-CN"/>
        </w:rPr>
        <w:t>Cell culture and quantitative real‑time PCR</w:t>
      </w:r>
    </w:p>
    <w:p w14:paraId="11A2C155" w14:textId="1A017A8B" w:rsidR="00844E2C" w:rsidRPr="00110790" w:rsidRDefault="004D3483" w:rsidP="00844E2C">
      <w:pPr>
        <w:snapToGrid w:val="0"/>
        <w:spacing w:line="480" w:lineRule="auto"/>
        <w:contextualSpacing/>
        <w:mirrorIndents/>
        <w:jc w:val="left"/>
        <w:rPr>
          <w:rFonts w:ascii="Times New Roman" w:hAnsi="Times New Roman"/>
          <w:color w:val="FF0000"/>
          <w:kern w:val="0"/>
          <w:sz w:val="24"/>
          <w:lang w:eastAsia="en-US"/>
        </w:rPr>
      </w:pPr>
      <w:r w:rsidRPr="00110790">
        <w:rPr>
          <w:rFonts w:ascii="Times New Roman" w:hAnsi="Times New Roman"/>
          <w:kern w:val="0"/>
          <w:sz w:val="24"/>
          <w:lang w:eastAsia="en-US"/>
        </w:rPr>
        <w:t>The glioma cell lines (U251</w:t>
      </w:r>
      <w:r w:rsidRPr="00110790">
        <w:rPr>
          <w:rFonts w:ascii="Times New Roman" w:hAnsi="Times New Roman" w:hint="eastAsia"/>
          <w:kern w:val="0"/>
          <w:sz w:val="24"/>
          <w:lang w:eastAsia="en-US"/>
        </w:rPr>
        <w:t>)</w:t>
      </w:r>
      <w:r w:rsidRPr="00110790">
        <w:rPr>
          <w:rFonts w:ascii="Times New Roman" w:hAnsi="Times New Roman"/>
          <w:kern w:val="0"/>
          <w:sz w:val="24"/>
          <w:lang w:eastAsia="en-US"/>
        </w:rPr>
        <w:t xml:space="preserve"> were purchased from Procell (Wuhan, China), and maintained in Dulbecco’s Modified Eagle’s Medium (Thermo Fisher Scientific, Waltham, MA, USA) with 10% fetal bovine serum (Gibco, Gran Island, NY, USA) and 1% penicillin/streptomycin (Beyotime, Shanghai, china) at 5% CO2 and 37</w:t>
      </w:r>
      <w:r w:rsidRPr="00110790">
        <w:rPr>
          <w:rFonts w:ascii="MS Mincho" w:eastAsia="MS Mincho" w:hAnsi="MS Mincho" w:cs="MS Mincho" w:hint="eastAsia"/>
          <w:kern w:val="0"/>
          <w:sz w:val="24"/>
          <w:lang w:eastAsia="en-US"/>
        </w:rPr>
        <w:t> </w:t>
      </w:r>
      <w:r w:rsidRPr="00110790">
        <w:rPr>
          <w:rFonts w:ascii="Times New Roman" w:hAnsi="Times New Roman"/>
          <w:kern w:val="0"/>
          <w:sz w:val="24"/>
          <w:lang w:eastAsia="en-US"/>
        </w:rPr>
        <w:t>°C. The medium was changed every 3</w:t>
      </w:r>
      <w:r w:rsidRPr="00110790">
        <w:rPr>
          <w:rFonts w:ascii="MS Mincho" w:eastAsia="MS Mincho" w:hAnsi="MS Mincho" w:cs="MS Mincho" w:hint="eastAsia"/>
          <w:kern w:val="0"/>
          <w:sz w:val="24"/>
          <w:lang w:eastAsia="en-US"/>
        </w:rPr>
        <w:t> </w:t>
      </w:r>
      <w:r w:rsidRPr="00110790">
        <w:rPr>
          <w:rFonts w:ascii="Times New Roman" w:hAnsi="Times New Roman"/>
          <w:kern w:val="0"/>
          <w:sz w:val="24"/>
          <w:lang w:eastAsia="en-US"/>
        </w:rPr>
        <w:t>days.</w:t>
      </w:r>
      <w:r w:rsidR="00FB0BD7" w:rsidRPr="00110790">
        <w:rPr>
          <w:rFonts w:ascii="Times New Roman" w:hAnsi="Times New Roman"/>
          <w:kern w:val="0"/>
          <w:sz w:val="24"/>
          <w:lang w:eastAsia="en-US"/>
        </w:rPr>
        <w:t xml:space="preserve"> </w:t>
      </w:r>
      <w:r w:rsidR="00844E2C" w:rsidRPr="00110790">
        <w:rPr>
          <w:rFonts w:ascii="Times New Roman" w:hAnsi="Times New Roman"/>
          <w:kern w:val="0"/>
          <w:sz w:val="24"/>
          <w:lang w:eastAsia="en-US"/>
        </w:rPr>
        <w:t>Total RNA was isolated using TRIzol</w:t>
      </w:r>
      <w:r w:rsidR="00844E2C" w:rsidRPr="00110790">
        <w:rPr>
          <w:rFonts w:ascii="Times New Roman" w:hAnsi="Times New Roman" w:hint="eastAsia"/>
          <w:kern w:val="0"/>
          <w:sz w:val="24"/>
          <w:lang w:eastAsia="en-US"/>
        </w:rPr>
        <w:t xml:space="preserve"> </w:t>
      </w:r>
      <w:r w:rsidR="00844E2C" w:rsidRPr="00110790">
        <w:rPr>
          <w:rFonts w:ascii="Times New Roman" w:hAnsi="Times New Roman"/>
          <w:kern w:val="0"/>
          <w:sz w:val="24"/>
          <w:lang w:eastAsia="en-US"/>
        </w:rPr>
        <w:t>reagent, quantitative real-time fluorescence quantitative</w:t>
      </w:r>
      <w:r w:rsidR="00844E2C" w:rsidRPr="00110790">
        <w:rPr>
          <w:rFonts w:ascii="Times New Roman" w:hAnsi="Times New Roman" w:hint="eastAsia"/>
          <w:kern w:val="0"/>
          <w:sz w:val="24"/>
          <w:lang w:eastAsia="en-US"/>
        </w:rPr>
        <w:t xml:space="preserve"> </w:t>
      </w:r>
      <w:r w:rsidR="00844E2C" w:rsidRPr="00110790">
        <w:rPr>
          <w:rFonts w:ascii="Times New Roman" w:hAnsi="Times New Roman"/>
          <w:kern w:val="0"/>
          <w:sz w:val="24"/>
          <w:lang w:eastAsia="en-US"/>
        </w:rPr>
        <w:t>PCR(qRT-PCR) was performed by using primers (Beijing</w:t>
      </w:r>
      <w:r w:rsidR="00844E2C" w:rsidRPr="00110790">
        <w:rPr>
          <w:rFonts w:ascii="Times New Roman" w:hAnsi="Times New Roman" w:hint="eastAsia"/>
          <w:kern w:val="0"/>
          <w:sz w:val="24"/>
          <w:lang w:eastAsia="en-US"/>
        </w:rPr>
        <w:t xml:space="preserve"> </w:t>
      </w:r>
      <w:r w:rsidR="00844E2C" w:rsidRPr="00110790">
        <w:rPr>
          <w:rFonts w:ascii="Times New Roman" w:hAnsi="Times New Roman"/>
          <w:kern w:val="0"/>
          <w:sz w:val="24"/>
          <w:lang w:eastAsia="en-US"/>
        </w:rPr>
        <w:t>Genomics institution) and premix (SYBR Master Mix). Gene expression levels were calculated using</w:t>
      </w:r>
      <w:r w:rsidR="00844E2C" w:rsidRPr="00110790">
        <w:rPr>
          <w:rFonts w:ascii="Times New Roman" w:hAnsi="Times New Roman" w:hint="eastAsia"/>
          <w:kern w:val="0"/>
          <w:sz w:val="24"/>
          <w:lang w:eastAsia="en-US"/>
        </w:rPr>
        <w:t xml:space="preserve"> </w:t>
      </w:r>
      <w:r w:rsidR="00844E2C" w:rsidRPr="00110790">
        <w:rPr>
          <w:rFonts w:ascii="Times New Roman" w:hAnsi="Times New Roman"/>
          <w:kern w:val="0"/>
          <w:sz w:val="24"/>
          <w:lang w:eastAsia="en-US"/>
        </w:rPr>
        <w:t xml:space="preserve">the 2-ΔΔCt method. </w:t>
      </w:r>
      <w:r w:rsidR="009E1A2A" w:rsidRPr="00110790">
        <w:rPr>
          <w:rFonts w:ascii="Times New Roman" w:hAnsi="Times New Roman"/>
          <w:kern w:val="0"/>
          <w:sz w:val="24"/>
          <w:lang w:eastAsia="en-US"/>
        </w:rPr>
        <w:t>Actin</w:t>
      </w:r>
      <w:r w:rsidR="00442CBE" w:rsidRPr="00110790">
        <w:rPr>
          <w:rFonts w:ascii="Times New Roman" w:hAnsi="Times New Roman"/>
          <w:kern w:val="0"/>
          <w:sz w:val="24"/>
          <w:lang w:eastAsia="en-US"/>
        </w:rPr>
        <w:t xml:space="preserve"> was used as an internal control. </w:t>
      </w:r>
      <w:r w:rsidR="00442CBE" w:rsidRPr="00110790">
        <w:rPr>
          <w:rFonts w:ascii="Times New Roman" w:hAnsi="Times New Roman"/>
          <w:color w:val="FF0000"/>
          <w:kern w:val="0"/>
          <w:sz w:val="24"/>
          <w:lang w:eastAsia="en-US"/>
        </w:rPr>
        <w:t xml:space="preserve">Primers used in this study are listed in </w:t>
      </w:r>
      <w:r w:rsidR="009E1A2A" w:rsidRPr="00110790">
        <w:rPr>
          <w:rFonts w:ascii="Times New Roman" w:hAnsi="Times New Roman"/>
          <w:color w:val="FF0000"/>
          <w:kern w:val="0"/>
          <w:sz w:val="24"/>
          <w:lang w:eastAsia="en-US"/>
        </w:rPr>
        <w:t>the table below</w:t>
      </w:r>
      <w:r w:rsidR="00442CBE" w:rsidRPr="00110790">
        <w:rPr>
          <w:rFonts w:ascii="Times New Roman" w:hAnsi="Times New Roman"/>
          <w:color w:val="FF0000"/>
          <w:kern w:val="0"/>
          <w:sz w:val="24"/>
          <w:lang w:eastAsia="en-US"/>
        </w:rPr>
        <w:t>.</w:t>
      </w:r>
    </w:p>
    <w:p w14:paraId="45C6E031" w14:textId="4D563DC9" w:rsidR="009E1A2A" w:rsidRPr="00110790" w:rsidRDefault="00EF55CE" w:rsidP="00844E2C">
      <w:pPr>
        <w:snapToGrid w:val="0"/>
        <w:spacing w:line="480" w:lineRule="auto"/>
        <w:contextualSpacing/>
        <w:mirrorIndents/>
        <w:jc w:val="left"/>
        <w:rPr>
          <w:rFonts w:ascii="Palatino Linotype" w:eastAsia="Times New Roman" w:hAnsi="Palatino Linotype" w:cs="Times New Roman"/>
          <w:snapToGrid w:val="0"/>
          <w:color w:val="000000"/>
          <w:kern w:val="0"/>
          <w:sz w:val="20"/>
          <w:lang w:eastAsia="de-DE" w:bidi="en-US"/>
        </w:rPr>
      </w:pPr>
      <w:r w:rsidRPr="00110790">
        <w:rPr>
          <w:noProof/>
          <w:lang w:val="en-IN" w:eastAsia="en-IN"/>
        </w:rPr>
        <w:drawing>
          <wp:inline distT="0" distB="0" distL="0" distR="0" wp14:anchorId="008D16B3" wp14:editId="12F79928">
            <wp:extent cx="6556375" cy="1004570"/>
            <wp:effectExtent l="0" t="0" r="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56375" cy="1004570"/>
                    </a:xfrm>
                    <a:prstGeom prst="rect">
                      <a:avLst/>
                    </a:prstGeom>
                  </pic:spPr>
                </pic:pic>
              </a:graphicData>
            </a:graphic>
          </wp:inline>
        </w:drawing>
      </w:r>
    </w:p>
    <w:p w14:paraId="0501A649" w14:textId="1BDA9A79" w:rsidR="00EF55CE" w:rsidRPr="00110790" w:rsidRDefault="00EF55CE" w:rsidP="00875154">
      <w:pPr>
        <w:widowControl/>
        <w:snapToGrid w:val="0"/>
        <w:spacing w:line="480" w:lineRule="auto"/>
        <w:contextualSpacing/>
        <w:jc w:val="left"/>
        <w:textAlignment w:val="baseline"/>
        <w:rPr>
          <w:rFonts w:ascii="Times New Roman" w:eastAsia="SimSun" w:hAnsi="Times New Roman" w:cs="Times New Roman"/>
          <w:color w:val="000000" w:themeColor="text1"/>
          <w:kern w:val="0"/>
          <w:sz w:val="24"/>
          <w:szCs w:val="24"/>
          <w:bdr w:val="none" w:sz="0" w:space="0" w:color="auto" w:frame="1"/>
        </w:rPr>
      </w:pPr>
    </w:p>
    <w:p w14:paraId="02C8C137" w14:textId="00063EF0" w:rsidR="008304E3" w:rsidRPr="00110790" w:rsidRDefault="008304E3" w:rsidP="00EF55CE">
      <w:pPr>
        <w:pStyle w:val="MDPI21heading1"/>
        <w:ind w:left="0"/>
        <w:rPr>
          <w:lang w:eastAsia="zh-CN"/>
        </w:rPr>
      </w:pPr>
      <w:r w:rsidRPr="00110790">
        <w:rPr>
          <w:lang w:eastAsia="zh-CN"/>
        </w:rPr>
        <w:t>Transfection with small interfering (si) RNA</w:t>
      </w:r>
    </w:p>
    <w:p w14:paraId="61989817" w14:textId="3493552C" w:rsidR="009B71B6" w:rsidRPr="00110790" w:rsidRDefault="009B71B6" w:rsidP="00D34F58">
      <w:pPr>
        <w:snapToGrid w:val="0"/>
        <w:spacing w:line="480" w:lineRule="auto"/>
        <w:contextualSpacing/>
        <w:mirrorIndents/>
        <w:jc w:val="left"/>
        <w:rPr>
          <w:rFonts w:ascii="Times New Roman" w:hAnsi="Times New Roman"/>
          <w:kern w:val="0"/>
          <w:sz w:val="24"/>
          <w:lang w:eastAsia="en-US"/>
        </w:rPr>
      </w:pPr>
      <w:r w:rsidRPr="00110790">
        <w:rPr>
          <w:rFonts w:ascii="Times New Roman" w:hAnsi="Times New Roman" w:hint="eastAsia"/>
          <w:kern w:val="0"/>
          <w:sz w:val="24"/>
          <w:lang w:eastAsia="en-US"/>
        </w:rPr>
        <w:t>si</w:t>
      </w:r>
      <w:r w:rsidRPr="00110790">
        <w:rPr>
          <w:rFonts w:ascii="Times New Roman" w:hAnsi="Times New Roman"/>
          <w:kern w:val="0"/>
          <w:sz w:val="24"/>
          <w:lang w:eastAsia="en-US"/>
        </w:rPr>
        <w:t xml:space="preserve">RNAs targeting </w:t>
      </w:r>
      <w:r w:rsidR="001C74F5" w:rsidRPr="00110790">
        <w:rPr>
          <w:rFonts w:ascii="Times New Roman" w:hAnsi="Times New Roman"/>
          <w:kern w:val="0"/>
          <w:sz w:val="24"/>
          <w:lang w:eastAsia="en-US"/>
        </w:rPr>
        <w:t>SLC35C1</w:t>
      </w:r>
      <w:r w:rsidRPr="00110790">
        <w:rPr>
          <w:rFonts w:ascii="Times New Roman" w:hAnsi="Times New Roman"/>
          <w:kern w:val="0"/>
          <w:sz w:val="24"/>
          <w:lang w:eastAsia="en-US"/>
        </w:rPr>
        <w:t xml:space="preserve"> and control siRNA were synthesized and purified by Heyuan Biotechnology Co., Ltd. (</w:t>
      </w:r>
      <w:r w:rsidR="00BD4065" w:rsidRPr="00110790">
        <w:rPr>
          <w:rFonts w:ascii="Times New Roman" w:hAnsi="Times New Roman"/>
          <w:kern w:val="0"/>
          <w:sz w:val="24"/>
          <w:lang w:eastAsia="en-US"/>
        </w:rPr>
        <w:t>Shanghai, China</w:t>
      </w:r>
      <w:r w:rsidRPr="00110790">
        <w:rPr>
          <w:rFonts w:ascii="Times New Roman" w:hAnsi="Times New Roman"/>
          <w:kern w:val="0"/>
          <w:sz w:val="24"/>
          <w:lang w:eastAsia="en-US"/>
        </w:rPr>
        <w:t>). Transfection was performed using Lipofectamine® </w:t>
      </w:r>
      <w:r w:rsidR="00BD4065" w:rsidRPr="00110790">
        <w:rPr>
          <w:rFonts w:ascii="Times New Roman" w:hAnsi="Times New Roman"/>
          <w:kern w:val="0"/>
          <w:sz w:val="24"/>
          <w:lang w:eastAsia="en-US"/>
        </w:rPr>
        <w:t>3</w:t>
      </w:r>
      <w:r w:rsidRPr="00110790">
        <w:rPr>
          <w:rFonts w:ascii="Times New Roman" w:hAnsi="Times New Roman"/>
          <w:kern w:val="0"/>
          <w:sz w:val="24"/>
          <w:lang w:eastAsia="en-US"/>
        </w:rPr>
        <w:t xml:space="preserve">000 Transfection reagent (Invitrogen; Thermo Fisher Scientific, Inc.) following the manufacturer's protocols. </w:t>
      </w:r>
      <w:r w:rsidR="00BD4065" w:rsidRPr="00110790">
        <w:rPr>
          <w:rFonts w:ascii="Times New Roman" w:hAnsi="Times New Roman"/>
          <w:kern w:val="0"/>
          <w:sz w:val="24"/>
          <w:lang w:eastAsia="en-US"/>
        </w:rPr>
        <w:t>Final concentration of siRNAs </w:t>
      </w:r>
      <w:r w:rsidR="00BD4065" w:rsidRPr="00110790">
        <w:rPr>
          <w:rFonts w:ascii="Times New Roman" w:hAnsi="Times New Roman" w:hint="eastAsia"/>
          <w:kern w:val="0"/>
          <w:sz w:val="24"/>
          <w:lang w:eastAsia="en-US"/>
        </w:rPr>
        <w:t>was</w:t>
      </w:r>
      <w:r w:rsidR="00BD4065" w:rsidRPr="00110790">
        <w:rPr>
          <w:rFonts w:ascii="Times New Roman" w:hAnsi="Times New Roman"/>
          <w:kern w:val="0"/>
          <w:sz w:val="24"/>
          <w:lang w:eastAsia="en-US"/>
        </w:rPr>
        <w:t> 100 nM and cells were harvested 72 h following transfection.</w:t>
      </w:r>
    </w:p>
    <w:p w14:paraId="24FFE7C9" w14:textId="6FF4AD49" w:rsidR="00B82064" w:rsidRPr="00110790" w:rsidRDefault="00B82064" w:rsidP="008473BB">
      <w:pPr>
        <w:widowControl/>
        <w:snapToGrid w:val="0"/>
        <w:spacing w:line="480" w:lineRule="auto"/>
        <w:contextualSpacing/>
        <w:jc w:val="left"/>
        <w:textAlignment w:val="baseline"/>
        <w:rPr>
          <w:rFonts w:ascii="Times New Roman" w:hAnsi="Times New Roman" w:cs="Times New Roman"/>
          <w:b/>
          <w:bCs/>
          <w:color w:val="000000" w:themeColor="text1"/>
          <w:sz w:val="24"/>
          <w:szCs w:val="24"/>
        </w:rPr>
      </w:pPr>
    </w:p>
    <w:p w14:paraId="5DAEC760" w14:textId="7F7D1D34" w:rsidR="00B82064" w:rsidRPr="00110790" w:rsidRDefault="00780273" w:rsidP="00EF55CE">
      <w:pPr>
        <w:pStyle w:val="MDPI21heading1"/>
        <w:ind w:left="0"/>
        <w:rPr>
          <w:lang w:eastAsia="zh-CN"/>
        </w:rPr>
      </w:pPr>
      <w:r w:rsidRPr="00110790">
        <w:rPr>
          <w:rFonts w:hint="eastAsia"/>
          <w:lang w:eastAsia="zh-CN"/>
        </w:rPr>
        <w:t>Western blot analysis</w:t>
      </w:r>
    </w:p>
    <w:p w14:paraId="55BCB0CA" w14:textId="29ED3071" w:rsidR="008304E3" w:rsidRPr="00110790" w:rsidRDefault="00BA16E3" w:rsidP="00D34F58">
      <w:pPr>
        <w:snapToGrid w:val="0"/>
        <w:spacing w:line="480" w:lineRule="auto"/>
        <w:contextualSpacing/>
        <w:mirrorIndents/>
        <w:jc w:val="left"/>
        <w:rPr>
          <w:rFonts w:ascii="Palatino Linotype" w:eastAsia="Times New Roman" w:hAnsi="Palatino Linotype" w:cs="Times New Roman"/>
          <w:snapToGrid w:val="0"/>
          <w:color w:val="000000"/>
          <w:kern w:val="0"/>
          <w:sz w:val="20"/>
          <w:lang w:eastAsia="de-DE" w:bidi="en-US"/>
        </w:rPr>
      </w:pPr>
      <w:r w:rsidRPr="00110790">
        <w:rPr>
          <w:rFonts w:ascii="Times New Roman" w:hAnsi="Times New Roman"/>
          <w:kern w:val="0"/>
          <w:sz w:val="24"/>
          <w:lang w:eastAsia="en-US"/>
        </w:rPr>
        <w:t xml:space="preserve">Western blot analysis was performed following standard procedures. </w:t>
      </w:r>
      <w:r w:rsidR="00FD5D54" w:rsidRPr="00110790">
        <w:rPr>
          <w:rFonts w:ascii="Times New Roman" w:hAnsi="Times New Roman"/>
          <w:kern w:val="0"/>
          <w:sz w:val="24"/>
          <w:lang w:eastAsia="en-US"/>
        </w:rPr>
        <w:t>Total</w:t>
      </w:r>
      <w:r w:rsidR="00780273" w:rsidRPr="00110790">
        <w:rPr>
          <w:rFonts w:ascii="Times New Roman" w:hAnsi="Times New Roman" w:hint="eastAsia"/>
          <w:kern w:val="0"/>
          <w:sz w:val="24"/>
          <w:lang w:eastAsia="en-US"/>
        </w:rPr>
        <w:t xml:space="preserve"> protein was extracted from </w:t>
      </w:r>
      <w:r w:rsidR="001C74F5" w:rsidRPr="00110790">
        <w:rPr>
          <w:rFonts w:ascii="Times New Roman" w:hAnsi="Times New Roman"/>
          <w:kern w:val="0"/>
          <w:sz w:val="24"/>
          <w:lang w:eastAsia="en-US"/>
        </w:rPr>
        <w:t>U251</w:t>
      </w:r>
      <w:r w:rsidR="00780273" w:rsidRPr="00110790">
        <w:rPr>
          <w:rFonts w:ascii="Times New Roman" w:hAnsi="Times New Roman"/>
          <w:kern w:val="0"/>
          <w:sz w:val="24"/>
          <w:lang w:eastAsia="en-US"/>
        </w:rPr>
        <w:t xml:space="preserve"> cells using RIPA lysis buffer containing a protease inhibitor</w:t>
      </w:r>
      <w:r w:rsidR="00FD5D54" w:rsidRPr="00110790">
        <w:rPr>
          <w:rFonts w:ascii="Times New Roman" w:hAnsi="Times New Roman" w:hint="eastAsia"/>
          <w:kern w:val="0"/>
          <w:sz w:val="24"/>
          <w:lang w:eastAsia="en-US"/>
        </w:rPr>
        <w:t>s</w:t>
      </w:r>
      <w:r w:rsidRPr="00110790">
        <w:rPr>
          <w:rFonts w:ascii="Times New Roman" w:hAnsi="Times New Roman"/>
          <w:kern w:val="0"/>
          <w:sz w:val="24"/>
          <w:lang w:eastAsia="en-US"/>
        </w:rPr>
        <w:t xml:space="preserve"> (BiYunTian, Shanghai, China), and protein concentrations were detected using the BCA protein assay kit (Thermo Fisher Scientific, Inc.)</w:t>
      </w:r>
      <w:r w:rsidR="00780273" w:rsidRPr="00110790">
        <w:rPr>
          <w:rFonts w:ascii="Times New Roman" w:hAnsi="Times New Roman"/>
          <w:kern w:val="0"/>
          <w:sz w:val="24"/>
          <w:lang w:eastAsia="en-US"/>
        </w:rPr>
        <w:t>.</w:t>
      </w:r>
      <w:r w:rsidR="00780273" w:rsidRPr="00110790">
        <w:rPr>
          <w:rFonts w:ascii="Times New Roman" w:hAnsi="Times New Roman" w:hint="eastAsia"/>
          <w:kern w:val="0"/>
          <w:sz w:val="24"/>
          <w:lang w:eastAsia="en-US"/>
        </w:rPr>
        <w:t xml:space="preserve"> </w:t>
      </w:r>
      <w:r w:rsidR="00A67738" w:rsidRPr="00110790">
        <w:rPr>
          <w:rFonts w:ascii="Times New Roman" w:hAnsi="Times New Roman"/>
          <w:kern w:val="0"/>
          <w:sz w:val="24"/>
          <w:lang w:eastAsia="en-US"/>
        </w:rPr>
        <w:t>Total protein (30 µg/lane) was loaded into each well by SDS-PAGE using a 10% gel and then transferred to a polyvinylidene fluoride (PVDF) membrane. The membrane was then blocked with 5% nonfat dry milk for 1 hour at room temperature.</w:t>
      </w:r>
      <w:r w:rsidR="00E217E7" w:rsidRPr="00110790">
        <w:rPr>
          <w:rFonts w:ascii="Times New Roman" w:hAnsi="Times New Roman"/>
          <w:kern w:val="0"/>
          <w:sz w:val="24"/>
          <w:lang w:eastAsia="en-US"/>
        </w:rPr>
        <w:t xml:space="preserve"> Following overnight incubation at 4°C with</w:t>
      </w:r>
      <w:r w:rsidR="00B774D5" w:rsidRPr="00110790">
        <w:rPr>
          <w:rFonts w:ascii="Times New Roman" w:hAnsi="Times New Roman"/>
          <w:kern w:val="0"/>
          <w:sz w:val="24"/>
          <w:lang w:eastAsia="en-US"/>
        </w:rPr>
        <w:t xml:space="preserve"> rabbit mAb to </w:t>
      </w:r>
      <w:r w:rsidR="001C74F5" w:rsidRPr="00110790">
        <w:rPr>
          <w:rFonts w:ascii="Times New Roman" w:hAnsi="Times New Roman"/>
          <w:kern w:val="0"/>
          <w:sz w:val="24"/>
          <w:lang w:eastAsia="en-US"/>
        </w:rPr>
        <w:t>SLC35C1</w:t>
      </w:r>
      <w:r w:rsidR="00B774D5" w:rsidRPr="00110790">
        <w:rPr>
          <w:rFonts w:ascii="Times New Roman" w:hAnsi="Times New Roman"/>
          <w:kern w:val="0"/>
          <w:sz w:val="24"/>
          <w:lang w:eastAsia="en-US"/>
        </w:rPr>
        <w:t xml:space="preserve"> (</w:t>
      </w:r>
      <w:r w:rsidR="00483B1F" w:rsidRPr="00110790">
        <w:rPr>
          <w:rFonts w:ascii="Times New Roman" w:hAnsi="Times New Roman"/>
          <w:kern w:val="0"/>
          <w:sz w:val="24"/>
          <w:lang w:eastAsia="en-US"/>
        </w:rPr>
        <w:t>1:1,</w:t>
      </w:r>
      <w:r w:rsidR="00483B1F" w:rsidRPr="00110790">
        <w:rPr>
          <w:rFonts w:ascii="Times New Roman" w:hAnsi="Times New Roman" w:hint="eastAsia"/>
          <w:kern w:val="0"/>
          <w:sz w:val="24"/>
          <w:lang w:eastAsia="en-US"/>
        </w:rPr>
        <w:t>0</w:t>
      </w:r>
      <w:r w:rsidR="00483B1F" w:rsidRPr="00110790">
        <w:rPr>
          <w:rFonts w:ascii="Times New Roman" w:hAnsi="Times New Roman"/>
          <w:kern w:val="0"/>
          <w:sz w:val="24"/>
          <w:lang w:eastAsia="en-US"/>
        </w:rPr>
        <w:t xml:space="preserve">00; </w:t>
      </w:r>
      <w:r w:rsidR="00B774D5" w:rsidRPr="00110790">
        <w:rPr>
          <w:rFonts w:ascii="Times New Roman" w:hAnsi="Times New Roman"/>
          <w:kern w:val="0"/>
          <w:sz w:val="24"/>
          <w:lang w:eastAsia="en-US"/>
        </w:rPr>
        <w:t>cat</w:t>
      </w:r>
      <w:r w:rsidR="00483B1F" w:rsidRPr="00110790">
        <w:rPr>
          <w:rFonts w:ascii="Times New Roman" w:hAnsi="Times New Roman"/>
          <w:kern w:val="0"/>
          <w:sz w:val="24"/>
          <w:lang w:eastAsia="en-US"/>
        </w:rPr>
        <w:t>.</w:t>
      </w:r>
      <w:r w:rsidR="00483B1F" w:rsidRPr="00110790">
        <w:rPr>
          <w:rFonts w:ascii="Times New Roman" w:hAnsi="Times New Roman" w:hint="eastAsia"/>
          <w:kern w:val="0"/>
          <w:sz w:val="24"/>
          <w:lang w:eastAsia="en-US"/>
        </w:rPr>
        <w:t>no</w:t>
      </w:r>
      <w:r w:rsidR="00483B1F" w:rsidRPr="00110790">
        <w:rPr>
          <w:rFonts w:ascii="Times New Roman" w:hAnsi="Times New Roman"/>
          <w:kern w:val="0"/>
          <w:sz w:val="24"/>
          <w:lang w:eastAsia="en-US"/>
        </w:rPr>
        <w:t xml:space="preserve">. </w:t>
      </w:r>
      <w:r w:rsidR="00B774D5" w:rsidRPr="00110790">
        <w:rPr>
          <w:rFonts w:ascii="Times New Roman" w:hAnsi="Times New Roman"/>
          <w:kern w:val="0"/>
          <w:sz w:val="24"/>
          <w:lang w:eastAsia="en-US"/>
        </w:rPr>
        <w:t xml:space="preserve">3659, RRID: AB_2216981). </w:t>
      </w:r>
      <w:r w:rsidR="00483B1F" w:rsidRPr="00110790">
        <w:rPr>
          <w:rFonts w:ascii="Times New Roman" w:hAnsi="Times New Roman"/>
          <w:kern w:val="0"/>
          <w:sz w:val="24"/>
          <w:lang w:eastAsia="en-US"/>
        </w:rPr>
        <w:t>Subsequently, the membrane was incubated with the corresponding anti-rabbit secondary antibody (1:5,000; cat. no. ab6721; Abcam) for 2 hours at room temperature and detected by chemiluminescence.</w:t>
      </w:r>
      <w:r w:rsidR="001254E6" w:rsidRPr="00110790">
        <w:rPr>
          <w:rFonts w:ascii="Times New Roman" w:hAnsi="Times New Roman"/>
          <w:kern w:val="0"/>
          <w:sz w:val="24"/>
          <w:lang w:eastAsia="en-US"/>
        </w:rPr>
        <w:t xml:space="preserve"> β-</w:t>
      </w:r>
      <w:r w:rsidR="001254E6" w:rsidRPr="00110790">
        <w:rPr>
          <w:rFonts w:ascii="Times New Roman" w:hAnsi="Times New Roman" w:hint="eastAsia"/>
          <w:kern w:val="0"/>
          <w:sz w:val="24"/>
          <w:lang w:eastAsia="en-US"/>
        </w:rPr>
        <w:t>actin</w:t>
      </w:r>
      <w:r w:rsidR="001254E6" w:rsidRPr="00110790">
        <w:rPr>
          <w:rFonts w:ascii="Times New Roman" w:hAnsi="Times New Roman"/>
          <w:kern w:val="0"/>
          <w:sz w:val="24"/>
          <w:lang w:eastAsia="en-US"/>
        </w:rPr>
        <w:t>(1:1,000; cat. no. ab8226; Abcam)</w:t>
      </w:r>
      <w:r w:rsidR="001254E6" w:rsidRPr="00110790">
        <w:rPr>
          <w:rFonts w:ascii="Times New Roman" w:hAnsi="Times New Roman" w:hint="eastAsia"/>
          <w:kern w:val="0"/>
          <w:sz w:val="24"/>
          <w:lang w:eastAsia="en-US"/>
        </w:rPr>
        <w:t xml:space="preserve"> </w:t>
      </w:r>
      <w:r w:rsidRPr="00110790">
        <w:rPr>
          <w:rFonts w:ascii="Times New Roman" w:hAnsi="Times New Roman"/>
          <w:kern w:val="0"/>
          <w:sz w:val="24"/>
          <w:lang w:eastAsia="en-US"/>
        </w:rPr>
        <w:t>was used as a loading control.</w:t>
      </w:r>
    </w:p>
    <w:p w14:paraId="5DEFC920" w14:textId="0F44380A" w:rsidR="00D34F58" w:rsidRPr="00110790" w:rsidRDefault="00D34F58" w:rsidP="00D34F58">
      <w:pPr>
        <w:snapToGrid w:val="0"/>
        <w:spacing w:line="480" w:lineRule="auto"/>
        <w:contextualSpacing/>
        <w:mirrorIndents/>
        <w:jc w:val="left"/>
        <w:rPr>
          <w:rFonts w:ascii="Palatino Linotype" w:hAnsi="Palatino Linotype" w:cs="Times New Roman"/>
          <w:b/>
          <w:snapToGrid w:val="0"/>
          <w:color w:val="000000"/>
          <w:kern w:val="0"/>
          <w:sz w:val="20"/>
          <w:lang w:bidi="en-US"/>
        </w:rPr>
      </w:pPr>
    </w:p>
    <w:p w14:paraId="71C94921" w14:textId="77777777" w:rsidR="00C13C55" w:rsidRPr="00110790" w:rsidRDefault="00C13C55" w:rsidP="00C13C55">
      <w:pPr>
        <w:pStyle w:val="MDPI21heading1"/>
        <w:ind w:left="0"/>
        <w:rPr>
          <w:lang w:eastAsia="zh-CN"/>
        </w:rPr>
      </w:pPr>
      <w:r w:rsidRPr="00110790">
        <w:rPr>
          <w:lang w:eastAsia="zh-CN"/>
        </w:rPr>
        <w:t>Construction of Pklv2-slc35c1 plasmid</w:t>
      </w:r>
    </w:p>
    <w:p w14:paraId="5207782A" w14:textId="77777777" w:rsidR="00C13C55" w:rsidRPr="00110790" w:rsidRDefault="00C13C55" w:rsidP="00C13C55">
      <w:pPr>
        <w:snapToGrid w:val="0"/>
        <w:spacing w:line="480" w:lineRule="auto"/>
        <w:contextualSpacing/>
        <w:mirrorIndents/>
        <w:jc w:val="left"/>
        <w:rPr>
          <w:rFonts w:ascii="Times New Roman" w:hAnsi="Times New Roman"/>
          <w:kern w:val="0"/>
          <w:sz w:val="24"/>
        </w:rPr>
      </w:pPr>
      <w:r w:rsidRPr="00110790">
        <w:rPr>
          <w:rFonts w:ascii="Times New Roman" w:hAnsi="Times New Roman"/>
          <w:kern w:val="0"/>
          <w:sz w:val="24"/>
          <w:lang w:eastAsia="en-US"/>
        </w:rPr>
        <w:t>PCR amplification was performed using F:5` -tgtcgtgggaagcttggcgcgccatgaacagggcgcctgaa-3` and R:5`- taatccagaggttgagcggccgctcacaccctgatagcactcttctca-3` as primers, using mouse gDNA as a template</w:t>
      </w:r>
      <w:r w:rsidRPr="00110790">
        <w:rPr>
          <w:rFonts w:ascii="Times New Roman" w:hAnsi="Times New Roman" w:hint="eastAsia"/>
          <w:kern w:val="0"/>
          <w:sz w:val="24"/>
        </w:rPr>
        <w:t>.</w:t>
      </w:r>
      <w:r w:rsidRPr="00110790">
        <w:t xml:space="preserve"> </w:t>
      </w:r>
      <w:r w:rsidRPr="00110790">
        <w:rPr>
          <w:rFonts w:ascii="Times New Roman" w:hAnsi="Times New Roman"/>
          <w:kern w:val="0"/>
          <w:sz w:val="24"/>
        </w:rPr>
        <w:t>The Vazyme Phanta Max Super-Fidelity DNA Polymerase amplification system is as follows:</w:t>
      </w:r>
      <w:r w:rsidRPr="00110790">
        <w:rPr>
          <w:rFonts w:ascii="ArialMT" w:hAnsi="ArialMT"/>
        </w:rPr>
        <w:t xml:space="preserve"> </w:t>
      </w:r>
      <w:r w:rsidRPr="00110790">
        <w:rPr>
          <w:rFonts w:ascii="Times New Roman" w:hAnsi="Times New Roman"/>
          <w:kern w:val="0"/>
          <w:sz w:val="24"/>
          <w:lang w:eastAsia="en-US"/>
        </w:rPr>
        <w:t>2 × Phanta Max Buffer 25</w:t>
      </w:r>
      <w:r w:rsidRPr="00110790">
        <w:rPr>
          <w:rFonts w:ascii="Times New Roman" w:hAnsi="Times New Roman" w:hint="eastAsia"/>
          <w:kern w:val="0"/>
          <w:sz w:val="24"/>
          <w:lang w:eastAsia="en-US"/>
        </w:rPr>
        <w:t>ul</w:t>
      </w:r>
      <w:r w:rsidRPr="00110790">
        <w:rPr>
          <w:rFonts w:ascii="Times New Roman" w:hAnsi="Times New Roman" w:hint="eastAsia"/>
          <w:kern w:val="0"/>
          <w:sz w:val="24"/>
        </w:rPr>
        <w:t>,</w:t>
      </w:r>
      <w:r w:rsidRPr="00110790">
        <w:rPr>
          <w:rFonts w:ascii="Times New Roman" w:hAnsi="Times New Roman"/>
          <w:kern w:val="0"/>
          <w:sz w:val="24"/>
          <w:lang w:eastAsia="en-US"/>
        </w:rPr>
        <w:t>dNTP Mix (10 mM each)</w:t>
      </w:r>
      <w:r w:rsidRPr="00110790">
        <w:rPr>
          <w:rFonts w:ascii="Times New Roman" w:hAnsi="Times New Roman" w:hint="eastAsia"/>
          <w:kern w:val="0"/>
          <w:sz w:val="24"/>
          <w:lang w:eastAsia="en-US"/>
        </w:rPr>
        <w:t xml:space="preserve"> 1ul</w:t>
      </w:r>
      <w:r w:rsidRPr="00110790">
        <w:rPr>
          <w:rFonts w:ascii="Times New Roman" w:hAnsi="Times New Roman" w:hint="eastAsia"/>
          <w:kern w:val="0"/>
          <w:sz w:val="24"/>
        </w:rPr>
        <w:t>,</w:t>
      </w:r>
      <w:r w:rsidRPr="00110790">
        <w:rPr>
          <w:rFonts w:ascii="Times New Roman" w:hAnsi="Times New Roman"/>
          <w:kern w:val="0"/>
          <w:sz w:val="24"/>
          <w:lang w:eastAsia="en-US"/>
        </w:rPr>
        <w:t xml:space="preserve">Phanta Max Super-Fidelity DNA Polymerase </w:t>
      </w:r>
      <w:r w:rsidRPr="00110790">
        <w:rPr>
          <w:rFonts w:ascii="Times New Roman" w:hAnsi="Times New Roman" w:hint="eastAsia"/>
          <w:kern w:val="0"/>
          <w:sz w:val="24"/>
          <w:lang w:eastAsia="en-US"/>
        </w:rPr>
        <w:t>1ul</w:t>
      </w:r>
      <w:r w:rsidRPr="00110790">
        <w:rPr>
          <w:rFonts w:ascii="Times New Roman" w:hAnsi="Times New Roman" w:hint="eastAsia"/>
          <w:kern w:val="0"/>
          <w:sz w:val="24"/>
        </w:rPr>
        <w:t>,</w:t>
      </w:r>
      <w:r w:rsidRPr="00110790">
        <w:t xml:space="preserve"> </w:t>
      </w:r>
      <w:r w:rsidRPr="00110790">
        <w:rPr>
          <w:rFonts w:ascii="Times New Roman" w:hAnsi="Times New Roman"/>
          <w:kern w:val="0"/>
          <w:sz w:val="24"/>
        </w:rPr>
        <w:t>Stencil 10ng, primers F (10uM) and R (10uM) 2ul each, dd H2O to make up to 50ul.</w:t>
      </w:r>
      <w:r w:rsidRPr="00110790">
        <w:t xml:space="preserve"> </w:t>
      </w:r>
      <w:r w:rsidRPr="00110790">
        <w:rPr>
          <w:rFonts w:ascii="Times New Roman" w:hAnsi="Times New Roman"/>
          <w:kern w:val="0"/>
          <w:sz w:val="24"/>
        </w:rPr>
        <w:t>Reaction conditions: 95oC pre-deformation for 3min, 95oC denaturation for 15s, 60oC annealing for 15s, 72oC extension for 40s, complete 35 cycles, 72oC for 5min.</w:t>
      </w:r>
      <w:r w:rsidRPr="00110790">
        <w:t xml:space="preserve"> </w:t>
      </w:r>
      <w:r w:rsidRPr="00110790">
        <w:rPr>
          <w:rFonts w:ascii="Times New Roman" w:hAnsi="Times New Roman"/>
          <w:kern w:val="0"/>
          <w:sz w:val="24"/>
        </w:rPr>
        <w:t>The PCR products were recovered by gel, and the amplified fragments were inserted into the AscI and Notl polyclonal sites of PKLV2 using the vazyme ClonExpress II One Step Cloning Kit to obtain the plasmid PKLV2-slc35c1 transformed into E.coli DH5α receptor cells, after which single colonies were picked and the plasmids were extracted for enzymatic digestion After that, single colonies were picked and plasmids were extracted for enzymatic digestion and plasmid sequencing.</w:t>
      </w:r>
    </w:p>
    <w:p w14:paraId="47268018" w14:textId="14621234" w:rsidR="00C13C55" w:rsidRPr="00110790" w:rsidRDefault="00C13C55" w:rsidP="00D34F58">
      <w:pPr>
        <w:snapToGrid w:val="0"/>
        <w:spacing w:line="480" w:lineRule="auto"/>
        <w:contextualSpacing/>
        <w:mirrorIndents/>
        <w:jc w:val="left"/>
        <w:rPr>
          <w:rFonts w:ascii="Palatino Linotype" w:hAnsi="Palatino Linotype" w:cs="Times New Roman"/>
          <w:b/>
          <w:snapToGrid w:val="0"/>
          <w:color w:val="000000"/>
          <w:kern w:val="0"/>
          <w:sz w:val="20"/>
          <w:lang w:bidi="en-US"/>
        </w:rPr>
      </w:pPr>
    </w:p>
    <w:p w14:paraId="64EE4CE8" w14:textId="00C76BD3" w:rsidR="00C13C55" w:rsidRPr="00110790" w:rsidRDefault="00C13C55" w:rsidP="00C13C55">
      <w:pPr>
        <w:pStyle w:val="MDPI21heading1"/>
        <w:ind w:left="0"/>
        <w:rPr>
          <w:lang w:eastAsia="zh-CN"/>
        </w:rPr>
      </w:pPr>
      <w:r w:rsidRPr="00110790">
        <w:rPr>
          <w:lang w:eastAsia="zh-CN"/>
        </w:rPr>
        <w:t>Establishment of glioma cells overexpressing slc35c1 cell line</w:t>
      </w:r>
    </w:p>
    <w:p w14:paraId="25094AFB" w14:textId="7EC24A5F" w:rsidR="00C13C55" w:rsidRPr="00110790" w:rsidRDefault="00C13C55" w:rsidP="00C13C55">
      <w:pPr>
        <w:snapToGrid w:val="0"/>
        <w:spacing w:line="480" w:lineRule="auto"/>
        <w:contextualSpacing/>
        <w:mirrorIndents/>
        <w:jc w:val="left"/>
        <w:rPr>
          <w:rFonts w:ascii="Times New Roman" w:hAnsi="Times New Roman"/>
          <w:kern w:val="0"/>
          <w:sz w:val="24"/>
        </w:rPr>
      </w:pPr>
      <w:r w:rsidRPr="00110790">
        <w:rPr>
          <w:rFonts w:ascii="Times New Roman" w:hAnsi="Times New Roman"/>
          <w:kern w:val="0"/>
          <w:sz w:val="24"/>
        </w:rPr>
        <w:t>Pklv2-slc35c1 and the helper plasmids PMD2G and PsPAX2 were cotransfected into 293T cells with LipofectamineTM2000 for Pklv2- slc35c1 lentivirus packaging.</w:t>
      </w:r>
      <w:r w:rsidRPr="00110790">
        <w:t xml:space="preserve"> </w:t>
      </w:r>
      <w:r w:rsidRPr="00110790">
        <w:rPr>
          <w:rFonts w:ascii="Times New Roman" w:hAnsi="Times New Roman"/>
          <w:kern w:val="0"/>
          <w:sz w:val="24"/>
        </w:rPr>
        <w:t>Afterwards, virus suspensions were collected and infected with glioma cell lines to establish glioma cell lines stably overexpressing slc35c1.</w:t>
      </w:r>
    </w:p>
    <w:p w14:paraId="11610838" w14:textId="77777777" w:rsidR="00C13C55" w:rsidRPr="00110790" w:rsidRDefault="00C13C55" w:rsidP="00D34F58">
      <w:pPr>
        <w:snapToGrid w:val="0"/>
        <w:spacing w:line="480" w:lineRule="auto"/>
        <w:contextualSpacing/>
        <w:mirrorIndents/>
        <w:jc w:val="left"/>
        <w:rPr>
          <w:rFonts w:ascii="Palatino Linotype" w:hAnsi="Palatino Linotype" w:cs="Times New Roman"/>
          <w:b/>
          <w:snapToGrid w:val="0"/>
          <w:color w:val="000000"/>
          <w:kern w:val="0"/>
          <w:sz w:val="20"/>
          <w:lang w:bidi="en-US"/>
        </w:rPr>
      </w:pPr>
    </w:p>
    <w:p w14:paraId="7500B4A1" w14:textId="0A6EF669" w:rsidR="008304E3" w:rsidRPr="00110790" w:rsidRDefault="008304E3" w:rsidP="00EF55CE">
      <w:pPr>
        <w:pStyle w:val="MDPI21heading1"/>
        <w:ind w:left="0"/>
        <w:rPr>
          <w:lang w:eastAsia="zh-CN"/>
        </w:rPr>
      </w:pPr>
      <w:r w:rsidRPr="00110790">
        <w:rPr>
          <w:rFonts w:hint="eastAsia"/>
          <w:lang w:eastAsia="zh-CN"/>
        </w:rPr>
        <w:t>Cell proliferation assay</w:t>
      </w:r>
    </w:p>
    <w:p w14:paraId="6575F5B6" w14:textId="1782AAF9" w:rsidR="00890A93" w:rsidRPr="00110790" w:rsidRDefault="008304E3" w:rsidP="00D34F58">
      <w:pPr>
        <w:snapToGrid w:val="0"/>
        <w:spacing w:line="480" w:lineRule="auto"/>
        <w:contextualSpacing/>
        <w:mirrorIndents/>
        <w:jc w:val="left"/>
        <w:rPr>
          <w:rFonts w:ascii="Times New Roman" w:hAnsi="Times New Roman"/>
          <w:kern w:val="0"/>
          <w:sz w:val="24"/>
          <w:lang w:eastAsia="en-US"/>
        </w:rPr>
      </w:pPr>
      <w:r w:rsidRPr="00110790">
        <w:rPr>
          <w:rFonts w:ascii="Times New Roman" w:hAnsi="Times New Roman"/>
          <w:kern w:val="0"/>
          <w:sz w:val="24"/>
          <w:lang w:eastAsia="en-US"/>
        </w:rPr>
        <w:t>Cell proliferation</w:t>
      </w:r>
      <w:r w:rsidRPr="00110790">
        <w:rPr>
          <w:rFonts w:ascii="Times New Roman" w:hAnsi="Times New Roman" w:hint="eastAsia"/>
          <w:kern w:val="0"/>
          <w:sz w:val="24"/>
          <w:lang w:eastAsia="en-US"/>
        </w:rPr>
        <w:t xml:space="preserve"> was</w:t>
      </w:r>
      <w:r w:rsidRPr="00110790">
        <w:rPr>
          <w:rFonts w:ascii="Times New Roman" w:hAnsi="Times New Roman"/>
          <w:kern w:val="0"/>
          <w:sz w:val="24"/>
          <w:lang w:eastAsia="en-US"/>
        </w:rPr>
        <w:t xml:space="preserve"> performed using Cell Counting Kit-8 (CCK8)</w:t>
      </w:r>
      <w:r w:rsidR="00CD2E2B" w:rsidRPr="00110790">
        <w:rPr>
          <w:rFonts w:ascii="Times New Roman" w:hAnsi="Times New Roman"/>
          <w:kern w:val="0"/>
          <w:sz w:val="24"/>
          <w:lang w:eastAsia="en-US"/>
        </w:rPr>
        <w:t xml:space="preserve"> (KeyGEN, Nanjing, China). F</w:t>
      </w:r>
      <w:r w:rsidR="00CD2E2B" w:rsidRPr="00110790">
        <w:rPr>
          <w:rFonts w:ascii="Times New Roman" w:hAnsi="Times New Roman" w:hint="eastAsia"/>
          <w:kern w:val="0"/>
          <w:sz w:val="24"/>
          <w:lang w:eastAsia="en-US"/>
        </w:rPr>
        <w:t>irstly</w:t>
      </w:r>
      <w:r w:rsidR="00CD2E2B" w:rsidRPr="00110790">
        <w:rPr>
          <w:rFonts w:ascii="Times New Roman" w:hAnsi="Times New Roman"/>
          <w:kern w:val="0"/>
          <w:sz w:val="24"/>
          <w:lang w:eastAsia="en-US"/>
        </w:rPr>
        <w:t xml:space="preserve">, </w:t>
      </w:r>
      <w:r w:rsidR="00560066" w:rsidRPr="00110790">
        <w:rPr>
          <w:rFonts w:ascii="Times New Roman" w:hAnsi="Times New Roman" w:hint="eastAsia"/>
          <w:kern w:val="0"/>
          <w:sz w:val="24"/>
          <w:lang w:eastAsia="en-US"/>
        </w:rPr>
        <w:t>c</w:t>
      </w:r>
      <w:r w:rsidR="00560066" w:rsidRPr="00110790">
        <w:rPr>
          <w:rFonts w:ascii="Times New Roman" w:hAnsi="Times New Roman"/>
          <w:kern w:val="0"/>
          <w:sz w:val="24"/>
          <w:lang w:eastAsia="en-US"/>
        </w:rPr>
        <w:t>ultured cells were seeded into 96-well plates (1000 per well).</w:t>
      </w:r>
      <w:r w:rsidR="00560066" w:rsidRPr="00110790">
        <w:rPr>
          <w:rFonts w:ascii="Times New Roman" w:hAnsi="Times New Roman" w:hint="eastAsia"/>
          <w:kern w:val="0"/>
          <w:sz w:val="24"/>
          <w:lang w:eastAsia="en-US"/>
        </w:rPr>
        <w:t xml:space="preserve"> </w:t>
      </w:r>
      <w:r w:rsidRPr="00110790">
        <w:rPr>
          <w:rFonts w:ascii="Times New Roman" w:hAnsi="Times New Roman"/>
          <w:kern w:val="0"/>
          <w:sz w:val="24"/>
          <w:lang w:eastAsia="en-US"/>
        </w:rPr>
        <w:t xml:space="preserve">Then, </w:t>
      </w:r>
      <w:r w:rsidR="00560066" w:rsidRPr="00110790">
        <w:rPr>
          <w:rFonts w:ascii="Times New Roman" w:hAnsi="Times New Roman"/>
          <w:kern w:val="0"/>
          <w:sz w:val="24"/>
          <w:lang w:eastAsia="en-US"/>
        </w:rPr>
        <w:t>10 μl </w:t>
      </w:r>
      <w:r w:rsidRPr="00110790">
        <w:rPr>
          <w:rFonts w:ascii="Times New Roman" w:hAnsi="Times New Roman"/>
          <w:kern w:val="0"/>
          <w:sz w:val="24"/>
          <w:lang w:eastAsia="en-US"/>
        </w:rPr>
        <w:t xml:space="preserve">CCK-8 </w:t>
      </w:r>
      <w:r w:rsidR="00560066" w:rsidRPr="00110790">
        <w:rPr>
          <w:rFonts w:ascii="Times New Roman" w:hAnsi="Times New Roman" w:hint="eastAsia"/>
          <w:kern w:val="0"/>
          <w:sz w:val="24"/>
          <w:lang w:eastAsia="en-US"/>
        </w:rPr>
        <w:t>solutions were</w:t>
      </w:r>
      <w:r w:rsidRPr="00110790">
        <w:rPr>
          <w:rFonts w:ascii="Times New Roman" w:hAnsi="Times New Roman"/>
          <w:kern w:val="0"/>
          <w:sz w:val="24"/>
          <w:lang w:eastAsia="en-US"/>
        </w:rPr>
        <w:t xml:space="preserve"> added</w:t>
      </w:r>
      <w:r w:rsidR="00560066" w:rsidRPr="00110790">
        <w:rPr>
          <w:rFonts w:ascii="Times New Roman" w:hAnsi="Times New Roman"/>
          <w:kern w:val="0"/>
          <w:sz w:val="24"/>
          <w:lang w:eastAsia="en-US"/>
        </w:rPr>
        <w:t xml:space="preserve"> </w:t>
      </w:r>
      <w:r w:rsidR="00560066" w:rsidRPr="00110790">
        <w:rPr>
          <w:rFonts w:ascii="Times New Roman" w:hAnsi="Times New Roman" w:hint="eastAsia"/>
          <w:kern w:val="0"/>
          <w:sz w:val="24"/>
          <w:lang w:eastAsia="en-US"/>
        </w:rPr>
        <w:t>into each well</w:t>
      </w:r>
      <w:r w:rsidRPr="00110790">
        <w:rPr>
          <w:rFonts w:ascii="Times New Roman" w:hAnsi="Times New Roman"/>
          <w:kern w:val="0"/>
          <w:sz w:val="24"/>
          <w:lang w:eastAsia="en-US"/>
        </w:rPr>
        <w:t xml:space="preserve"> at 24, 48, and 72 hours.</w:t>
      </w:r>
      <w:r w:rsidRPr="00110790">
        <w:rPr>
          <w:rFonts w:ascii="Times New Roman" w:hAnsi="Times New Roman" w:hint="eastAsia"/>
          <w:kern w:val="0"/>
          <w:sz w:val="24"/>
          <w:lang w:eastAsia="en-US"/>
        </w:rPr>
        <w:t xml:space="preserve"> C</w:t>
      </w:r>
      <w:r w:rsidRPr="00110790">
        <w:rPr>
          <w:rFonts w:ascii="Times New Roman" w:hAnsi="Times New Roman"/>
          <w:kern w:val="0"/>
          <w:sz w:val="24"/>
          <w:lang w:eastAsia="en-US"/>
        </w:rPr>
        <w:t>ells were</w:t>
      </w:r>
      <w:r w:rsidRPr="00110790">
        <w:rPr>
          <w:rFonts w:ascii="Times New Roman" w:hAnsi="Times New Roman" w:hint="eastAsia"/>
          <w:kern w:val="0"/>
          <w:sz w:val="24"/>
          <w:lang w:eastAsia="en-US"/>
        </w:rPr>
        <w:t xml:space="preserve"> </w:t>
      </w:r>
      <w:r w:rsidRPr="00110790">
        <w:rPr>
          <w:rFonts w:ascii="Times New Roman" w:hAnsi="Times New Roman"/>
          <w:kern w:val="0"/>
          <w:sz w:val="24"/>
          <w:lang w:eastAsia="en-US"/>
        </w:rPr>
        <w:t>incubated at 37</w:t>
      </w:r>
      <w:r w:rsidRPr="00110790">
        <w:rPr>
          <w:rFonts w:ascii="Times New Roman" w:hAnsi="Times New Roman" w:hint="eastAsia"/>
          <w:kern w:val="0"/>
          <w:sz w:val="24"/>
          <w:lang w:eastAsia="en-US"/>
        </w:rPr>
        <w:t>℃</w:t>
      </w:r>
      <w:r w:rsidR="00CD7CD3" w:rsidRPr="00110790">
        <w:rPr>
          <w:rFonts w:ascii="Times New Roman" w:hAnsi="Times New Roman" w:hint="eastAsia"/>
          <w:kern w:val="0"/>
          <w:sz w:val="24"/>
          <w:lang w:eastAsia="en-US"/>
        </w:rPr>
        <w:t xml:space="preserve"> </w:t>
      </w:r>
      <w:r w:rsidRPr="00110790">
        <w:rPr>
          <w:rFonts w:ascii="Times New Roman" w:hAnsi="Times New Roman"/>
          <w:kern w:val="0"/>
          <w:sz w:val="24"/>
          <w:lang w:eastAsia="en-US"/>
        </w:rPr>
        <w:t xml:space="preserve">for </w:t>
      </w:r>
      <w:r w:rsidR="00A70660" w:rsidRPr="00110790">
        <w:rPr>
          <w:rFonts w:ascii="Times New Roman" w:hAnsi="Times New Roman"/>
          <w:kern w:val="0"/>
          <w:sz w:val="24"/>
          <w:lang w:eastAsia="en-US"/>
        </w:rPr>
        <w:t>2</w:t>
      </w:r>
      <w:r w:rsidRPr="00110790">
        <w:rPr>
          <w:rFonts w:ascii="Times New Roman" w:hAnsi="Times New Roman"/>
          <w:kern w:val="0"/>
          <w:sz w:val="24"/>
          <w:lang w:eastAsia="en-US"/>
        </w:rPr>
        <w:t xml:space="preserve">h. </w:t>
      </w:r>
      <w:r w:rsidRPr="00110790">
        <w:rPr>
          <w:rFonts w:ascii="Times New Roman" w:hAnsi="Times New Roman" w:hint="eastAsia"/>
          <w:kern w:val="0"/>
          <w:sz w:val="24"/>
          <w:lang w:eastAsia="en-US"/>
        </w:rPr>
        <w:t xml:space="preserve">The absorbance of each sample </w:t>
      </w:r>
      <w:r w:rsidR="00875154" w:rsidRPr="00110790">
        <w:rPr>
          <w:rFonts w:ascii="Times New Roman" w:hAnsi="Times New Roman" w:hint="eastAsia"/>
          <w:kern w:val="0"/>
          <w:sz w:val="24"/>
          <w:lang w:eastAsia="en-US"/>
        </w:rPr>
        <w:t>was</w:t>
      </w:r>
      <w:r w:rsidRPr="00110790">
        <w:rPr>
          <w:rFonts w:ascii="Times New Roman" w:hAnsi="Times New Roman" w:hint="eastAsia"/>
          <w:kern w:val="0"/>
          <w:sz w:val="24"/>
          <w:lang w:eastAsia="en-US"/>
        </w:rPr>
        <w:t xml:space="preserve"> measured with a microplate reader at a wavelength of 450nm.</w:t>
      </w:r>
    </w:p>
    <w:p w14:paraId="0AE5D85E" w14:textId="77777777" w:rsidR="00D34F58" w:rsidRPr="00110790" w:rsidRDefault="00D34F58" w:rsidP="00D34F58">
      <w:pPr>
        <w:snapToGrid w:val="0"/>
        <w:spacing w:line="480" w:lineRule="auto"/>
        <w:contextualSpacing/>
        <w:mirrorIndents/>
        <w:jc w:val="left"/>
        <w:rPr>
          <w:rFonts w:ascii="Palatino Linotype" w:eastAsia="Times New Roman" w:hAnsi="Palatino Linotype" w:cs="Times New Roman"/>
          <w:snapToGrid w:val="0"/>
          <w:color w:val="000000"/>
          <w:kern w:val="0"/>
          <w:sz w:val="20"/>
          <w:lang w:eastAsia="de-DE" w:bidi="en-US"/>
        </w:rPr>
      </w:pPr>
    </w:p>
    <w:p w14:paraId="609AD774" w14:textId="77777777" w:rsidR="005E0F71" w:rsidRPr="00110790" w:rsidRDefault="005E0F71" w:rsidP="00EF55CE">
      <w:pPr>
        <w:pStyle w:val="MDPI21heading1"/>
        <w:ind w:left="0"/>
        <w:rPr>
          <w:lang w:eastAsia="zh-CN"/>
        </w:rPr>
      </w:pPr>
      <w:r w:rsidRPr="00110790">
        <w:rPr>
          <w:lang w:eastAsia="zh-CN"/>
        </w:rPr>
        <w:t>W</w:t>
      </w:r>
      <w:r w:rsidRPr="00110790">
        <w:rPr>
          <w:rFonts w:hint="eastAsia"/>
          <w:lang w:eastAsia="zh-CN"/>
        </w:rPr>
        <w:t>ound healing assay</w:t>
      </w:r>
    </w:p>
    <w:p w14:paraId="42B9125C" w14:textId="2EAA53AF" w:rsidR="00E062CE" w:rsidRPr="00110790" w:rsidRDefault="00E062CE" w:rsidP="001F0D2A">
      <w:pPr>
        <w:snapToGrid w:val="0"/>
        <w:spacing w:line="480" w:lineRule="auto"/>
        <w:contextualSpacing/>
        <w:mirrorIndents/>
        <w:jc w:val="left"/>
        <w:rPr>
          <w:rFonts w:ascii="Times New Roman" w:hAnsi="Times New Roman"/>
          <w:kern w:val="0"/>
          <w:sz w:val="24"/>
          <w:lang w:eastAsia="en-US"/>
        </w:rPr>
      </w:pPr>
      <w:r w:rsidRPr="00110790">
        <w:rPr>
          <w:rFonts w:ascii="Times New Roman" w:hAnsi="Times New Roman"/>
          <w:kern w:val="0"/>
          <w:sz w:val="24"/>
          <w:lang w:eastAsia="en-US"/>
        </w:rPr>
        <w:t xml:space="preserve">A total of </w:t>
      </w:r>
      <w:r w:rsidR="005E0F71" w:rsidRPr="00110790">
        <w:rPr>
          <w:rFonts w:ascii="Times New Roman" w:hAnsi="Times New Roman"/>
          <w:kern w:val="0"/>
          <w:sz w:val="24"/>
          <w:lang w:eastAsia="en-US"/>
        </w:rPr>
        <w:t>3</w:t>
      </w:r>
      <w:r w:rsidRPr="00110790">
        <w:rPr>
          <w:rFonts w:ascii="Times New Roman" w:hAnsi="Times New Roman"/>
          <w:kern w:val="0"/>
          <w:sz w:val="24"/>
          <w:lang w:eastAsia="en-US"/>
        </w:rPr>
        <w:t>×105 cells per well were seeded in 6-well plates, then t</w:t>
      </w:r>
      <w:bookmarkStart w:id="0" w:name="_GoBack"/>
      <w:bookmarkEnd w:id="0"/>
      <w:r w:rsidRPr="00110790">
        <w:rPr>
          <w:rFonts w:ascii="Times New Roman" w:hAnsi="Times New Roman"/>
          <w:kern w:val="0"/>
          <w:sz w:val="24"/>
          <w:lang w:eastAsia="en-US"/>
        </w:rPr>
        <w:t xml:space="preserve">ransfected with </w:t>
      </w:r>
      <w:r w:rsidR="001C74F5" w:rsidRPr="00110790">
        <w:rPr>
          <w:rFonts w:ascii="Times New Roman" w:hAnsi="Times New Roman"/>
          <w:kern w:val="0"/>
          <w:sz w:val="24"/>
          <w:lang w:eastAsia="en-US"/>
        </w:rPr>
        <w:t>SLC53C1</w:t>
      </w:r>
      <w:r w:rsidRPr="00110790">
        <w:rPr>
          <w:rFonts w:ascii="Times New Roman" w:hAnsi="Times New Roman"/>
          <w:kern w:val="0"/>
          <w:sz w:val="24"/>
          <w:lang w:eastAsia="en-US"/>
        </w:rPr>
        <w:t xml:space="preserve"> siRNA following overnight incubation. When cells reached </w:t>
      </w:r>
      <w:r w:rsidR="00306900" w:rsidRPr="00110790">
        <w:rPr>
          <w:rFonts w:ascii="Times New Roman" w:hAnsi="Times New Roman"/>
          <w:kern w:val="0"/>
          <w:sz w:val="24"/>
          <w:lang w:eastAsia="en-US"/>
        </w:rPr>
        <w:t>9</w:t>
      </w:r>
      <w:r w:rsidRPr="00110790">
        <w:rPr>
          <w:rFonts w:ascii="Times New Roman" w:hAnsi="Times New Roman"/>
          <w:kern w:val="0"/>
          <w:sz w:val="24"/>
          <w:lang w:eastAsia="en-US"/>
        </w:rPr>
        <w:t xml:space="preserve">0% confluence, the cell monolayer was scratched with a sterile pipette tip and cells were cultured in DMEM for </w:t>
      </w:r>
      <w:r w:rsidR="00306900" w:rsidRPr="00110790">
        <w:rPr>
          <w:rFonts w:ascii="Times New Roman" w:hAnsi="Times New Roman"/>
          <w:kern w:val="0"/>
          <w:sz w:val="24"/>
          <w:lang w:eastAsia="en-US"/>
        </w:rPr>
        <w:t>12</w:t>
      </w:r>
      <w:r w:rsidRPr="00110790">
        <w:rPr>
          <w:rFonts w:ascii="Times New Roman" w:hAnsi="Times New Roman"/>
          <w:kern w:val="0"/>
          <w:sz w:val="24"/>
          <w:lang w:eastAsia="en-US"/>
        </w:rPr>
        <w:t xml:space="preserve"> h. Photographs were taken at 0</w:t>
      </w:r>
      <w:r w:rsidR="00306900" w:rsidRPr="00110790">
        <w:rPr>
          <w:rFonts w:ascii="Times New Roman" w:hAnsi="Times New Roman"/>
          <w:kern w:val="0"/>
          <w:sz w:val="24"/>
          <w:lang w:eastAsia="en-US"/>
        </w:rPr>
        <w:t xml:space="preserve">, 6 </w:t>
      </w:r>
      <w:r w:rsidRPr="00110790">
        <w:rPr>
          <w:rFonts w:ascii="Times New Roman" w:hAnsi="Times New Roman"/>
          <w:kern w:val="0"/>
          <w:sz w:val="24"/>
          <w:lang w:eastAsia="en-US"/>
        </w:rPr>
        <w:t xml:space="preserve">and </w:t>
      </w:r>
      <w:r w:rsidR="0075318E" w:rsidRPr="00110790">
        <w:rPr>
          <w:rFonts w:ascii="Times New Roman" w:hAnsi="Times New Roman"/>
          <w:kern w:val="0"/>
          <w:sz w:val="24"/>
          <w:lang w:eastAsia="en-US"/>
        </w:rPr>
        <w:t>12</w:t>
      </w:r>
      <w:r w:rsidRPr="00110790">
        <w:rPr>
          <w:rFonts w:ascii="Times New Roman" w:hAnsi="Times New Roman"/>
          <w:kern w:val="0"/>
          <w:sz w:val="24"/>
          <w:lang w:eastAsia="en-US"/>
        </w:rPr>
        <w:t xml:space="preserve"> h along the scrape line using a light microscope. </w:t>
      </w:r>
      <w:r w:rsidR="0075318E" w:rsidRPr="00110790">
        <w:rPr>
          <w:rFonts w:ascii="Times New Roman" w:hAnsi="Times New Roman"/>
          <w:kern w:val="0"/>
          <w:sz w:val="24"/>
          <w:lang w:eastAsia="en-US"/>
        </w:rPr>
        <w:t>Migration images were captured by an inverted microscope</w:t>
      </w:r>
      <w:r w:rsidR="004C2BF5" w:rsidRPr="00110790">
        <w:rPr>
          <w:rFonts w:ascii="Times New Roman" w:hAnsi="Times New Roman"/>
          <w:kern w:val="0"/>
          <w:sz w:val="24"/>
          <w:lang w:eastAsia="en-US"/>
        </w:rPr>
        <w:t xml:space="preserve"> </w:t>
      </w:r>
      <w:r w:rsidR="0075318E" w:rsidRPr="00110790">
        <w:rPr>
          <w:rFonts w:ascii="Times New Roman" w:hAnsi="Times New Roman"/>
          <w:kern w:val="0"/>
          <w:sz w:val="24"/>
          <w:lang w:eastAsia="en-US"/>
        </w:rPr>
        <w:t xml:space="preserve">and the relative percentage of wound closure was determined </w:t>
      </w:r>
      <w:r w:rsidR="00875154" w:rsidRPr="00110790">
        <w:rPr>
          <w:rFonts w:ascii="Times New Roman" w:hAnsi="Times New Roman"/>
          <w:kern w:val="0"/>
          <w:sz w:val="24"/>
          <w:lang w:eastAsia="en-US"/>
        </w:rPr>
        <w:t>by comparison with</w:t>
      </w:r>
      <w:r w:rsidR="0075318E" w:rsidRPr="00110790">
        <w:rPr>
          <w:rFonts w:ascii="Times New Roman" w:hAnsi="Times New Roman"/>
          <w:kern w:val="0"/>
          <w:sz w:val="24"/>
          <w:lang w:eastAsia="en-US"/>
        </w:rPr>
        <w:t xml:space="preserve"> control cells.</w:t>
      </w:r>
    </w:p>
    <w:p w14:paraId="575929A1" w14:textId="77777777" w:rsidR="00D34F58" w:rsidRPr="00110790" w:rsidRDefault="00D34F58" w:rsidP="001F0D2A">
      <w:pPr>
        <w:snapToGrid w:val="0"/>
        <w:spacing w:line="480" w:lineRule="auto"/>
        <w:contextualSpacing/>
        <w:mirrorIndents/>
        <w:jc w:val="left"/>
        <w:rPr>
          <w:rFonts w:ascii="Palatino Linotype" w:eastAsia="Times New Roman" w:hAnsi="Palatino Linotype" w:cs="Times New Roman"/>
          <w:snapToGrid w:val="0"/>
          <w:color w:val="000000"/>
          <w:kern w:val="0"/>
          <w:sz w:val="20"/>
          <w:lang w:eastAsia="de-DE" w:bidi="en-US"/>
        </w:rPr>
      </w:pPr>
    </w:p>
    <w:p w14:paraId="01403F55" w14:textId="3D383B80" w:rsidR="00890A93" w:rsidRPr="00110790" w:rsidRDefault="00EC2994" w:rsidP="00EF55CE">
      <w:pPr>
        <w:pStyle w:val="MDPI21heading1"/>
        <w:ind w:left="0"/>
        <w:rPr>
          <w:lang w:eastAsia="zh-CN"/>
        </w:rPr>
      </w:pPr>
      <w:r w:rsidRPr="00110790">
        <w:rPr>
          <w:lang w:eastAsia="zh-CN"/>
        </w:rPr>
        <w:t>Invasion assay</w:t>
      </w:r>
    </w:p>
    <w:p w14:paraId="41F6ACAB" w14:textId="0EC11C2C" w:rsidR="005331A7" w:rsidRPr="00110790" w:rsidRDefault="00E062CE" w:rsidP="00D34F58">
      <w:pPr>
        <w:snapToGrid w:val="0"/>
        <w:spacing w:line="480" w:lineRule="auto"/>
        <w:contextualSpacing/>
        <w:mirrorIndents/>
        <w:jc w:val="left"/>
        <w:rPr>
          <w:rFonts w:ascii="Times New Roman" w:hAnsi="Times New Roman"/>
          <w:kern w:val="0"/>
          <w:sz w:val="24"/>
          <w:lang w:eastAsia="en-US"/>
        </w:rPr>
      </w:pPr>
      <w:r w:rsidRPr="00110790">
        <w:rPr>
          <w:rFonts w:ascii="Times New Roman" w:hAnsi="Times New Roman"/>
          <w:kern w:val="0"/>
          <w:sz w:val="24"/>
          <w:lang w:eastAsia="en-US"/>
        </w:rPr>
        <w:t xml:space="preserve">Invasion analysis was conducted by Transwell inserts with polycarbonate membranes (8.0 μm pore size) with Matrixgel (BD). </w:t>
      </w:r>
      <w:r w:rsidR="001C74F5" w:rsidRPr="00110790">
        <w:rPr>
          <w:rFonts w:ascii="Times New Roman" w:hAnsi="Times New Roman"/>
          <w:kern w:val="0"/>
          <w:sz w:val="24"/>
          <w:lang w:eastAsia="en-US"/>
        </w:rPr>
        <w:t>U251</w:t>
      </w:r>
      <w:r w:rsidR="001F0D2A" w:rsidRPr="00110790">
        <w:rPr>
          <w:rFonts w:ascii="Times New Roman" w:hAnsi="Times New Roman"/>
          <w:kern w:val="0"/>
          <w:sz w:val="24"/>
          <w:lang w:eastAsia="en-US"/>
        </w:rPr>
        <w:t xml:space="preserve"> cells</w:t>
      </w:r>
      <w:r w:rsidR="001F0D2A" w:rsidRPr="00110790">
        <w:rPr>
          <w:rFonts w:ascii="Times New Roman" w:hAnsi="Times New Roman" w:hint="eastAsia"/>
          <w:kern w:val="0"/>
          <w:sz w:val="24"/>
          <w:lang w:eastAsia="en-US"/>
        </w:rPr>
        <w:t xml:space="preserve"> (</w:t>
      </w:r>
      <w:r w:rsidR="001F0D2A" w:rsidRPr="00110790">
        <w:rPr>
          <w:rFonts w:ascii="Times New Roman" w:hAnsi="Times New Roman"/>
          <w:kern w:val="0"/>
          <w:sz w:val="24"/>
          <w:lang w:eastAsia="en-US"/>
        </w:rPr>
        <w:t>4</w:t>
      </w:r>
      <w:r w:rsidR="001F0D2A" w:rsidRPr="00110790">
        <w:rPr>
          <w:rFonts w:ascii="Times New Roman" w:hAnsi="Times New Roman" w:hint="eastAsia"/>
          <w:kern w:val="0"/>
          <w:sz w:val="24"/>
          <w:lang w:eastAsia="en-US"/>
        </w:rPr>
        <w:t>×</w:t>
      </w:r>
      <w:r w:rsidR="001F0D2A" w:rsidRPr="00110790">
        <w:rPr>
          <w:rFonts w:ascii="Times New Roman" w:hAnsi="Times New Roman" w:hint="eastAsia"/>
          <w:kern w:val="0"/>
          <w:sz w:val="24"/>
          <w:lang w:eastAsia="en-US"/>
        </w:rPr>
        <w:t>104 cells/well)</w:t>
      </w:r>
      <w:r w:rsidRPr="00110790">
        <w:rPr>
          <w:rFonts w:ascii="Times New Roman" w:hAnsi="Times New Roman"/>
          <w:kern w:val="0"/>
          <w:sz w:val="24"/>
          <w:lang w:eastAsia="en-US"/>
        </w:rPr>
        <w:t xml:space="preserve"> were seeded into the upper chamber and culture medium containing 20% FBS was added in the lower chamber. </w:t>
      </w:r>
      <w:r w:rsidR="001F0D2A" w:rsidRPr="00110790">
        <w:rPr>
          <w:rFonts w:ascii="Times New Roman" w:hAnsi="Times New Roman" w:hint="eastAsia"/>
          <w:kern w:val="0"/>
          <w:sz w:val="24"/>
          <w:lang w:eastAsia="en-US"/>
        </w:rPr>
        <w:t>After 24h of incubation, non-migrated cell</w:t>
      </w:r>
      <w:r w:rsidR="00875154" w:rsidRPr="00110790">
        <w:rPr>
          <w:rFonts w:ascii="Times New Roman" w:hAnsi="Times New Roman" w:hint="eastAsia"/>
          <w:kern w:val="0"/>
          <w:sz w:val="24"/>
          <w:lang w:eastAsia="en-US"/>
        </w:rPr>
        <w:t>s</w:t>
      </w:r>
      <w:r w:rsidR="001F0D2A" w:rsidRPr="00110790">
        <w:rPr>
          <w:rFonts w:ascii="Times New Roman" w:hAnsi="Times New Roman" w:hint="eastAsia"/>
          <w:kern w:val="0"/>
          <w:sz w:val="24"/>
          <w:lang w:eastAsia="en-US"/>
        </w:rPr>
        <w:t xml:space="preserve"> in the upper chamber were removed with cotton swabs.</w:t>
      </w:r>
      <w:r w:rsidR="00875154" w:rsidRPr="00110790">
        <w:rPr>
          <w:rFonts w:ascii="Times New Roman" w:hAnsi="Times New Roman"/>
          <w:kern w:val="0"/>
          <w:sz w:val="24"/>
          <w:lang w:eastAsia="en-US"/>
        </w:rPr>
        <w:t xml:space="preserve"> </w:t>
      </w:r>
      <w:r w:rsidR="001F0D2A" w:rsidRPr="00110790">
        <w:rPr>
          <w:rFonts w:ascii="Times New Roman" w:hAnsi="Times New Roman" w:hint="eastAsia"/>
          <w:kern w:val="0"/>
          <w:sz w:val="24"/>
          <w:lang w:eastAsia="en-US"/>
        </w:rPr>
        <w:t>The migrated cells were fixed with 4% paraformaldehyde , stained with crystal violet and counted.</w:t>
      </w:r>
    </w:p>
    <w:p w14:paraId="21626A46" w14:textId="5793D24D" w:rsidR="008473BB" w:rsidRPr="00110790" w:rsidRDefault="008473BB" w:rsidP="001C74F5">
      <w:pPr>
        <w:tabs>
          <w:tab w:val="left" w:pos="3561"/>
        </w:tabs>
        <w:spacing w:line="480" w:lineRule="auto"/>
        <w:rPr>
          <w:rFonts w:ascii="Times New Roman" w:eastAsia="SimSun" w:hAnsi="Times New Roman" w:cs="Times New Roman"/>
          <w:color w:val="000000" w:themeColor="text1"/>
          <w:kern w:val="0"/>
          <w:sz w:val="24"/>
          <w:szCs w:val="24"/>
          <w:bdr w:val="none" w:sz="0" w:space="0" w:color="auto" w:frame="1"/>
        </w:rPr>
      </w:pPr>
    </w:p>
    <w:p w14:paraId="382B0E9A" w14:textId="52BF892A" w:rsidR="00C13C55" w:rsidRPr="00110790" w:rsidRDefault="00C13C55" w:rsidP="00C13C55">
      <w:pPr>
        <w:pStyle w:val="MDPI21heading1"/>
        <w:ind w:left="0"/>
        <w:rPr>
          <w:lang w:eastAsia="zh-CN"/>
        </w:rPr>
      </w:pPr>
      <w:r w:rsidRPr="00110790">
        <w:rPr>
          <w:lang w:eastAsia="zh-CN"/>
        </w:rPr>
        <w:t>EdU assay</w:t>
      </w:r>
    </w:p>
    <w:p w14:paraId="46BE7A4A" w14:textId="6AFB899B" w:rsidR="00C6766F" w:rsidRPr="00110790" w:rsidRDefault="00187150" w:rsidP="001F0D2A">
      <w:pPr>
        <w:snapToGrid w:val="0"/>
        <w:spacing w:line="480" w:lineRule="auto"/>
        <w:contextualSpacing/>
        <w:mirrorIndents/>
        <w:jc w:val="left"/>
        <w:rPr>
          <w:rFonts w:ascii="Times New Roman" w:hAnsi="Times New Roman"/>
          <w:kern w:val="0"/>
          <w:sz w:val="24"/>
          <w:lang w:eastAsia="en-US"/>
        </w:rPr>
      </w:pPr>
      <w:r w:rsidRPr="00110790">
        <w:rPr>
          <w:rFonts w:ascii="Times New Roman" w:hAnsi="Times New Roman"/>
          <w:kern w:val="0"/>
          <w:sz w:val="24"/>
          <w:lang w:eastAsia="en-US"/>
        </w:rPr>
        <w:t>U251 cells were divided into 2 groups, including control (glioma-E) and SLC35C1 overexpression (glioma-D) groups. The cells of each group were inoculated into the cell chambers, and EdU reagent was added after 16 h. The cells were continued to be cultured for 4 h. The cells were removed and washed twice with PBS or 0.9% NaCl for 3 min each time. The cells were then slowly suspended and added dropwise to the slides to distribute the cells as evenly as possible, and then 0.5 ml of Hoechst 33258 staining solution was added dropwise and stained for 5 min. Hoechst mainly stained the nuclei of the cells to indicate the total number of cells in the field of view, and EdU mainly stained the mitotic cells to indicate the cells in the proliferation stage in the field of view.</w:t>
      </w:r>
    </w:p>
    <w:p w14:paraId="50B17764" w14:textId="0066531D" w:rsidR="00B82064" w:rsidRPr="00110790" w:rsidRDefault="00C81C49" w:rsidP="00C81C49">
      <w:pPr>
        <w:pStyle w:val="MDPI21heading1"/>
        <w:ind w:left="0"/>
        <w:rPr>
          <w:lang w:eastAsia="zh-CN"/>
        </w:rPr>
      </w:pPr>
      <w:r w:rsidRPr="00110790">
        <w:rPr>
          <w:lang w:eastAsia="zh-CN"/>
        </w:rPr>
        <w:t>Plate clone formation assay</w:t>
      </w:r>
    </w:p>
    <w:p w14:paraId="106FE446" w14:textId="4467BC14" w:rsidR="00187150" w:rsidRPr="00110790" w:rsidRDefault="00C81C49" w:rsidP="001F0D2A">
      <w:pPr>
        <w:snapToGrid w:val="0"/>
        <w:spacing w:line="480" w:lineRule="auto"/>
        <w:contextualSpacing/>
        <w:mirrorIndents/>
        <w:jc w:val="left"/>
        <w:rPr>
          <w:rFonts w:ascii="Times New Roman" w:hAnsi="Times New Roman"/>
          <w:kern w:val="0"/>
          <w:sz w:val="24"/>
          <w:lang w:eastAsia="en-US"/>
        </w:rPr>
      </w:pPr>
      <w:r w:rsidRPr="00110790">
        <w:rPr>
          <w:rFonts w:ascii="Times New Roman" w:hAnsi="Times New Roman"/>
          <w:kern w:val="0"/>
          <w:sz w:val="24"/>
          <w:lang w:eastAsia="en-US"/>
        </w:rPr>
        <w:t>The cells of each group were digested with 0.25% trypsin to prepare a single cell suspension, adjust the cell density, inoculate into 6-well plates, each group of cells inoculated with 3 wells, 300/well, gently shake the 6-well plates in the cross direction to make the cells evenly dispersed. The cells were incubated at 37℃, 5% CO2 incubator, and incubated for about 10 d. When the clones were visible to the naked eye, the culture medium was discarded, and the cells were carefully rinsed twice with PBS and fixed with 10 ml of methanol for 15 min. The fixative was discarded, and the appropriate amount of stain was added for 30 min, and then the stain was slowly washed off with running water, dried in air at room temperature, and counted under ordinary light microscope.</w:t>
      </w:r>
    </w:p>
    <w:p w14:paraId="67E195C2" w14:textId="77777777" w:rsidR="00187150" w:rsidRPr="00110790" w:rsidRDefault="00187150" w:rsidP="001F0D2A">
      <w:pPr>
        <w:snapToGrid w:val="0"/>
        <w:spacing w:line="480" w:lineRule="auto"/>
        <w:contextualSpacing/>
        <w:mirrorIndents/>
        <w:jc w:val="left"/>
        <w:rPr>
          <w:rFonts w:ascii="Times New Roman" w:hAnsi="Times New Roman" w:cs="Times New Roman"/>
          <w:b/>
          <w:bCs/>
          <w:color w:val="000000" w:themeColor="text1"/>
          <w:sz w:val="24"/>
          <w:szCs w:val="24"/>
        </w:rPr>
      </w:pPr>
    </w:p>
    <w:p w14:paraId="77E4E1C4" w14:textId="22F40728" w:rsidR="0000390D" w:rsidRPr="00110790" w:rsidRDefault="0000390D" w:rsidP="00EF55CE">
      <w:pPr>
        <w:pStyle w:val="MDPI21heading1"/>
        <w:ind w:left="0"/>
        <w:rPr>
          <w:lang w:eastAsia="zh-CN"/>
        </w:rPr>
      </w:pPr>
      <w:r w:rsidRPr="00110790">
        <w:rPr>
          <w:lang w:eastAsia="zh-CN"/>
        </w:rPr>
        <w:t>Supplementary figure legends</w:t>
      </w:r>
    </w:p>
    <w:p w14:paraId="06C35FC7" w14:textId="38A4EB3E" w:rsidR="005C023B" w:rsidRPr="00110790" w:rsidRDefault="005C023B" w:rsidP="001F0D2A">
      <w:pPr>
        <w:snapToGrid w:val="0"/>
        <w:spacing w:line="480" w:lineRule="auto"/>
        <w:contextualSpacing/>
        <w:mirrorIndents/>
        <w:jc w:val="left"/>
        <w:rPr>
          <w:rFonts w:ascii="Palatino Linotype" w:hAnsi="Palatino Linotype" w:cs="Times New Roman"/>
          <w:b/>
          <w:snapToGrid w:val="0"/>
          <w:color w:val="000000"/>
          <w:kern w:val="0"/>
          <w:sz w:val="20"/>
          <w:lang w:bidi="en-US"/>
        </w:rPr>
      </w:pPr>
      <w:r w:rsidRPr="00110790">
        <w:rPr>
          <w:rFonts w:ascii="Palatino Linotype" w:eastAsia="Times New Roman" w:hAnsi="Palatino Linotype" w:cs="Times New Roman"/>
          <w:b/>
          <w:noProof/>
          <w:color w:val="000000"/>
          <w:kern w:val="0"/>
          <w:sz w:val="20"/>
          <w:lang w:val="en-IN" w:eastAsia="en-IN"/>
        </w:rPr>
        <w:drawing>
          <wp:inline distT="0" distB="0" distL="0" distR="0" wp14:anchorId="5A9E5AB9" wp14:editId="073138E5">
            <wp:extent cx="6556375" cy="211264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56375" cy="2112645"/>
                    </a:xfrm>
                    <a:prstGeom prst="rect">
                      <a:avLst/>
                    </a:prstGeom>
                  </pic:spPr>
                </pic:pic>
              </a:graphicData>
            </a:graphic>
          </wp:inline>
        </w:drawing>
      </w:r>
    </w:p>
    <w:p w14:paraId="61576D56" w14:textId="139D43C1" w:rsidR="005C023B" w:rsidRPr="00110790" w:rsidRDefault="005C023B" w:rsidP="005C023B">
      <w:pPr>
        <w:rPr>
          <w:rFonts w:ascii="Tahoma"/>
          <w:color w:val="231F20"/>
          <w:spacing w:val="6"/>
          <w:sz w:val="14"/>
        </w:rPr>
      </w:pPr>
      <w:r w:rsidRPr="00110790">
        <w:rPr>
          <w:rFonts w:ascii="Palatino Linotype" w:eastAsia="Times New Roman" w:hAnsi="Palatino Linotype" w:cs="Times New Roman"/>
          <w:snapToGrid w:val="0"/>
          <w:color w:val="000000"/>
          <w:kern w:val="0"/>
          <w:sz w:val="20"/>
          <w:lang w:eastAsia="de-DE" w:bidi="en-US"/>
        </w:rPr>
        <w:t xml:space="preserve">Supplement Figure1 </w:t>
      </w:r>
      <w:r w:rsidRPr="00110790">
        <w:rPr>
          <w:rFonts w:ascii="Palatino Linotype" w:eastAsia="Times New Roman" w:hAnsi="Palatino Linotype" w:cs="Times New Roman" w:hint="eastAsia"/>
          <w:snapToGrid w:val="0"/>
          <w:color w:val="000000"/>
          <w:kern w:val="0"/>
          <w:sz w:val="20"/>
          <w:lang w:eastAsia="de-DE" w:bidi="en-US"/>
        </w:rPr>
        <w:t>:</w:t>
      </w:r>
      <w:r w:rsidRPr="00110790">
        <w:rPr>
          <w:rFonts w:ascii="Tahoma"/>
          <w:color w:val="231F20"/>
          <w:spacing w:val="6"/>
          <w:sz w:val="14"/>
        </w:rPr>
        <w:t xml:space="preserve"> </w:t>
      </w:r>
      <w:r w:rsidRPr="00110790">
        <w:rPr>
          <w:rFonts w:ascii="Palatino Linotype" w:eastAsia="Times New Roman" w:hAnsi="Palatino Linotype" w:cs="Times New Roman"/>
          <w:snapToGrid w:val="0"/>
          <w:color w:val="000000"/>
          <w:kern w:val="0"/>
          <w:sz w:val="20"/>
          <w:lang w:eastAsia="de-DE" w:bidi="en-US"/>
        </w:rPr>
        <w:t>SLC35C1 expression is correlated with Immune-related genes. (A) The correlation between SLC35C1 and Autophagy gene. (B) The correlation between SLC35C1 and Ferroptosis gene. (C) The correlation between Immune checkpoint gene. *P &lt; 0.05; **P &lt; 0.01; ***P &lt; 0.001.</w:t>
      </w:r>
    </w:p>
    <w:p w14:paraId="720A7613" w14:textId="77777777" w:rsidR="005C023B" w:rsidRPr="00110790" w:rsidRDefault="005C023B" w:rsidP="005C023B">
      <w:pPr>
        <w:rPr>
          <w:rFonts w:ascii="Tahoma"/>
          <w:color w:val="231F20"/>
          <w:spacing w:val="6"/>
          <w:sz w:val="14"/>
        </w:rPr>
      </w:pPr>
    </w:p>
    <w:p w14:paraId="7EEFF4E1" w14:textId="16609E15" w:rsidR="005C023B" w:rsidRPr="00110790" w:rsidRDefault="005C023B" w:rsidP="005C023B">
      <w:pPr>
        <w:snapToGrid w:val="0"/>
        <w:spacing w:line="480" w:lineRule="auto"/>
        <w:contextualSpacing/>
        <w:mirrorIndents/>
        <w:jc w:val="left"/>
        <w:rPr>
          <w:rFonts w:ascii="Palatino Linotype" w:eastAsia="Times New Roman" w:hAnsi="Palatino Linotype" w:cs="Times New Roman"/>
          <w:snapToGrid w:val="0"/>
          <w:color w:val="000000"/>
          <w:kern w:val="0"/>
          <w:sz w:val="20"/>
          <w:lang w:eastAsia="de-DE" w:bidi="en-US"/>
        </w:rPr>
      </w:pPr>
    </w:p>
    <w:p w14:paraId="29E18982" w14:textId="77777777" w:rsidR="005C023B" w:rsidRPr="00110790" w:rsidRDefault="005C023B" w:rsidP="001F0D2A">
      <w:pPr>
        <w:snapToGrid w:val="0"/>
        <w:spacing w:line="480" w:lineRule="auto"/>
        <w:contextualSpacing/>
        <w:mirrorIndents/>
        <w:jc w:val="left"/>
        <w:rPr>
          <w:rFonts w:ascii="Palatino Linotype" w:hAnsi="Palatino Linotype" w:cs="Times New Roman"/>
          <w:b/>
          <w:snapToGrid w:val="0"/>
          <w:color w:val="000000"/>
          <w:kern w:val="0"/>
          <w:sz w:val="20"/>
          <w:lang w:bidi="en-US"/>
        </w:rPr>
      </w:pPr>
    </w:p>
    <w:p w14:paraId="13EE5917" w14:textId="6CC21030" w:rsidR="008473BB" w:rsidRPr="00110790" w:rsidRDefault="00C6766F" w:rsidP="001F0D2A">
      <w:pPr>
        <w:snapToGrid w:val="0"/>
        <w:spacing w:line="480" w:lineRule="auto"/>
        <w:contextualSpacing/>
        <w:mirrorIndents/>
        <w:jc w:val="left"/>
        <w:rPr>
          <w:rFonts w:ascii="Times New Roman" w:hAnsi="Times New Roman" w:cs="Times New Roman"/>
          <w:b/>
          <w:bCs/>
          <w:color w:val="000000" w:themeColor="text1"/>
          <w:sz w:val="24"/>
          <w:szCs w:val="24"/>
        </w:rPr>
      </w:pPr>
      <w:r w:rsidRPr="00110790">
        <w:rPr>
          <w:rFonts w:ascii="Times New Roman" w:hAnsi="Times New Roman" w:cs="Times New Roman"/>
          <w:b/>
          <w:bCs/>
          <w:noProof/>
          <w:color w:val="000000" w:themeColor="text1"/>
          <w:sz w:val="24"/>
          <w:szCs w:val="24"/>
          <w:lang w:val="en-IN" w:eastAsia="en-IN"/>
        </w:rPr>
        <w:drawing>
          <wp:inline distT="0" distB="0" distL="0" distR="0" wp14:anchorId="65B9859A" wp14:editId="6BF3F1AE">
            <wp:extent cx="5264150" cy="36131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4150" cy="3613150"/>
                    </a:xfrm>
                    <a:prstGeom prst="rect">
                      <a:avLst/>
                    </a:prstGeom>
                    <a:noFill/>
                    <a:ln>
                      <a:noFill/>
                    </a:ln>
                  </pic:spPr>
                </pic:pic>
              </a:graphicData>
            </a:graphic>
          </wp:inline>
        </w:drawing>
      </w:r>
    </w:p>
    <w:p w14:paraId="60816C67" w14:textId="5C087213" w:rsidR="00C645DC" w:rsidRPr="00110790" w:rsidRDefault="00314156" w:rsidP="00A75A57">
      <w:pPr>
        <w:snapToGrid w:val="0"/>
        <w:spacing w:line="480" w:lineRule="auto"/>
        <w:contextualSpacing/>
        <w:mirrorIndents/>
        <w:jc w:val="left"/>
        <w:rPr>
          <w:rFonts w:ascii="Palatino Linotype" w:eastAsia="Times New Roman" w:hAnsi="Palatino Linotype" w:cs="Times New Roman"/>
          <w:snapToGrid w:val="0"/>
          <w:color w:val="000000"/>
          <w:kern w:val="0"/>
          <w:sz w:val="20"/>
          <w:lang w:eastAsia="de-DE" w:bidi="en-US"/>
        </w:rPr>
      </w:pPr>
      <w:r w:rsidRPr="00110790">
        <w:rPr>
          <w:rFonts w:ascii="Palatino Linotype" w:eastAsia="Times New Roman" w:hAnsi="Palatino Linotype" w:cs="Times New Roman"/>
          <w:snapToGrid w:val="0"/>
          <w:color w:val="000000"/>
          <w:kern w:val="0"/>
          <w:sz w:val="20"/>
          <w:lang w:eastAsia="de-DE" w:bidi="en-US"/>
        </w:rPr>
        <w:t>Supplement Figure</w:t>
      </w:r>
      <w:r w:rsidR="005C023B" w:rsidRPr="00110790">
        <w:rPr>
          <w:rFonts w:ascii="Palatino Linotype" w:eastAsia="Times New Roman" w:hAnsi="Palatino Linotype" w:cs="Times New Roman"/>
          <w:snapToGrid w:val="0"/>
          <w:color w:val="000000"/>
          <w:kern w:val="0"/>
          <w:sz w:val="20"/>
          <w:lang w:eastAsia="de-DE" w:bidi="en-US"/>
        </w:rPr>
        <w:t>2</w:t>
      </w:r>
      <w:r w:rsidR="00F85615" w:rsidRPr="00110790">
        <w:rPr>
          <w:rFonts w:ascii="Palatino Linotype" w:eastAsia="Times New Roman" w:hAnsi="Palatino Linotype" w:cs="Times New Roman" w:hint="eastAsia"/>
          <w:snapToGrid w:val="0"/>
          <w:color w:val="000000"/>
          <w:kern w:val="0"/>
          <w:sz w:val="20"/>
          <w:lang w:eastAsia="de-DE" w:bidi="en-US"/>
        </w:rPr>
        <w:t>:</w:t>
      </w:r>
      <w:r w:rsidR="00F85615" w:rsidRPr="00110790">
        <w:rPr>
          <w:rFonts w:ascii="Palatino Linotype" w:eastAsia="Times New Roman" w:hAnsi="Palatino Linotype" w:cs="Times New Roman"/>
          <w:snapToGrid w:val="0"/>
          <w:color w:val="000000"/>
          <w:kern w:val="0"/>
          <w:sz w:val="20"/>
          <w:lang w:eastAsia="de-DE" w:bidi="en-US"/>
        </w:rPr>
        <w:t xml:space="preserve"> </w:t>
      </w:r>
      <w:r w:rsidR="00C6766F" w:rsidRPr="00110790">
        <w:rPr>
          <w:rFonts w:ascii="Palatino Linotype" w:eastAsia="Times New Roman" w:hAnsi="Palatino Linotype" w:cs="Times New Roman"/>
          <w:snapToGrid w:val="0"/>
          <w:color w:val="000000"/>
          <w:kern w:val="0"/>
          <w:sz w:val="20"/>
          <w:lang w:eastAsia="de-DE" w:bidi="en-US"/>
        </w:rPr>
        <w:t>(A)</w:t>
      </w:r>
      <w:r w:rsidR="000B4AAD" w:rsidRPr="00110790">
        <w:rPr>
          <w:rFonts w:ascii="Palatino Linotype" w:eastAsia="Times New Roman" w:hAnsi="Palatino Linotype" w:cs="Times New Roman"/>
          <w:snapToGrid w:val="0"/>
          <w:color w:val="000000"/>
          <w:kern w:val="0"/>
          <w:sz w:val="20"/>
          <w:lang w:eastAsia="de-DE" w:bidi="en-US"/>
        </w:rPr>
        <w:t>T</w:t>
      </w:r>
      <w:r w:rsidR="000B4AAD" w:rsidRPr="00110790">
        <w:rPr>
          <w:rFonts w:ascii="Palatino Linotype" w:eastAsia="Times New Roman" w:hAnsi="Palatino Linotype" w:cs="Times New Roman" w:hint="eastAsia"/>
          <w:snapToGrid w:val="0"/>
          <w:color w:val="000000"/>
          <w:kern w:val="0"/>
          <w:sz w:val="20"/>
          <w:lang w:eastAsia="de-DE" w:bidi="en-US"/>
        </w:rPr>
        <w:t>he expression data of</w:t>
      </w:r>
      <w:r w:rsidR="00F85615" w:rsidRPr="00110790">
        <w:rPr>
          <w:rFonts w:ascii="Palatino Linotype" w:eastAsia="Times New Roman" w:hAnsi="Palatino Linotype" w:cs="Times New Roman"/>
          <w:snapToGrid w:val="0"/>
          <w:color w:val="000000"/>
          <w:kern w:val="0"/>
          <w:sz w:val="20"/>
          <w:lang w:eastAsia="de-DE" w:bidi="en-US"/>
        </w:rPr>
        <w:t xml:space="preserve"> SLC35C1</w:t>
      </w:r>
      <w:r w:rsidR="000B4AAD" w:rsidRPr="00110790">
        <w:rPr>
          <w:rFonts w:ascii="Palatino Linotype" w:eastAsia="Times New Roman" w:hAnsi="Palatino Linotype" w:cs="Times New Roman"/>
          <w:snapToGrid w:val="0"/>
          <w:color w:val="000000"/>
          <w:kern w:val="0"/>
          <w:sz w:val="20"/>
          <w:lang w:eastAsia="de-DE" w:bidi="en-US"/>
        </w:rPr>
        <w:t xml:space="preserve"> </w:t>
      </w:r>
      <w:r w:rsidR="000B4AAD" w:rsidRPr="00110790">
        <w:rPr>
          <w:rFonts w:ascii="Palatino Linotype" w:eastAsia="Times New Roman" w:hAnsi="Palatino Linotype" w:cs="Times New Roman" w:hint="eastAsia"/>
          <w:snapToGrid w:val="0"/>
          <w:color w:val="000000"/>
          <w:kern w:val="0"/>
          <w:sz w:val="20"/>
          <w:lang w:eastAsia="de-DE" w:bidi="en-US"/>
        </w:rPr>
        <w:t xml:space="preserve">in </w:t>
      </w:r>
      <w:r w:rsidR="000B4AAD" w:rsidRPr="00110790">
        <w:rPr>
          <w:rFonts w:ascii="Palatino Linotype" w:eastAsia="Times New Roman" w:hAnsi="Palatino Linotype" w:cs="Times New Roman"/>
          <w:snapToGrid w:val="0"/>
          <w:color w:val="000000"/>
          <w:kern w:val="0"/>
          <w:sz w:val="20"/>
          <w:lang w:eastAsia="de-DE" w:bidi="en-US"/>
        </w:rPr>
        <w:t>different normal cells.</w:t>
      </w:r>
      <w:r w:rsidR="00C6766F" w:rsidRPr="00110790">
        <w:rPr>
          <w:rFonts w:ascii="Palatino Linotype" w:eastAsia="Times New Roman" w:hAnsi="Palatino Linotype" w:cs="Times New Roman"/>
          <w:snapToGrid w:val="0"/>
          <w:color w:val="000000"/>
          <w:kern w:val="0"/>
          <w:sz w:val="20"/>
          <w:lang w:eastAsia="de-DE" w:bidi="en-US"/>
        </w:rPr>
        <w:t xml:space="preserve"> (B) </w:t>
      </w:r>
      <w:r w:rsidR="00A75A57" w:rsidRPr="00110790">
        <w:rPr>
          <w:rFonts w:ascii="Palatino Linotype" w:eastAsia="Times New Roman" w:hAnsi="Palatino Linotype" w:cs="Times New Roman"/>
          <w:snapToGrid w:val="0"/>
          <w:color w:val="000000"/>
          <w:kern w:val="0"/>
          <w:sz w:val="20"/>
          <w:lang w:eastAsia="de-DE" w:bidi="en-US"/>
        </w:rPr>
        <w:t>A summary of normalized single cell RNA (nTPM) from all single cell types. Color-coding is based on cell type groups, each consisting of cell types with functional features in common.</w:t>
      </w:r>
    </w:p>
    <w:p w14:paraId="12BC0638" w14:textId="52474F8F" w:rsidR="008473BB" w:rsidRPr="00110790" w:rsidRDefault="008473BB" w:rsidP="001F0D2A">
      <w:pPr>
        <w:snapToGrid w:val="0"/>
        <w:spacing w:line="480" w:lineRule="auto"/>
        <w:rPr>
          <w:rFonts w:ascii="Times New Roman" w:eastAsia="SimSun" w:hAnsi="Times New Roman" w:cs="Times New Roman"/>
          <w:color w:val="000000" w:themeColor="text1"/>
          <w:kern w:val="0"/>
          <w:sz w:val="24"/>
          <w:szCs w:val="24"/>
          <w:bdr w:val="none" w:sz="0" w:space="0" w:color="auto" w:frame="1"/>
        </w:rPr>
      </w:pPr>
    </w:p>
    <w:p w14:paraId="14C40A27" w14:textId="7F5C90AF" w:rsidR="008473BB" w:rsidRPr="00110790" w:rsidRDefault="005E5B96" w:rsidP="001F0D2A">
      <w:pPr>
        <w:snapToGrid w:val="0"/>
        <w:spacing w:line="480" w:lineRule="auto"/>
        <w:rPr>
          <w:rFonts w:ascii="Times New Roman" w:eastAsia="SimSun" w:hAnsi="Times New Roman" w:cs="Times New Roman"/>
          <w:color w:val="000000" w:themeColor="text1"/>
          <w:kern w:val="0"/>
          <w:sz w:val="24"/>
          <w:szCs w:val="24"/>
          <w:bdr w:val="none" w:sz="0" w:space="0" w:color="auto" w:frame="1"/>
        </w:rPr>
      </w:pPr>
      <w:r w:rsidRPr="00110790">
        <w:rPr>
          <w:rFonts w:ascii="Times New Roman" w:eastAsia="SimSun" w:hAnsi="Times New Roman" w:cs="Times New Roman"/>
          <w:noProof/>
          <w:color w:val="000000" w:themeColor="text1"/>
          <w:kern w:val="0"/>
          <w:sz w:val="24"/>
          <w:szCs w:val="24"/>
          <w:bdr w:val="none" w:sz="0" w:space="0" w:color="auto" w:frame="1"/>
          <w:lang w:val="en-IN" w:eastAsia="en-IN"/>
        </w:rPr>
        <w:drawing>
          <wp:inline distT="0" distB="0" distL="0" distR="0" wp14:anchorId="1D277F4A" wp14:editId="7DC163B4">
            <wp:extent cx="6556375" cy="1748155"/>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1">
                      <a:extLst>
                        <a:ext uri="{28A0092B-C50C-407E-A947-70E740481C1C}">
                          <a14:useLocalDpi xmlns:a14="http://schemas.microsoft.com/office/drawing/2010/main" val="0"/>
                        </a:ext>
                      </a:extLst>
                    </a:blip>
                    <a:stretch>
                      <a:fillRect/>
                    </a:stretch>
                  </pic:blipFill>
                  <pic:spPr>
                    <a:xfrm>
                      <a:off x="0" y="0"/>
                      <a:ext cx="6556375" cy="1748155"/>
                    </a:xfrm>
                    <a:prstGeom prst="rect">
                      <a:avLst/>
                    </a:prstGeom>
                  </pic:spPr>
                </pic:pic>
              </a:graphicData>
            </a:graphic>
          </wp:inline>
        </w:drawing>
      </w:r>
    </w:p>
    <w:p w14:paraId="6C8120F3" w14:textId="53FA1554" w:rsidR="00E070BB" w:rsidRPr="00110790" w:rsidRDefault="00E070BB" w:rsidP="00D34F58">
      <w:pPr>
        <w:snapToGrid w:val="0"/>
        <w:spacing w:line="480" w:lineRule="auto"/>
        <w:contextualSpacing/>
        <w:mirrorIndents/>
        <w:jc w:val="left"/>
        <w:rPr>
          <w:rFonts w:ascii="Palatino Linotype" w:eastAsia="Times New Roman" w:hAnsi="Palatino Linotype" w:cs="Times New Roman"/>
          <w:snapToGrid w:val="0"/>
          <w:color w:val="000000"/>
          <w:kern w:val="0"/>
          <w:sz w:val="20"/>
          <w:lang w:eastAsia="de-DE" w:bidi="en-US"/>
        </w:rPr>
      </w:pPr>
      <w:r w:rsidRPr="00110790">
        <w:rPr>
          <w:rFonts w:ascii="Palatino Linotype" w:eastAsia="Times New Roman" w:hAnsi="Palatino Linotype" w:cs="Times New Roman"/>
          <w:snapToGrid w:val="0"/>
          <w:color w:val="000000"/>
          <w:kern w:val="0"/>
          <w:sz w:val="20"/>
          <w:lang w:eastAsia="de-DE" w:bidi="en-US"/>
        </w:rPr>
        <w:t>Supplement Figure</w:t>
      </w:r>
      <w:r w:rsidR="005C023B" w:rsidRPr="00110790">
        <w:rPr>
          <w:rFonts w:ascii="Palatino Linotype" w:eastAsia="Times New Roman" w:hAnsi="Palatino Linotype" w:cs="Times New Roman"/>
          <w:snapToGrid w:val="0"/>
          <w:color w:val="000000"/>
          <w:kern w:val="0"/>
          <w:sz w:val="20"/>
          <w:lang w:eastAsia="de-DE" w:bidi="en-US"/>
        </w:rPr>
        <w:t>3</w:t>
      </w:r>
      <w:r w:rsidRPr="00110790">
        <w:rPr>
          <w:rFonts w:ascii="Palatino Linotype" w:eastAsia="Times New Roman" w:hAnsi="Palatino Linotype" w:cs="Times New Roman" w:hint="eastAsia"/>
          <w:snapToGrid w:val="0"/>
          <w:color w:val="000000"/>
          <w:kern w:val="0"/>
          <w:sz w:val="20"/>
          <w:lang w:eastAsia="de-DE" w:bidi="en-US"/>
        </w:rPr>
        <w:t>:</w:t>
      </w:r>
      <w:r w:rsidR="00ED25B8" w:rsidRPr="00110790">
        <w:rPr>
          <w:rFonts w:ascii="Palatino Linotype" w:eastAsia="Times New Roman" w:hAnsi="Palatino Linotype" w:cs="Times New Roman"/>
          <w:snapToGrid w:val="0"/>
          <w:color w:val="000000"/>
          <w:kern w:val="0"/>
          <w:sz w:val="20"/>
          <w:lang w:eastAsia="de-DE" w:bidi="en-US"/>
        </w:rPr>
        <w:t xml:space="preserve"> Correlation analysis of </w:t>
      </w:r>
      <w:r w:rsidR="008473BB" w:rsidRPr="00110790">
        <w:rPr>
          <w:rFonts w:ascii="Palatino Linotype" w:eastAsia="Times New Roman" w:hAnsi="Palatino Linotype" w:cs="Times New Roman"/>
          <w:snapToGrid w:val="0"/>
          <w:color w:val="000000"/>
          <w:kern w:val="0"/>
          <w:sz w:val="20"/>
          <w:lang w:eastAsia="de-DE" w:bidi="en-US"/>
        </w:rPr>
        <w:t xml:space="preserve">SLC35C1C </w:t>
      </w:r>
      <w:r w:rsidR="00ED25B8" w:rsidRPr="00110790">
        <w:rPr>
          <w:rFonts w:ascii="Palatino Linotype" w:eastAsia="Times New Roman" w:hAnsi="Palatino Linotype" w:cs="Times New Roman"/>
          <w:snapToGrid w:val="0"/>
          <w:color w:val="000000"/>
          <w:kern w:val="0"/>
          <w:sz w:val="20"/>
          <w:lang w:eastAsia="de-DE" w:bidi="en-US"/>
        </w:rPr>
        <w:t>expression with ESTIMATE scores. Red indicates a correlation coefficient &gt; 0, whereas blue indicates a correlation coefficient &lt; 0.</w:t>
      </w:r>
    </w:p>
    <w:p w14:paraId="105BCB11" w14:textId="234EFC6C" w:rsidR="00314156" w:rsidRPr="00110790" w:rsidRDefault="00314156" w:rsidP="001F0D2A">
      <w:pPr>
        <w:snapToGrid w:val="0"/>
        <w:spacing w:line="480" w:lineRule="auto"/>
        <w:jc w:val="left"/>
        <w:rPr>
          <w:rFonts w:ascii="Times New Roman" w:eastAsia="SimSun" w:hAnsi="Times New Roman" w:cs="Times New Roman"/>
          <w:color w:val="000000" w:themeColor="text1"/>
          <w:kern w:val="0"/>
          <w:sz w:val="24"/>
          <w:szCs w:val="24"/>
          <w:bdr w:val="none" w:sz="0" w:space="0" w:color="auto" w:frame="1"/>
        </w:rPr>
      </w:pPr>
    </w:p>
    <w:p w14:paraId="632DACAB" w14:textId="43C4F29A" w:rsidR="008473BB" w:rsidRPr="00110790" w:rsidRDefault="005E5B96" w:rsidP="001F0D2A">
      <w:pPr>
        <w:snapToGrid w:val="0"/>
        <w:spacing w:line="480" w:lineRule="auto"/>
        <w:jc w:val="left"/>
        <w:rPr>
          <w:rFonts w:ascii="Times New Roman" w:eastAsia="SimSun" w:hAnsi="Times New Roman" w:cs="Times New Roman"/>
          <w:color w:val="000000" w:themeColor="text1"/>
          <w:kern w:val="0"/>
          <w:sz w:val="24"/>
          <w:szCs w:val="24"/>
          <w:bdr w:val="none" w:sz="0" w:space="0" w:color="auto" w:frame="1"/>
        </w:rPr>
      </w:pPr>
      <w:r w:rsidRPr="00110790">
        <w:rPr>
          <w:rFonts w:ascii="Times New Roman" w:eastAsia="SimSun" w:hAnsi="Times New Roman" w:cs="Times New Roman"/>
          <w:noProof/>
          <w:color w:val="000000" w:themeColor="text1"/>
          <w:kern w:val="0"/>
          <w:sz w:val="24"/>
          <w:szCs w:val="24"/>
          <w:bdr w:val="none" w:sz="0" w:space="0" w:color="auto" w:frame="1"/>
          <w:lang w:val="en-IN" w:eastAsia="en-IN"/>
        </w:rPr>
        <w:drawing>
          <wp:inline distT="0" distB="0" distL="0" distR="0" wp14:anchorId="759BE26C" wp14:editId="7DCCF764">
            <wp:extent cx="6556375" cy="31127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2">
                      <a:extLst>
                        <a:ext uri="{28A0092B-C50C-407E-A947-70E740481C1C}">
                          <a14:useLocalDpi xmlns:a14="http://schemas.microsoft.com/office/drawing/2010/main" val="0"/>
                        </a:ext>
                      </a:extLst>
                    </a:blip>
                    <a:stretch>
                      <a:fillRect/>
                    </a:stretch>
                  </pic:blipFill>
                  <pic:spPr>
                    <a:xfrm>
                      <a:off x="0" y="0"/>
                      <a:ext cx="6556375" cy="3112770"/>
                    </a:xfrm>
                    <a:prstGeom prst="rect">
                      <a:avLst/>
                    </a:prstGeom>
                  </pic:spPr>
                </pic:pic>
              </a:graphicData>
            </a:graphic>
          </wp:inline>
        </w:drawing>
      </w:r>
    </w:p>
    <w:p w14:paraId="69253940" w14:textId="77660F9F" w:rsidR="00C6766F" w:rsidRPr="00110790" w:rsidRDefault="008473BB" w:rsidP="00D34F58">
      <w:pPr>
        <w:snapToGrid w:val="0"/>
        <w:spacing w:line="480" w:lineRule="auto"/>
        <w:contextualSpacing/>
        <w:mirrorIndents/>
        <w:jc w:val="left"/>
        <w:rPr>
          <w:rFonts w:ascii="Palatino Linotype" w:eastAsia="Times New Roman" w:hAnsi="Palatino Linotype" w:cs="Times New Roman"/>
          <w:snapToGrid w:val="0"/>
          <w:color w:val="000000"/>
          <w:kern w:val="0"/>
          <w:sz w:val="20"/>
          <w:lang w:eastAsia="de-DE" w:bidi="en-US"/>
        </w:rPr>
      </w:pPr>
      <w:r w:rsidRPr="00110790">
        <w:rPr>
          <w:rFonts w:ascii="Palatino Linotype" w:eastAsia="Times New Roman" w:hAnsi="Palatino Linotype" w:cs="Times New Roman"/>
          <w:snapToGrid w:val="0"/>
          <w:color w:val="000000"/>
          <w:kern w:val="0"/>
          <w:sz w:val="20"/>
          <w:lang w:eastAsia="de-DE" w:bidi="en-US"/>
        </w:rPr>
        <w:t>Supplement Figure</w:t>
      </w:r>
      <w:r w:rsidR="005C023B" w:rsidRPr="00110790">
        <w:rPr>
          <w:rFonts w:ascii="Palatino Linotype" w:eastAsia="Times New Roman" w:hAnsi="Palatino Linotype" w:cs="Times New Roman"/>
          <w:snapToGrid w:val="0"/>
          <w:color w:val="000000"/>
          <w:kern w:val="0"/>
          <w:sz w:val="20"/>
          <w:lang w:eastAsia="de-DE" w:bidi="en-US"/>
        </w:rPr>
        <w:t>4</w:t>
      </w:r>
      <w:r w:rsidRPr="00110790">
        <w:rPr>
          <w:rFonts w:ascii="Palatino Linotype" w:eastAsia="Times New Roman" w:hAnsi="Palatino Linotype" w:cs="Times New Roman" w:hint="eastAsia"/>
          <w:snapToGrid w:val="0"/>
          <w:color w:val="000000"/>
          <w:kern w:val="0"/>
          <w:sz w:val="20"/>
          <w:lang w:eastAsia="de-DE" w:bidi="en-US"/>
        </w:rPr>
        <w:t>:</w:t>
      </w:r>
      <w:r w:rsidRPr="00110790">
        <w:rPr>
          <w:rFonts w:ascii="Palatino Linotype" w:eastAsia="Times New Roman" w:hAnsi="Palatino Linotype" w:cs="Times New Roman"/>
          <w:snapToGrid w:val="0"/>
          <w:color w:val="000000"/>
          <w:kern w:val="0"/>
          <w:sz w:val="20"/>
          <w:lang w:eastAsia="de-DE" w:bidi="en-US"/>
        </w:rPr>
        <w:t xml:space="preserve"> </w:t>
      </w:r>
      <w:r w:rsidR="00C6766F" w:rsidRPr="00110790">
        <w:rPr>
          <w:rFonts w:ascii="Palatino Linotype" w:eastAsia="Times New Roman" w:hAnsi="Palatino Linotype" w:cs="Times New Roman"/>
          <w:snapToGrid w:val="0"/>
          <w:color w:val="000000"/>
          <w:kern w:val="0"/>
          <w:sz w:val="20"/>
          <w:lang w:eastAsia="de-DE" w:bidi="en-US"/>
        </w:rPr>
        <w:t>Correlation analysis of SLC35C1 with multiple genes</w:t>
      </w:r>
      <w:r w:rsidR="00C6766F" w:rsidRPr="00110790">
        <w:rPr>
          <w:rFonts w:ascii="Palatino Linotype" w:eastAsia="Times New Roman" w:hAnsi="Palatino Linotype" w:cs="Times New Roman" w:hint="eastAsia"/>
          <w:snapToGrid w:val="0"/>
          <w:color w:val="000000"/>
          <w:kern w:val="0"/>
          <w:sz w:val="20"/>
          <w:lang w:eastAsia="de-DE" w:bidi="en-US"/>
        </w:rPr>
        <w:t>.</w:t>
      </w:r>
      <w:r w:rsidR="00C6766F" w:rsidRPr="00110790">
        <w:rPr>
          <w:rFonts w:ascii="Palatino Linotype" w:eastAsia="Times New Roman" w:hAnsi="Palatino Linotype" w:cs="Times New Roman"/>
          <w:snapToGrid w:val="0"/>
          <w:color w:val="000000"/>
          <w:kern w:val="0"/>
          <w:sz w:val="20"/>
          <w:lang w:eastAsia="de-DE" w:bidi="en-US"/>
        </w:rPr>
        <w:t xml:space="preserve"> Red indicates a correlation coefficient &gt; 0, whereas blue indicates a correlation coefficient &lt; 0.</w:t>
      </w:r>
    </w:p>
    <w:p w14:paraId="58043F17" w14:textId="54122A22" w:rsidR="008473BB" w:rsidRPr="00110790" w:rsidRDefault="008473BB" w:rsidP="008473BB">
      <w:pPr>
        <w:snapToGrid w:val="0"/>
        <w:spacing w:line="480" w:lineRule="auto"/>
        <w:jc w:val="left"/>
        <w:rPr>
          <w:rFonts w:ascii="Times New Roman" w:eastAsia="SimSun" w:hAnsi="Times New Roman" w:cs="Times New Roman"/>
          <w:color w:val="000000" w:themeColor="text1"/>
          <w:kern w:val="0"/>
          <w:sz w:val="24"/>
          <w:szCs w:val="24"/>
          <w:bdr w:val="none" w:sz="0" w:space="0" w:color="auto" w:frame="1"/>
        </w:rPr>
      </w:pPr>
    </w:p>
    <w:p w14:paraId="142F6A95" w14:textId="22B7F299" w:rsidR="008473BB" w:rsidRPr="00110790" w:rsidRDefault="005E5B96" w:rsidP="001F0D2A">
      <w:pPr>
        <w:snapToGrid w:val="0"/>
        <w:spacing w:line="480" w:lineRule="auto"/>
        <w:jc w:val="left"/>
        <w:rPr>
          <w:rFonts w:ascii="Times New Roman" w:eastAsia="SimSun" w:hAnsi="Times New Roman" w:cs="Times New Roman"/>
          <w:color w:val="000000" w:themeColor="text1"/>
          <w:kern w:val="0"/>
          <w:sz w:val="24"/>
          <w:szCs w:val="24"/>
          <w:bdr w:val="none" w:sz="0" w:space="0" w:color="auto" w:frame="1"/>
        </w:rPr>
      </w:pPr>
      <w:r w:rsidRPr="00110790">
        <w:rPr>
          <w:rFonts w:ascii="Times New Roman" w:eastAsia="SimSun" w:hAnsi="Times New Roman" w:cs="Times New Roman"/>
          <w:noProof/>
          <w:color w:val="000000" w:themeColor="text1"/>
          <w:kern w:val="0"/>
          <w:sz w:val="24"/>
          <w:szCs w:val="24"/>
          <w:bdr w:val="none" w:sz="0" w:space="0" w:color="auto" w:frame="1"/>
          <w:lang w:val="en-IN" w:eastAsia="en-IN"/>
        </w:rPr>
        <w:drawing>
          <wp:inline distT="0" distB="0" distL="0" distR="0" wp14:anchorId="05E29D92" wp14:editId="703C0CF9">
            <wp:extent cx="6556375" cy="31286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3">
                      <a:extLst>
                        <a:ext uri="{28A0092B-C50C-407E-A947-70E740481C1C}">
                          <a14:useLocalDpi xmlns:a14="http://schemas.microsoft.com/office/drawing/2010/main" val="0"/>
                        </a:ext>
                      </a:extLst>
                    </a:blip>
                    <a:stretch>
                      <a:fillRect/>
                    </a:stretch>
                  </pic:blipFill>
                  <pic:spPr>
                    <a:xfrm>
                      <a:off x="0" y="0"/>
                      <a:ext cx="6556375" cy="3128645"/>
                    </a:xfrm>
                    <a:prstGeom prst="rect">
                      <a:avLst/>
                    </a:prstGeom>
                  </pic:spPr>
                </pic:pic>
              </a:graphicData>
            </a:graphic>
          </wp:inline>
        </w:drawing>
      </w:r>
    </w:p>
    <w:p w14:paraId="1977789A" w14:textId="5C786AFB" w:rsidR="00456B07" w:rsidRPr="00110790" w:rsidRDefault="00456B07" w:rsidP="00456B07">
      <w:pPr>
        <w:snapToGrid w:val="0"/>
        <w:spacing w:line="480" w:lineRule="auto"/>
        <w:contextualSpacing/>
        <w:mirrorIndents/>
        <w:jc w:val="left"/>
        <w:rPr>
          <w:rFonts w:ascii="Palatino Linotype" w:eastAsia="Times New Roman" w:hAnsi="Palatino Linotype" w:cs="Times New Roman"/>
          <w:snapToGrid w:val="0"/>
          <w:color w:val="000000"/>
          <w:kern w:val="0"/>
          <w:sz w:val="20"/>
          <w:lang w:eastAsia="de-DE" w:bidi="en-US"/>
        </w:rPr>
      </w:pPr>
      <w:r w:rsidRPr="00110790">
        <w:rPr>
          <w:rFonts w:ascii="Palatino Linotype" w:eastAsia="Times New Roman" w:hAnsi="Palatino Linotype" w:cs="Times New Roman"/>
          <w:snapToGrid w:val="0"/>
          <w:color w:val="000000"/>
          <w:kern w:val="0"/>
          <w:sz w:val="20"/>
          <w:lang w:eastAsia="de-DE" w:bidi="en-US"/>
        </w:rPr>
        <w:t>Supplement Figure</w:t>
      </w:r>
      <w:r w:rsidR="005C023B" w:rsidRPr="00110790">
        <w:rPr>
          <w:rFonts w:ascii="Palatino Linotype" w:eastAsia="Times New Roman" w:hAnsi="Palatino Linotype" w:cs="Times New Roman"/>
          <w:snapToGrid w:val="0"/>
          <w:color w:val="000000"/>
          <w:kern w:val="0"/>
          <w:sz w:val="20"/>
          <w:lang w:eastAsia="de-DE" w:bidi="en-US"/>
        </w:rPr>
        <w:t>5</w:t>
      </w:r>
      <w:r w:rsidRPr="00110790">
        <w:rPr>
          <w:rFonts w:ascii="Palatino Linotype" w:eastAsia="Times New Roman" w:hAnsi="Palatino Linotype" w:cs="Times New Roman" w:hint="eastAsia"/>
          <w:snapToGrid w:val="0"/>
          <w:color w:val="000000"/>
          <w:kern w:val="0"/>
          <w:sz w:val="20"/>
          <w:lang w:eastAsia="de-DE" w:bidi="en-US"/>
        </w:rPr>
        <w:t>:</w:t>
      </w:r>
      <w:r w:rsidRPr="00110790">
        <w:rPr>
          <w:rFonts w:ascii="Palatino Linotype" w:eastAsia="Times New Roman" w:hAnsi="Palatino Linotype" w:cs="Times New Roman"/>
          <w:snapToGrid w:val="0"/>
          <w:color w:val="000000"/>
          <w:kern w:val="0"/>
          <w:sz w:val="20"/>
          <w:lang w:eastAsia="de-DE" w:bidi="en-US"/>
        </w:rPr>
        <w:t xml:space="preserve"> The median value of SLC35C1 was used to group high and low expression, and the comparison of gene mutation differences in each tumor, the left side of each plot type represents the proportion of mutations and the right side represents the type of mutated genes. The left panel shows the gene mutation analysis in the high expression group, and the right panel shows the gene mutation analysis in the low expression group.</w:t>
      </w:r>
    </w:p>
    <w:p w14:paraId="7564587B" w14:textId="710D6462" w:rsidR="00456B07" w:rsidRPr="00110790" w:rsidRDefault="00456B07" w:rsidP="001F0D2A">
      <w:pPr>
        <w:snapToGrid w:val="0"/>
        <w:spacing w:line="480" w:lineRule="auto"/>
        <w:jc w:val="left"/>
        <w:rPr>
          <w:rFonts w:ascii="Times New Roman" w:eastAsia="SimSun" w:hAnsi="Times New Roman" w:cs="Times New Roman"/>
          <w:color w:val="000000" w:themeColor="text1"/>
          <w:kern w:val="0"/>
          <w:sz w:val="24"/>
          <w:szCs w:val="24"/>
          <w:bdr w:val="none" w:sz="0" w:space="0" w:color="auto" w:frame="1"/>
        </w:rPr>
      </w:pPr>
    </w:p>
    <w:p w14:paraId="36D5F0AA" w14:textId="49CF2FEA" w:rsidR="004B7262" w:rsidRPr="00110790" w:rsidRDefault="004B7262" w:rsidP="001F0D2A">
      <w:pPr>
        <w:snapToGrid w:val="0"/>
        <w:spacing w:line="480" w:lineRule="auto"/>
        <w:jc w:val="left"/>
        <w:rPr>
          <w:rFonts w:ascii="Times New Roman" w:eastAsia="SimSun" w:hAnsi="Times New Roman" w:cs="Times New Roman"/>
          <w:color w:val="000000" w:themeColor="text1"/>
          <w:kern w:val="0"/>
          <w:sz w:val="24"/>
          <w:szCs w:val="24"/>
          <w:bdr w:val="none" w:sz="0" w:space="0" w:color="auto" w:frame="1"/>
        </w:rPr>
      </w:pPr>
      <w:r w:rsidRPr="00110790">
        <w:rPr>
          <w:rFonts w:ascii="Times New Roman" w:eastAsia="SimSun" w:hAnsi="Times New Roman" w:cs="Times New Roman" w:hint="eastAsia"/>
          <w:noProof/>
          <w:color w:val="000000" w:themeColor="text1"/>
          <w:kern w:val="0"/>
          <w:sz w:val="24"/>
          <w:szCs w:val="24"/>
          <w:bdr w:val="none" w:sz="0" w:space="0" w:color="auto" w:frame="1"/>
          <w:lang w:val="en-IN" w:eastAsia="en-IN"/>
        </w:rPr>
        <w:drawing>
          <wp:anchor distT="0" distB="0" distL="114300" distR="114300" simplePos="0" relativeHeight="251658240" behindDoc="1" locked="0" layoutInCell="1" allowOverlap="1" wp14:anchorId="4FBDA55E" wp14:editId="5811B38F">
            <wp:simplePos x="0" y="0"/>
            <wp:positionH relativeFrom="column">
              <wp:posOffset>3035618</wp:posOffset>
            </wp:positionH>
            <wp:positionV relativeFrom="paragraph">
              <wp:posOffset>477203</wp:posOffset>
            </wp:positionV>
            <wp:extent cx="2452370" cy="1967230"/>
            <wp:effectExtent l="0" t="0" r="5080"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2370" cy="1967230"/>
                    </a:xfrm>
                    <a:prstGeom prst="rect">
                      <a:avLst/>
                    </a:prstGeom>
                    <a:noFill/>
                    <a:ln>
                      <a:noFill/>
                    </a:ln>
                  </pic:spPr>
                </pic:pic>
              </a:graphicData>
            </a:graphic>
          </wp:anchor>
        </w:drawing>
      </w:r>
      <w:r w:rsidRPr="00110790">
        <w:rPr>
          <w:rFonts w:ascii="Times New Roman" w:eastAsia="SimSun" w:hAnsi="Times New Roman" w:cs="Times New Roman"/>
          <w:noProof/>
          <w:color w:val="000000" w:themeColor="text1"/>
          <w:kern w:val="0"/>
          <w:sz w:val="24"/>
          <w:szCs w:val="24"/>
          <w:bdr w:val="none" w:sz="0" w:space="0" w:color="auto" w:frame="1"/>
          <w:lang w:val="en-IN" w:eastAsia="en-IN"/>
        </w:rPr>
        <w:drawing>
          <wp:anchor distT="0" distB="0" distL="114300" distR="114300" simplePos="0" relativeHeight="251659264" behindDoc="0" locked="0" layoutInCell="1" allowOverlap="1" wp14:anchorId="545FE3F1" wp14:editId="4DCBADD0">
            <wp:simplePos x="0" y="0"/>
            <wp:positionH relativeFrom="column">
              <wp:posOffset>101918</wp:posOffset>
            </wp:positionH>
            <wp:positionV relativeFrom="paragraph">
              <wp:posOffset>501015</wp:posOffset>
            </wp:positionV>
            <wp:extent cx="2438400" cy="1955800"/>
            <wp:effectExtent l="0" t="0" r="0" b="635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8400" cy="1955800"/>
                    </a:xfrm>
                    <a:prstGeom prst="rect">
                      <a:avLst/>
                    </a:prstGeom>
                    <a:noFill/>
                    <a:ln>
                      <a:noFill/>
                    </a:ln>
                  </pic:spPr>
                </pic:pic>
              </a:graphicData>
            </a:graphic>
          </wp:anchor>
        </w:drawing>
      </w:r>
    </w:p>
    <w:p w14:paraId="43F2B907" w14:textId="368C30E4" w:rsidR="004B7262" w:rsidRPr="00110790" w:rsidRDefault="004B7262" w:rsidP="001F0D2A">
      <w:pPr>
        <w:snapToGrid w:val="0"/>
        <w:spacing w:line="480" w:lineRule="auto"/>
        <w:jc w:val="left"/>
        <w:rPr>
          <w:rFonts w:ascii="Palatino Linotype" w:hAnsi="Palatino Linotype" w:cs="Times New Roman"/>
          <w:snapToGrid w:val="0"/>
          <w:color w:val="000000"/>
          <w:kern w:val="0"/>
          <w:sz w:val="20"/>
          <w:lang w:bidi="en-US"/>
        </w:rPr>
      </w:pPr>
      <w:r w:rsidRPr="00110790">
        <w:rPr>
          <w:rFonts w:ascii="Palatino Linotype" w:hAnsi="Palatino Linotype" w:cs="Times New Roman" w:hint="eastAsia"/>
          <w:snapToGrid w:val="0"/>
          <w:color w:val="000000"/>
          <w:kern w:val="0"/>
          <w:sz w:val="20"/>
          <w:lang w:bidi="en-US"/>
        </w:rPr>
        <w:t xml:space="preserve"> </w:t>
      </w:r>
      <w:r w:rsidRPr="00110790">
        <w:rPr>
          <w:rFonts w:ascii="Palatino Linotype" w:hAnsi="Palatino Linotype" w:cs="Times New Roman"/>
          <w:snapToGrid w:val="0"/>
          <w:color w:val="000000"/>
          <w:kern w:val="0"/>
          <w:sz w:val="20"/>
          <w:lang w:bidi="en-US"/>
        </w:rPr>
        <w:t xml:space="preserve">                ACTIN                                       </w:t>
      </w:r>
      <w:r w:rsidRPr="00110790">
        <w:rPr>
          <w:rFonts w:ascii="Palatino Linotype" w:hAnsi="Palatino Linotype" w:cs="Times New Roman" w:hint="eastAsia"/>
          <w:snapToGrid w:val="0"/>
          <w:color w:val="000000"/>
          <w:kern w:val="0"/>
          <w:sz w:val="20"/>
          <w:lang w:bidi="en-US"/>
        </w:rPr>
        <w:t>si</w:t>
      </w:r>
      <w:r w:rsidRPr="00110790">
        <w:rPr>
          <w:rFonts w:ascii="Palatino Linotype" w:hAnsi="Palatino Linotype" w:cs="Times New Roman"/>
          <w:snapToGrid w:val="0"/>
          <w:color w:val="000000"/>
          <w:kern w:val="0"/>
          <w:sz w:val="20"/>
          <w:lang w:bidi="en-US"/>
        </w:rPr>
        <w:t>-SLC35C1</w:t>
      </w:r>
    </w:p>
    <w:p w14:paraId="43AB76C7" w14:textId="3E107FDD" w:rsidR="004B7262" w:rsidRPr="00456B07" w:rsidRDefault="004B7262" w:rsidP="001F0D2A">
      <w:pPr>
        <w:snapToGrid w:val="0"/>
        <w:spacing w:line="480" w:lineRule="auto"/>
        <w:jc w:val="left"/>
        <w:rPr>
          <w:rFonts w:ascii="Times New Roman" w:eastAsia="SimSun" w:hAnsi="Times New Roman" w:cs="Times New Roman"/>
          <w:color w:val="000000" w:themeColor="text1"/>
          <w:kern w:val="0"/>
          <w:sz w:val="24"/>
          <w:szCs w:val="24"/>
          <w:bdr w:val="none" w:sz="0" w:space="0" w:color="auto" w:frame="1"/>
        </w:rPr>
      </w:pPr>
      <w:r w:rsidRPr="00110790">
        <w:rPr>
          <w:rFonts w:ascii="Palatino Linotype" w:eastAsia="Times New Roman" w:hAnsi="Palatino Linotype" w:cs="Times New Roman"/>
          <w:snapToGrid w:val="0"/>
          <w:color w:val="000000"/>
          <w:kern w:val="0"/>
          <w:sz w:val="20"/>
          <w:lang w:eastAsia="de-DE" w:bidi="en-US"/>
        </w:rPr>
        <w:t>Supplement Figure6</w:t>
      </w:r>
      <w:r w:rsidRPr="00110790">
        <w:rPr>
          <w:rFonts w:ascii="Palatino Linotype" w:eastAsia="Times New Roman" w:hAnsi="Palatino Linotype" w:cs="Times New Roman" w:hint="eastAsia"/>
          <w:snapToGrid w:val="0"/>
          <w:color w:val="000000"/>
          <w:kern w:val="0"/>
          <w:sz w:val="20"/>
          <w:lang w:eastAsia="de-DE" w:bidi="en-US"/>
        </w:rPr>
        <w:t>:</w:t>
      </w:r>
      <w:r w:rsidRPr="00110790">
        <w:t xml:space="preserve"> </w:t>
      </w:r>
      <w:r w:rsidRPr="00110790">
        <w:rPr>
          <w:rFonts w:ascii="Palatino Linotype" w:eastAsia="Times New Roman" w:hAnsi="Palatino Linotype" w:cs="Times New Roman"/>
          <w:snapToGrid w:val="0"/>
          <w:color w:val="000000"/>
          <w:kern w:val="0"/>
          <w:sz w:val="20"/>
          <w:lang w:eastAsia="de-DE" w:bidi="en-US"/>
        </w:rPr>
        <w:t>Western blot analysis Uncropped graph</w:t>
      </w:r>
      <w:r w:rsidR="00A936CE" w:rsidRPr="00110790">
        <w:rPr>
          <w:rFonts w:ascii="Palatino Linotype" w:eastAsia="Times New Roman" w:hAnsi="Palatino Linotype" w:cs="Times New Roman"/>
          <w:snapToGrid w:val="0"/>
          <w:color w:val="000000"/>
          <w:kern w:val="0"/>
          <w:sz w:val="20"/>
          <w:lang w:eastAsia="de-DE" w:bidi="en-US"/>
        </w:rPr>
        <w:t>.</w:t>
      </w:r>
    </w:p>
    <w:sectPr w:rsidR="004B7262" w:rsidRPr="00456B07" w:rsidSect="00110790">
      <w:pgSz w:w="11906" w:h="16838"/>
      <w:pgMar w:top="567" w:right="782" w:bottom="567" w:left="799"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2DDBA0" w14:textId="77777777" w:rsidR="00071357" w:rsidRDefault="00071357" w:rsidP="0000390D">
      <w:r>
        <w:separator/>
      </w:r>
    </w:p>
  </w:endnote>
  <w:endnote w:type="continuationSeparator" w:id="0">
    <w:p w14:paraId="0D8B21C1" w14:textId="77777777" w:rsidR="00071357" w:rsidRDefault="00071357" w:rsidP="00003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DengXian">
    <w:altName w:val="Arial Unicode MS"/>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Arial Unicode MS"/>
    <w:charset w:val="86"/>
    <w:family w:val="auto"/>
    <w:pitch w:val="variable"/>
    <w:sig w:usb0="00000000"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MT">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1272AE" w14:textId="77777777" w:rsidR="00071357" w:rsidRDefault="00071357" w:rsidP="0000390D">
      <w:r>
        <w:separator/>
      </w:r>
    </w:p>
  </w:footnote>
  <w:footnote w:type="continuationSeparator" w:id="0">
    <w:p w14:paraId="04DBEF61" w14:textId="77777777" w:rsidR="00071357" w:rsidRDefault="00071357" w:rsidP="000039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54D7A33"/>
    <w:multiLevelType w:val="multilevel"/>
    <w:tmpl w:val="654D7A33"/>
    <w:lvl w:ilvl="0">
      <w:start w:val="1"/>
      <w:numFmt w:val="decimal"/>
      <w:lvlText w:val="%1."/>
      <w:lvlJc w:val="left"/>
      <w:pPr>
        <w:tabs>
          <w:tab w:val="num" w:pos="312"/>
        </w:tabs>
      </w:p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7694555A"/>
    <w:multiLevelType w:val="hybridMultilevel"/>
    <w:tmpl w:val="E200A3EC"/>
    <w:lvl w:ilvl="0" w:tplc="59FC9F2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8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075"/>
    <w:rsid w:val="0000390D"/>
    <w:rsid w:val="0001320F"/>
    <w:rsid w:val="000238D0"/>
    <w:rsid w:val="00054EC0"/>
    <w:rsid w:val="00071357"/>
    <w:rsid w:val="00091662"/>
    <w:rsid w:val="000B4AAD"/>
    <w:rsid w:val="000E7DA9"/>
    <w:rsid w:val="00104FC3"/>
    <w:rsid w:val="00110790"/>
    <w:rsid w:val="001254E6"/>
    <w:rsid w:val="00140780"/>
    <w:rsid w:val="0014537C"/>
    <w:rsid w:val="00154CFC"/>
    <w:rsid w:val="001601A6"/>
    <w:rsid w:val="00161CE8"/>
    <w:rsid w:val="00184232"/>
    <w:rsid w:val="00187150"/>
    <w:rsid w:val="00194721"/>
    <w:rsid w:val="001A2169"/>
    <w:rsid w:val="001A7B16"/>
    <w:rsid w:val="001B04CD"/>
    <w:rsid w:val="001C74F5"/>
    <w:rsid w:val="001F0D2A"/>
    <w:rsid w:val="00246339"/>
    <w:rsid w:val="00251AD2"/>
    <w:rsid w:val="00271075"/>
    <w:rsid w:val="00272BB2"/>
    <w:rsid w:val="002832BE"/>
    <w:rsid w:val="002E344C"/>
    <w:rsid w:val="0030252D"/>
    <w:rsid w:val="00306900"/>
    <w:rsid w:val="00314156"/>
    <w:rsid w:val="003746A2"/>
    <w:rsid w:val="003A7E7E"/>
    <w:rsid w:val="003E2EFA"/>
    <w:rsid w:val="00442CBE"/>
    <w:rsid w:val="00456B07"/>
    <w:rsid w:val="00461391"/>
    <w:rsid w:val="00471EBF"/>
    <w:rsid w:val="00483B1F"/>
    <w:rsid w:val="004A7415"/>
    <w:rsid w:val="004B7262"/>
    <w:rsid w:val="004C2BF5"/>
    <w:rsid w:val="004C7E54"/>
    <w:rsid w:val="004D3483"/>
    <w:rsid w:val="005331A7"/>
    <w:rsid w:val="00560066"/>
    <w:rsid w:val="005A0CCD"/>
    <w:rsid w:val="005C023B"/>
    <w:rsid w:val="005E0F71"/>
    <w:rsid w:val="005E5B96"/>
    <w:rsid w:val="00631207"/>
    <w:rsid w:val="00643B9C"/>
    <w:rsid w:val="00652DE4"/>
    <w:rsid w:val="006C2244"/>
    <w:rsid w:val="006D2D7A"/>
    <w:rsid w:val="006F516B"/>
    <w:rsid w:val="00715F94"/>
    <w:rsid w:val="00747451"/>
    <w:rsid w:val="0075318E"/>
    <w:rsid w:val="007578A9"/>
    <w:rsid w:val="0077489A"/>
    <w:rsid w:val="00780273"/>
    <w:rsid w:val="007B3D32"/>
    <w:rsid w:val="0080532F"/>
    <w:rsid w:val="008304E3"/>
    <w:rsid w:val="00844E2C"/>
    <w:rsid w:val="008473BB"/>
    <w:rsid w:val="00872C00"/>
    <w:rsid w:val="00875154"/>
    <w:rsid w:val="008762BE"/>
    <w:rsid w:val="00890A93"/>
    <w:rsid w:val="008A2B7B"/>
    <w:rsid w:val="008A3AA7"/>
    <w:rsid w:val="008C4987"/>
    <w:rsid w:val="008E1497"/>
    <w:rsid w:val="00903940"/>
    <w:rsid w:val="0091647E"/>
    <w:rsid w:val="00917923"/>
    <w:rsid w:val="009A4281"/>
    <w:rsid w:val="009B71B6"/>
    <w:rsid w:val="009B7A43"/>
    <w:rsid w:val="009E1A2A"/>
    <w:rsid w:val="00A10EF6"/>
    <w:rsid w:val="00A457CD"/>
    <w:rsid w:val="00A464B7"/>
    <w:rsid w:val="00A67738"/>
    <w:rsid w:val="00A70660"/>
    <w:rsid w:val="00A75807"/>
    <w:rsid w:val="00A75A57"/>
    <w:rsid w:val="00A936CE"/>
    <w:rsid w:val="00AA1FA2"/>
    <w:rsid w:val="00AB09C1"/>
    <w:rsid w:val="00AD0142"/>
    <w:rsid w:val="00B433E4"/>
    <w:rsid w:val="00B51148"/>
    <w:rsid w:val="00B757AF"/>
    <w:rsid w:val="00B774D5"/>
    <w:rsid w:val="00B82064"/>
    <w:rsid w:val="00B92E5F"/>
    <w:rsid w:val="00B97BB4"/>
    <w:rsid w:val="00BA16E3"/>
    <w:rsid w:val="00BC1E84"/>
    <w:rsid w:val="00BD0FB9"/>
    <w:rsid w:val="00BD4065"/>
    <w:rsid w:val="00C13C55"/>
    <w:rsid w:val="00C25FE7"/>
    <w:rsid w:val="00C6143C"/>
    <w:rsid w:val="00C645DC"/>
    <w:rsid w:val="00C6766F"/>
    <w:rsid w:val="00C81C49"/>
    <w:rsid w:val="00CD2E2B"/>
    <w:rsid w:val="00CD7CD3"/>
    <w:rsid w:val="00CF1377"/>
    <w:rsid w:val="00CF5E06"/>
    <w:rsid w:val="00D34A8C"/>
    <w:rsid w:val="00D34F58"/>
    <w:rsid w:val="00D45E88"/>
    <w:rsid w:val="00D65A2F"/>
    <w:rsid w:val="00D85A7E"/>
    <w:rsid w:val="00D93165"/>
    <w:rsid w:val="00D972E8"/>
    <w:rsid w:val="00DC68FC"/>
    <w:rsid w:val="00DD47DC"/>
    <w:rsid w:val="00E062CE"/>
    <w:rsid w:val="00E070BB"/>
    <w:rsid w:val="00E217E7"/>
    <w:rsid w:val="00E53749"/>
    <w:rsid w:val="00E66A39"/>
    <w:rsid w:val="00E8065D"/>
    <w:rsid w:val="00E81494"/>
    <w:rsid w:val="00E84F6A"/>
    <w:rsid w:val="00E91C20"/>
    <w:rsid w:val="00EA6B20"/>
    <w:rsid w:val="00EB775B"/>
    <w:rsid w:val="00EC2994"/>
    <w:rsid w:val="00ED25B8"/>
    <w:rsid w:val="00ED2F4F"/>
    <w:rsid w:val="00ED7746"/>
    <w:rsid w:val="00EF55CE"/>
    <w:rsid w:val="00F0277B"/>
    <w:rsid w:val="00F37DF6"/>
    <w:rsid w:val="00F507D7"/>
    <w:rsid w:val="00F6790E"/>
    <w:rsid w:val="00F71045"/>
    <w:rsid w:val="00F730D1"/>
    <w:rsid w:val="00F735B2"/>
    <w:rsid w:val="00F85615"/>
    <w:rsid w:val="00F94D0A"/>
    <w:rsid w:val="00F97D4C"/>
    <w:rsid w:val="00FB0BD7"/>
    <w:rsid w:val="00FD5D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2B90A6"/>
  <w15:chartTrackingRefBased/>
  <w15:docId w15:val="{C3D00150-F0E5-4A6E-8470-A7588097F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390D"/>
    <w:pPr>
      <w:widowControl w:val="0"/>
      <w:jc w:val="both"/>
    </w:pPr>
  </w:style>
  <w:style w:type="paragraph" w:styleId="Heading3">
    <w:name w:val="heading 3"/>
    <w:basedOn w:val="Normal"/>
    <w:link w:val="Heading3Char"/>
    <w:uiPriority w:val="9"/>
    <w:qFormat/>
    <w:rsid w:val="00631207"/>
    <w:pPr>
      <w:widowControl/>
      <w:spacing w:before="100" w:beforeAutospacing="1" w:after="100" w:afterAutospacing="1"/>
      <w:jc w:val="left"/>
      <w:outlineLvl w:val="2"/>
    </w:pPr>
    <w:rPr>
      <w:rFonts w:ascii="SimSun" w:eastAsia="SimSun" w:hAnsi="SimSun" w:cs="SimSun"/>
      <w:b/>
      <w:bCs/>
      <w:kern w:val="0"/>
      <w:sz w:val="27"/>
      <w:szCs w:val="27"/>
    </w:rPr>
  </w:style>
  <w:style w:type="paragraph" w:styleId="Heading4">
    <w:name w:val="heading 4"/>
    <w:basedOn w:val="Normal"/>
    <w:next w:val="Normal"/>
    <w:link w:val="Heading4Char"/>
    <w:uiPriority w:val="9"/>
    <w:unhideWhenUsed/>
    <w:qFormat/>
    <w:rsid w:val="0014537C"/>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390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00390D"/>
    <w:rPr>
      <w:sz w:val="18"/>
      <w:szCs w:val="18"/>
    </w:rPr>
  </w:style>
  <w:style w:type="paragraph" w:styleId="Footer">
    <w:name w:val="footer"/>
    <w:basedOn w:val="Normal"/>
    <w:link w:val="FooterChar"/>
    <w:uiPriority w:val="99"/>
    <w:unhideWhenUsed/>
    <w:rsid w:val="0000390D"/>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00390D"/>
    <w:rPr>
      <w:sz w:val="18"/>
      <w:szCs w:val="18"/>
    </w:rPr>
  </w:style>
  <w:style w:type="paragraph" w:styleId="ListParagraph">
    <w:name w:val="List Paragraph"/>
    <w:basedOn w:val="Normal"/>
    <w:uiPriority w:val="34"/>
    <w:qFormat/>
    <w:rsid w:val="0000390D"/>
    <w:pPr>
      <w:ind w:firstLineChars="200" w:firstLine="420"/>
    </w:pPr>
  </w:style>
  <w:style w:type="character" w:styleId="Emphasis">
    <w:name w:val="Emphasis"/>
    <w:basedOn w:val="DefaultParagraphFont"/>
    <w:uiPriority w:val="20"/>
    <w:qFormat/>
    <w:rsid w:val="00F97D4C"/>
    <w:rPr>
      <w:i/>
      <w:iCs/>
    </w:rPr>
  </w:style>
  <w:style w:type="table" w:styleId="TableGrid">
    <w:name w:val="Table Grid"/>
    <w:basedOn w:val="TableNormal"/>
    <w:uiPriority w:val="39"/>
    <w:rsid w:val="00F679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sult-html">
    <w:name w:val="result-html"/>
    <w:basedOn w:val="DefaultParagraphFont"/>
    <w:rsid w:val="00F71045"/>
  </w:style>
  <w:style w:type="character" w:customStyle="1" w:styleId="Heading3Char">
    <w:name w:val="Heading 3 Char"/>
    <w:basedOn w:val="DefaultParagraphFont"/>
    <w:link w:val="Heading3"/>
    <w:uiPriority w:val="9"/>
    <w:rsid w:val="00631207"/>
    <w:rPr>
      <w:rFonts w:ascii="SimSun" w:eastAsia="SimSun" w:hAnsi="SimSun" w:cs="SimSun"/>
      <w:b/>
      <w:bCs/>
      <w:kern w:val="0"/>
      <w:sz w:val="27"/>
      <w:szCs w:val="27"/>
    </w:rPr>
  </w:style>
  <w:style w:type="character" w:customStyle="1" w:styleId="Heading4Char">
    <w:name w:val="Heading 4 Char"/>
    <w:basedOn w:val="DefaultParagraphFont"/>
    <w:link w:val="Heading4"/>
    <w:uiPriority w:val="9"/>
    <w:rsid w:val="0014537C"/>
    <w:rPr>
      <w:rFonts w:asciiTheme="majorHAnsi" w:eastAsiaTheme="majorEastAsia" w:hAnsiTheme="majorHAnsi" w:cstheme="majorBidi"/>
      <w:b/>
      <w:bCs/>
      <w:sz w:val="28"/>
      <w:szCs w:val="28"/>
    </w:rPr>
  </w:style>
  <w:style w:type="paragraph" w:customStyle="1" w:styleId="p">
    <w:name w:val="p"/>
    <w:basedOn w:val="Normal"/>
    <w:rsid w:val="00E062CE"/>
    <w:pPr>
      <w:widowControl/>
      <w:spacing w:before="100" w:beforeAutospacing="1" w:after="100" w:afterAutospacing="1"/>
      <w:jc w:val="left"/>
    </w:pPr>
    <w:rPr>
      <w:rFonts w:ascii="SimSun" w:eastAsia="SimSun" w:hAnsi="SimSun" w:cs="SimSun"/>
      <w:kern w:val="0"/>
      <w:sz w:val="24"/>
      <w:szCs w:val="24"/>
    </w:rPr>
  </w:style>
  <w:style w:type="character" w:styleId="Hyperlink">
    <w:name w:val="Hyperlink"/>
    <w:basedOn w:val="DefaultParagraphFont"/>
    <w:uiPriority w:val="99"/>
    <w:semiHidden/>
    <w:unhideWhenUsed/>
    <w:rsid w:val="00E062CE"/>
    <w:rPr>
      <w:color w:val="0000FF"/>
      <w:u w:val="single"/>
    </w:rPr>
  </w:style>
  <w:style w:type="character" w:customStyle="1" w:styleId="apple-converted-space">
    <w:name w:val="apple-converted-space"/>
    <w:basedOn w:val="DefaultParagraphFont"/>
    <w:rsid w:val="00875154"/>
  </w:style>
  <w:style w:type="paragraph" w:customStyle="1" w:styleId="MDPI21heading1">
    <w:name w:val="MDPI_2.1_heading1"/>
    <w:qFormat/>
    <w:rsid w:val="00EF55CE"/>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kern w:val="0"/>
      <w:sz w:val="20"/>
      <w:lang w:eastAsia="de-DE" w:bidi="en-US"/>
    </w:rPr>
  </w:style>
  <w:style w:type="character" w:styleId="LineNumber">
    <w:name w:val="line number"/>
    <w:basedOn w:val="DefaultParagraphFont"/>
    <w:uiPriority w:val="99"/>
    <w:semiHidden/>
    <w:unhideWhenUsed/>
    <w:rsid w:val="00E66A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946202">
      <w:bodyDiv w:val="1"/>
      <w:marLeft w:val="0"/>
      <w:marRight w:val="0"/>
      <w:marTop w:val="0"/>
      <w:marBottom w:val="0"/>
      <w:divBdr>
        <w:top w:val="none" w:sz="0" w:space="0" w:color="auto"/>
        <w:left w:val="none" w:sz="0" w:space="0" w:color="auto"/>
        <w:bottom w:val="none" w:sz="0" w:space="0" w:color="auto"/>
        <w:right w:val="none" w:sz="0" w:space="0" w:color="auto"/>
      </w:divBdr>
    </w:div>
    <w:div w:id="278529039">
      <w:bodyDiv w:val="1"/>
      <w:marLeft w:val="0"/>
      <w:marRight w:val="0"/>
      <w:marTop w:val="0"/>
      <w:marBottom w:val="0"/>
      <w:divBdr>
        <w:top w:val="none" w:sz="0" w:space="0" w:color="auto"/>
        <w:left w:val="none" w:sz="0" w:space="0" w:color="auto"/>
        <w:bottom w:val="none" w:sz="0" w:space="0" w:color="auto"/>
        <w:right w:val="none" w:sz="0" w:space="0" w:color="auto"/>
      </w:divBdr>
    </w:div>
    <w:div w:id="682436968">
      <w:bodyDiv w:val="1"/>
      <w:marLeft w:val="0"/>
      <w:marRight w:val="0"/>
      <w:marTop w:val="0"/>
      <w:marBottom w:val="0"/>
      <w:divBdr>
        <w:top w:val="none" w:sz="0" w:space="0" w:color="auto"/>
        <w:left w:val="none" w:sz="0" w:space="0" w:color="auto"/>
        <w:bottom w:val="none" w:sz="0" w:space="0" w:color="auto"/>
        <w:right w:val="none" w:sz="0" w:space="0" w:color="auto"/>
      </w:divBdr>
    </w:div>
    <w:div w:id="1133672144">
      <w:bodyDiv w:val="1"/>
      <w:marLeft w:val="0"/>
      <w:marRight w:val="0"/>
      <w:marTop w:val="0"/>
      <w:marBottom w:val="0"/>
      <w:divBdr>
        <w:top w:val="none" w:sz="0" w:space="0" w:color="auto"/>
        <w:left w:val="none" w:sz="0" w:space="0" w:color="auto"/>
        <w:bottom w:val="none" w:sz="0" w:space="0" w:color="auto"/>
        <w:right w:val="none" w:sz="0" w:space="0" w:color="auto"/>
      </w:divBdr>
    </w:div>
    <w:div w:id="1366448299">
      <w:bodyDiv w:val="1"/>
      <w:marLeft w:val="0"/>
      <w:marRight w:val="0"/>
      <w:marTop w:val="0"/>
      <w:marBottom w:val="0"/>
      <w:divBdr>
        <w:top w:val="none" w:sz="0" w:space="0" w:color="auto"/>
        <w:left w:val="none" w:sz="0" w:space="0" w:color="auto"/>
        <w:bottom w:val="none" w:sz="0" w:space="0" w:color="auto"/>
        <w:right w:val="none" w:sz="0" w:space="0" w:color="auto"/>
      </w:divBdr>
    </w:div>
    <w:div w:id="1642533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687672-5F2C-4D63-8E30-BF90A220E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614</TotalTime>
  <Pages>1</Pages>
  <Words>1216</Words>
  <Characters>6934</Characters>
  <Application>Microsoft Office Word</Application>
  <DocSecurity>0</DocSecurity>
  <Lines>57</Lines>
  <Paragraphs>16</Paragraphs>
  <ScaleCrop>false</ScaleCrop>
  <Company/>
  <LinksUpToDate>false</LinksUpToDate>
  <CharactersWithSpaces>8134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Bhuvaneswari R.</cp:lastModifiedBy>
  <cp:revision>66</cp:revision>
  <dcterms:created xsi:type="dcterms:W3CDTF">2021-11-23T03:02:00Z</dcterms:created>
  <dcterms:modified xsi:type="dcterms:W3CDTF">2023-03-27T10:23:00Z</dcterms:modified>
</cp:coreProperties>
</file>