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8EA01" w14:textId="682F5AAD" w:rsidR="00F25FC4" w:rsidRDefault="00F25FC4" w:rsidP="00F25FC4">
      <w:pPr>
        <w:widowControl w:val="0"/>
        <w:autoSpaceDE w:val="0"/>
        <w:autoSpaceDN w:val="0"/>
        <w:adjustRightInd w:val="0"/>
        <w:rPr>
          <w:rFonts w:eastAsiaTheme="minorEastAsia"/>
          <w:b/>
          <w:bCs/>
          <w:sz w:val="22"/>
          <w:szCs w:val="22"/>
        </w:rPr>
      </w:pPr>
      <w:r w:rsidRPr="00F25FC4">
        <w:rPr>
          <w:rFonts w:eastAsiaTheme="minorEastAsia"/>
          <w:b/>
          <w:bCs/>
          <w:sz w:val="22"/>
          <w:szCs w:val="22"/>
        </w:rPr>
        <w:t>Supplementary Figure Legends</w:t>
      </w:r>
    </w:p>
    <w:p w14:paraId="7BB68AF7" w14:textId="77777777" w:rsidR="00F25FC4" w:rsidRPr="00F25FC4" w:rsidRDefault="00F25FC4" w:rsidP="00F25FC4">
      <w:pPr>
        <w:widowControl w:val="0"/>
        <w:autoSpaceDE w:val="0"/>
        <w:autoSpaceDN w:val="0"/>
        <w:adjustRightInd w:val="0"/>
        <w:rPr>
          <w:rFonts w:eastAsiaTheme="minorEastAsia"/>
          <w:b/>
          <w:bCs/>
          <w:sz w:val="22"/>
          <w:szCs w:val="22"/>
        </w:rPr>
      </w:pPr>
    </w:p>
    <w:p w14:paraId="17EB0157" w14:textId="707968DD" w:rsidR="00F25FC4" w:rsidRDefault="00F25FC4" w:rsidP="00F25FC4">
      <w:pPr>
        <w:widowControl w:val="0"/>
        <w:autoSpaceDE w:val="0"/>
        <w:autoSpaceDN w:val="0"/>
        <w:adjustRightInd w:val="0"/>
        <w:rPr>
          <w:sz w:val="22"/>
          <w:szCs w:val="22"/>
        </w:rPr>
      </w:pPr>
      <w:r w:rsidRPr="00B47E35">
        <w:rPr>
          <w:rFonts w:eastAsiaTheme="minorEastAsia"/>
          <w:i/>
          <w:iCs/>
          <w:sz w:val="22"/>
          <w:szCs w:val="22"/>
        </w:rPr>
        <w:t xml:space="preserve">Figure S1: Individual bile acids as relative concentrations (RC) of total bile acid detected in faecal water. A) </w:t>
      </w:r>
      <w:r w:rsidRPr="00B47E35">
        <w:rPr>
          <w:rFonts w:eastAsiaTheme="minorEastAsia"/>
          <w:sz w:val="22"/>
          <w:szCs w:val="22"/>
        </w:rPr>
        <w:t>3</w:t>
      </w:r>
      <w:r w:rsidRPr="00B47E35">
        <w:rPr>
          <w:rFonts w:eastAsiaTheme="minorEastAsia"/>
          <w:sz w:val="22"/>
          <w:szCs w:val="22"/>
        </w:rPr>
        <w:sym w:font="Symbol" w:char="F061"/>
      </w:r>
      <w:r w:rsidRPr="00B47E35">
        <w:rPr>
          <w:rFonts w:eastAsiaTheme="minorEastAsia"/>
          <w:i/>
          <w:iCs/>
          <w:sz w:val="22"/>
          <w:szCs w:val="22"/>
        </w:rPr>
        <w:t>-</w:t>
      </w:r>
      <w:r w:rsidRPr="00B47E35">
        <w:rPr>
          <w:rFonts w:eastAsiaTheme="minorEastAsia"/>
          <w:sz w:val="22"/>
          <w:szCs w:val="22"/>
        </w:rPr>
        <w:t>Hydroxy,6-,7-Diketo-Cholanic</w:t>
      </w:r>
      <w:r w:rsidRPr="00B47E35">
        <w:rPr>
          <w:rFonts w:eastAsiaTheme="minorEastAsia"/>
          <w:i/>
          <w:iCs/>
          <w:sz w:val="22"/>
          <w:szCs w:val="22"/>
        </w:rPr>
        <w:t xml:space="preserve"> </w:t>
      </w:r>
      <w:r w:rsidRPr="00B47E35">
        <w:rPr>
          <w:rFonts w:eastAsiaTheme="minorEastAsia"/>
          <w:sz w:val="22"/>
          <w:szCs w:val="22"/>
        </w:rPr>
        <w:t xml:space="preserve">acid (3a-H,6,7diKClA), b) </w:t>
      </w:r>
      <w:proofErr w:type="spellStart"/>
      <w:r w:rsidRPr="00B47E35">
        <w:rPr>
          <w:rFonts w:eastAsiaTheme="minorEastAsia"/>
          <w:sz w:val="22"/>
          <w:szCs w:val="22"/>
        </w:rPr>
        <w:t>Taurohyocholic</w:t>
      </w:r>
      <w:proofErr w:type="spellEnd"/>
      <w:r w:rsidRPr="00B47E35">
        <w:rPr>
          <w:rFonts w:eastAsiaTheme="minorEastAsia"/>
          <w:sz w:val="22"/>
          <w:szCs w:val="22"/>
        </w:rPr>
        <w:t xml:space="preserve"> acid (THCA), c)</w:t>
      </w:r>
      <w:r w:rsidRPr="00B47E35">
        <w:rPr>
          <w:rFonts w:eastAsiaTheme="minorEastAsia"/>
          <w:i/>
          <w:iCs/>
          <w:sz w:val="22"/>
          <w:szCs w:val="22"/>
        </w:rPr>
        <w:t xml:space="preserve"> </w:t>
      </w:r>
      <w:proofErr w:type="spellStart"/>
      <w:r w:rsidRPr="00B47E35">
        <w:rPr>
          <w:rFonts w:eastAsiaTheme="minorEastAsia"/>
          <w:sz w:val="22"/>
          <w:szCs w:val="22"/>
        </w:rPr>
        <w:t>Glycoursodeoxycholic</w:t>
      </w:r>
      <w:proofErr w:type="spellEnd"/>
      <w:r w:rsidRPr="00B47E35">
        <w:rPr>
          <w:rFonts w:eastAsiaTheme="minorEastAsia"/>
          <w:sz w:val="22"/>
          <w:szCs w:val="22"/>
        </w:rPr>
        <w:t xml:space="preserve"> acid (GUDCA), d) 3-Dehydrocholica acid (3-DHCA) e) 3,12-Diketocholanic acid (3,12-diKClA) f) </w:t>
      </w:r>
      <w:proofErr w:type="spellStart"/>
      <w:r w:rsidRPr="00B47E35">
        <w:rPr>
          <w:rFonts w:eastAsiaTheme="minorEastAsia"/>
          <w:sz w:val="22"/>
          <w:szCs w:val="22"/>
        </w:rPr>
        <w:t>Ursodeoxycholic</w:t>
      </w:r>
      <w:proofErr w:type="spellEnd"/>
      <w:r w:rsidRPr="00B47E35">
        <w:rPr>
          <w:rFonts w:eastAsiaTheme="minorEastAsia"/>
          <w:sz w:val="22"/>
          <w:szCs w:val="22"/>
        </w:rPr>
        <w:t xml:space="preserve"> acid(UDCA),</w:t>
      </w:r>
      <w:r>
        <w:rPr>
          <w:rFonts w:eastAsiaTheme="minorEastAsia"/>
          <w:sz w:val="22"/>
          <w:szCs w:val="22"/>
        </w:rPr>
        <w:t xml:space="preserve"> </w:t>
      </w:r>
      <w:r w:rsidRPr="00B47E35">
        <w:rPr>
          <w:rFonts w:eastAsiaTheme="minorEastAsia"/>
          <w:sz w:val="22"/>
          <w:szCs w:val="22"/>
        </w:rPr>
        <w:t xml:space="preserve">g) 12-Dehydrocholic acid (12-DHCA) h) </w:t>
      </w:r>
      <w:proofErr w:type="spellStart"/>
      <w:r w:rsidRPr="00B47E35">
        <w:rPr>
          <w:rFonts w:eastAsiaTheme="minorEastAsia"/>
          <w:sz w:val="22"/>
          <w:szCs w:val="22"/>
        </w:rPr>
        <w:t>Glycochendeoxycholic</w:t>
      </w:r>
      <w:proofErr w:type="spellEnd"/>
      <w:r w:rsidRPr="00B47E35">
        <w:rPr>
          <w:rFonts w:eastAsiaTheme="minorEastAsia"/>
          <w:sz w:val="22"/>
          <w:szCs w:val="22"/>
        </w:rPr>
        <w:t xml:space="preserve"> acid (GCDA) </w:t>
      </w:r>
      <w:proofErr w:type="spellStart"/>
      <w:r w:rsidRPr="00B47E35">
        <w:rPr>
          <w:rFonts w:eastAsiaTheme="minorEastAsia"/>
          <w:sz w:val="22"/>
          <w:szCs w:val="22"/>
        </w:rPr>
        <w:t>i</w:t>
      </w:r>
      <w:proofErr w:type="spellEnd"/>
      <w:r w:rsidRPr="00B47E35">
        <w:rPr>
          <w:rFonts w:eastAsiaTheme="minorEastAsia"/>
          <w:sz w:val="22"/>
          <w:szCs w:val="22"/>
        </w:rPr>
        <w:t>) 3</w:t>
      </w:r>
      <w:r w:rsidRPr="00B47E35">
        <w:rPr>
          <w:rFonts w:eastAsiaTheme="minorEastAsia"/>
          <w:sz w:val="22"/>
          <w:szCs w:val="22"/>
        </w:rPr>
        <w:sym w:font="Symbol" w:char="F061"/>
      </w:r>
      <w:r w:rsidRPr="00B47E35">
        <w:rPr>
          <w:rFonts w:eastAsiaTheme="minorEastAsia"/>
          <w:sz w:val="22"/>
          <w:szCs w:val="22"/>
        </w:rPr>
        <w:t>-Hydroxy,12-Ketolithocholic acid (3</w:t>
      </w:r>
      <w:r w:rsidRPr="00B47E35">
        <w:rPr>
          <w:rFonts w:eastAsiaTheme="minorEastAsia"/>
          <w:sz w:val="22"/>
          <w:szCs w:val="22"/>
        </w:rPr>
        <w:sym w:font="Symbol" w:char="F061"/>
      </w:r>
      <w:r w:rsidRPr="00B47E35">
        <w:rPr>
          <w:rFonts w:eastAsiaTheme="minorEastAsia"/>
          <w:sz w:val="22"/>
          <w:szCs w:val="22"/>
        </w:rPr>
        <w:t>-H,12-KLCA),</w:t>
      </w:r>
      <w:r>
        <w:rPr>
          <w:rFonts w:eastAsiaTheme="minorEastAsia"/>
          <w:sz w:val="22"/>
          <w:szCs w:val="22"/>
        </w:rPr>
        <w:t xml:space="preserve"> </w:t>
      </w:r>
      <w:r w:rsidRPr="00B47E35">
        <w:rPr>
          <w:rFonts w:eastAsiaTheme="minorEastAsia"/>
          <w:sz w:val="22"/>
          <w:szCs w:val="22"/>
        </w:rPr>
        <w:t>j) Isolithocholic acid(ILCA),</w:t>
      </w:r>
      <w:r>
        <w:rPr>
          <w:rFonts w:eastAsiaTheme="minorEastAsia"/>
          <w:sz w:val="22"/>
          <w:szCs w:val="22"/>
        </w:rPr>
        <w:t xml:space="preserve"> </w:t>
      </w:r>
      <w:r w:rsidRPr="00B47E35">
        <w:rPr>
          <w:rFonts w:eastAsiaTheme="minorEastAsia"/>
          <w:sz w:val="22"/>
          <w:szCs w:val="22"/>
        </w:rPr>
        <w:t xml:space="preserve">k) </w:t>
      </w:r>
      <w:proofErr w:type="spellStart"/>
      <w:r w:rsidRPr="00B47E35">
        <w:rPr>
          <w:rFonts w:eastAsiaTheme="minorEastAsia"/>
          <w:sz w:val="22"/>
          <w:szCs w:val="22"/>
        </w:rPr>
        <w:t>Chendeoxycholic</w:t>
      </w:r>
      <w:proofErr w:type="spellEnd"/>
      <w:r w:rsidRPr="00B47E35">
        <w:rPr>
          <w:rFonts w:eastAsiaTheme="minorEastAsia"/>
          <w:sz w:val="22"/>
          <w:szCs w:val="22"/>
        </w:rPr>
        <w:t xml:space="preserve"> acid (CDCA), l) 5ß-Cholanic acid 3ß-,12</w:t>
      </w:r>
      <w:r w:rsidRPr="00B47E35">
        <w:rPr>
          <w:rFonts w:eastAsiaTheme="minorEastAsia"/>
          <w:sz w:val="22"/>
          <w:szCs w:val="22"/>
        </w:rPr>
        <w:sym w:font="Symbol" w:char="F061"/>
      </w:r>
      <w:r w:rsidRPr="00B47E35">
        <w:rPr>
          <w:rFonts w:eastAsiaTheme="minorEastAsia"/>
          <w:sz w:val="22"/>
          <w:szCs w:val="22"/>
        </w:rPr>
        <w:t>-diol (5b-ClA,3b12A-diol) m) 3-Ketocholanic acid (3-KClA) n) Lithocholic acid (LCA),</w:t>
      </w:r>
      <w:r>
        <w:rPr>
          <w:rFonts w:eastAsiaTheme="minorEastAsia"/>
          <w:sz w:val="22"/>
          <w:szCs w:val="22"/>
        </w:rPr>
        <w:t xml:space="preserve"> </w:t>
      </w:r>
      <w:r w:rsidRPr="00B47E35">
        <w:rPr>
          <w:rFonts w:eastAsiaTheme="minorEastAsia"/>
          <w:sz w:val="22"/>
          <w:szCs w:val="22"/>
        </w:rPr>
        <w:t xml:space="preserve">o) </w:t>
      </w:r>
      <w:proofErr w:type="spellStart"/>
      <w:r w:rsidRPr="00B47E35">
        <w:rPr>
          <w:rFonts w:eastAsiaTheme="minorEastAsia"/>
          <w:sz w:val="22"/>
          <w:szCs w:val="22"/>
        </w:rPr>
        <w:t>Deoxycholic_acid</w:t>
      </w:r>
      <w:proofErr w:type="spellEnd"/>
      <w:r w:rsidRPr="00B47E35">
        <w:rPr>
          <w:rFonts w:eastAsiaTheme="minorEastAsia"/>
          <w:sz w:val="22"/>
          <w:szCs w:val="22"/>
        </w:rPr>
        <w:t xml:space="preserve"> (DCA), p) Cholic acid (CA), q) 23-nor,5ß-Cholanic Acid 3</w:t>
      </w:r>
      <w:r w:rsidRPr="00B47E35">
        <w:rPr>
          <w:rFonts w:eastAsiaTheme="minorEastAsia"/>
          <w:sz w:val="22"/>
          <w:szCs w:val="22"/>
        </w:rPr>
        <w:sym w:font="Symbol" w:char="F061"/>
      </w:r>
      <w:r w:rsidRPr="00B47E35">
        <w:rPr>
          <w:rFonts w:eastAsiaTheme="minorEastAsia"/>
          <w:sz w:val="22"/>
          <w:szCs w:val="22"/>
        </w:rPr>
        <w:t>-,12</w:t>
      </w:r>
      <w:r w:rsidRPr="00B47E35">
        <w:rPr>
          <w:rFonts w:eastAsiaTheme="minorEastAsia"/>
          <w:sz w:val="22"/>
          <w:szCs w:val="22"/>
        </w:rPr>
        <w:sym w:font="Symbol" w:char="F061"/>
      </w:r>
      <w:r w:rsidRPr="00B47E35">
        <w:rPr>
          <w:rFonts w:eastAsiaTheme="minorEastAsia"/>
          <w:sz w:val="22"/>
          <w:szCs w:val="22"/>
        </w:rPr>
        <w:t>-diol (23 nor-5b-ClA,3a,12a-diol) r) 3</w:t>
      </w:r>
      <w:r w:rsidRPr="00B47E35">
        <w:rPr>
          <w:rFonts w:eastAsiaTheme="minorEastAsia"/>
          <w:sz w:val="22"/>
          <w:szCs w:val="22"/>
        </w:rPr>
        <w:sym w:font="Symbol" w:char="F061"/>
      </w:r>
      <w:r w:rsidRPr="00B47E35">
        <w:rPr>
          <w:rFonts w:eastAsiaTheme="minorEastAsia"/>
          <w:sz w:val="22"/>
          <w:szCs w:val="22"/>
        </w:rPr>
        <w:t>-Hydroxy,12-Ketolithocholic acid (3</w:t>
      </w:r>
      <w:r w:rsidRPr="00B47E35">
        <w:rPr>
          <w:rFonts w:eastAsiaTheme="minorEastAsia"/>
          <w:sz w:val="22"/>
          <w:szCs w:val="22"/>
        </w:rPr>
        <w:sym w:font="Symbol" w:char="F061"/>
      </w:r>
      <w:r w:rsidRPr="00B47E35">
        <w:rPr>
          <w:rFonts w:eastAsiaTheme="minorEastAsia"/>
          <w:sz w:val="22"/>
          <w:szCs w:val="22"/>
        </w:rPr>
        <w:t>-H,12-KLCA), s) Taurocholic acid (TCA)</w:t>
      </w:r>
      <w:r>
        <w:rPr>
          <w:sz w:val="22"/>
          <w:szCs w:val="22"/>
        </w:rPr>
        <w:t xml:space="preserve">. </w:t>
      </w:r>
      <w:r w:rsidRPr="00B47E35">
        <w:rPr>
          <w:rFonts w:eastAsia="Calibri"/>
          <w:sz w:val="22"/>
          <w:szCs w:val="22"/>
        </w:rPr>
        <w:t>Conover-Iman significance *** p ≤0.001, ** p ≤0.01, * p ≤0.05, p&gt;0.05 = not shown.</w:t>
      </w:r>
    </w:p>
    <w:p w14:paraId="3335175C" w14:textId="65B9EDFC" w:rsidR="0094787A" w:rsidRDefault="001829F5"/>
    <w:p w14:paraId="7ABA2C58" w14:textId="77777777" w:rsidR="00F25FC4" w:rsidRPr="00781638" w:rsidRDefault="00F25FC4" w:rsidP="00F25FC4">
      <w:pPr>
        <w:widowControl w:val="0"/>
        <w:autoSpaceDE w:val="0"/>
        <w:autoSpaceDN w:val="0"/>
        <w:adjustRightInd w:val="0"/>
        <w:rPr>
          <w:sz w:val="22"/>
          <w:szCs w:val="22"/>
        </w:rPr>
      </w:pPr>
      <w:r w:rsidRPr="00C31477">
        <w:rPr>
          <w:rFonts w:eastAsiaTheme="minorEastAsia"/>
          <w:i/>
          <w:iCs/>
          <w:sz w:val="22"/>
          <w:szCs w:val="22"/>
        </w:rPr>
        <w:t>Figure S2: Supplemental analysis</w:t>
      </w:r>
      <w:r w:rsidRPr="00781638">
        <w:rPr>
          <w:rFonts w:eastAsiaTheme="minorEastAsia"/>
          <w:sz w:val="22"/>
          <w:szCs w:val="22"/>
        </w:rPr>
        <w:t xml:space="preserve">. </w:t>
      </w:r>
      <w:r>
        <w:rPr>
          <w:sz w:val="22"/>
          <w:szCs w:val="22"/>
        </w:rPr>
        <w:t>a</w:t>
      </w:r>
      <w:r w:rsidRPr="00781638">
        <w:rPr>
          <w:rFonts w:eastAsiaTheme="minorEastAsia"/>
          <w:sz w:val="22"/>
          <w:szCs w:val="22"/>
        </w:rPr>
        <w:t xml:space="preserve">) RAB proportion versus serial sample number, </w:t>
      </w:r>
      <w:proofErr w:type="gramStart"/>
      <w:r w:rsidRPr="00781638">
        <w:rPr>
          <w:rFonts w:eastAsiaTheme="minorEastAsia"/>
          <w:sz w:val="22"/>
          <w:szCs w:val="22"/>
        </w:rPr>
        <w:t>Point</w:t>
      </w:r>
      <w:proofErr w:type="gramEnd"/>
      <w:r w:rsidRPr="00781638">
        <w:rPr>
          <w:rFonts w:eastAsiaTheme="minorEastAsia"/>
          <w:sz w:val="22"/>
          <w:szCs w:val="22"/>
        </w:rPr>
        <w:t xml:space="preserve"> shapes= Triangles =sample taken on PICU, Square = Sample taken on General ward. Point colour = sampling timepoint. Red</w:t>
      </w:r>
      <w:r>
        <w:rPr>
          <w:sz w:val="22"/>
          <w:szCs w:val="22"/>
        </w:rPr>
        <w:t xml:space="preserve"> </w:t>
      </w:r>
      <w:r w:rsidRPr="00781638">
        <w:rPr>
          <w:rFonts w:eastAsiaTheme="minorEastAsia"/>
          <w:sz w:val="22"/>
          <w:szCs w:val="22"/>
        </w:rPr>
        <w:t>=</w:t>
      </w:r>
      <w:r>
        <w:rPr>
          <w:sz w:val="22"/>
          <w:szCs w:val="22"/>
        </w:rPr>
        <w:t xml:space="preserve"> d</w:t>
      </w:r>
      <w:r w:rsidRPr="00781638">
        <w:rPr>
          <w:rFonts w:eastAsiaTheme="minorEastAsia"/>
          <w:sz w:val="22"/>
          <w:szCs w:val="22"/>
        </w:rPr>
        <w:t>ay 1-3,</w:t>
      </w:r>
      <w:r>
        <w:rPr>
          <w:rFonts w:eastAsiaTheme="minorEastAsia"/>
          <w:sz w:val="22"/>
          <w:szCs w:val="22"/>
        </w:rPr>
        <w:t xml:space="preserve"> </w:t>
      </w:r>
      <w:r w:rsidRPr="00781638">
        <w:rPr>
          <w:rFonts w:eastAsiaTheme="minorEastAsia"/>
          <w:sz w:val="22"/>
          <w:szCs w:val="22"/>
        </w:rPr>
        <w:t>Orange = day 4-7, Green = days 8-10. A significant reduction in the proportion of RAB was observed in the first patient sample collected (30% RAB, n=43, day 1-3=20, day 4-7=15, days 8-10=8) relative to control samples (60% RAB, n=43) (p=0.002). The median RAB proportion observed in second samples was 0.27% (n=7, day 1-3=1, day 4-7=4, days 8-10=2), which was also significantly reduced from median control proportion of RAB. A difference between first and second samples was observed but was not significant. Only one patient had 3 serial samples analysed, with the third sample containing 0.2% RAB.</w:t>
      </w:r>
      <w:r>
        <w:rPr>
          <w:rFonts w:eastAsiaTheme="minorEastAsia"/>
          <w:sz w:val="22"/>
          <w:szCs w:val="22"/>
        </w:rPr>
        <w:t xml:space="preserve"> </w:t>
      </w:r>
      <w:r w:rsidRPr="00781638">
        <w:rPr>
          <w:rFonts w:eastAsiaTheme="minorEastAsia"/>
          <w:sz w:val="22"/>
          <w:szCs w:val="22"/>
        </w:rPr>
        <w:t xml:space="preserve">B) RAB proportion versus serial primary diagnosis. C) Lachnospiraceae proportion versus primary diagnosis, D) Lachnospiraceae proportion versus respiratory disease, E) Lachnospiraceae versus admission for infection versus non-infection. </w:t>
      </w:r>
      <w:r w:rsidRPr="00781638">
        <w:rPr>
          <w:rFonts w:eastAsia="Calibri"/>
          <w:sz w:val="22"/>
          <w:szCs w:val="22"/>
        </w:rPr>
        <w:t>Conover-Iman significance *** p ≤0.001, ** p ≤0.01, * p ≤0.05, p&gt;0.05 = not shown.</w:t>
      </w:r>
    </w:p>
    <w:p w14:paraId="5344152B" w14:textId="77777777" w:rsidR="00F25FC4" w:rsidRDefault="00F25FC4" w:rsidP="00F25FC4">
      <w:pPr>
        <w:widowControl w:val="0"/>
        <w:autoSpaceDE w:val="0"/>
        <w:autoSpaceDN w:val="0"/>
        <w:adjustRightInd w:val="0"/>
        <w:rPr>
          <w:sz w:val="22"/>
          <w:szCs w:val="22"/>
        </w:rPr>
      </w:pPr>
    </w:p>
    <w:p w14:paraId="75ECED5B" w14:textId="77777777" w:rsidR="00F25FC4" w:rsidRDefault="00F25FC4" w:rsidP="00F25FC4">
      <w:pPr>
        <w:widowControl w:val="0"/>
        <w:autoSpaceDE w:val="0"/>
        <w:autoSpaceDN w:val="0"/>
        <w:adjustRightInd w:val="0"/>
        <w:rPr>
          <w:rFonts w:eastAsia="Calibri"/>
          <w:sz w:val="22"/>
          <w:szCs w:val="22"/>
        </w:rPr>
      </w:pPr>
      <w:r w:rsidRPr="00C31477">
        <w:rPr>
          <w:rFonts w:eastAsiaTheme="minorEastAsia"/>
          <w:i/>
          <w:iCs/>
          <w:sz w:val="22"/>
          <w:szCs w:val="22"/>
        </w:rPr>
        <w:t xml:space="preserve">Figure S3: Recovery associated bacteria (RAB) identified by 16s rRNA gene sequencing. </w:t>
      </w:r>
      <w:r w:rsidRPr="00137BAD">
        <w:rPr>
          <w:rFonts w:eastAsiaTheme="minorEastAsia"/>
          <w:sz w:val="22"/>
          <w:szCs w:val="22"/>
        </w:rPr>
        <w:t xml:space="preserve">Proportions of previously describe RAB which were identified in this study. </w:t>
      </w:r>
      <w:r>
        <w:rPr>
          <w:sz w:val="22"/>
          <w:szCs w:val="22"/>
        </w:rPr>
        <w:t>a</w:t>
      </w:r>
      <w:r w:rsidRPr="00137BAD">
        <w:rPr>
          <w:rFonts w:eastAsiaTheme="minorEastAsia"/>
          <w:sz w:val="22"/>
          <w:szCs w:val="22"/>
        </w:rPr>
        <w:t>)</w:t>
      </w:r>
      <w:r>
        <w:rPr>
          <w:rFonts w:eastAsiaTheme="minorEastAsia"/>
          <w:sz w:val="22"/>
          <w:szCs w:val="22"/>
        </w:rPr>
        <w:t xml:space="preserve"> </w:t>
      </w:r>
      <w:r w:rsidRPr="00137BAD">
        <w:rPr>
          <w:rFonts w:eastAsiaTheme="minorEastAsia"/>
          <w:sz w:val="22"/>
          <w:szCs w:val="22"/>
        </w:rPr>
        <w:t xml:space="preserve">Proportion of </w:t>
      </w:r>
      <w:r w:rsidRPr="00137BAD">
        <w:rPr>
          <w:rFonts w:eastAsiaTheme="minorEastAsia"/>
          <w:i/>
          <w:iCs/>
          <w:sz w:val="22"/>
          <w:szCs w:val="22"/>
        </w:rPr>
        <w:t>Alistipes</w:t>
      </w:r>
      <w:r w:rsidRPr="00137BAD">
        <w:rPr>
          <w:rFonts w:eastAsiaTheme="minorEastAsia"/>
          <w:sz w:val="22"/>
          <w:szCs w:val="22"/>
        </w:rPr>
        <w:t xml:space="preserve">, b) Proportion of </w:t>
      </w:r>
      <w:r w:rsidRPr="00137BAD">
        <w:rPr>
          <w:rFonts w:eastAsiaTheme="minorEastAsia"/>
          <w:i/>
          <w:iCs/>
          <w:sz w:val="22"/>
          <w:szCs w:val="22"/>
        </w:rPr>
        <w:t xml:space="preserve">Bacteroide, </w:t>
      </w:r>
      <w:r w:rsidRPr="00137BAD">
        <w:rPr>
          <w:rFonts w:eastAsiaTheme="minorEastAsia"/>
          <w:sz w:val="22"/>
          <w:szCs w:val="22"/>
        </w:rPr>
        <w:t xml:space="preserve">c) Proportion of Bifidobacterium, d) Proportion of Coprococcus e) Proportion of </w:t>
      </w:r>
      <w:r w:rsidRPr="00137BAD">
        <w:rPr>
          <w:rFonts w:eastAsiaTheme="minorEastAsia"/>
          <w:i/>
          <w:iCs/>
          <w:sz w:val="22"/>
          <w:szCs w:val="22"/>
        </w:rPr>
        <w:t>Desulfovibrio</w:t>
      </w:r>
      <w:r w:rsidRPr="00137BAD">
        <w:rPr>
          <w:rFonts w:eastAsiaTheme="minorEastAsia"/>
          <w:sz w:val="22"/>
          <w:szCs w:val="22"/>
        </w:rPr>
        <w:t xml:space="preserve">, f) Proportion of </w:t>
      </w:r>
      <w:r w:rsidRPr="00137BAD">
        <w:rPr>
          <w:rFonts w:eastAsiaTheme="minorEastAsia"/>
          <w:i/>
          <w:iCs/>
          <w:sz w:val="22"/>
          <w:szCs w:val="22"/>
        </w:rPr>
        <w:t xml:space="preserve">Faecalibacterium, </w:t>
      </w:r>
      <w:r w:rsidRPr="00137BAD">
        <w:rPr>
          <w:rFonts w:eastAsiaTheme="minorEastAsia"/>
          <w:sz w:val="22"/>
          <w:szCs w:val="22"/>
        </w:rPr>
        <w:t xml:space="preserve">g) Proportion of </w:t>
      </w:r>
      <w:r w:rsidRPr="00137BAD">
        <w:rPr>
          <w:rFonts w:eastAsiaTheme="minorEastAsia"/>
          <w:i/>
          <w:iCs/>
          <w:sz w:val="22"/>
          <w:szCs w:val="22"/>
        </w:rPr>
        <w:t>Parabacteroides</w:t>
      </w:r>
      <w:r w:rsidRPr="00137BAD">
        <w:rPr>
          <w:rFonts w:eastAsiaTheme="minorEastAsia"/>
          <w:sz w:val="22"/>
          <w:szCs w:val="22"/>
        </w:rPr>
        <w:t xml:space="preserve"> h) Proportion of </w:t>
      </w:r>
      <w:r w:rsidRPr="00137BAD">
        <w:rPr>
          <w:rFonts w:eastAsiaTheme="minorEastAsia"/>
          <w:i/>
          <w:iCs/>
          <w:sz w:val="22"/>
          <w:szCs w:val="22"/>
        </w:rPr>
        <w:t xml:space="preserve">Roseburia, </w:t>
      </w:r>
      <w:proofErr w:type="spellStart"/>
      <w:r w:rsidRPr="00137BAD">
        <w:rPr>
          <w:rFonts w:eastAsiaTheme="minorEastAsia"/>
          <w:sz w:val="22"/>
          <w:szCs w:val="22"/>
        </w:rPr>
        <w:t>i</w:t>
      </w:r>
      <w:proofErr w:type="spellEnd"/>
      <w:r w:rsidRPr="00137BAD">
        <w:rPr>
          <w:rFonts w:eastAsiaTheme="minorEastAsia"/>
          <w:sz w:val="22"/>
          <w:szCs w:val="22"/>
        </w:rPr>
        <w:t xml:space="preserve">) Proportion of </w:t>
      </w:r>
      <w:r w:rsidRPr="00137BAD">
        <w:rPr>
          <w:rFonts w:eastAsiaTheme="minorEastAsia"/>
          <w:i/>
          <w:iCs/>
          <w:sz w:val="22"/>
          <w:szCs w:val="22"/>
        </w:rPr>
        <w:t>Ruminococcus,</w:t>
      </w:r>
      <w:r w:rsidRPr="00137BAD">
        <w:rPr>
          <w:rFonts w:eastAsiaTheme="minorEastAsia"/>
          <w:sz w:val="22"/>
          <w:szCs w:val="22"/>
        </w:rPr>
        <w:t xml:space="preserve"> j) Proportion of </w:t>
      </w:r>
      <w:r w:rsidRPr="00137BAD">
        <w:rPr>
          <w:rFonts w:eastAsiaTheme="minorEastAsia"/>
          <w:i/>
          <w:iCs/>
          <w:sz w:val="22"/>
          <w:szCs w:val="22"/>
        </w:rPr>
        <w:t>Subdoligranulum</w:t>
      </w:r>
      <w:r>
        <w:rPr>
          <w:i/>
          <w:iCs/>
          <w:sz w:val="22"/>
          <w:szCs w:val="22"/>
        </w:rPr>
        <w:t>.</w:t>
      </w:r>
      <w:r w:rsidRPr="00137BAD">
        <w:rPr>
          <w:rFonts w:eastAsia="Calibri"/>
          <w:sz w:val="22"/>
          <w:szCs w:val="22"/>
        </w:rPr>
        <w:t xml:space="preserve"> Conover-Iman significance *** p ≤0.001, ** p ≤0.01, * p ≤0.05, p&gt;0.05 = not shown.</w:t>
      </w:r>
    </w:p>
    <w:p w14:paraId="1D5ABAFD" w14:textId="77777777" w:rsidR="00F25FC4" w:rsidRDefault="00F25FC4" w:rsidP="00F25FC4">
      <w:pPr>
        <w:widowControl w:val="0"/>
        <w:autoSpaceDE w:val="0"/>
        <w:autoSpaceDN w:val="0"/>
        <w:adjustRightInd w:val="0"/>
        <w:rPr>
          <w:rFonts w:eastAsia="Calibri"/>
          <w:sz w:val="22"/>
          <w:szCs w:val="22"/>
        </w:rPr>
      </w:pPr>
    </w:p>
    <w:p w14:paraId="3CC44A5C" w14:textId="77777777" w:rsidR="00F25FC4" w:rsidRPr="00AE1314" w:rsidRDefault="00F25FC4" w:rsidP="00F25FC4">
      <w:pPr>
        <w:widowControl w:val="0"/>
        <w:autoSpaceDE w:val="0"/>
        <w:autoSpaceDN w:val="0"/>
        <w:adjustRightInd w:val="0"/>
        <w:rPr>
          <w:sz w:val="22"/>
          <w:szCs w:val="22"/>
        </w:rPr>
      </w:pPr>
      <w:r>
        <w:rPr>
          <w:rFonts w:eastAsia="Calibri"/>
          <w:i/>
          <w:iCs/>
          <w:sz w:val="22"/>
          <w:szCs w:val="22"/>
        </w:rPr>
        <w:t xml:space="preserve">Figure S4: Heatmap of Spearman’s </w:t>
      </w:r>
      <w:r>
        <w:rPr>
          <w:rFonts w:eastAsia="Calibri"/>
          <w:i/>
          <w:iCs/>
          <w:sz w:val="22"/>
          <w:szCs w:val="22"/>
          <w:lang w:val="el-GR"/>
        </w:rPr>
        <w:t>Ρ</w:t>
      </w:r>
      <w:r>
        <w:rPr>
          <w:rFonts w:eastAsia="Calibri"/>
          <w:sz w:val="22"/>
          <w:szCs w:val="22"/>
        </w:rPr>
        <w:t xml:space="preserve"> </w:t>
      </w:r>
      <w:r w:rsidRPr="00A80972">
        <w:rPr>
          <w:rFonts w:eastAsia="Calibri"/>
          <w:i/>
          <w:iCs/>
          <w:sz w:val="22"/>
          <w:szCs w:val="22"/>
        </w:rPr>
        <w:t>for correlation betwee</w:t>
      </w:r>
      <w:r>
        <w:rPr>
          <w:rFonts w:eastAsia="Calibri"/>
          <w:i/>
          <w:iCs/>
          <w:sz w:val="22"/>
          <w:szCs w:val="22"/>
        </w:rPr>
        <w:t>n</w:t>
      </w:r>
      <w:r w:rsidRPr="00A80972">
        <w:rPr>
          <w:rFonts w:eastAsia="Calibri"/>
          <w:i/>
          <w:iCs/>
          <w:sz w:val="22"/>
          <w:szCs w:val="22"/>
        </w:rPr>
        <w:t xml:space="preserve"> bile acid proportion and bacterial relative abundance.</w:t>
      </w:r>
      <w:r>
        <w:rPr>
          <w:rFonts w:eastAsia="Calibri"/>
          <w:sz w:val="22"/>
          <w:szCs w:val="22"/>
        </w:rPr>
        <w:t xml:space="preserve"> Spearman’s Rho is represented on a scale from blue (-1.0) to red (1.0) statistical significance is displayed for each comparison. Comparisons are based on 15 samples from patients who had both a bile acid profile and a 16S rRNA gene profile. S</w:t>
      </w:r>
      <w:r w:rsidRPr="00137BAD">
        <w:rPr>
          <w:rFonts w:eastAsia="Calibri"/>
          <w:sz w:val="22"/>
          <w:szCs w:val="22"/>
        </w:rPr>
        <w:t>ignificance *** p ≤0.001, ** p ≤0.01, * p ≤0.05, p&gt;0.05 = not shown</w:t>
      </w:r>
      <w:r>
        <w:rPr>
          <w:rFonts w:eastAsia="Calibri"/>
          <w:sz w:val="22"/>
          <w:szCs w:val="22"/>
        </w:rPr>
        <w:t>.</w:t>
      </w:r>
    </w:p>
    <w:p w14:paraId="51658C14" w14:textId="77777777" w:rsidR="00F25FC4" w:rsidRPr="00B47E35" w:rsidRDefault="00F25FC4" w:rsidP="00F25FC4">
      <w:pPr>
        <w:widowControl w:val="0"/>
        <w:autoSpaceDE w:val="0"/>
        <w:autoSpaceDN w:val="0"/>
        <w:adjustRightInd w:val="0"/>
        <w:rPr>
          <w:sz w:val="22"/>
          <w:szCs w:val="22"/>
        </w:rPr>
      </w:pPr>
    </w:p>
    <w:p w14:paraId="3FBBC13E" w14:textId="77777777" w:rsidR="00F25FC4" w:rsidRPr="00137BAD" w:rsidRDefault="00F25FC4" w:rsidP="00F25FC4">
      <w:pPr>
        <w:widowControl w:val="0"/>
        <w:autoSpaceDE w:val="0"/>
        <w:autoSpaceDN w:val="0"/>
        <w:adjustRightInd w:val="0"/>
        <w:rPr>
          <w:sz w:val="22"/>
          <w:szCs w:val="22"/>
        </w:rPr>
      </w:pPr>
      <w:r w:rsidRPr="00C31477">
        <w:rPr>
          <w:rFonts w:eastAsiaTheme="minorEastAsia"/>
          <w:i/>
          <w:iCs/>
          <w:sz w:val="22"/>
          <w:szCs w:val="22"/>
        </w:rPr>
        <w:t>Figure S</w:t>
      </w:r>
      <w:r>
        <w:rPr>
          <w:rFonts w:eastAsiaTheme="minorEastAsia"/>
          <w:i/>
          <w:iCs/>
          <w:sz w:val="22"/>
          <w:szCs w:val="22"/>
        </w:rPr>
        <w:t>5</w:t>
      </w:r>
      <w:r w:rsidRPr="00C31477">
        <w:rPr>
          <w:rFonts w:eastAsiaTheme="minorEastAsia"/>
          <w:i/>
          <w:iCs/>
          <w:sz w:val="22"/>
          <w:szCs w:val="22"/>
        </w:rPr>
        <w:t xml:space="preserve">: Composition of </w:t>
      </w:r>
      <w:r w:rsidRPr="00C31477">
        <w:rPr>
          <w:rFonts w:eastAsiaTheme="minorEastAsia"/>
          <w:i/>
          <w:iCs/>
          <w:sz w:val="22"/>
          <w:szCs w:val="22"/>
          <w:u w:val="single"/>
        </w:rPr>
        <w:t>Lachnospiraceae</w:t>
      </w:r>
      <w:r w:rsidRPr="00C31477">
        <w:rPr>
          <w:rFonts w:eastAsiaTheme="minorEastAsia"/>
          <w:i/>
          <w:iCs/>
          <w:sz w:val="22"/>
          <w:szCs w:val="22"/>
        </w:rPr>
        <w:t xml:space="preserve"> in faecal samples.</w:t>
      </w:r>
      <w:r w:rsidRPr="00137BAD">
        <w:rPr>
          <w:rFonts w:eastAsiaTheme="minorEastAsia"/>
          <w:sz w:val="22"/>
          <w:szCs w:val="22"/>
        </w:rPr>
        <w:t xml:space="preserve"> Raw counts for all </w:t>
      </w:r>
      <w:r w:rsidRPr="00137BAD">
        <w:rPr>
          <w:rFonts w:eastAsiaTheme="minorEastAsia"/>
          <w:i/>
          <w:iCs/>
          <w:sz w:val="22"/>
          <w:szCs w:val="22"/>
        </w:rPr>
        <w:t xml:space="preserve">Lachnospiraceae </w:t>
      </w:r>
      <w:r w:rsidRPr="00137BAD">
        <w:rPr>
          <w:rFonts w:eastAsiaTheme="minorEastAsia"/>
          <w:sz w:val="22"/>
          <w:szCs w:val="22"/>
        </w:rPr>
        <w:t>identified in this study.</w:t>
      </w:r>
      <w:r>
        <w:rPr>
          <w:rFonts w:eastAsiaTheme="minorEastAsia"/>
          <w:sz w:val="22"/>
          <w:szCs w:val="22"/>
        </w:rPr>
        <w:t xml:space="preserve"> </w:t>
      </w:r>
      <w:r w:rsidRPr="00137BAD">
        <w:rPr>
          <w:rFonts w:eastAsiaTheme="minorEastAsia"/>
          <w:sz w:val="22"/>
          <w:szCs w:val="22"/>
        </w:rPr>
        <w:t>Lachnospiraceae identified in the control groups are highly mixed populations. Predominant control genera are the</w:t>
      </w:r>
      <w:r>
        <w:rPr>
          <w:rFonts w:eastAsiaTheme="minorEastAsia"/>
          <w:sz w:val="22"/>
          <w:szCs w:val="22"/>
        </w:rPr>
        <w:t xml:space="preserve"> </w:t>
      </w:r>
      <w:r w:rsidRPr="00137BAD">
        <w:rPr>
          <w:rFonts w:eastAsiaTheme="minorEastAsia"/>
          <w:i/>
          <w:iCs/>
          <w:sz w:val="22"/>
          <w:szCs w:val="22"/>
        </w:rPr>
        <w:t xml:space="preserve">Agathobacter, Coprococcus, </w:t>
      </w:r>
      <w:proofErr w:type="spellStart"/>
      <w:r w:rsidRPr="00137BAD">
        <w:rPr>
          <w:rFonts w:eastAsiaTheme="minorEastAsia"/>
          <w:i/>
          <w:iCs/>
          <w:sz w:val="22"/>
          <w:szCs w:val="22"/>
        </w:rPr>
        <w:t>Mediterranibacter</w:t>
      </w:r>
      <w:proofErr w:type="spellEnd"/>
      <w:r w:rsidRPr="00137BAD">
        <w:rPr>
          <w:rFonts w:eastAsiaTheme="minorEastAsia"/>
          <w:i/>
          <w:iCs/>
          <w:sz w:val="22"/>
          <w:szCs w:val="22"/>
        </w:rPr>
        <w:t xml:space="preserve"> torques </w:t>
      </w:r>
      <w:r w:rsidRPr="00137BAD">
        <w:rPr>
          <w:rFonts w:eastAsiaTheme="minorEastAsia"/>
          <w:sz w:val="22"/>
          <w:szCs w:val="22"/>
        </w:rPr>
        <w:t xml:space="preserve">group, and </w:t>
      </w:r>
      <w:r w:rsidRPr="00137BAD">
        <w:rPr>
          <w:rFonts w:eastAsiaTheme="minorEastAsia"/>
          <w:i/>
          <w:iCs/>
          <w:sz w:val="22"/>
          <w:szCs w:val="22"/>
        </w:rPr>
        <w:t>Roseburia.</w:t>
      </w:r>
      <w:r w:rsidRPr="00137BAD">
        <w:rPr>
          <w:rFonts w:eastAsiaTheme="minorEastAsia"/>
          <w:sz w:val="22"/>
          <w:szCs w:val="22"/>
        </w:rPr>
        <w:t xml:space="preserve"> Patient microbiomes are different from day 1 of hospitalization. Genera of the </w:t>
      </w:r>
      <w:r w:rsidRPr="00137BAD">
        <w:rPr>
          <w:rFonts w:eastAsiaTheme="minorEastAsia"/>
          <w:i/>
          <w:iCs/>
          <w:sz w:val="22"/>
          <w:szCs w:val="22"/>
        </w:rPr>
        <w:t>Lachnospiraceae</w:t>
      </w:r>
      <w:r w:rsidRPr="00137BAD">
        <w:rPr>
          <w:rFonts w:eastAsiaTheme="minorEastAsia"/>
          <w:sz w:val="22"/>
          <w:szCs w:val="22"/>
        </w:rPr>
        <w:t xml:space="preserve"> which are highly represented in patient samples are the </w:t>
      </w:r>
      <w:proofErr w:type="spellStart"/>
      <w:r w:rsidRPr="00137BAD">
        <w:rPr>
          <w:rFonts w:eastAsiaTheme="minorEastAsia"/>
          <w:i/>
          <w:iCs/>
          <w:sz w:val="22"/>
          <w:szCs w:val="22"/>
        </w:rPr>
        <w:t>Anaerobutrycum</w:t>
      </w:r>
      <w:proofErr w:type="spellEnd"/>
      <w:r w:rsidRPr="00137BAD">
        <w:rPr>
          <w:rFonts w:eastAsiaTheme="minorEastAsia"/>
          <w:i/>
          <w:iCs/>
          <w:sz w:val="22"/>
          <w:szCs w:val="22"/>
        </w:rPr>
        <w:t xml:space="preserve"> hallii</w:t>
      </w:r>
      <w:r w:rsidRPr="00137BAD">
        <w:rPr>
          <w:rFonts w:eastAsiaTheme="minorEastAsia"/>
          <w:sz w:val="22"/>
          <w:szCs w:val="22"/>
        </w:rPr>
        <w:t xml:space="preserve"> group, </w:t>
      </w:r>
      <w:r w:rsidRPr="00137BAD">
        <w:rPr>
          <w:rFonts w:eastAsiaTheme="minorEastAsia"/>
          <w:i/>
          <w:iCs/>
          <w:sz w:val="22"/>
          <w:szCs w:val="22"/>
        </w:rPr>
        <w:t xml:space="preserve">Lachnoclostridium, </w:t>
      </w:r>
      <w:r w:rsidRPr="00137BAD">
        <w:rPr>
          <w:rFonts w:eastAsiaTheme="minorEastAsia"/>
          <w:sz w:val="22"/>
          <w:szCs w:val="22"/>
        </w:rPr>
        <w:t xml:space="preserve">and </w:t>
      </w:r>
      <w:proofErr w:type="spellStart"/>
      <w:r w:rsidRPr="00137BAD">
        <w:rPr>
          <w:rFonts w:eastAsiaTheme="minorEastAsia"/>
          <w:i/>
          <w:iCs/>
          <w:sz w:val="22"/>
          <w:szCs w:val="22"/>
        </w:rPr>
        <w:t>Mediterranibacter</w:t>
      </w:r>
      <w:proofErr w:type="spellEnd"/>
      <w:r w:rsidRPr="00137BAD">
        <w:rPr>
          <w:rFonts w:eastAsiaTheme="minorEastAsia"/>
          <w:i/>
          <w:iCs/>
          <w:sz w:val="22"/>
          <w:szCs w:val="22"/>
        </w:rPr>
        <w:t xml:space="preserve"> torques</w:t>
      </w:r>
      <w:r w:rsidRPr="00137BAD">
        <w:rPr>
          <w:rFonts w:eastAsiaTheme="minorEastAsia"/>
          <w:sz w:val="22"/>
          <w:szCs w:val="22"/>
        </w:rPr>
        <w:t xml:space="preserve"> group.</w:t>
      </w:r>
    </w:p>
    <w:p w14:paraId="20F14988" w14:textId="56A29965" w:rsidR="00F25FC4" w:rsidRDefault="00F25FC4" w:rsidP="00F25FC4">
      <w:pPr>
        <w:widowControl w:val="0"/>
        <w:autoSpaceDE w:val="0"/>
        <w:autoSpaceDN w:val="0"/>
        <w:adjustRightInd w:val="0"/>
        <w:rPr>
          <w:sz w:val="22"/>
          <w:szCs w:val="22"/>
        </w:rPr>
      </w:pPr>
    </w:p>
    <w:p w14:paraId="5EEAC7F9" w14:textId="77777777" w:rsidR="00155F0F" w:rsidRPr="00155F0F" w:rsidRDefault="00155F0F" w:rsidP="00155F0F">
      <w:pPr>
        <w:rPr>
          <w:i/>
          <w:iCs/>
        </w:rPr>
      </w:pPr>
      <w:r w:rsidRPr="00155F0F">
        <w:rPr>
          <w:i/>
          <w:iCs/>
          <w:sz w:val="20"/>
          <w:szCs w:val="20"/>
        </w:rPr>
        <w:t xml:space="preserve">Figure S6: Example LC-MS traces of bile acids. Mass spectroscopic detection of bile acids versus liquid chromatographic retention time. A) Pooled control sample inclusive of bile acids and salts from Table S6. B) Trace from Control subject C086. C) Trace from critically ill subject P055. D) Overlay of C086 (blue), and P055 (red). Major compositional bile acid peaks differ between healthy controls and patients. E) Trace for </w:t>
      </w:r>
      <w:proofErr w:type="spellStart"/>
      <w:r w:rsidRPr="00155F0F">
        <w:rPr>
          <w:i/>
          <w:iCs/>
          <w:sz w:val="20"/>
          <w:szCs w:val="20"/>
        </w:rPr>
        <w:t>Glycochenodeoxycholic</w:t>
      </w:r>
      <w:proofErr w:type="spellEnd"/>
      <w:r w:rsidRPr="00155F0F">
        <w:rPr>
          <w:i/>
          <w:iCs/>
          <w:sz w:val="20"/>
          <w:szCs w:val="20"/>
        </w:rPr>
        <w:t xml:space="preserve"> acid (GCDCA). F) Trace for Chenodeoxycholic acid (CDCA), Deoxycholic acid (DCA), and </w:t>
      </w:r>
      <w:proofErr w:type="spellStart"/>
      <w:r w:rsidRPr="00155F0F">
        <w:rPr>
          <w:i/>
          <w:iCs/>
          <w:sz w:val="20"/>
          <w:szCs w:val="20"/>
        </w:rPr>
        <w:t>Ursodeoxycholic</w:t>
      </w:r>
      <w:proofErr w:type="spellEnd"/>
      <w:r w:rsidRPr="00155F0F">
        <w:rPr>
          <w:i/>
          <w:iCs/>
          <w:sz w:val="20"/>
          <w:szCs w:val="20"/>
        </w:rPr>
        <w:t xml:space="preserve"> acid (UDCA). G) Trace for Cholic acid (CA).</w:t>
      </w:r>
    </w:p>
    <w:p w14:paraId="36E3A503" w14:textId="563E3E74" w:rsidR="00155F0F" w:rsidRDefault="00155F0F" w:rsidP="00F25FC4">
      <w:pPr>
        <w:widowControl w:val="0"/>
        <w:autoSpaceDE w:val="0"/>
        <w:autoSpaceDN w:val="0"/>
        <w:adjustRightInd w:val="0"/>
        <w:rPr>
          <w:sz w:val="22"/>
          <w:szCs w:val="22"/>
        </w:rPr>
      </w:pPr>
    </w:p>
    <w:p w14:paraId="2CEEC43B" w14:textId="77777777" w:rsidR="00155F0F" w:rsidRDefault="00155F0F" w:rsidP="00F25FC4">
      <w:pPr>
        <w:widowControl w:val="0"/>
        <w:autoSpaceDE w:val="0"/>
        <w:autoSpaceDN w:val="0"/>
        <w:adjustRightInd w:val="0"/>
        <w:rPr>
          <w:sz w:val="22"/>
          <w:szCs w:val="22"/>
        </w:rPr>
      </w:pPr>
    </w:p>
    <w:p w14:paraId="639EB05C" w14:textId="77777777" w:rsidR="00F25FC4" w:rsidRDefault="00F25FC4" w:rsidP="00F25FC4">
      <w:pPr>
        <w:widowControl w:val="0"/>
        <w:autoSpaceDE w:val="0"/>
        <w:autoSpaceDN w:val="0"/>
        <w:adjustRightInd w:val="0"/>
        <w:rPr>
          <w:b/>
          <w:bCs/>
          <w:sz w:val="22"/>
          <w:szCs w:val="22"/>
        </w:rPr>
      </w:pPr>
      <w:r w:rsidRPr="00134165">
        <w:rPr>
          <w:b/>
          <w:bCs/>
          <w:sz w:val="22"/>
          <w:szCs w:val="22"/>
        </w:rPr>
        <w:t>Additional files</w:t>
      </w:r>
    </w:p>
    <w:p w14:paraId="59E09DF9" w14:textId="77777777" w:rsidR="00F25FC4" w:rsidRDefault="00F25FC4" w:rsidP="00F25FC4">
      <w:pPr>
        <w:widowControl w:val="0"/>
        <w:autoSpaceDE w:val="0"/>
        <w:autoSpaceDN w:val="0"/>
        <w:adjustRightInd w:val="0"/>
        <w:rPr>
          <w:b/>
          <w:bCs/>
          <w:sz w:val="22"/>
          <w:szCs w:val="22"/>
        </w:rPr>
      </w:pPr>
    </w:p>
    <w:p w14:paraId="19195085" w14:textId="77777777" w:rsidR="00F25FC4" w:rsidRPr="003B3E43" w:rsidRDefault="00F25FC4" w:rsidP="00F25FC4">
      <w:pPr>
        <w:pStyle w:val="ListParagraph"/>
        <w:widowControl w:val="0"/>
        <w:numPr>
          <w:ilvl w:val="0"/>
          <w:numId w:val="1"/>
        </w:numPr>
        <w:autoSpaceDE w:val="0"/>
        <w:autoSpaceDN w:val="0"/>
        <w:adjustRightInd w:val="0"/>
        <w:rPr>
          <w:sz w:val="22"/>
          <w:szCs w:val="22"/>
        </w:rPr>
      </w:pPr>
      <w:r w:rsidRPr="00DD5D69">
        <w:rPr>
          <w:b/>
          <w:bCs/>
          <w:sz w:val="22"/>
          <w:szCs w:val="22"/>
        </w:rPr>
        <w:t>Kean_2021_R_</w:t>
      </w:r>
      <w:proofErr w:type="gramStart"/>
      <w:r w:rsidRPr="00DD5D69">
        <w:rPr>
          <w:b/>
          <w:bCs/>
          <w:sz w:val="22"/>
          <w:szCs w:val="22"/>
        </w:rPr>
        <w:t>scripts.Rmd</w:t>
      </w:r>
      <w:proofErr w:type="gramEnd"/>
      <w:r>
        <w:rPr>
          <w:sz w:val="22"/>
          <w:szCs w:val="22"/>
        </w:rPr>
        <w:t xml:space="preserve"> – R Markdown file containing the code used to produce the above analysis. Script is based on R 4.0.2. Analysis requires </w:t>
      </w:r>
      <w:r w:rsidRPr="00DD5D69">
        <w:rPr>
          <w:i/>
          <w:iCs/>
          <w:sz w:val="22"/>
          <w:szCs w:val="22"/>
        </w:rPr>
        <w:t>Kean_2021_data_table.csv</w:t>
      </w:r>
      <w:r>
        <w:rPr>
          <w:sz w:val="22"/>
          <w:szCs w:val="22"/>
        </w:rPr>
        <w:t xml:space="preserve"> and </w:t>
      </w:r>
      <w:r w:rsidRPr="00DD5D69">
        <w:rPr>
          <w:i/>
          <w:iCs/>
          <w:sz w:val="22"/>
          <w:szCs w:val="22"/>
        </w:rPr>
        <w:t>Kean_2021_family_taxonomy.csv</w:t>
      </w:r>
    </w:p>
    <w:p w14:paraId="7B32C9D7" w14:textId="77777777" w:rsidR="00F25FC4" w:rsidRDefault="00F25FC4" w:rsidP="00F25FC4">
      <w:pPr>
        <w:pStyle w:val="ListParagraph"/>
        <w:widowControl w:val="0"/>
        <w:numPr>
          <w:ilvl w:val="0"/>
          <w:numId w:val="1"/>
        </w:numPr>
        <w:autoSpaceDE w:val="0"/>
        <w:autoSpaceDN w:val="0"/>
        <w:adjustRightInd w:val="0"/>
        <w:rPr>
          <w:sz w:val="22"/>
          <w:szCs w:val="22"/>
        </w:rPr>
      </w:pPr>
      <w:r w:rsidRPr="00DD5D69">
        <w:rPr>
          <w:b/>
          <w:bCs/>
          <w:sz w:val="22"/>
          <w:szCs w:val="22"/>
        </w:rPr>
        <w:t>Kean_2021_data_table.csv</w:t>
      </w:r>
      <w:r>
        <w:rPr>
          <w:sz w:val="22"/>
          <w:szCs w:val="22"/>
        </w:rPr>
        <w:t xml:space="preserve"> – Data Table – Comma separated variable file containing anonymised data on which the above analysis was based.</w:t>
      </w:r>
    </w:p>
    <w:p w14:paraId="667640E7" w14:textId="77777777" w:rsidR="00F25FC4" w:rsidRDefault="00F25FC4" w:rsidP="00F25FC4">
      <w:pPr>
        <w:pStyle w:val="ListParagraph"/>
        <w:widowControl w:val="0"/>
        <w:numPr>
          <w:ilvl w:val="0"/>
          <w:numId w:val="1"/>
        </w:numPr>
        <w:autoSpaceDE w:val="0"/>
        <w:autoSpaceDN w:val="0"/>
        <w:adjustRightInd w:val="0"/>
        <w:rPr>
          <w:sz w:val="22"/>
          <w:szCs w:val="22"/>
        </w:rPr>
      </w:pPr>
      <w:r w:rsidRPr="00DD5D69">
        <w:rPr>
          <w:b/>
          <w:bCs/>
          <w:sz w:val="22"/>
          <w:szCs w:val="22"/>
        </w:rPr>
        <w:t>Kean_2021_family_taxonomy.csv</w:t>
      </w:r>
      <w:r>
        <w:rPr>
          <w:sz w:val="22"/>
          <w:szCs w:val="22"/>
        </w:rPr>
        <w:t xml:space="preserve"> – Comma separated variable file containing 16s rRNA gene counts separated taxonomically at the Family level based on the SILVA138.1 SSU database. The 10 most abundant families from each of the control and patient microbiomes are included.</w:t>
      </w:r>
    </w:p>
    <w:p w14:paraId="342D7554" w14:textId="77777777" w:rsidR="001829F5" w:rsidRDefault="00F25FC4" w:rsidP="00F25FC4">
      <w:pPr>
        <w:pStyle w:val="ListParagraph"/>
        <w:widowControl w:val="0"/>
        <w:numPr>
          <w:ilvl w:val="0"/>
          <w:numId w:val="1"/>
        </w:numPr>
        <w:autoSpaceDE w:val="0"/>
        <w:autoSpaceDN w:val="0"/>
        <w:adjustRightInd w:val="0"/>
        <w:rPr>
          <w:sz w:val="22"/>
          <w:szCs w:val="22"/>
        </w:rPr>
      </w:pPr>
      <w:r w:rsidRPr="001829F5">
        <w:rPr>
          <w:b/>
          <w:bCs/>
          <w:sz w:val="22"/>
          <w:szCs w:val="22"/>
        </w:rPr>
        <w:t>Kean_2021_Supplementary_tables.pdf</w:t>
      </w:r>
      <w:r w:rsidRPr="001829F5">
        <w:rPr>
          <w:sz w:val="22"/>
          <w:szCs w:val="22"/>
        </w:rPr>
        <w:t xml:space="preserve"> – Supplementary tables 1-</w:t>
      </w:r>
      <w:r w:rsidR="00155F0F" w:rsidRPr="001829F5">
        <w:rPr>
          <w:sz w:val="22"/>
          <w:szCs w:val="22"/>
        </w:rPr>
        <w:t>4</w:t>
      </w:r>
      <w:r w:rsidRPr="001829F5">
        <w:rPr>
          <w:sz w:val="22"/>
          <w:szCs w:val="22"/>
        </w:rPr>
        <w:t xml:space="preserve"> Extended patient demographics</w:t>
      </w:r>
      <w:r w:rsidR="00155F0F" w:rsidRPr="001829F5">
        <w:rPr>
          <w:sz w:val="22"/>
          <w:szCs w:val="22"/>
        </w:rPr>
        <w:t xml:space="preserve">, </w:t>
      </w:r>
      <w:r w:rsidRPr="001829F5">
        <w:rPr>
          <w:sz w:val="22"/>
          <w:szCs w:val="22"/>
        </w:rPr>
        <w:t xml:space="preserve">Correlation of </w:t>
      </w:r>
      <w:proofErr w:type="spellStart"/>
      <w:r w:rsidRPr="001829F5">
        <w:rPr>
          <w:i/>
          <w:iCs/>
          <w:sz w:val="22"/>
          <w:szCs w:val="22"/>
        </w:rPr>
        <w:t>Lachnospiracieae</w:t>
      </w:r>
      <w:proofErr w:type="spellEnd"/>
      <w:r w:rsidRPr="001829F5">
        <w:rPr>
          <w:i/>
          <w:iCs/>
          <w:sz w:val="22"/>
          <w:szCs w:val="22"/>
        </w:rPr>
        <w:t xml:space="preserve"> </w:t>
      </w:r>
      <w:r w:rsidRPr="001829F5">
        <w:rPr>
          <w:sz w:val="22"/>
          <w:szCs w:val="22"/>
        </w:rPr>
        <w:t>to</w:t>
      </w:r>
      <w:r w:rsidRPr="001829F5">
        <w:rPr>
          <w:i/>
          <w:iCs/>
          <w:sz w:val="22"/>
          <w:szCs w:val="22"/>
        </w:rPr>
        <w:t xml:space="preserve"> </w:t>
      </w:r>
      <w:r w:rsidRPr="001829F5">
        <w:rPr>
          <w:sz w:val="22"/>
          <w:szCs w:val="22"/>
        </w:rPr>
        <w:t>identified bacterial gener</w:t>
      </w:r>
      <w:r w:rsidR="00155F0F" w:rsidRPr="001829F5">
        <w:rPr>
          <w:sz w:val="22"/>
          <w:szCs w:val="22"/>
        </w:rPr>
        <w:t xml:space="preserve">a, and </w:t>
      </w:r>
      <w:r w:rsidR="001829F5" w:rsidRPr="001829F5">
        <w:rPr>
          <w:sz w:val="22"/>
          <w:szCs w:val="22"/>
        </w:rPr>
        <w:t>Mass/Charge ratios and retention times for bile acid standards</w:t>
      </w:r>
      <w:r w:rsidR="001829F5">
        <w:rPr>
          <w:sz w:val="22"/>
          <w:szCs w:val="22"/>
        </w:rPr>
        <w:t>.</w:t>
      </w:r>
    </w:p>
    <w:p w14:paraId="0A15BD87" w14:textId="1D6B306D" w:rsidR="00F25FC4" w:rsidRPr="001829F5" w:rsidRDefault="00F25FC4" w:rsidP="00F25FC4">
      <w:pPr>
        <w:pStyle w:val="ListParagraph"/>
        <w:widowControl w:val="0"/>
        <w:numPr>
          <w:ilvl w:val="0"/>
          <w:numId w:val="1"/>
        </w:numPr>
        <w:autoSpaceDE w:val="0"/>
        <w:autoSpaceDN w:val="0"/>
        <w:adjustRightInd w:val="0"/>
        <w:rPr>
          <w:sz w:val="22"/>
          <w:szCs w:val="22"/>
        </w:rPr>
      </w:pPr>
      <w:r w:rsidRPr="001829F5">
        <w:rPr>
          <w:b/>
          <w:bCs/>
          <w:sz w:val="22"/>
          <w:szCs w:val="22"/>
        </w:rPr>
        <w:t>Kean_2021_Figure_S1.eps</w:t>
      </w:r>
      <w:r w:rsidRPr="001829F5">
        <w:rPr>
          <w:sz w:val="22"/>
          <w:szCs w:val="22"/>
        </w:rPr>
        <w:t xml:space="preserve"> – Figure S1, Individual bile acids as relative concentrations (RC) of total bile acid detected in faecal water</w:t>
      </w:r>
    </w:p>
    <w:p w14:paraId="7F1499C3" w14:textId="77777777" w:rsidR="00F25FC4" w:rsidRDefault="00F25FC4" w:rsidP="00F25FC4">
      <w:pPr>
        <w:pStyle w:val="ListParagraph"/>
        <w:widowControl w:val="0"/>
        <w:numPr>
          <w:ilvl w:val="0"/>
          <w:numId w:val="1"/>
        </w:numPr>
        <w:autoSpaceDE w:val="0"/>
        <w:autoSpaceDN w:val="0"/>
        <w:adjustRightInd w:val="0"/>
        <w:rPr>
          <w:sz w:val="22"/>
          <w:szCs w:val="22"/>
        </w:rPr>
      </w:pPr>
      <w:r w:rsidRPr="00DD5D69">
        <w:rPr>
          <w:b/>
          <w:bCs/>
          <w:sz w:val="22"/>
          <w:szCs w:val="22"/>
        </w:rPr>
        <w:t>Kean_2021_Figure_S2.eps</w:t>
      </w:r>
      <w:r w:rsidRPr="00134165">
        <w:rPr>
          <w:sz w:val="22"/>
          <w:szCs w:val="22"/>
        </w:rPr>
        <w:t xml:space="preserve"> – Figure S2</w:t>
      </w:r>
      <w:r>
        <w:rPr>
          <w:sz w:val="22"/>
          <w:szCs w:val="22"/>
        </w:rPr>
        <w:t>,</w:t>
      </w:r>
      <w:r w:rsidRPr="00134165">
        <w:rPr>
          <w:sz w:val="22"/>
          <w:szCs w:val="22"/>
        </w:rPr>
        <w:t xml:space="preserve"> Supplemental analysis</w:t>
      </w:r>
      <w:r>
        <w:rPr>
          <w:sz w:val="22"/>
          <w:szCs w:val="22"/>
        </w:rPr>
        <w:t xml:space="preserve"> of data</w:t>
      </w:r>
    </w:p>
    <w:p w14:paraId="545BD71C" w14:textId="77777777" w:rsidR="00F25FC4" w:rsidRPr="00A80972" w:rsidRDefault="00F25FC4" w:rsidP="00F25FC4">
      <w:pPr>
        <w:pStyle w:val="ListParagraph"/>
        <w:widowControl w:val="0"/>
        <w:numPr>
          <w:ilvl w:val="0"/>
          <w:numId w:val="1"/>
        </w:numPr>
        <w:autoSpaceDE w:val="0"/>
        <w:autoSpaceDN w:val="0"/>
        <w:adjustRightInd w:val="0"/>
        <w:rPr>
          <w:sz w:val="22"/>
          <w:szCs w:val="22"/>
        </w:rPr>
      </w:pPr>
      <w:r w:rsidRPr="00DD5D69">
        <w:rPr>
          <w:b/>
          <w:bCs/>
          <w:sz w:val="22"/>
          <w:szCs w:val="22"/>
        </w:rPr>
        <w:t>Kean_2021_Figure_S3.eps</w:t>
      </w:r>
      <w:r>
        <w:rPr>
          <w:sz w:val="22"/>
          <w:szCs w:val="22"/>
        </w:rPr>
        <w:t xml:space="preserve"> - </w:t>
      </w:r>
      <w:r w:rsidRPr="00134165">
        <w:rPr>
          <w:rFonts w:eastAsiaTheme="minorEastAsia"/>
          <w:sz w:val="22"/>
          <w:szCs w:val="22"/>
        </w:rPr>
        <w:t>Figure S3, Recovery associated bacteria (RAB) identified by 16s rRNA gene sequencing</w:t>
      </w:r>
    </w:p>
    <w:p w14:paraId="62581E05" w14:textId="77777777" w:rsidR="00F25FC4" w:rsidRPr="003B3E43" w:rsidRDefault="00F25FC4" w:rsidP="00F25FC4">
      <w:pPr>
        <w:pStyle w:val="ListParagraph"/>
        <w:widowControl w:val="0"/>
        <w:numPr>
          <w:ilvl w:val="0"/>
          <w:numId w:val="1"/>
        </w:numPr>
        <w:autoSpaceDE w:val="0"/>
        <w:autoSpaceDN w:val="0"/>
        <w:adjustRightInd w:val="0"/>
        <w:rPr>
          <w:sz w:val="22"/>
          <w:szCs w:val="22"/>
        </w:rPr>
      </w:pPr>
      <w:r w:rsidRPr="00DD5D69">
        <w:rPr>
          <w:b/>
          <w:bCs/>
          <w:sz w:val="22"/>
          <w:szCs w:val="22"/>
        </w:rPr>
        <w:t>Kean_2021_Figure_S</w:t>
      </w:r>
      <w:r>
        <w:rPr>
          <w:b/>
          <w:bCs/>
          <w:sz w:val="22"/>
          <w:szCs w:val="22"/>
        </w:rPr>
        <w:t>4</w:t>
      </w:r>
      <w:r w:rsidRPr="00DD5D69">
        <w:rPr>
          <w:b/>
          <w:bCs/>
          <w:sz w:val="22"/>
          <w:szCs w:val="22"/>
        </w:rPr>
        <w:t>.eps</w:t>
      </w:r>
      <w:r>
        <w:rPr>
          <w:b/>
          <w:bCs/>
          <w:sz w:val="22"/>
          <w:szCs w:val="22"/>
        </w:rPr>
        <w:t xml:space="preserve"> –</w:t>
      </w:r>
      <w:r>
        <w:rPr>
          <w:b/>
          <w:bCs/>
          <w:i/>
          <w:iCs/>
          <w:sz w:val="22"/>
          <w:szCs w:val="22"/>
        </w:rPr>
        <w:t xml:space="preserve"> </w:t>
      </w:r>
      <w:r>
        <w:rPr>
          <w:sz w:val="22"/>
          <w:szCs w:val="22"/>
        </w:rPr>
        <w:t xml:space="preserve">Figure S4, </w:t>
      </w:r>
      <w:r w:rsidRPr="0001674F">
        <w:rPr>
          <w:sz w:val="22"/>
          <w:szCs w:val="22"/>
        </w:rPr>
        <w:t>Heatmap of Spearman’s Ρ for correlation between bile acid proportion and bacterial relative abundance</w:t>
      </w:r>
    </w:p>
    <w:p w14:paraId="69847F47" w14:textId="4EFAE60A" w:rsidR="00F25FC4" w:rsidRPr="001829F5" w:rsidRDefault="00F25FC4" w:rsidP="00F25FC4">
      <w:pPr>
        <w:pStyle w:val="ListParagraph"/>
        <w:widowControl w:val="0"/>
        <w:numPr>
          <w:ilvl w:val="0"/>
          <w:numId w:val="1"/>
        </w:numPr>
        <w:autoSpaceDE w:val="0"/>
        <w:autoSpaceDN w:val="0"/>
        <w:adjustRightInd w:val="0"/>
        <w:rPr>
          <w:sz w:val="22"/>
          <w:szCs w:val="22"/>
        </w:rPr>
      </w:pPr>
      <w:r w:rsidRPr="00DD5D69">
        <w:rPr>
          <w:b/>
          <w:bCs/>
          <w:sz w:val="22"/>
          <w:szCs w:val="22"/>
        </w:rPr>
        <w:t>Kean_2021_Figure_S</w:t>
      </w:r>
      <w:r>
        <w:rPr>
          <w:b/>
          <w:bCs/>
          <w:sz w:val="22"/>
          <w:szCs w:val="22"/>
        </w:rPr>
        <w:t>5</w:t>
      </w:r>
      <w:r w:rsidRPr="00DD5D69">
        <w:rPr>
          <w:b/>
          <w:bCs/>
          <w:sz w:val="22"/>
          <w:szCs w:val="22"/>
        </w:rPr>
        <w:t>.eps</w:t>
      </w:r>
      <w:r>
        <w:rPr>
          <w:sz w:val="22"/>
          <w:szCs w:val="22"/>
        </w:rPr>
        <w:t xml:space="preserve"> –</w:t>
      </w:r>
      <w:r>
        <w:rPr>
          <w:rFonts w:eastAsiaTheme="minorEastAsia"/>
          <w:i/>
          <w:iCs/>
          <w:sz w:val="22"/>
          <w:szCs w:val="22"/>
        </w:rPr>
        <w:t xml:space="preserve"> </w:t>
      </w:r>
      <w:r>
        <w:rPr>
          <w:sz w:val="22"/>
          <w:szCs w:val="22"/>
        </w:rPr>
        <w:t xml:space="preserve">Figure S5, </w:t>
      </w:r>
      <w:r w:rsidRPr="00DD5D69">
        <w:rPr>
          <w:rFonts w:eastAsiaTheme="minorEastAsia"/>
          <w:sz w:val="22"/>
          <w:szCs w:val="22"/>
        </w:rPr>
        <w:t xml:space="preserve">Composition of </w:t>
      </w:r>
      <w:r w:rsidRPr="00DD5D69">
        <w:rPr>
          <w:rFonts w:eastAsiaTheme="minorEastAsia"/>
          <w:i/>
          <w:iCs/>
          <w:sz w:val="22"/>
          <w:szCs w:val="22"/>
        </w:rPr>
        <w:t>Lachnospiraceae</w:t>
      </w:r>
      <w:r w:rsidRPr="00DD5D69">
        <w:rPr>
          <w:rFonts w:eastAsiaTheme="minorEastAsia"/>
          <w:sz w:val="22"/>
          <w:szCs w:val="22"/>
        </w:rPr>
        <w:t xml:space="preserve"> in faecal samples</w:t>
      </w:r>
    </w:p>
    <w:p w14:paraId="0A57F543" w14:textId="359B109B" w:rsidR="001829F5" w:rsidRPr="00134165" w:rsidRDefault="001829F5" w:rsidP="00F25FC4">
      <w:pPr>
        <w:pStyle w:val="ListParagraph"/>
        <w:widowControl w:val="0"/>
        <w:numPr>
          <w:ilvl w:val="0"/>
          <w:numId w:val="1"/>
        </w:numPr>
        <w:autoSpaceDE w:val="0"/>
        <w:autoSpaceDN w:val="0"/>
        <w:adjustRightInd w:val="0"/>
        <w:rPr>
          <w:sz w:val="22"/>
          <w:szCs w:val="22"/>
        </w:rPr>
      </w:pPr>
      <w:proofErr w:type="gramStart"/>
      <w:r>
        <w:rPr>
          <w:b/>
          <w:bCs/>
          <w:sz w:val="22"/>
          <w:szCs w:val="22"/>
        </w:rPr>
        <w:t xml:space="preserve">Kean_2021_Figure_S6.pdf </w:t>
      </w:r>
      <w:r>
        <w:rPr>
          <w:sz w:val="22"/>
          <w:szCs w:val="22"/>
        </w:rPr>
        <w:t xml:space="preserve"> -</w:t>
      </w:r>
      <w:proofErr w:type="gramEnd"/>
      <w:r>
        <w:rPr>
          <w:sz w:val="22"/>
          <w:szCs w:val="22"/>
        </w:rPr>
        <w:t xml:space="preserve"> Figure S6, </w:t>
      </w:r>
      <w:r w:rsidRPr="008F2FB5">
        <w:rPr>
          <w:sz w:val="20"/>
          <w:szCs w:val="20"/>
        </w:rPr>
        <w:t>Example LC-MS traces of bile acids.</w:t>
      </w:r>
    </w:p>
    <w:p w14:paraId="28EBD795" w14:textId="77777777" w:rsidR="00F25FC4" w:rsidRDefault="00F25FC4"/>
    <w:sectPr w:rsidR="00F25FC4" w:rsidSect="00AB49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54F7E"/>
    <w:multiLevelType w:val="hybridMultilevel"/>
    <w:tmpl w:val="B9DEE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25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C4"/>
    <w:rsid w:val="00155F0F"/>
    <w:rsid w:val="001829F5"/>
    <w:rsid w:val="00AB49AB"/>
    <w:rsid w:val="00C14860"/>
    <w:rsid w:val="00F25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6752A3"/>
  <w15:chartTrackingRefBased/>
  <w15:docId w15:val="{BE566A61-C2C2-2248-B917-44ED7A54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FC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Kean</dc:creator>
  <cp:keywords/>
  <dc:description/>
  <cp:lastModifiedBy>Iain Kean</cp:lastModifiedBy>
  <cp:revision>2</cp:revision>
  <dcterms:created xsi:type="dcterms:W3CDTF">2022-03-30T12:18:00Z</dcterms:created>
  <dcterms:modified xsi:type="dcterms:W3CDTF">2022-05-19T21:00:00Z</dcterms:modified>
</cp:coreProperties>
</file>