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autoSpaceDE w:val="0"/>
        <w:spacing w:before="312" w:beforeLines="100" w:after="312" w:afterLines="10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S</w:t>
      </w:r>
      <w:r>
        <w:rPr>
          <w:rFonts w:ascii="Times New Roman" w:hAnsi="Times New Roman" w:cs="Times New Roman"/>
          <w:b/>
          <w:bCs/>
          <w:sz w:val="24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figures and </w:t>
      </w:r>
      <w:r>
        <w:rPr>
          <w:rFonts w:ascii="Times New Roman" w:hAnsi="Times New Roman" w:cs="Times New Roman"/>
          <w:b/>
          <w:bCs/>
          <w:sz w:val="24"/>
        </w:rPr>
        <w:t>tables legends</w:t>
      </w:r>
    </w:p>
    <w:p>
      <w:pPr>
        <w:spacing w:before="312" w:beforeLines="100" w:after="312" w:afterLines="100" w:line="400" w:lineRule="atLeast"/>
        <w:rPr>
          <w:rFonts w:hint="eastAsia" w:ascii="Times New Roman" w:hAnsi="Times New Roman" w:eastAsiaTheme="minorEastAsia"/>
          <w:b/>
          <w:bCs/>
          <w:sz w:val="24"/>
          <w:lang w:val="en-US" w:eastAsia="zh-CN"/>
        </w:rPr>
      </w:pPr>
      <w:r>
        <w:rPr>
          <w:rFonts w:hint="eastAsia" w:ascii="Times New Roman" w:hAnsi="Times New Roman" w:cstheme="minorBidi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Survival analysis of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in pan-cancer from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the </w:t>
      </w:r>
      <w:r>
        <w:rPr>
          <w:rFonts w:ascii="Times New Roman" w:hAnsi="Times New Roman"/>
          <w:b/>
          <w:bCs/>
          <w:sz w:val="24"/>
        </w:rPr>
        <w:t>TCGA database.</w:t>
      </w:r>
      <w:r>
        <w:rPr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Forest plot displaying the impact of high expression of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on DFI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</w:rPr>
        <w:t>(A) and PFI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(B) in pan-cancer using Cox regression model; Kaplan-Meier Method showed the prognostic value of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on DSS(C-I), DFI(J-M), and PFI(N-Q) in pan-cancer.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The cut-off points are 56.67% (DSS in CESC), 72.64% (DSS in KIRC), 69.39% (DSS in GBM), 87.50% (DSS in KICH), 74.05% (DSS in LGG), 28.81% (DSS in THYM), 22.99% (</w:t>
      </w:r>
      <w:r>
        <w:rPr>
          <w:rFonts w:ascii="Times New Roman" w:hAnsi="Times New Roman"/>
          <w:b/>
          <w:bCs/>
          <w:sz w:val="24"/>
        </w:rPr>
        <w:t>DFI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CESC), 25.00% (</w:t>
      </w:r>
      <w:r>
        <w:rPr>
          <w:rFonts w:ascii="Times New Roman" w:hAnsi="Times New Roman"/>
          <w:b/>
          <w:bCs/>
          <w:sz w:val="24"/>
        </w:rPr>
        <w:t>DFI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CHOL), 12.97% (</w:t>
      </w:r>
      <w:r>
        <w:rPr>
          <w:rFonts w:ascii="Times New Roman" w:hAnsi="Times New Roman"/>
          <w:b/>
          <w:bCs/>
          <w:sz w:val="24"/>
        </w:rPr>
        <w:t>DFI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LIHC), 33.49% (</w:t>
      </w:r>
      <w:r>
        <w:rPr>
          <w:rFonts w:ascii="Times New Roman" w:hAnsi="Times New Roman"/>
          <w:b/>
          <w:bCs/>
          <w:sz w:val="24"/>
        </w:rPr>
        <w:t>DFI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STAD), 66.25% (P</w:t>
      </w:r>
      <w:r>
        <w:rPr>
          <w:rFonts w:ascii="Times New Roman" w:hAnsi="Times New Roman"/>
          <w:b/>
          <w:bCs/>
          <w:sz w:val="24"/>
        </w:rPr>
        <w:t>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GBM), 80.68% (P</w:t>
      </w:r>
      <w:r>
        <w:rPr>
          <w:rFonts w:ascii="Times New Roman" w:hAnsi="Times New Roman"/>
          <w:b/>
          <w:bCs/>
          <w:sz w:val="24"/>
        </w:rPr>
        <w:t>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KIRC), 36.54% (P</w:t>
      </w:r>
      <w:r>
        <w:rPr>
          <w:rFonts w:ascii="Times New Roman" w:hAnsi="Times New Roman"/>
          <w:b/>
          <w:bCs/>
          <w:sz w:val="24"/>
        </w:rPr>
        <w:t>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LGG), 37.98% (P</w:t>
      </w:r>
      <w:r>
        <w:rPr>
          <w:rFonts w:ascii="Times New Roman" w:hAnsi="Times New Roman"/>
          <w:b/>
          <w:bCs/>
          <w:sz w:val="24"/>
        </w:rPr>
        <w:t>FI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in PRAD).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*p&lt; 0.05,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**p &lt; 0.01,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***p &lt; 0.001.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ACC: Adrenocortical carcinoma; BRCA: Breast invasive carcinoma; CESC: Cervical squamous cell carcinoma and endocervical adenocarcinoma; CHOL: Cholangiocarcinoma; COAD: Colon adenocarcinoma; ESCA: Esophageal carcinoma; GBM: Glioblastoma; HNSCC: Head and neck squamous cell carcinomas; KICH: Kidney chromophobe; KIRC: Kidney renal clear cell carcinoma; KIRP: Kidney renal papillary cell carcinoma;  LAML: Acute myeloid leukemia; LGG: Low grade glioma; LIHC: Liver hepatocellular carcinoma; LUSC: Lung squamous cell carcinoma; OV: Ovarian Cancer; PAAD: Pancreatic adenocarcinoma; PCPG: Pheochromocytoma, and paraganglioma; PRAD: Prostate adenocarcinoma; READ: Rectum adenocarcinoma; SARC: Sarcoma; SKCM: Skin cutaneous melanoma; STAD: Stomach adenocarcinoma; TGCT: Testicular germ cell tumors; THCA: Thyroid carcinoma; THYM: Thymoma; ; UCS: Uterine carcinosarcoma; UVM: Uveal melanoma.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 w:cstheme="minorBidi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Correlation of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expression with immune infiltration level based on CIBERSORT in pan-cancer</w:t>
      </w:r>
      <w:r>
        <w:rPr>
          <w:rFonts w:hint="eastAsia" w:ascii="Times New Roman" w:hAnsi="Times New Roman"/>
          <w:b/>
          <w:bCs/>
          <w:sz w:val="24"/>
        </w:rPr>
        <w:t>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3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The correlation between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with the stromal score in pan-cancer</w:t>
      </w:r>
      <w:r>
        <w:rPr>
          <w:rFonts w:hint="eastAsia" w:ascii="Times New Roman" w:hAnsi="Times New Roman"/>
          <w:b/>
          <w:bCs/>
          <w:sz w:val="24"/>
        </w:rPr>
        <w:t>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default" w:ascii="Times New Roman" w:hAnsi="Times New Roman" w:cstheme="minorBidi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4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The correlation between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with the immune score in pan-cancer</w:t>
      </w:r>
      <w:r>
        <w:rPr>
          <w:rFonts w:hint="eastAsia" w:ascii="Times New Roman" w:hAnsi="Times New Roman"/>
          <w:b/>
          <w:bCs/>
          <w:sz w:val="24"/>
        </w:rPr>
        <w:t>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default" w:ascii="Times New Roman" w:hAnsi="Times New Roman" w:cstheme="minorBidi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5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The correlation between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with estimate score in pan-cancer</w:t>
      </w:r>
      <w:r>
        <w:rPr>
          <w:rFonts w:hint="eastAsia" w:ascii="Times New Roman" w:hAnsi="Times New Roman"/>
          <w:b/>
          <w:bCs/>
          <w:sz w:val="24"/>
        </w:rPr>
        <w:t>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6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The prognostic value of combination of </w:t>
      </w:r>
      <w:r>
        <w:rPr>
          <w:rFonts w:hint="eastAsia" w:ascii="Times New Roman" w:hAnsi="Times New Roman"/>
          <w:b/>
          <w:bCs/>
          <w:i/>
          <w:iCs/>
          <w:sz w:val="24"/>
          <w:lang w:val="en-US" w:eastAsia="zh-CN"/>
        </w:rPr>
        <w:t>CD68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expression and </w:t>
      </w:r>
      <w:r>
        <w:rPr>
          <w:rFonts w:hint="default" w:ascii="Times New Roman" w:hAnsi="Times New Roman"/>
          <w:b/>
          <w:bCs/>
          <w:sz w:val="24"/>
          <w:lang w:val="en-US" w:eastAsia="zh-CN"/>
        </w:rPr>
        <w:t>MMR markers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 xml:space="preserve"> (A) and</w:t>
      </w:r>
      <w:r>
        <w:rPr>
          <w:rFonts w:hint="default" w:ascii="Times New Roman" w:hAnsi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PD-1 (B).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  <w:lang w:val="en-US" w:eastAsia="zh-CN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hint="eastAsia" w:ascii="Times New Roman" w:hAnsi="Times New Roman"/>
          <w:b/>
          <w:bCs/>
          <w:sz w:val="24"/>
        </w:rPr>
        <w:t xml:space="preserve">Figure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7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The correlation between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 xml:space="preserve"> expression and predicted drug response based on CellMiner in pan-cancer. </w:t>
      </w:r>
      <w:r>
        <w:rPr>
          <w:rFonts w:hint="eastAsia" w:ascii="Times New Roman" w:hAnsi="Times New Roman"/>
          <w:b/>
          <w:bCs/>
          <w:sz w:val="24"/>
        </w:rPr>
        <w:t>*p&lt; 0.05,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**p &lt; 0.01,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>***p &lt; 0.001.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ascii="Times New Roman" w:hAnsi="Times New Roman"/>
          <w:b/>
          <w:bCs/>
          <w:sz w:val="24"/>
        </w:rPr>
        <w:t>Table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 xml:space="preserve">Relationship between neoantigen counts and </w:t>
      </w:r>
      <w:r>
        <w:rPr>
          <w:rFonts w:hint="eastAsia" w:ascii="Times New Roman" w:hAnsi="Times New Roman"/>
          <w:b/>
          <w:bCs/>
          <w:i/>
          <w:iCs/>
          <w:sz w:val="24"/>
        </w:rPr>
        <w:t>CD68</w:t>
      </w:r>
      <w:r>
        <w:rPr>
          <w:rFonts w:hint="eastAsia" w:ascii="Times New Roman" w:hAnsi="Times New Roman"/>
          <w:b/>
          <w:bCs/>
          <w:sz w:val="24"/>
        </w:rPr>
        <w:t xml:space="preserve"> expression in pan-cancer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ascii="Times New Roman" w:hAnsi="Times New Roman"/>
          <w:b/>
          <w:bCs/>
          <w:sz w:val="24"/>
        </w:rPr>
        <w:t>Table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2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 xml:space="preserve">Top 5 pathways based on </w:t>
      </w:r>
      <w:r>
        <w:rPr>
          <w:rFonts w:ascii="Times New Roman" w:hAnsi="Times New Roman"/>
          <w:b/>
          <w:bCs/>
          <w:sz w:val="24"/>
        </w:rPr>
        <w:t xml:space="preserve">GSEA of KEGG and HALLMARK terms </w:t>
      </w:r>
      <w:r>
        <w:rPr>
          <w:rFonts w:hint="eastAsia" w:ascii="Times New Roman" w:hAnsi="Times New Roman"/>
          <w:b/>
          <w:bCs/>
          <w:sz w:val="24"/>
        </w:rPr>
        <w:t>of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</w:rPr>
        <w:t>CD68</w:t>
      </w:r>
      <w:r>
        <w:rPr>
          <w:rFonts w:ascii="Times New Roman" w:hAnsi="Times New Roman"/>
          <w:b/>
          <w:bCs/>
          <w:sz w:val="24"/>
        </w:rPr>
        <w:t>.</w:t>
      </w:r>
    </w:p>
    <w:p>
      <w:pPr>
        <w:autoSpaceDE w:val="0"/>
        <w:jc w:val="left"/>
        <w:rPr>
          <w:rFonts w:ascii="Times New Roman" w:hAnsi="Times New Roman"/>
          <w:b/>
          <w:bCs/>
          <w:sz w:val="24"/>
        </w:rPr>
      </w:pP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</w:t>
      </w:r>
      <w:r>
        <w:rPr>
          <w:rFonts w:ascii="Times New Roman" w:hAnsi="Times New Roman"/>
          <w:b/>
          <w:bCs/>
          <w:sz w:val="24"/>
        </w:rPr>
        <w:t>Table</w:t>
      </w:r>
      <w:r>
        <w:rPr>
          <w:rFonts w:hint="eastAsia"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3</w:t>
      </w:r>
      <w:r>
        <w:rPr>
          <w:rFonts w:hint="eastAsia"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hint="eastAsia" w:ascii="Times New Roman" w:hAnsi="Times New Roman"/>
          <w:b/>
          <w:bCs/>
          <w:sz w:val="24"/>
        </w:rPr>
        <w:t xml:space="preserve">Top 20 predicted drugs’response correlated with </w:t>
      </w:r>
      <w:r>
        <w:rPr>
          <w:rFonts w:hint="eastAsia" w:ascii="Times New Roman" w:hAnsi="Times New Roman"/>
          <w:b/>
          <w:bCs/>
          <w:i/>
          <w:iCs/>
          <w:sz w:val="24"/>
        </w:rPr>
        <w:t>CD68</w:t>
      </w:r>
      <w:r>
        <w:rPr>
          <w:rFonts w:hint="eastAsia" w:ascii="Times New Roman" w:hAnsi="Times New Roman"/>
          <w:b/>
          <w:bCs/>
          <w:sz w:val="24"/>
        </w:rPr>
        <w:t xml:space="preserve"> expression from the CTRP database</w:t>
      </w:r>
    </w:p>
    <w:p>
      <w:pPr>
        <w:autoSpaceDE w:val="0"/>
        <w:jc w:val="left"/>
        <w:rPr>
          <w:rFonts w:hint="eastAsia" w:ascii="Times New Roman" w:hAnsi="Times New Roman"/>
          <w:b/>
          <w:bCs/>
          <w:sz w:val="24"/>
        </w:rPr>
      </w:pPr>
    </w:p>
    <w:p>
      <w:pPr>
        <w:autoSpaceDE w:val="0"/>
        <w:spacing w:before="312" w:beforeLines="100" w:after="312" w:afterLines="100"/>
        <w:rPr>
          <w:rFonts w:hint="eastAsia" w:ascii="Times New Roman" w:hAnsi="Times New Roman" w:cs="Times New Roman"/>
          <w:b/>
          <w:bCs/>
          <w:snapToGrid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 Table 4. Top 20 predicted drugs’response correlated with </w:t>
      </w:r>
      <w:bookmarkStart w:id="0" w:name="_GoBack"/>
      <w:r>
        <w:rPr>
          <w:rFonts w:hint="eastAsia" w:ascii="Times New Roman" w:hAnsi="Times New Roman" w:cs="Times New Roman"/>
          <w:b/>
          <w:bCs/>
          <w:i/>
          <w:iCs/>
          <w:sz w:val="24"/>
          <w:lang w:val="en-US" w:eastAsia="zh-CN"/>
        </w:rPr>
        <w:t>CD68</w:t>
      </w:r>
      <w:bookmarkEnd w:id="0"/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 expression from the GDSC database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za0wr59fetsasewxe85e5a5t500refpteax&quot;&gt;Macrophage Polarization-Related Gene Signature for Risk Stratification and Prognosis of Survival in Glioma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/record-ids&gt;&lt;/item&gt;&lt;/Libraries&gt;"/>
  </w:docVars>
  <w:rsids>
    <w:rsidRoot w:val="00AB1F31"/>
    <w:rsid w:val="00031A4D"/>
    <w:rsid w:val="00034D6B"/>
    <w:rsid w:val="00037629"/>
    <w:rsid w:val="0007212E"/>
    <w:rsid w:val="00083522"/>
    <w:rsid w:val="00090B90"/>
    <w:rsid w:val="00095A93"/>
    <w:rsid w:val="000A64E3"/>
    <w:rsid w:val="000C5685"/>
    <w:rsid w:val="000F6AD5"/>
    <w:rsid w:val="00124706"/>
    <w:rsid w:val="00125A3D"/>
    <w:rsid w:val="001352B7"/>
    <w:rsid w:val="00136A6F"/>
    <w:rsid w:val="00136D6E"/>
    <w:rsid w:val="0014238C"/>
    <w:rsid w:val="001452D9"/>
    <w:rsid w:val="00146225"/>
    <w:rsid w:val="00173CD0"/>
    <w:rsid w:val="00196F6B"/>
    <w:rsid w:val="001A10E7"/>
    <w:rsid w:val="001A4BE0"/>
    <w:rsid w:val="001D3957"/>
    <w:rsid w:val="001D5C3F"/>
    <w:rsid w:val="001E1D8E"/>
    <w:rsid w:val="001F0ECD"/>
    <w:rsid w:val="001F62B9"/>
    <w:rsid w:val="002064B8"/>
    <w:rsid w:val="00225703"/>
    <w:rsid w:val="00231ADA"/>
    <w:rsid w:val="0023247D"/>
    <w:rsid w:val="00246361"/>
    <w:rsid w:val="002715D0"/>
    <w:rsid w:val="00293116"/>
    <w:rsid w:val="002B7F9F"/>
    <w:rsid w:val="002E45B3"/>
    <w:rsid w:val="002F211C"/>
    <w:rsid w:val="0035492D"/>
    <w:rsid w:val="00362711"/>
    <w:rsid w:val="00397017"/>
    <w:rsid w:val="00397927"/>
    <w:rsid w:val="003A21C4"/>
    <w:rsid w:val="003E0D9A"/>
    <w:rsid w:val="00413055"/>
    <w:rsid w:val="00445940"/>
    <w:rsid w:val="0044596D"/>
    <w:rsid w:val="00446372"/>
    <w:rsid w:val="00465861"/>
    <w:rsid w:val="00471C81"/>
    <w:rsid w:val="0049010D"/>
    <w:rsid w:val="0049527D"/>
    <w:rsid w:val="004F1D05"/>
    <w:rsid w:val="00503976"/>
    <w:rsid w:val="00510E5A"/>
    <w:rsid w:val="005325C6"/>
    <w:rsid w:val="00535CAC"/>
    <w:rsid w:val="0057474F"/>
    <w:rsid w:val="00581207"/>
    <w:rsid w:val="00584457"/>
    <w:rsid w:val="00594551"/>
    <w:rsid w:val="005C7F40"/>
    <w:rsid w:val="005D122F"/>
    <w:rsid w:val="005E3150"/>
    <w:rsid w:val="005E768C"/>
    <w:rsid w:val="00601B1C"/>
    <w:rsid w:val="00607677"/>
    <w:rsid w:val="00612D13"/>
    <w:rsid w:val="006306F2"/>
    <w:rsid w:val="00662DAB"/>
    <w:rsid w:val="00670995"/>
    <w:rsid w:val="00691886"/>
    <w:rsid w:val="00693A24"/>
    <w:rsid w:val="006D6B08"/>
    <w:rsid w:val="006E0F3D"/>
    <w:rsid w:val="006F4973"/>
    <w:rsid w:val="00731649"/>
    <w:rsid w:val="00752EA6"/>
    <w:rsid w:val="007B4C73"/>
    <w:rsid w:val="007E0BA0"/>
    <w:rsid w:val="007F273C"/>
    <w:rsid w:val="008044BB"/>
    <w:rsid w:val="008073CA"/>
    <w:rsid w:val="008213D7"/>
    <w:rsid w:val="00830867"/>
    <w:rsid w:val="00840A37"/>
    <w:rsid w:val="00856892"/>
    <w:rsid w:val="00861BA1"/>
    <w:rsid w:val="00881480"/>
    <w:rsid w:val="008A01C3"/>
    <w:rsid w:val="008B3661"/>
    <w:rsid w:val="008F542E"/>
    <w:rsid w:val="00913ECA"/>
    <w:rsid w:val="0091548F"/>
    <w:rsid w:val="009252FD"/>
    <w:rsid w:val="00943614"/>
    <w:rsid w:val="009451B8"/>
    <w:rsid w:val="00960B59"/>
    <w:rsid w:val="00963C90"/>
    <w:rsid w:val="009C23A7"/>
    <w:rsid w:val="009D23CA"/>
    <w:rsid w:val="00A43214"/>
    <w:rsid w:val="00AB1F31"/>
    <w:rsid w:val="00AB7D9B"/>
    <w:rsid w:val="00AC56F0"/>
    <w:rsid w:val="00B02E31"/>
    <w:rsid w:val="00B16E43"/>
    <w:rsid w:val="00B32CDB"/>
    <w:rsid w:val="00B54C10"/>
    <w:rsid w:val="00B74C1C"/>
    <w:rsid w:val="00B84FDE"/>
    <w:rsid w:val="00B85EDC"/>
    <w:rsid w:val="00BA03FA"/>
    <w:rsid w:val="00BA3F2D"/>
    <w:rsid w:val="00BB5994"/>
    <w:rsid w:val="00BB624B"/>
    <w:rsid w:val="00BC3185"/>
    <w:rsid w:val="00BD58E9"/>
    <w:rsid w:val="00BD5BA2"/>
    <w:rsid w:val="00BD6D87"/>
    <w:rsid w:val="00C11618"/>
    <w:rsid w:val="00C1448B"/>
    <w:rsid w:val="00C33B76"/>
    <w:rsid w:val="00C36A50"/>
    <w:rsid w:val="00C56F0A"/>
    <w:rsid w:val="00C71CFE"/>
    <w:rsid w:val="00C74403"/>
    <w:rsid w:val="00CA4E02"/>
    <w:rsid w:val="00CF1AC3"/>
    <w:rsid w:val="00CF545C"/>
    <w:rsid w:val="00D05079"/>
    <w:rsid w:val="00D23542"/>
    <w:rsid w:val="00D25B8E"/>
    <w:rsid w:val="00D342E8"/>
    <w:rsid w:val="00D81EAD"/>
    <w:rsid w:val="00D94CBD"/>
    <w:rsid w:val="00DA0B7B"/>
    <w:rsid w:val="00DB1805"/>
    <w:rsid w:val="00DC0B87"/>
    <w:rsid w:val="00DC147C"/>
    <w:rsid w:val="00DF5A76"/>
    <w:rsid w:val="00E274AB"/>
    <w:rsid w:val="00E463EC"/>
    <w:rsid w:val="00E57E30"/>
    <w:rsid w:val="00E8645F"/>
    <w:rsid w:val="00E917A2"/>
    <w:rsid w:val="00E94EDA"/>
    <w:rsid w:val="00ED2E2B"/>
    <w:rsid w:val="00ED4DE8"/>
    <w:rsid w:val="00EF4953"/>
    <w:rsid w:val="00F16197"/>
    <w:rsid w:val="00F25BF4"/>
    <w:rsid w:val="00F316EA"/>
    <w:rsid w:val="00F47F45"/>
    <w:rsid w:val="00FB056A"/>
    <w:rsid w:val="00FB0677"/>
    <w:rsid w:val="00FD418A"/>
    <w:rsid w:val="03D3721A"/>
    <w:rsid w:val="05747405"/>
    <w:rsid w:val="06093C4F"/>
    <w:rsid w:val="06A3424F"/>
    <w:rsid w:val="0A57167B"/>
    <w:rsid w:val="15890A3A"/>
    <w:rsid w:val="166C0266"/>
    <w:rsid w:val="16DC163B"/>
    <w:rsid w:val="1DE71A3B"/>
    <w:rsid w:val="21C24973"/>
    <w:rsid w:val="242C16FD"/>
    <w:rsid w:val="253C410C"/>
    <w:rsid w:val="28667780"/>
    <w:rsid w:val="29C77594"/>
    <w:rsid w:val="2B266C10"/>
    <w:rsid w:val="2DD64A3A"/>
    <w:rsid w:val="34BD7C6E"/>
    <w:rsid w:val="34CC6D1C"/>
    <w:rsid w:val="3A395B50"/>
    <w:rsid w:val="3E5A35A0"/>
    <w:rsid w:val="3F8E0E32"/>
    <w:rsid w:val="408558EB"/>
    <w:rsid w:val="41EF1B02"/>
    <w:rsid w:val="440A4627"/>
    <w:rsid w:val="4F49421B"/>
    <w:rsid w:val="514D2A58"/>
    <w:rsid w:val="56F16CB7"/>
    <w:rsid w:val="5ADF17A4"/>
    <w:rsid w:val="5DD91CFF"/>
    <w:rsid w:val="5FE84B28"/>
    <w:rsid w:val="67424F39"/>
    <w:rsid w:val="6D09386C"/>
    <w:rsid w:val="6F8F4FCD"/>
    <w:rsid w:val="7179314E"/>
    <w:rsid w:val="71D069FC"/>
    <w:rsid w:val="74AC69B2"/>
    <w:rsid w:val="764B05C3"/>
    <w:rsid w:val="78EE7B54"/>
    <w:rsid w:val="7A1C72C0"/>
    <w:rsid w:val="7FB5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9"/>
    <w:qFormat/>
    <w:uiPriority w:val="0"/>
    <w:rPr>
      <w:b/>
      <w:bCs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EndNote Bibliography Title"/>
    <w:basedOn w:val="1"/>
    <w:link w:val="11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11">
    <w:name w:val="EndNote Bibliography Title 字符"/>
    <w:basedOn w:val="7"/>
    <w:link w:val="10"/>
    <w:qFormat/>
    <w:uiPriority w:val="0"/>
    <w:rPr>
      <w:rFonts w:ascii="Calibri" w:hAnsi="Calibri" w:cs="Calibri"/>
      <w:kern w:val="2"/>
      <w:szCs w:val="24"/>
    </w:rPr>
  </w:style>
  <w:style w:type="paragraph" w:customStyle="1" w:styleId="12">
    <w:name w:val="EndNote Bibliography"/>
    <w:basedOn w:val="1"/>
    <w:link w:val="13"/>
    <w:qFormat/>
    <w:uiPriority w:val="0"/>
    <w:pPr>
      <w:jc w:val="left"/>
    </w:pPr>
    <w:rPr>
      <w:rFonts w:ascii="Calibri" w:hAnsi="Calibri" w:cs="Calibri"/>
      <w:sz w:val="20"/>
    </w:rPr>
  </w:style>
  <w:style w:type="character" w:customStyle="1" w:styleId="13">
    <w:name w:val="EndNote Bibliography 字符"/>
    <w:basedOn w:val="7"/>
    <w:link w:val="12"/>
    <w:qFormat/>
    <w:uiPriority w:val="0"/>
    <w:rPr>
      <w:rFonts w:ascii="Calibri" w:hAnsi="Calibri" w:cs="Calibri"/>
      <w:kern w:val="2"/>
      <w:szCs w:val="24"/>
    </w:r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15"/>
    <w:basedOn w:val="7"/>
    <w:qFormat/>
    <w:uiPriority w:val="0"/>
    <w:rPr>
      <w:rFonts w:hint="default" w:ascii="Calibri" w:hAnsi="Calibri" w:cs="Calibri"/>
      <w:color w:val="0000FF"/>
      <w:u w:val="single"/>
    </w:rPr>
  </w:style>
  <w:style w:type="character" w:customStyle="1" w:styleId="16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8">
    <w:name w:val="批注文字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5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03A30-0B9B-400B-A63C-1247C2842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5370</Words>
  <Characters>30614</Characters>
  <Lines>255</Lines>
  <Paragraphs>71</Paragraphs>
  <TotalTime>2</TotalTime>
  <ScaleCrop>false</ScaleCrop>
  <LinksUpToDate>false</LinksUpToDate>
  <CharactersWithSpaces>35913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2021-07-03T04:17:00Z</dcterms:created>
  <dc:creator>zjw</dc:creator>
  <cp:lastModifiedBy>Eason zh</cp:lastModifiedBy>
  <dcterms:modified xsi:type="dcterms:W3CDTF">2021-11-03T02:47:13Z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0236327BE0EB487DA8B4A091073273AF</vt:lpwstr>
  </property>
  <property fmtid="{D5CDD505-2E9C-101B-9397-08002B2CF9AE}" pid="3" name="KSOProductBuildVer">
    <vt:lpwstr>2052-11.1.0.11045</vt:lpwstr>
  </property>
</Properties>
</file>