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AF7C62" w14:textId="77777777" w:rsidR="000A0FA4" w:rsidRPr="00A654CF" w:rsidRDefault="000A0FA4" w:rsidP="00042739">
      <w:pPr>
        <w:pStyle w:val="Heading1"/>
        <w:rPr>
          <w:lang w:val="en-US"/>
        </w:rPr>
      </w:pPr>
    </w:p>
    <w:p w14:paraId="44056A84" w14:textId="77777777" w:rsidR="000A0FA4" w:rsidRPr="00A654CF" w:rsidRDefault="000A0FA4" w:rsidP="000A0FA4">
      <w:pPr>
        <w:spacing w:line="276" w:lineRule="auto"/>
        <w:ind w:firstLine="0"/>
        <w:jc w:val="center"/>
        <w:rPr>
          <w:rFonts w:asciiTheme="majorHAnsi" w:hAnsiTheme="majorHAnsi" w:cstheme="majorHAnsi"/>
          <w:b/>
          <w:sz w:val="36"/>
          <w:szCs w:val="36"/>
          <w:lang w:val="en-US"/>
        </w:rPr>
      </w:pPr>
    </w:p>
    <w:p w14:paraId="4D1D2105" w14:textId="77777777" w:rsidR="000A0FA4" w:rsidRPr="00A654CF" w:rsidRDefault="000A0FA4" w:rsidP="000A0FA4">
      <w:pPr>
        <w:spacing w:line="276" w:lineRule="auto"/>
        <w:ind w:firstLine="0"/>
        <w:jc w:val="center"/>
        <w:rPr>
          <w:rFonts w:asciiTheme="majorHAnsi" w:hAnsiTheme="majorHAnsi" w:cstheme="majorHAnsi"/>
          <w:b/>
          <w:sz w:val="36"/>
          <w:szCs w:val="36"/>
          <w:lang w:val="en-US"/>
        </w:rPr>
      </w:pPr>
    </w:p>
    <w:p w14:paraId="1F5084FB" w14:textId="77777777" w:rsidR="000A0FA4" w:rsidRPr="00A654CF" w:rsidRDefault="000A0FA4" w:rsidP="000A0FA4">
      <w:pPr>
        <w:spacing w:line="276" w:lineRule="auto"/>
        <w:ind w:firstLine="0"/>
        <w:jc w:val="center"/>
        <w:rPr>
          <w:rFonts w:asciiTheme="majorHAnsi" w:hAnsiTheme="majorHAnsi" w:cstheme="majorHAnsi"/>
          <w:b/>
          <w:sz w:val="36"/>
          <w:szCs w:val="36"/>
          <w:lang w:val="en-US"/>
        </w:rPr>
      </w:pPr>
    </w:p>
    <w:p w14:paraId="7CF51FA4" w14:textId="77777777" w:rsidR="000A0FA4" w:rsidRPr="00A654CF" w:rsidRDefault="000A0FA4" w:rsidP="000A0FA4">
      <w:pPr>
        <w:spacing w:line="276" w:lineRule="auto"/>
        <w:ind w:firstLine="0"/>
        <w:jc w:val="center"/>
        <w:rPr>
          <w:rFonts w:asciiTheme="majorHAnsi" w:hAnsiTheme="majorHAnsi" w:cstheme="majorHAnsi"/>
          <w:b/>
          <w:sz w:val="36"/>
          <w:szCs w:val="36"/>
          <w:lang w:val="en-US"/>
        </w:rPr>
      </w:pPr>
    </w:p>
    <w:p w14:paraId="42B074BF" w14:textId="77777777" w:rsidR="000A0FA4" w:rsidRPr="00A654CF" w:rsidRDefault="000A0FA4" w:rsidP="000A0FA4">
      <w:pPr>
        <w:spacing w:line="276" w:lineRule="auto"/>
        <w:ind w:firstLine="0"/>
        <w:jc w:val="center"/>
        <w:rPr>
          <w:rFonts w:asciiTheme="majorHAnsi" w:hAnsiTheme="majorHAnsi" w:cstheme="majorHAnsi"/>
          <w:b/>
          <w:sz w:val="36"/>
          <w:szCs w:val="36"/>
          <w:lang w:val="en-US"/>
        </w:rPr>
      </w:pPr>
    </w:p>
    <w:p w14:paraId="4E62B638" w14:textId="77777777" w:rsidR="000A0FA4" w:rsidRPr="00A654CF" w:rsidRDefault="000A0FA4" w:rsidP="000A0FA4">
      <w:pPr>
        <w:spacing w:line="276" w:lineRule="auto"/>
        <w:ind w:firstLine="0"/>
        <w:jc w:val="center"/>
        <w:rPr>
          <w:rFonts w:asciiTheme="majorHAnsi" w:hAnsiTheme="majorHAnsi" w:cstheme="majorHAnsi"/>
          <w:b/>
          <w:sz w:val="36"/>
          <w:szCs w:val="36"/>
          <w:lang w:val="en-US"/>
        </w:rPr>
      </w:pPr>
    </w:p>
    <w:p w14:paraId="4D153D4F" w14:textId="77777777" w:rsidR="000A0FA4" w:rsidRPr="00A654CF" w:rsidRDefault="000A0FA4" w:rsidP="000A0FA4">
      <w:pPr>
        <w:spacing w:line="276" w:lineRule="auto"/>
        <w:ind w:firstLine="0"/>
        <w:jc w:val="center"/>
        <w:rPr>
          <w:rFonts w:asciiTheme="majorHAnsi" w:hAnsiTheme="majorHAnsi" w:cstheme="majorHAnsi"/>
          <w:b/>
          <w:sz w:val="36"/>
          <w:szCs w:val="36"/>
          <w:lang w:val="en-US"/>
        </w:rPr>
      </w:pPr>
    </w:p>
    <w:p w14:paraId="73C80DA3" w14:textId="3BF55045" w:rsidR="000A0FA4" w:rsidRPr="00A654CF" w:rsidRDefault="00CC1CB6" w:rsidP="000A0FA4">
      <w:pPr>
        <w:spacing w:line="276" w:lineRule="auto"/>
        <w:ind w:firstLine="0"/>
        <w:jc w:val="center"/>
        <w:rPr>
          <w:rFonts w:asciiTheme="majorHAnsi" w:hAnsiTheme="majorHAnsi" w:cstheme="majorHAnsi"/>
          <w:b/>
          <w:sz w:val="44"/>
          <w:szCs w:val="44"/>
          <w:lang w:val="en-US"/>
        </w:rPr>
      </w:pPr>
      <w:r w:rsidRPr="00A654CF">
        <w:rPr>
          <w:rFonts w:asciiTheme="majorHAnsi" w:hAnsiTheme="majorHAnsi" w:cstheme="majorHAnsi"/>
          <w:b/>
          <w:sz w:val="44"/>
          <w:szCs w:val="44"/>
          <w:lang w:val="en-US"/>
        </w:rPr>
        <w:t>Electronic Supplementary Materials (ESM)</w:t>
      </w:r>
    </w:p>
    <w:p w14:paraId="0EAF5C3C" w14:textId="42DDDC29" w:rsidR="00CC1CB6" w:rsidRPr="00A654CF" w:rsidRDefault="000A0FA4" w:rsidP="000A0FA4">
      <w:pPr>
        <w:rPr>
          <w:rFonts w:asciiTheme="majorHAnsi" w:hAnsiTheme="majorHAnsi" w:cstheme="majorHAnsi"/>
          <w:b/>
          <w:sz w:val="36"/>
          <w:szCs w:val="36"/>
          <w:lang w:val="en-US"/>
        </w:rPr>
      </w:pPr>
      <w:r w:rsidRPr="00A654CF">
        <w:rPr>
          <w:rFonts w:asciiTheme="majorHAnsi" w:hAnsiTheme="majorHAnsi" w:cstheme="majorHAnsi"/>
          <w:b/>
          <w:sz w:val="36"/>
          <w:szCs w:val="36"/>
          <w:lang w:val="en-US"/>
        </w:rPr>
        <w:br w:type="page"/>
      </w:r>
    </w:p>
    <w:p w14:paraId="5CC00E37" w14:textId="77777777" w:rsidR="0028696C" w:rsidRPr="00A654CF" w:rsidRDefault="00CC1CB6" w:rsidP="000A0FA4">
      <w:pPr>
        <w:spacing w:line="276" w:lineRule="auto"/>
        <w:ind w:firstLine="0"/>
        <w:jc w:val="both"/>
        <w:rPr>
          <w:rFonts w:asciiTheme="majorHAnsi" w:hAnsiTheme="majorHAnsi" w:cstheme="majorHAnsi"/>
          <w:b/>
          <w:sz w:val="28"/>
          <w:szCs w:val="28"/>
          <w:lang w:val="en-US"/>
        </w:rPr>
      </w:pPr>
      <w:r w:rsidRPr="00A654CF">
        <w:rPr>
          <w:rFonts w:asciiTheme="majorHAnsi" w:hAnsiTheme="majorHAnsi" w:cstheme="majorHAnsi"/>
          <w:b/>
          <w:sz w:val="28"/>
          <w:szCs w:val="28"/>
          <w:lang w:val="en-US"/>
        </w:rPr>
        <w:lastRenderedPageBreak/>
        <w:t xml:space="preserve">Conjugated </w:t>
      </w:r>
      <w:r w:rsidR="00AA31BD" w:rsidRPr="00A654CF">
        <w:rPr>
          <w:rFonts w:asciiTheme="majorHAnsi" w:hAnsiTheme="majorHAnsi" w:cstheme="majorHAnsi"/>
          <w:b/>
          <w:sz w:val="28"/>
          <w:szCs w:val="28"/>
          <w:lang w:val="en-US"/>
        </w:rPr>
        <w:t xml:space="preserve">C-6 hydroxylated secondary bile acids </w:t>
      </w:r>
      <w:r w:rsidRPr="00A654CF">
        <w:rPr>
          <w:rFonts w:asciiTheme="majorHAnsi" w:hAnsiTheme="majorHAnsi" w:cstheme="majorHAnsi"/>
          <w:b/>
          <w:sz w:val="28"/>
          <w:szCs w:val="28"/>
          <w:lang w:val="en-US"/>
        </w:rPr>
        <w:t xml:space="preserve">in serum </w:t>
      </w:r>
      <w:r w:rsidR="00AA31BD" w:rsidRPr="00A654CF">
        <w:rPr>
          <w:rFonts w:asciiTheme="majorHAnsi" w:hAnsiTheme="majorHAnsi" w:cstheme="majorHAnsi"/>
          <w:b/>
          <w:sz w:val="28"/>
          <w:szCs w:val="28"/>
          <w:lang w:val="en-US"/>
        </w:rPr>
        <w:t xml:space="preserve">relate to human metabolic health and gut </w:t>
      </w:r>
      <w:r w:rsidR="00AA31BD" w:rsidRPr="00A654CF">
        <w:rPr>
          <w:rFonts w:asciiTheme="majorHAnsi" w:hAnsiTheme="majorHAnsi" w:cstheme="majorHAnsi"/>
          <w:b/>
          <w:i/>
          <w:sz w:val="28"/>
          <w:szCs w:val="28"/>
          <w:lang w:val="en-US"/>
        </w:rPr>
        <w:t>Clostridia</w:t>
      </w:r>
      <w:r w:rsidR="00AA31BD" w:rsidRPr="00A654CF">
        <w:rPr>
          <w:rFonts w:asciiTheme="majorHAnsi" w:hAnsiTheme="majorHAnsi" w:cstheme="majorHAnsi"/>
          <w:b/>
          <w:sz w:val="28"/>
          <w:szCs w:val="28"/>
          <w:lang w:val="en-US"/>
        </w:rPr>
        <w:t xml:space="preserve"> species</w:t>
      </w:r>
    </w:p>
    <w:p w14:paraId="4EEE3251" w14:textId="312B7900" w:rsidR="0028696C" w:rsidRPr="00A654CF" w:rsidRDefault="00AA31BD" w:rsidP="000A0FA4">
      <w:pPr>
        <w:spacing w:after="0" w:line="276" w:lineRule="auto"/>
        <w:ind w:firstLine="0"/>
        <w:jc w:val="both"/>
        <w:rPr>
          <w:rFonts w:asciiTheme="majorHAnsi" w:hAnsiTheme="majorHAnsi" w:cstheme="majorHAnsi"/>
          <w:sz w:val="24"/>
          <w:szCs w:val="24"/>
          <w:lang w:val="en-US"/>
        </w:rPr>
      </w:pPr>
      <w:r w:rsidRPr="00A654CF">
        <w:rPr>
          <w:rFonts w:asciiTheme="majorHAnsi" w:hAnsiTheme="majorHAnsi" w:cstheme="majorHAnsi"/>
          <w:sz w:val="24"/>
          <w:szCs w:val="24"/>
          <w:lang w:val="en-US"/>
        </w:rPr>
        <w:t xml:space="preserve">Anders Ø Petersen </w:t>
      </w:r>
      <w:r w:rsidRPr="00A654CF">
        <w:rPr>
          <w:rFonts w:asciiTheme="majorHAnsi" w:hAnsiTheme="majorHAnsi" w:cstheme="majorHAnsi"/>
          <w:sz w:val="24"/>
          <w:szCs w:val="24"/>
          <w:vertAlign w:val="superscript"/>
          <w:lang w:val="en-US"/>
        </w:rPr>
        <w:t>a,1</w:t>
      </w:r>
      <w:r w:rsidRPr="00A654CF">
        <w:rPr>
          <w:rFonts w:asciiTheme="majorHAnsi" w:hAnsiTheme="majorHAnsi" w:cstheme="majorHAnsi"/>
          <w:sz w:val="24"/>
          <w:szCs w:val="24"/>
          <w:lang w:val="en-US"/>
        </w:rPr>
        <w:t xml:space="preserve">, Hanna Julienne </w:t>
      </w:r>
      <w:r w:rsidRPr="00A654CF">
        <w:rPr>
          <w:rFonts w:asciiTheme="majorHAnsi" w:hAnsiTheme="majorHAnsi" w:cstheme="majorHAnsi"/>
          <w:sz w:val="24"/>
          <w:szCs w:val="24"/>
          <w:vertAlign w:val="superscript"/>
          <w:lang w:val="en-US"/>
        </w:rPr>
        <w:t>b, 1</w:t>
      </w:r>
      <w:r w:rsidRPr="00A654CF">
        <w:rPr>
          <w:rFonts w:asciiTheme="majorHAnsi" w:hAnsiTheme="majorHAnsi" w:cstheme="majorHAnsi"/>
          <w:sz w:val="24"/>
          <w:szCs w:val="24"/>
          <w:lang w:val="en-US"/>
        </w:rPr>
        <w:t xml:space="preserve">, Tuulia Hyötyläinen </w:t>
      </w:r>
      <w:r w:rsidRPr="00A654CF">
        <w:rPr>
          <w:rFonts w:asciiTheme="majorHAnsi" w:hAnsiTheme="majorHAnsi" w:cstheme="majorHAnsi"/>
          <w:sz w:val="24"/>
          <w:szCs w:val="24"/>
          <w:vertAlign w:val="superscript"/>
          <w:lang w:val="en-US"/>
        </w:rPr>
        <w:t>c</w:t>
      </w:r>
      <w:r w:rsidRPr="00A654CF">
        <w:rPr>
          <w:rFonts w:asciiTheme="majorHAnsi" w:hAnsiTheme="majorHAnsi" w:cstheme="majorHAnsi"/>
          <w:sz w:val="24"/>
          <w:szCs w:val="24"/>
          <w:lang w:val="en-US"/>
        </w:rPr>
        <w:t xml:space="preserve">, Partho Sen </w:t>
      </w:r>
      <w:r w:rsidRPr="00A654CF">
        <w:rPr>
          <w:rFonts w:asciiTheme="majorHAnsi" w:hAnsiTheme="majorHAnsi" w:cstheme="majorHAnsi"/>
          <w:sz w:val="24"/>
          <w:szCs w:val="24"/>
          <w:vertAlign w:val="superscript"/>
          <w:lang w:val="en-US"/>
        </w:rPr>
        <w:t>d</w:t>
      </w:r>
      <w:r w:rsidRPr="00A654CF">
        <w:rPr>
          <w:rFonts w:asciiTheme="majorHAnsi" w:hAnsiTheme="majorHAnsi" w:cstheme="majorHAnsi"/>
          <w:sz w:val="24"/>
          <w:szCs w:val="24"/>
          <w:lang w:val="en-US"/>
        </w:rPr>
        <w:t xml:space="preserve">, Yong Fan </w:t>
      </w:r>
      <w:r w:rsidRPr="00A654CF">
        <w:rPr>
          <w:rFonts w:asciiTheme="majorHAnsi" w:hAnsiTheme="majorHAnsi" w:cstheme="majorHAnsi"/>
          <w:sz w:val="24"/>
          <w:szCs w:val="24"/>
          <w:vertAlign w:val="superscript"/>
          <w:lang w:val="en-US"/>
        </w:rPr>
        <w:t>e</w:t>
      </w:r>
      <w:r w:rsidRPr="00A654CF">
        <w:rPr>
          <w:rFonts w:asciiTheme="majorHAnsi" w:hAnsiTheme="majorHAnsi" w:cstheme="majorHAnsi"/>
          <w:sz w:val="24"/>
          <w:szCs w:val="24"/>
          <w:lang w:val="en-US"/>
        </w:rPr>
        <w:t xml:space="preserve">, Helle K Pedersen </w:t>
      </w:r>
      <w:r w:rsidRPr="00A654CF">
        <w:rPr>
          <w:rFonts w:asciiTheme="majorHAnsi" w:hAnsiTheme="majorHAnsi" w:cstheme="majorHAnsi"/>
          <w:sz w:val="24"/>
          <w:szCs w:val="24"/>
          <w:vertAlign w:val="superscript"/>
          <w:lang w:val="en-US"/>
        </w:rPr>
        <w:t>e, f</w:t>
      </w:r>
      <w:r w:rsidRPr="00A654CF">
        <w:rPr>
          <w:rFonts w:asciiTheme="majorHAnsi" w:hAnsiTheme="majorHAnsi" w:cstheme="majorHAnsi"/>
          <w:sz w:val="24"/>
          <w:szCs w:val="24"/>
          <w:lang w:val="en-US"/>
        </w:rPr>
        <w:t xml:space="preserve">, Sirkku Jäntti </w:t>
      </w:r>
      <w:r w:rsidRPr="00A654CF">
        <w:rPr>
          <w:rFonts w:asciiTheme="majorHAnsi" w:hAnsiTheme="majorHAnsi" w:cstheme="majorHAnsi"/>
          <w:sz w:val="24"/>
          <w:szCs w:val="24"/>
          <w:vertAlign w:val="superscript"/>
          <w:lang w:val="en-US"/>
        </w:rPr>
        <w:t>g</w:t>
      </w:r>
      <w:r w:rsidRPr="00A654CF">
        <w:rPr>
          <w:rFonts w:asciiTheme="majorHAnsi" w:hAnsiTheme="majorHAnsi" w:cstheme="majorHAnsi"/>
          <w:sz w:val="24"/>
          <w:szCs w:val="24"/>
          <w:lang w:val="en-US"/>
        </w:rPr>
        <w:t xml:space="preserve">, Tue H Hansen </w:t>
      </w:r>
      <w:r w:rsidRPr="00A654CF">
        <w:rPr>
          <w:rFonts w:asciiTheme="majorHAnsi" w:hAnsiTheme="majorHAnsi" w:cstheme="majorHAnsi"/>
          <w:sz w:val="24"/>
          <w:szCs w:val="24"/>
          <w:vertAlign w:val="superscript"/>
          <w:lang w:val="en-US"/>
        </w:rPr>
        <w:t>e</w:t>
      </w:r>
      <w:r w:rsidRPr="00A654CF">
        <w:rPr>
          <w:rFonts w:asciiTheme="majorHAnsi" w:hAnsiTheme="majorHAnsi" w:cstheme="majorHAnsi"/>
          <w:sz w:val="24"/>
          <w:szCs w:val="24"/>
          <w:lang w:val="en-US"/>
        </w:rPr>
        <w:t xml:space="preserve">, Trine Nielsen </w:t>
      </w:r>
      <w:r w:rsidRPr="00A654CF">
        <w:rPr>
          <w:rFonts w:asciiTheme="majorHAnsi" w:hAnsiTheme="majorHAnsi" w:cstheme="majorHAnsi"/>
          <w:sz w:val="24"/>
          <w:szCs w:val="24"/>
          <w:vertAlign w:val="superscript"/>
          <w:lang w:val="en-US"/>
        </w:rPr>
        <w:t>e</w:t>
      </w:r>
      <w:r w:rsidRPr="00A654CF">
        <w:rPr>
          <w:rFonts w:asciiTheme="majorHAnsi" w:hAnsiTheme="majorHAnsi" w:cstheme="majorHAnsi"/>
          <w:sz w:val="24"/>
          <w:szCs w:val="24"/>
          <w:lang w:val="en-US"/>
        </w:rPr>
        <w:t xml:space="preserve">, Torben Jørgensen </w:t>
      </w:r>
      <w:r w:rsidRPr="00A654CF">
        <w:rPr>
          <w:rFonts w:asciiTheme="majorHAnsi" w:hAnsiTheme="majorHAnsi" w:cstheme="majorHAnsi"/>
          <w:sz w:val="24"/>
          <w:szCs w:val="24"/>
          <w:vertAlign w:val="superscript"/>
          <w:lang w:val="en-US"/>
        </w:rPr>
        <w:t>h</w:t>
      </w:r>
      <w:r w:rsidRPr="00A654CF">
        <w:rPr>
          <w:rFonts w:asciiTheme="majorHAnsi" w:hAnsiTheme="majorHAnsi" w:cstheme="majorHAnsi"/>
          <w:sz w:val="24"/>
          <w:szCs w:val="24"/>
          <w:lang w:val="en-US"/>
        </w:rPr>
        <w:t xml:space="preserve">, Torben Hansen </w:t>
      </w:r>
      <w:r w:rsidRPr="00A654CF">
        <w:rPr>
          <w:rFonts w:asciiTheme="majorHAnsi" w:hAnsiTheme="majorHAnsi" w:cstheme="majorHAnsi"/>
          <w:sz w:val="24"/>
          <w:szCs w:val="24"/>
          <w:vertAlign w:val="superscript"/>
          <w:lang w:val="en-US"/>
        </w:rPr>
        <w:t>e</w:t>
      </w:r>
      <w:r w:rsidRPr="00A654CF">
        <w:rPr>
          <w:rFonts w:asciiTheme="majorHAnsi" w:hAnsiTheme="majorHAnsi" w:cstheme="majorHAnsi"/>
          <w:sz w:val="24"/>
          <w:szCs w:val="24"/>
          <w:lang w:val="en-US"/>
        </w:rPr>
        <w:t>, Pernille</w:t>
      </w:r>
      <w:r w:rsidR="009034AD">
        <w:rPr>
          <w:rFonts w:asciiTheme="majorHAnsi" w:hAnsiTheme="majorHAnsi" w:cstheme="majorHAnsi"/>
          <w:sz w:val="24"/>
          <w:szCs w:val="24"/>
          <w:lang w:val="en-US"/>
        </w:rPr>
        <w:t xml:space="preserve"> </w:t>
      </w:r>
      <w:r w:rsidR="009034AD" w:rsidRPr="009034AD">
        <w:rPr>
          <w:rFonts w:asciiTheme="majorHAnsi" w:hAnsiTheme="majorHAnsi" w:cstheme="majorHAnsi"/>
          <w:sz w:val="24"/>
          <w:szCs w:val="24"/>
          <w:lang w:val="en-US"/>
        </w:rPr>
        <w:t>Neve</w:t>
      </w:r>
      <w:r w:rsidRPr="00A654CF">
        <w:rPr>
          <w:rFonts w:asciiTheme="majorHAnsi" w:hAnsiTheme="majorHAnsi" w:cstheme="majorHAnsi"/>
          <w:sz w:val="24"/>
          <w:szCs w:val="24"/>
          <w:lang w:val="en-US"/>
        </w:rPr>
        <w:t xml:space="preserve"> Myers</w:t>
      </w:r>
      <w:r w:rsidRPr="00A654CF">
        <w:rPr>
          <w:rFonts w:asciiTheme="majorHAnsi" w:hAnsiTheme="majorHAnsi" w:cstheme="majorHAnsi"/>
          <w:sz w:val="24"/>
          <w:szCs w:val="24"/>
          <w:vertAlign w:val="superscript"/>
          <w:lang w:val="en-US"/>
        </w:rPr>
        <w:t>a</w:t>
      </w:r>
      <w:r w:rsidRPr="00A654CF">
        <w:rPr>
          <w:rFonts w:asciiTheme="majorHAnsi" w:hAnsiTheme="majorHAnsi" w:cstheme="majorHAnsi"/>
          <w:sz w:val="24"/>
          <w:szCs w:val="24"/>
          <w:lang w:val="en-US"/>
        </w:rPr>
        <w:t xml:space="preserve">, H. Bjørn Nielsen </w:t>
      </w:r>
      <w:r w:rsidRPr="00A654CF">
        <w:rPr>
          <w:rFonts w:asciiTheme="majorHAnsi" w:hAnsiTheme="majorHAnsi" w:cstheme="majorHAnsi"/>
          <w:sz w:val="24"/>
          <w:szCs w:val="24"/>
          <w:vertAlign w:val="superscript"/>
          <w:lang w:val="en-US"/>
        </w:rPr>
        <w:t>f</w:t>
      </w:r>
      <w:r w:rsidRPr="00A654CF">
        <w:rPr>
          <w:rFonts w:asciiTheme="majorHAnsi" w:hAnsiTheme="majorHAnsi" w:cstheme="majorHAnsi"/>
          <w:sz w:val="24"/>
          <w:szCs w:val="24"/>
          <w:lang w:val="en-US"/>
        </w:rPr>
        <w:t xml:space="preserve">, S. Dusko Ehrlich </w:t>
      </w:r>
      <w:r w:rsidRPr="00A654CF">
        <w:rPr>
          <w:rFonts w:asciiTheme="majorHAnsi" w:hAnsiTheme="majorHAnsi" w:cstheme="majorHAnsi"/>
          <w:sz w:val="24"/>
          <w:szCs w:val="24"/>
          <w:vertAlign w:val="superscript"/>
          <w:lang w:val="en-US"/>
        </w:rPr>
        <w:t>b</w:t>
      </w:r>
      <w:r w:rsidRPr="00A654CF">
        <w:rPr>
          <w:rFonts w:asciiTheme="majorHAnsi" w:hAnsiTheme="majorHAnsi" w:cstheme="majorHAnsi"/>
          <w:sz w:val="24"/>
          <w:szCs w:val="24"/>
          <w:lang w:val="en-US"/>
        </w:rPr>
        <w:t xml:space="preserve">, Matej Orešič </w:t>
      </w:r>
      <w:r w:rsidRPr="00A654CF">
        <w:rPr>
          <w:rFonts w:asciiTheme="majorHAnsi" w:hAnsiTheme="majorHAnsi" w:cstheme="majorHAnsi"/>
          <w:sz w:val="24"/>
          <w:szCs w:val="24"/>
          <w:vertAlign w:val="superscript"/>
          <w:lang w:val="en-US"/>
        </w:rPr>
        <w:t>d, i</w:t>
      </w:r>
      <w:r w:rsidRPr="00A654CF">
        <w:rPr>
          <w:rFonts w:asciiTheme="majorHAnsi" w:hAnsiTheme="majorHAnsi" w:cstheme="majorHAnsi"/>
          <w:sz w:val="24"/>
          <w:szCs w:val="24"/>
          <w:lang w:val="en-US"/>
        </w:rPr>
        <w:t xml:space="preserve">, and Oluf Pedersen </w:t>
      </w:r>
      <w:r w:rsidRPr="00A654CF">
        <w:rPr>
          <w:rFonts w:asciiTheme="majorHAnsi" w:hAnsiTheme="majorHAnsi" w:cstheme="majorHAnsi"/>
          <w:sz w:val="24"/>
          <w:szCs w:val="24"/>
          <w:vertAlign w:val="superscript"/>
          <w:lang w:val="en-US"/>
        </w:rPr>
        <w:t>e, *</w:t>
      </w:r>
    </w:p>
    <w:p w14:paraId="48D96232" w14:textId="77777777" w:rsidR="0028696C" w:rsidRPr="00A654CF" w:rsidRDefault="0028696C" w:rsidP="000A0FA4">
      <w:pPr>
        <w:spacing w:after="0" w:line="276" w:lineRule="auto"/>
        <w:ind w:firstLine="0"/>
        <w:jc w:val="both"/>
        <w:rPr>
          <w:rFonts w:asciiTheme="majorHAnsi" w:hAnsiTheme="majorHAnsi" w:cstheme="majorHAnsi"/>
          <w:sz w:val="24"/>
          <w:szCs w:val="24"/>
          <w:lang w:val="en-US"/>
        </w:rPr>
      </w:pPr>
    </w:p>
    <w:p w14:paraId="5698FCDE" w14:textId="77777777" w:rsidR="0028696C" w:rsidRPr="00A654CF" w:rsidRDefault="00AA31BD" w:rsidP="000A0FA4">
      <w:pPr>
        <w:spacing w:after="0" w:line="276" w:lineRule="auto"/>
        <w:ind w:firstLine="0"/>
        <w:jc w:val="both"/>
        <w:rPr>
          <w:rFonts w:asciiTheme="majorHAnsi" w:hAnsiTheme="majorHAnsi" w:cstheme="majorHAnsi"/>
          <w:b/>
          <w:sz w:val="24"/>
          <w:szCs w:val="24"/>
          <w:lang w:val="en-US"/>
        </w:rPr>
      </w:pPr>
      <w:r w:rsidRPr="00A654CF">
        <w:rPr>
          <w:rFonts w:asciiTheme="majorHAnsi" w:hAnsiTheme="majorHAnsi" w:cstheme="majorHAnsi"/>
          <w:b/>
          <w:sz w:val="24"/>
          <w:szCs w:val="24"/>
          <w:lang w:val="en-US"/>
        </w:rPr>
        <w:t>Affiliations</w:t>
      </w:r>
    </w:p>
    <w:p w14:paraId="4629AF48" w14:textId="77777777" w:rsidR="0028696C" w:rsidRPr="00A654CF" w:rsidRDefault="00AA31BD" w:rsidP="000A0FA4">
      <w:pPr>
        <w:spacing w:after="0" w:line="276" w:lineRule="auto"/>
        <w:ind w:firstLine="0"/>
        <w:jc w:val="both"/>
        <w:rPr>
          <w:rFonts w:asciiTheme="majorHAnsi" w:hAnsiTheme="majorHAnsi" w:cstheme="majorHAnsi"/>
          <w:sz w:val="24"/>
          <w:szCs w:val="24"/>
          <w:lang w:val="en-US"/>
        </w:rPr>
      </w:pPr>
      <w:r w:rsidRPr="00A654CF">
        <w:rPr>
          <w:rFonts w:asciiTheme="majorHAnsi" w:hAnsiTheme="majorHAnsi" w:cstheme="majorHAnsi"/>
          <w:sz w:val="24"/>
          <w:szCs w:val="24"/>
          <w:vertAlign w:val="superscript"/>
          <w:lang w:val="en-US"/>
        </w:rPr>
        <w:t>a</w:t>
      </w:r>
      <w:r w:rsidRPr="00A654CF">
        <w:rPr>
          <w:rFonts w:asciiTheme="majorHAnsi" w:hAnsiTheme="majorHAnsi" w:cstheme="majorHAnsi"/>
          <w:sz w:val="24"/>
          <w:szCs w:val="24"/>
          <w:lang w:val="en-US"/>
        </w:rPr>
        <w:t xml:space="preserve"> Department of Health Technology, Technical University of Denmark, 2800 Lyngby, Denmark</w:t>
      </w:r>
    </w:p>
    <w:p w14:paraId="483646CE" w14:textId="77777777" w:rsidR="0028696C" w:rsidRPr="00A654CF" w:rsidRDefault="00AA31BD" w:rsidP="000A0FA4">
      <w:pPr>
        <w:spacing w:after="0" w:line="276" w:lineRule="auto"/>
        <w:ind w:firstLine="0"/>
        <w:jc w:val="both"/>
        <w:rPr>
          <w:rFonts w:asciiTheme="majorHAnsi" w:hAnsiTheme="majorHAnsi" w:cstheme="majorHAnsi"/>
          <w:sz w:val="24"/>
          <w:szCs w:val="24"/>
          <w:lang w:val="en-US"/>
        </w:rPr>
      </w:pPr>
      <w:r w:rsidRPr="00A654CF">
        <w:rPr>
          <w:rFonts w:asciiTheme="majorHAnsi" w:hAnsiTheme="majorHAnsi" w:cstheme="majorHAnsi"/>
          <w:sz w:val="24"/>
          <w:szCs w:val="24"/>
          <w:vertAlign w:val="superscript"/>
          <w:lang w:val="en-US"/>
        </w:rPr>
        <w:t>b</w:t>
      </w:r>
      <w:r w:rsidRPr="00A654CF">
        <w:rPr>
          <w:rFonts w:asciiTheme="majorHAnsi" w:hAnsiTheme="majorHAnsi" w:cstheme="majorHAnsi"/>
          <w:sz w:val="24"/>
          <w:szCs w:val="24"/>
          <w:lang w:val="en-US"/>
        </w:rPr>
        <w:t xml:space="preserve"> Metagenopolis, INRA, AgroParisTech, Université Paris-Saclay, and Institut Pasteur, Bâtiment Yersin 5ème étage 28 rue du Docteur Roux, 75015 Paris, France</w:t>
      </w:r>
    </w:p>
    <w:p w14:paraId="65472B05" w14:textId="77777777" w:rsidR="0028696C" w:rsidRPr="00A654CF" w:rsidRDefault="00AA31BD" w:rsidP="000A0FA4">
      <w:pPr>
        <w:spacing w:after="0" w:line="276" w:lineRule="auto"/>
        <w:ind w:firstLine="0"/>
        <w:jc w:val="both"/>
        <w:rPr>
          <w:rFonts w:asciiTheme="majorHAnsi" w:hAnsiTheme="majorHAnsi" w:cstheme="majorHAnsi"/>
          <w:sz w:val="24"/>
          <w:szCs w:val="24"/>
          <w:lang w:val="en-US"/>
        </w:rPr>
      </w:pPr>
      <w:r w:rsidRPr="00A654CF">
        <w:rPr>
          <w:rFonts w:asciiTheme="majorHAnsi" w:hAnsiTheme="majorHAnsi" w:cstheme="majorHAnsi"/>
          <w:sz w:val="24"/>
          <w:szCs w:val="24"/>
          <w:vertAlign w:val="superscript"/>
          <w:lang w:val="en-US"/>
        </w:rPr>
        <w:t>c</w:t>
      </w:r>
      <w:r w:rsidRPr="00A654CF">
        <w:rPr>
          <w:rFonts w:asciiTheme="majorHAnsi" w:hAnsiTheme="majorHAnsi" w:cstheme="majorHAnsi"/>
          <w:sz w:val="24"/>
          <w:szCs w:val="24"/>
          <w:lang w:val="en-US"/>
        </w:rPr>
        <w:t xml:space="preserve"> School of Science and Technology, Örebro University, Örebro, Sweden</w:t>
      </w:r>
    </w:p>
    <w:p w14:paraId="764A4504" w14:textId="77777777" w:rsidR="0028696C" w:rsidRPr="00A654CF" w:rsidRDefault="00AA31BD" w:rsidP="000A0FA4">
      <w:pPr>
        <w:spacing w:after="0" w:line="276" w:lineRule="auto"/>
        <w:ind w:firstLine="0"/>
        <w:jc w:val="both"/>
        <w:rPr>
          <w:rFonts w:asciiTheme="majorHAnsi" w:hAnsiTheme="majorHAnsi" w:cstheme="majorHAnsi"/>
          <w:sz w:val="24"/>
          <w:szCs w:val="24"/>
          <w:lang w:val="en-US"/>
        </w:rPr>
      </w:pPr>
      <w:r w:rsidRPr="00A654CF">
        <w:rPr>
          <w:rFonts w:asciiTheme="majorHAnsi" w:hAnsiTheme="majorHAnsi" w:cstheme="majorHAnsi"/>
          <w:sz w:val="24"/>
          <w:szCs w:val="24"/>
          <w:vertAlign w:val="superscript"/>
          <w:lang w:val="en-US"/>
        </w:rPr>
        <w:t>d</w:t>
      </w:r>
      <w:r w:rsidRPr="00A654CF">
        <w:rPr>
          <w:rFonts w:asciiTheme="majorHAnsi" w:hAnsiTheme="majorHAnsi" w:cstheme="majorHAnsi"/>
          <w:sz w:val="24"/>
          <w:szCs w:val="24"/>
          <w:lang w:val="en-US"/>
        </w:rPr>
        <w:t xml:space="preserve"> Turku Bioscience Centre, University of Turku and Åbo Akademi University, FI-20520 Turku, Finland</w:t>
      </w:r>
    </w:p>
    <w:p w14:paraId="1A46A15E" w14:textId="77777777" w:rsidR="0028696C" w:rsidRPr="00A654CF" w:rsidRDefault="00AA31BD" w:rsidP="000A0FA4">
      <w:pPr>
        <w:spacing w:after="0" w:line="276" w:lineRule="auto"/>
        <w:ind w:firstLine="0"/>
        <w:jc w:val="both"/>
        <w:rPr>
          <w:rFonts w:asciiTheme="majorHAnsi" w:hAnsiTheme="majorHAnsi" w:cstheme="majorHAnsi"/>
          <w:sz w:val="24"/>
          <w:szCs w:val="24"/>
          <w:lang w:val="en-US"/>
        </w:rPr>
      </w:pPr>
      <w:r w:rsidRPr="00A654CF">
        <w:rPr>
          <w:rFonts w:asciiTheme="majorHAnsi" w:hAnsiTheme="majorHAnsi" w:cstheme="majorHAnsi"/>
          <w:sz w:val="24"/>
          <w:szCs w:val="24"/>
          <w:vertAlign w:val="superscript"/>
          <w:lang w:val="en-US"/>
        </w:rPr>
        <w:t>e</w:t>
      </w:r>
      <w:r w:rsidRPr="00A654CF">
        <w:rPr>
          <w:rFonts w:asciiTheme="majorHAnsi" w:hAnsiTheme="majorHAnsi" w:cstheme="majorHAnsi"/>
          <w:sz w:val="24"/>
          <w:szCs w:val="24"/>
          <w:lang w:val="en-US"/>
        </w:rPr>
        <w:t xml:space="preserve"> Novo Nordisk Foundation Center for Basic Metabolic Research, Faculty of Health and Medical Sciences, University of Copenhagen, Blegdamsvej 3B, 2200 Copenhagen, Denmark</w:t>
      </w:r>
    </w:p>
    <w:p w14:paraId="22A950D1" w14:textId="77777777" w:rsidR="0028696C" w:rsidRPr="00A654CF" w:rsidRDefault="00AA31BD" w:rsidP="000A0FA4">
      <w:pPr>
        <w:spacing w:after="0" w:line="276" w:lineRule="auto"/>
        <w:ind w:firstLine="0"/>
        <w:jc w:val="both"/>
        <w:rPr>
          <w:rFonts w:asciiTheme="majorHAnsi" w:hAnsiTheme="majorHAnsi" w:cstheme="majorHAnsi"/>
          <w:sz w:val="24"/>
          <w:szCs w:val="24"/>
          <w:lang w:val="en-US"/>
        </w:rPr>
      </w:pPr>
      <w:r w:rsidRPr="00A654CF">
        <w:rPr>
          <w:rFonts w:asciiTheme="majorHAnsi" w:hAnsiTheme="majorHAnsi" w:cstheme="majorHAnsi"/>
          <w:sz w:val="24"/>
          <w:szCs w:val="24"/>
          <w:vertAlign w:val="superscript"/>
          <w:lang w:val="en-US"/>
        </w:rPr>
        <w:t xml:space="preserve">f </w:t>
      </w:r>
      <w:r w:rsidRPr="00A654CF">
        <w:rPr>
          <w:rFonts w:asciiTheme="majorHAnsi" w:hAnsiTheme="majorHAnsi" w:cstheme="majorHAnsi"/>
          <w:sz w:val="24"/>
          <w:szCs w:val="24"/>
          <w:lang w:val="en-US"/>
        </w:rPr>
        <w:t>Clinical Microbiomics A/S, Ole Maaløes Vej 3, 2200 Copenhagen, Denmark</w:t>
      </w:r>
    </w:p>
    <w:p w14:paraId="548E2835" w14:textId="77777777" w:rsidR="0028696C" w:rsidRPr="00A654CF" w:rsidRDefault="00AA31BD" w:rsidP="000A0FA4">
      <w:pPr>
        <w:spacing w:after="0" w:line="276" w:lineRule="auto"/>
        <w:ind w:firstLine="0"/>
        <w:jc w:val="both"/>
        <w:rPr>
          <w:rFonts w:asciiTheme="majorHAnsi" w:hAnsiTheme="majorHAnsi" w:cstheme="majorHAnsi"/>
          <w:sz w:val="24"/>
          <w:szCs w:val="24"/>
          <w:lang w:val="en-US"/>
        </w:rPr>
      </w:pPr>
      <w:r w:rsidRPr="00A654CF">
        <w:rPr>
          <w:rFonts w:asciiTheme="majorHAnsi" w:hAnsiTheme="majorHAnsi" w:cstheme="majorHAnsi"/>
          <w:sz w:val="24"/>
          <w:szCs w:val="24"/>
          <w:vertAlign w:val="superscript"/>
          <w:lang w:val="en-US"/>
        </w:rPr>
        <w:t xml:space="preserve">g </w:t>
      </w:r>
      <w:r w:rsidRPr="00A654CF">
        <w:rPr>
          <w:rFonts w:asciiTheme="majorHAnsi" w:hAnsiTheme="majorHAnsi" w:cstheme="majorHAnsi"/>
          <w:sz w:val="24"/>
          <w:szCs w:val="24"/>
          <w:lang w:val="en-US"/>
        </w:rPr>
        <w:t xml:space="preserve">Drug Research Program, Division of Pharmaceutical Chemistry and Technology, Faculty of Pharmacy, University of Helsinki, 00014 Helsinki, Finland </w:t>
      </w:r>
    </w:p>
    <w:p w14:paraId="6CA961A0" w14:textId="77777777" w:rsidR="0028696C" w:rsidRPr="00A654CF" w:rsidRDefault="00AA31BD" w:rsidP="000A0FA4">
      <w:pPr>
        <w:spacing w:after="0" w:line="276" w:lineRule="auto"/>
        <w:ind w:firstLine="0"/>
        <w:jc w:val="both"/>
        <w:rPr>
          <w:rFonts w:asciiTheme="majorHAnsi" w:hAnsiTheme="majorHAnsi" w:cstheme="majorHAnsi"/>
          <w:sz w:val="24"/>
          <w:szCs w:val="24"/>
          <w:lang w:val="en-US"/>
        </w:rPr>
      </w:pPr>
      <w:r w:rsidRPr="00A654CF">
        <w:rPr>
          <w:rFonts w:asciiTheme="majorHAnsi" w:hAnsiTheme="majorHAnsi" w:cstheme="majorHAnsi"/>
          <w:sz w:val="24"/>
          <w:szCs w:val="24"/>
          <w:vertAlign w:val="superscript"/>
          <w:lang w:val="en-US"/>
        </w:rPr>
        <w:t>h</w:t>
      </w:r>
      <w:r w:rsidRPr="00A654CF">
        <w:rPr>
          <w:rFonts w:asciiTheme="majorHAnsi" w:hAnsiTheme="majorHAnsi" w:cstheme="majorHAnsi"/>
          <w:sz w:val="24"/>
          <w:szCs w:val="24"/>
          <w:lang w:val="en-US"/>
        </w:rPr>
        <w:t xml:space="preserve"> Center for Clinical Research and Prevention, Frederiksberg Hospital, Copenhagen, Denmark</w:t>
      </w:r>
      <w:r w:rsidRPr="00A654CF">
        <w:rPr>
          <w:rFonts w:asciiTheme="majorHAnsi" w:hAnsiTheme="majorHAnsi" w:cstheme="majorHAnsi"/>
          <w:color w:val="333333"/>
          <w:sz w:val="24"/>
          <w:szCs w:val="24"/>
          <w:lang w:val="en-US"/>
        </w:rPr>
        <w:t xml:space="preserve"> </w:t>
      </w:r>
    </w:p>
    <w:p w14:paraId="3913384D" w14:textId="77777777" w:rsidR="0028696C" w:rsidRPr="00A654CF" w:rsidRDefault="00AA31BD" w:rsidP="000A0FA4">
      <w:pPr>
        <w:spacing w:after="0" w:line="276" w:lineRule="auto"/>
        <w:ind w:firstLine="0"/>
        <w:jc w:val="both"/>
        <w:rPr>
          <w:rFonts w:asciiTheme="majorHAnsi" w:hAnsiTheme="majorHAnsi" w:cstheme="majorHAnsi"/>
          <w:sz w:val="24"/>
          <w:szCs w:val="24"/>
          <w:lang w:val="en-US"/>
        </w:rPr>
      </w:pPr>
      <w:r w:rsidRPr="00A654CF">
        <w:rPr>
          <w:rFonts w:asciiTheme="majorHAnsi" w:hAnsiTheme="majorHAnsi" w:cstheme="majorHAnsi"/>
          <w:sz w:val="24"/>
          <w:szCs w:val="24"/>
          <w:vertAlign w:val="superscript"/>
          <w:lang w:val="en-US"/>
        </w:rPr>
        <w:t>i</w:t>
      </w:r>
      <w:r w:rsidRPr="00A654CF">
        <w:rPr>
          <w:rFonts w:asciiTheme="majorHAnsi" w:hAnsiTheme="majorHAnsi" w:cstheme="majorHAnsi"/>
          <w:sz w:val="24"/>
          <w:szCs w:val="24"/>
          <w:lang w:val="en-US"/>
        </w:rPr>
        <w:t xml:space="preserve"> School of Medical Sciences, Örebro University, 702 81 Örebro, Sweden</w:t>
      </w:r>
    </w:p>
    <w:p w14:paraId="3163C182" w14:textId="5453F047" w:rsidR="0028696C" w:rsidRPr="00A654CF" w:rsidRDefault="00AA31BD" w:rsidP="000A0FA4">
      <w:pPr>
        <w:spacing w:after="0" w:line="276" w:lineRule="auto"/>
        <w:ind w:firstLine="0"/>
        <w:jc w:val="both"/>
        <w:rPr>
          <w:rFonts w:asciiTheme="majorHAnsi" w:hAnsiTheme="majorHAnsi" w:cstheme="majorHAnsi"/>
          <w:sz w:val="24"/>
          <w:szCs w:val="24"/>
          <w:lang w:val="en-US"/>
        </w:rPr>
      </w:pPr>
      <w:r w:rsidRPr="00A654CF">
        <w:rPr>
          <w:rFonts w:asciiTheme="majorHAnsi" w:hAnsiTheme="majorHAnsi" w:cstheme="majorHAnsi"/>
          <w:sz w:val="24"/>
          <w:szCs w:val="24"/>
          <w:vertAlign w:val="superscript"/>
          <w:lang w:val="en-US"/>
        </w:rPr>
        <w:t>1</w:t>
      </w:r>
      <w:r w:rsidRPr="00A654CF">
        <w:rPr>
          <w:rFonts w:asciiTheme="majorHAnsi" w:hAnsiTheme="majorHAnsi" w:cstheme="majorHAnsi"/>
          <w:sz w:val="24"/>
          <w:szCs w:val="24"/>
          <w:lang w:val="en-US"/>
        </w:rPr>
        <w:t xml:space="preserve"> The two authors contributed equally</w:t>
      </w:r>
    </w:p>
    <w:p w14:paraId="3335B666" w14:textId="77777777" w:rsidR="000A0FA4" w:rsidRPr="00A654CF" w:rsidRDefault="000A0FA4" w:rsidP="000A0FA4">
      <w:pPr>
        <w:spacing w:after="0" w:line="276" w:lineRule="auto"/>
        <w:ind w:firstLine="0"/>
        <w:jc w:val="both"/>
        <w:rPr>
          <w:rFonts w:asciiTheme="majorHAnsi" w:hAnsiTheme="majorHAnsi" w:cstheme="majorHAnsi"/>
          <w:sz w:val="24"/>
          <w:szCs w:val="24"/>
          <w:lang w:val="en-US"/>
        </w:rPr>
      </w:pPr>
    </w:p>
    <w:p w14:paraId="5B036267" w14:textId="77777777" w:rsidR="0028696C" w:rsidRPr="00A654CF" w:rsidRDefault="00AA31BD" w:rsidP="000A0FA4">
      <w:pPr>
        <w:spacing w:after="0" w:line="276" w:lineRule="auto"/>
        <w:ind w:firstLine="0"/>
        <w:jc w:val="both"/>
        <w:rPr>
          <w:rFonts w:asciiTheme="majorHAnsi" w:hAnsiTheme="majorHAnsi" w:cstheme="majorHAnsi"/>
          <w:b/>
          <w:sz w:val="24"/>
          <w:szCs w:val="24"/>
          <w:lang w:val="en-US"/>
        </w:rPr>
      </w:pPr>
      <w:r w:rsidRPr="00A654CF">
        <w:rPr>
          <w:rFonts w:asciiTheme="majorHAnsi" w:hAnsiTheme="majorHAnsi" w:cstheme="majorHAnsi"/>
          <w:b/>
          <w:sz w:val="24"/>
          <w:szCs w:val="24"/>
          <w:vertAlign w:val="superscript"/>
          <w:lang w:val="en-US"/>
        </w:rPr>
        <w:t>*</w:t>
      </w:r>
      <w:r w:rsidRPr="00A654CF">
        <w:rPr>
          <w:rFonts w:asciiTheme="majorHAnsi" w:hAnsiTheme="majorHAnsi" w:cstheme="majorHAnsi"/>
          <w:b/>
          <w:sz w:val="24"/>
          <w:szCs w:val="24"/>
          <w:lang w:val="en-US"/>
        </w:rPr>
        <w:t xml:space="preserve"> Corresponding author</w:t>
      </w:r>
    </w:p>
    <w:p w14:paraId="2BE302E1" w14:textId="77777777" w:rsidR="0028696C" w:rsidRPr="00A654CF" w:rsidRDefault="00AA31BD" w:rsidP="000A0FA4">
      <w:pPr>
        <w:spacing w:after="0" w:line="276" w:lineRule="auto"/>
        <w:ind w:firstLine="0"/>
        <w:jc w:val="both"/>
        <w:rPr>
          <w:rFonts w:asciiTheme="majorHAnsi" w:hAnsiTheme="majorHAnsi" w:cstheme="majorHAnsi"/>
          <w:sz w:val="24"/>
          <w:szCs w:val="24"/>
          <w:lang w:val="en-US"/>
        </w:rPr>
      </w:pPr>
      <w:r w:rsidRPr="00A654CF">
        <w:rPr>
          <w:rFonts w:asciiTheme="majorHAnsi" w:hAnsiTheme="majorHAnsi" w:cstheme="majorHAnsi"/>
          <w:sz w:val="24"/>
          <w:szCs w:val="24"/>
          <w:lang w:val="en-US"/>
        </w:rPr>
        <w:t xml:space="preserve">Oluf Pedersen, Novo Nordisk Foundation Center for Basic Metabolic Research, Faculty of Health and Medical Sciences, University of Copenhagen, Blegdamsvej 3B, 2200 Copenhagen, Denmark Email: </w:t>
      </w:r>
      <w:hyperlink r:id="rId8">
        <w:r w:rsidRPr="00A654CF">
          <w:rPr>
            <w:rFonts w:asciiTheme="majorHAnsi" w:hAnsiTheme="majorHAnsi" w:cstheme="majorHAnsi"/>
            <w:color w:val="0000FF"/>
            <w:sz w:val="24"/>
            <w:szCs w:val="24"/>
            <w:u w:val="single"/>
            <w:lang w:val="en-US"/>
          </w:rPr>
          <w:t>oluf@sund.ku.dk</w:t>
        </w:r>
      </w:hyperlink>
      <w:r w:rsidRPr="00A654CF">
        <w:rPr>
          <w:rFonts w:asciiTheme="majorHAnsi" w:hAnsiTheme="majorHAnsi" w:cstheme="majorHAnsi"/>
          <w:sz w:val="24"/>
          <w:szCs w:val="24"/>
          <w:lang w:val="en-US"/>
        </w:rPr>
        <w:t xml:space="preserve"> </w:t>
      </w:r>
    </w:p>
    <w:p w14:paraId="3EF23613" w14:textId="77777777" w:rsidR="0028696C" w:rsidRPr="00A654CF" w:rsidRDefault="00AA31BD" w:rsidP="000A0FA4">
      <w:pPr>
        <w:spacing w:after="0" w:line="276" w:lineRule="auto"/>
        <w:ind w:firstLine="0"/>
        <w:rPr>
          <w:rFonts w:asciiTheme="majorHAnsi" w:hAnsiTheme="majorHAnsi" w:cstheme="majorHAnsi"/>
          <w:b/>
          <w:i/>
          <w:sz w:val="24"/>
          <w:szCs w:val="24"/>
          <w:lang w:val="en-US"/>
        </w:rPr>
      </w:pPr>
      <w:r w:rsidRPr="00A654CF">
        <w:rPr>
          <w:rFonts w:asciiTheme="majorHAnsi" w:hAnsiTheme="majorHAnsi" w:cstheme="majorHAnsi"/>
          <w:sz w:val="24"/>
          <w:szCs w:val="24"/>
          <w:lang w:val="en-US"/>
        </w:rPr>
        <w:br w:type="page"/>
      </w:r>
    </w:p>
    <w:p w14:paraId="6D11438D" w14:textId="37A7D672" w:rsidR="0009110C" w:rsidRPr="00A654CF" w:rsidRDefault="0009110C" w:rsidP="00A654CF">
      <w:pPr>
        <w:pStyle w:val="Heading3"/>
        <w:spacing w:after="0" w:line="276" w:lineRule="auto"/>
        <w:ind w:firstLine="0"/>
        <w:rPr>
          <w:rFonts w:asciiTheme="majorHAnsi" w:hAnsiTheme="majorHAnsi" w:cstheme="majorHAnsi"/>
          <w:sz w:val="24"/>
          <w:szCs w:val="24"/>
          <w:lang w:val="en-US"/>
        </w:rPr>
      </w:pPr>
      <w:bookmarkStart w:id="0" w:name="_4srlv5n6gk4k" w:colFirst="0" w:colLast="0"/>
      <w:bookmarkEnd w:id="0"/>
      <w:r w:rsidRPr="00A654CF">
        <w:rPr>
          <w:rFonts w:asciiTheme="majorHAnsi" w:hAnsiTheme="majorHAnsi" w:cstheme="majorHAnsi"/>
          <w:sz w:val="24"/>
          <w:szCs w:val="24"/>
          <w:lang w:val="en-US"/>
        </w:rPr>
        <w:lastRenderedPageBreak/>
        <w:t>Genome</w:t>
      </w:r>
      <w:r w:rsidR="00EF50BD">
        <w:rPr>
          <w:rFonts w:asciiTheme="majorHAnsi" w:hAnsiTheme="majorHAnsi" w:cstheme="majorHAnsi"/>
          <w:sz w:val="24"/>
          <w:szCs w:val="24"/>
          <w:lang w:val="en-US"/>
        </w:rPr>
        <w:t>-</w:t>
      </w:r>
      <w:r w:rsidRPr="00A654CF">
        <w:rPr>
          <w:rFonts w:asciiTheme="majorHAnsi" w:hAnsiTheme="majorHAnsi" w:cstheme="majorHAnsi"/>
          <w:sz w:val="24"/>
          <w:szCs w:val="24"/>
          <w:lang w:val="en-US"/>
        </w:rPr>
        <w:t>Scale Metabolic Modeling</w:t>
      </w:r>
      <w:r w:rsidR="008A2162" w:rsidRPr="00A654CF">
        <w:rPr>
          <w:rFonts w:asciiTheme="majorHAnsi" w:hAnsiTheme="majorHAnsi" w:cstheme="majorHAnsi"/>
          <w:sz w:val="24"/>
          <w:szCs w:val="24"/>
          <w:lang w:val="en-US"/>
        </w:rPr>
        <w:t xml:space="preserve"> (GSMM)</w:t>
      </w:r>
    </w:p>
    <w:p w14:paraId="4A597175" w14:textId="77777777" w:rsidR="0028696C" w:rsidRPr="00A654CF" w:rsidRDefault="0009110C" w:rsidP="00A654CF">
      <w:pPr>
        <w:pStyle w:val="Heading3"/>
        <w:spacing w:after="0" w:line="276" w:lineRule="auto"/>
        <w:ind w:firstLine="0"/>
        <w:rPr>
          <w:rFonts w:asciiTheme="majorHAnsi" w:hAnsiTheme="majorHAnsi" w:cstheme="majorHAnsi"/>
          <w:sz w:val="24"/>
          <w:szCs w:val="24"/>
          <w:lang w:val="en-US"/>
        </w:rPr>
      </w:pPr>
      <w:r w:rsidRPr="00A654CF">
        <w:rPr>
          <w:rFonts w:asciiTheme="majorHAnsi" w:hAnsiTheme="majorHAnsi" w:cstheme="majorHAnsi"/>
          <w:sz w:val="24"/>
          <w:szCs w:val="24"/>
          <w:lang w:val="en-US"/>
        </w:rPr>
        <w:t>B</w:t>
      </w:r>
      <w:r w:rsidR="00AA31BD" w:rsidRPr="00A654CF">
        <w:rPr>
          <w:rFonts w:asciiTheme="majorHAnsi" w:hAnsiTheme="majorHAnsi" w:cstheme="majorHAnsi"/>
          <w:sz w:val="24"/>
          <w:szCs w:val="24"/>
          <w:lang w:val="en-US"/>
        </w:rPr>
        <w:t>ackground</w:t>
      </w:r>
    </w:p>
    <w:p w14:paraId="64626B72" w14:textId="13EE6271" w:rsidR="0028696C" w:rsidRPr="00A654CF" w:rsidRDefault="00C93B82" w:rsidP="00231265">
      <w:pPr>
        <w:spacing w:after="0" w:line="276" w:lineRule="auto"/>
        <w:ind w:firstLine="0"/>
        <w:jc w:val="both"/>
        <w:rPr>
          <w:rFonts w:asciiTheme="majorHAnsi" w:hAnsiTheme="majorHAnsi" w:cstheme="majorHAnsi"/>
          <w:sz w:val="24"/>
          <w:szCs w:val="24"/>
          <w:lang w:val="en-US"/>
        </w:rPr>
      </w:pPr>
      <w:r w:rsidRPr="00A654CF">
        <w:rPr>
          <w:rFonts w:asciiTheme="majorHAnsi" w:hAnsiTheme="majorHAnsi" w:cstheme="majorHAnsi"/>
          <w:sz w:val="24"/>
          <w:szCs w:val="24"/>
          <w:lang w:val="en-US"/>
        </w:rPr>
        <w:t>Previously, g</w:t>
      </w:r>
      <w:r w:rsidR="0009110C" w:rsidRPr="00A654CF">
        <w:rPr>
          <w:rFonts w:asciiTheme="majorHAnsi" w:hAnsiTheme="majorHAnsi" w:cstheme="majorHAnsi"/>
          <w:sz w:val="24"/>
          <w:szCs w:val="24"/>
          <w:lang w:val="en-US"/>
        </w:rPr>
        <w:t>enom</w:t>
      </w:r>
      <w:r w:rsidRPr="00A654CF">
        <w:rPr>
          <w:rFonts w:asciiTheme="majorHAnsi" w:hAnsiTheme="majorHAnsi" w:cstheme="majorHAnsi"/>
          <w:sz w:val="24"/>
          <w:szCs w:val="24"/>
          <w:lang w:val="en-US"/>
        </w:rPr>
        <w:t>e</w:t>
      </w:r>
      <w:r w:rsidR="00FE3F2D">
        <w:rPr>
          <w:rFonts w:asciiTheme="majorHAnsi" w:hAnsiTheme="majorHAnsi" w:cstheme="majorHAnsi"/>
          <w:sz w:val="24"/>
          <w:szCs w:val="24"/>
          <w:lang w:val="en-US"/>
        </w:rPr>
        <w:t>-</w:t>
      </w:r>
      <w:r w:rsidRPr="00A654CF">
        <w:rPr>
          <w:rFonts w:asciiTheme="majorHAnsi" w:hAnsiTheme="majorHAnsi" w:cstheme="majorHAnsi"/>
          <w:sz w:val="24"/>
          <w:szCs w:val="24"/>
          <w:lang w:val="en-US"/>
        </w:rPr>
        <w:t>scale metabolic m</w:t>
      </w:r>
      <w:r w:rsidR="0009110C" w:rsidRPr="00A654CF">
        <w:rPr>
          <w:rFonts w:asciiTheme="majorHAnsi" w:hAnsiTheme="majorHAnsi" w:cstheme="majorHAnsi"/>
          <w:sz w:val="24"/>
          <w:szCs w:val="24"/>
          <w:lang w:val="en-US"/>
        </w:rPr>
        <w:t xml:space="preserve">odels (GEMs) </w:t>
      </w:r>
      <w:r w:rsidR="00863C65" w:rsidRPr="00A654CF">
        <w:rPr>
          <w:rFonts w:asciiTheme="majorHAnsi" w:hAnsiTheme="majorHAnsi" w:cstheme="majorHAnsi"/>
          <w:sz w:val="24"/>
          <w:szCs w:val="24"/>
          <w:lang w:val="en-US"/>
        </w:rPr>
        <w:t xml:space="preserve">combined with the AGORA tool </w:t>
      </w:r>
      <w:r w:rsidR="00AA31BD" w:rsidRPr="00A654CF">
        <w:rPr>
          <w:rFonts w:asciiTheme="majorHAnsi" w:hAnsiTheme="majorHAnsi" w:cstheme="majorHAnsi"/>
          <w:sz w:val="24"/>
          <w:szCs w:val="24"/>
          <w:lang w:val="en-US"/>
        </w:rPr>
        <w:t>ha</w:t>
      </w:r>
      <w:r w:rsidR="00863C65" w:rsidRPr="00A654CF">
        <w:rPr>
          <w:rFonts w:asciiTheme="majorHAnsi" w:hAnsiTheme="majorHAnsi" w:cstheme="majorHAnsi"/>
          <w:sz w:val="24"/>
          <w:szCs w:val="24"/>
          <w:lang w:val="en-US"/>
        </w:rPr>
        <w:t xml:space="preserve">s </w:t>
      </w:r>
      <w:r w:rsidR="00AA31BD" w:rsidRPr="00A654CF">
        <w:rPr>
          <w:rFonts w:asciiTheme="majorHAnsi" w:hAnsiTheme="majorHAnsi" w:cstheme="majorHAnsi"/>
          <w:sz w:val="24"/>
          <w:szCs w:val="24"/>
          <w:lang w:val="en-US"/>
        </w:rPr>
        <w:t xml:space="preserve">been used to estimate metabolic capabilities of the </w:t>
      </w:r>
      <w:r w:rsidR="00192EAA" w:rsidRPr="00A654CF">
        <w:rPr>
          <w:rFonts w:asciiTheme="majorHAnsi" w:hAnsiTheme="majorHAnsi" w:cstheme="majorHAnsi"/>
          <w:sz w:val="24"/>
          <w:szCs w:val="24"/>
          <w:lang w:val="en-US"/>
        </w:rPr>
        <w:t xml:space="preserve">gut microbiota in </w:t>
      </w:r>
      <w:r w:rsidR="00AA31BD" w:rsidRPr="00A654CF">
        <w:rPr>
          <w:rFonts w:asciiTheme="majorHAnsi" w:hAnsiTheme="majorHAnsi" w:cstheme="majorHAnsi"/>
          <w:sz w:val="24"/>
          <w:szCs w:val="24"/>
          <w:lang w:val="en-US"/>
        </w:rPr>
        <w:t xml:space="preserve">carbohydrate and short-chain fatty acid metabolism. Recently, these GEMs were expanded to include </w:t>
      </w:r>
      <w:r w:rsidR="00E42B70" w:rsidRPr="00A654CF">
        <w:rPr>
          <w:rFonts w:asciiTheme="majorHAnsi" w:hAnsiTheme="majorHAnsi" w:cstheme="majorHAnsi"/>
          <w:sz w:val="24"/>
          <w:szCs w:val="24"/>
          <w:lang w:val="en-US"/>
        </w:rPr>
        <w:t>bile acid (</w:t>
      </w:r>
      <w:r w:rsidR="00AA31BD" w:rsidRPr="00A654CF">
        <w:rPr>
          <w:rFonts w:asciiTheme="majorHAnsi" w:hAnsiTheme="majorHAnsi" w:cstheme="majorHAnsi"/>
          <w:sz w:val="24"/>
          <w:szCs w:val="24"/>
          <w:lang w:val="en-US"/>
        </w:rPr>
        <w:t>BA</w:t>
      </w:r>
      <w:r w:rsidR="00E42B70" w:rsidRPr="00A654CF">
        <w:rPr>
          <w:rFonts w:asciiTheme="majorHAnsi" w:hAnsiTheme="majorHAnsi" w:cstheme="majorHAnsi"/>
          <w:sz w:val="24"/>
          <w:szCs w:val="24"/>
          <w:lang w:val="en-US"/>
        </w:rPr>
        <w:t>)</w:t>
      </w:r>
      <w:r w:rsidR="00AA31BD" w:rsidRPr="00A654CF">
        <w:rPr>
          <w:rFonts w:asciiTheme="majorHAnsi" w:hAnsiTheme="majorHAnsi" w:cstheme="majorHAnsi"/>
          <w:sz w:val="24"/>
          <w:szCs w:val="24"/>
          <w:lang w:val="en-US"/>
        </w:rPr>
        <w:t xml:space="preserve"> metabolic pathways, and thereby linking the gut bacteria with the BA metabolism in human health and disease</w:t>
      </w:r>
      <w:r w:rsidR="00F64FCC">
        <w:rPr>
          <w:rFonts w:asciiTheme="majorHAnsi" w:hAnsiTheme="majorHAnsi" w:cstheme="majorHAnsi"/>
          <w:sz w:val="24"/>
          <w:szCs w:val="24"/>
          <w:lang w:val="en-US"/>
        </w:rPr>
        <w:fldChar w:fldCharType="begin">
          <w:fldData xml:space="preserve">PEVuZE5vdGU+PENpdGU+PEF1dGhvcj5RaW48L0F1dGhvcj48WWVhcj4yMDE0PC9ZZWFyPjxSZWNO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</w:fldData>
        </w:fldChar>
      </w:r>
      <w:r w:rsidR="00F64FCC">
        <w:rPr>
          <w:rFonts w:asciiTheme="majorHAnsi" w:hAnsiTheme="majorHAnsi" w:cstheme="majorHAnsi"/>
          <w:sz w:val="24"/>
          <w:szCs w:val="24"/>
          <w:lang w:val="en-US"/>
        </w:rPr>
        <w:instrText xml:space="preserve"> ADDIN EN.CITE </w:instrText>
      </w:r>
      <w:r w:rsidR="00F64FCC">
        <w:rPr>
          <w:rFonts w:asciiTheme="majorHAnsi" w:hAnsiTheme="majorHAnsi" w:cstheme="majorHAnsi"/>
          <w:sz w:val="24"/>
          <w:szCs w:val="24"/>
          <w:lang w:val="en-US"/>
        </w:rPr>
        <w:fldChar w:fldCharType="begin">
          <w:fldData xml:space="preserve">PEVuZE5vdGU+PENpdGU+PEF1dGhvcj5RaW48L0F1dGhvcj48WWVhcj4yMDE0PC9ZZWFyPjxSZWNO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</w:fldData>
        </w:fldChar>
      </w:r>
      <w:r w:rsidR="00F64FCC">
        <w:rPr>
          <w:rFonts w:asciiTheme="majorHAnsi" w:hAnsiTheme="majorHAnsi" w:cstheme="majorHAnsi"/>
          <w:sz w:val="24"/>
          <w:szCs w:val="24"/>
          <w:lang w:val="en-US"/>
        </w:rPr>
        <w:instrText xml:space="preserve"> ADDIN EN.CITE.DATA </w:instrText>
      </w:r>
      <w:r w:rsidR="00F64FCC">
        <w:rPr>
          <w:rFonts w:asciiTheme="majorHAnsi" w:hAnsiTheme="majorHAnsi" w:cstheme="majorHAnsi"/>
          <w:sz w:val="24"/>
          <w:szCs w:val="24"/>
          <w:lang w:val="en-US"/>
        </w:rPr>
      </w:r>
      <w:r w:rsidR="00F64FCC">
        <w:rPr>
          <w:rFonts w:asciiTheme="majorHAnsi" w:hAnsiTheme="majorHAnsi" w:cstheme="majorHAnsi"/>
          <w:sz w:val="24"/>
          <w:szCs w:val="24"/>
          <w:lang w:val="en-US"/>
        </w:rPr>
        <w:fldChar w:fldCharType="end"/>
      </w:r>
      <w:r w:rsidR="00F64FCC">
        <w:rPr>
          <w:rFonts w:asciiTheme="majorHAnsi" w:hAnsiTheme="majorHAnsi" w:cstheme="majorHAnsi"/>
          <w:sz w:val="24"/>
          <w:szCs w:val="24"/>
          <w:lang w:val="en-US"/>
        </w:rPr>
      </w:r>
      <w:r w:rsidR="00F64FCC">
        <w:rPr>
          <w:rFonts w:asciiTheme="majorHAnsi" w:hAnsiTheme="majorHAnsi" w:cstheme="majorHAnsi"/>
          <w:sz w:val="24"/>
          <w:szCs w:val="24"/>
          <w:lang w:val="en-US"/>
        </w:rPr>
        <w:fldChar w:fldCharType="separate"/>
      </w:r>
      <w:r w:rsidR="00F64FCC" w:rsidRPr="00F64FCC">
        <w:rPr>
          <w:rFonts w:asciiTheme="majorHAnsi" w:hAnsiTheme="majorHAnsi" w:cstheme="majorHAnsi"/>
          <w:noProof/>
          <w:sz w:val="24"/>
          <w:szCs w:val="24"/>
          <w:vertAlign w:val="superscript"/>
          <w:lang w:val="en-US"/>
        </w:rPr>
        <w:t>1, 2</w:t>
      </w:r>
      <w:r w:rsidR="00F64FCC">
        <w:rPr>
          <w:rFonts w:asciiTheme="majorHAnsi" w:hAnsiTheme="majorHAnsi" w:cstheme="majorHAnsi"/>
          <w:sz w:val="24"/>
          <w:szCs w:val="24"/>
          <w:lang w:val="en-US"/>
        </w:rPr>
        <w:fldChar w:fldCharType="end"/>
      </w:r>
      <w:r w:rsidR="00AA31BD" w:rsidRPr="00A654CF">
        <w:rPr>
          <w:rFonts w:asciiTheme="majorHAnsi" w:hAnsiTheme="majorHAnsi" w:cstheme="majorHAnsi"/>
          <w:sz w:val="24"/>
          <w:szCs w:val="24"/>
          <w:lang w:val="en-US"/>
        </w:rPr>
        <w:t xml:space="preserve">. </w:t>
      </w:r>
    </w:p>
    <w:p w14:paraId="66A41AFB" w14:textId="77777777" w:rsidR="00AD06EE" w:rsidRDefault="00AD06EE" w:rsidP="00231265">
      <w:pPr>
        <w:spacing w:after="0" w:line="276" w:lineRule="auto"/>
        <w:ind w:firstLine="0"/>
        <w:jc w:val="both"/>
        <w:rPr>
          <w:rFonts w:asciiTheme="majorHAnsi" w:hAnsiTheme="majorHAnsi" w:cstheme="majorHAnsi"/>
          <w:sz w:val="24"/>
          <w:szCs w:val="24"/>
          <w:lang w:val="en-US"/>
        </w:rPr>
      </w:pPr>
    </w:p>
    <w:p w14:paraId="2EC0DB5E" w14:textId="741FEF48" w:rsidR="0028696C" w:rsidRDefault="00AA31BD" w:rsidP="00231265">
      <w:pPr>
        <w:spacing w:after="0" w:line="276" w:lineRule="auto"/>
        <w:ind w:firstLine="0"/>
        <w:jc w:val="both"/>
        <w:rPr>
          <w:rFonts w:asciiTheme="majorHAnsi" w:hAnsiTheme="majorHAnsi" w:cstheme="majorHAnsi"/>
          <w:sz w:val="24"/>
          <w:szCs w:val="24"/>
          <w:lang w:val="en-US"/>
        </w:rPr>
      </w:pPr>
      <w:r w:rsidRPr="00A654CF">
        <w:rPr>
          <w:rFonts w:asciiTheme="majorHAnsi" w:hAnsiTheme="majorHAnsi" w:cstheme="majorHAnsi"/>
          <w:sz w:val="24"/>
          <w:szCs w:val="24"/>
          <w:lang w:val="en-US"/>
        </w:rPr>
        <w:t xml:space="preserve">To reduce the complexity of GSMM of BA metabolism facilitated by human gut microbiota, we selected highly abundant species from each bacterial community, </w:t>
      </w:r>
      <w:r w:rsidRPr="00F305C7">
        <w:rPr>
          <w:rFonts w:asciiTheme="majorHAnsi" w:hAnsiTheme="majorHAnsi" w:cstheme="majorHAnsi"/>
          <w:i/>
          <w:iCs/>
          <w:sz w:val="24"/>
          <w:szCs w:val="24"/>
          <w:lang w:val="en-US"/>
        </w:rPr>
        <w:t xml:space="preserve">i.e. </w:t>
      </w:r>
      <w:r w:rsidRPr="00A654CF">
        <w:rPr>
          <w:rFonts w:asciiTheme="majorHAnsi" w:hAnsiTheme="majorHAnsi" w:cstheme="majorHAnsi"/>
          <w:sz w:val="24"/>
          <w:szCs w:val="24"/>
          <w:lang w:val="en-US"/>
        </w:rPr>
        <w:t>MGS. GEMs of 26 abundant bacterial species</w:t>
      </w:r>
      <w:r w:rsidR="00E42B70" w:rsidRPr="00A654CF">
        <w:rPr>
          <w:rFonts w:asciiTheme="majorHAnsi" w:hAnsiTheme="majorHAnsi" w:cstheme="majorHAnsi"/>
          <w:sz w:val="24"/>
          <w:szCs w:val="24"/>
          <w:lang w:val="en-US"/>
        </w:rPr>
        <w:t xml:space="preserve"> </w:t>
      </w:r>
      <w:r w:rsidR="00F305C7">
        <w:rPr>
          <w:rFonts w:asciiTheme="majorHAnsi" w:hAnsiTheme="majorHAnsi" w:cstheme="majorHAnsi"/>
          <w:sz w:val="24"/>
          <w:szCs w:val="24"/>
          <w:lang w:val="en-US"/>
        </w:rPr>
        <w:t>(</w:t>
      </w:r>
      <w:r w:rsidR="00035F01" w:rsidRPr="00A654CF">
        <w:rPr>
          <w:rFonts w:asciiTheme="majorHAnsi" w:hAnsiTheme="majorHAnsi" w:cstheme="majorHAnsi"/>
          <w:sz w:val="24"/>
          <w:szCs w:val="24"/>
          <w:lang w:val="en-US"/>
        </w:rPr>
        <w:t>MGSs with</w:t>
      </w:r>
      <w:r w:rsidR="00E42B70" w:rsidRPr="00A654CF">
        <w:rPr>
          <w:rFonts w:asciiTheme="majorHAnsi" w:hAnsiTheme="majorHAnsi" w:cstheme="majorHAnsi"/>
          <w:sz w:val="24"/>
          <w:szCs w:val="24"/>
          <w:lang w:val="en-US"/>
        </w:rPr>
        <w:t xml:space="preserve"> &gt; 500 </w:t>
      </w:r>
      <w:r w:rsidR="00C93B82" w:rsidRPr="00A654CF">
        <w:rPr>
          <w:rFonts w:asciiTheme="majorHAnsi" w:hAnsiTheme="majorHAnsi" w:cstheme="majorHAnsi"/>
          <w:sz w:val="24"/>
          <w:szCs w:val="24"/>
          <w:lang w:val="en-US"/>
        </w:rPr>
        <w:t xml:space="preserve">bacterial </w:t>
      </w:r>
      <w:r w:rsidR="00E42B70" w:rsidRPr="00A654CF">
        <w:rPr>
          <w:rFonts w:asciiTheme="majorHAnsi" w:hAnsiTheme="majorHAnsi" w:cstheme="majorHAnsi"/>
          <w:sz w:val="24"/>
          <w:szCs w:val="24"/>
          <w:lang w:val="en-US"/>
        </w:rPr>
        <w:t>genes</w:t>
      </w:r>
      <w:r w:rsidR="006D0F80">
        <w:rPr>
          <w:rFonts w:asciiTheme="majorHAnsi" w:hAnsiTheme="majorHAnsi" w:cstheme="majorHAnsi"/>
          <w:sz w:val="24"/>
          <w:szCs w:val="24"/>
          <w:lang w:val="en-US"/>
        </w:rPr>
        <w:t>)</w:t>
      </w:r>
      <w:r w:rsidR="006D0F80" w:rsidRPr="00A654CF">
        <w:rPr>
          <w:rFonts w:asciiTheme="majorHAnsi" w:hAnsiTheme="majorHAnsi" w:cstheme="majorHAnsi"/>
          <w:sz w:val="24"/>
          <w:szCs w:val="24"/>
          <w:lang w:val="en-US"/>
        </w:rPr>
        <w:t>, were</w:t>
      </w:r>
      <w:r w:rsidRPr="00A654CF">
        <w:rPr>
          <w:rFonts w:asciiTheme="majorHAnsi" w:hAnsiTheme="majorHAnsi" w:cstheme="majorHAnsi"/>
          <w:sz w:val="24"/>
          <w:szCs w:val="24"/>
          <w:lang w:val="en-US"/>
        </w:rPr>
        <w:t xml:space="preserve"> retrieved from the AGORA_BA compendium</w:t>
      </w:r>
      <w:r w:rsidR="00193FF6">
        <w:rPr>
          <w:rFonts w:asciiTheme="majorHAnsi" w:hAnsiTheme="majorHAnsi" w:cstheme="majorHAnsi"/>
          <w:sz w:val="24"/>
          <w:szCs w:val="24"/>
          <w:lang w:val="en-US"/>
        </w:rPr>
        <w:t xml:space="preserve"> (v1.02)</w:t>
      </w:r>
      <w:r w:rsidRPr="00A654CF">
        <w:rPr>
          <w:rFonts w:asciiTheme="majorHAnsi" w:hAnsiTheme="majorHAnsi" w:cstheme="majorHAnsi"/>
          <w:sz w:val="24"/>
          <w:szCs w:val="24"/>
          <w:lang w:val="en-US"/>
        </w:rPr>
        <w:t>, stored at the Virtual Metabolic Human Database (VMH)</w:t>
      </w:r>
      <w:r w:rsidR="00962ECA">
        <w:rPr>
          <w:rFonts w:asciiTheme="majorHAnsi" w:hAnsiTheme="majorHAnsi" w:cstheme="majorHAnsi"/>
          <w:sz w:val="24"/>
          <w:szCs w:val="24"/>
          <w:lang w:val="en-US"/>
        </w:rPr>
        <w:fldChar w:fldCharType="begin">
          <w:fldData xml:space="preserve">PEVuZE5vdGU+PENpdGU+PEF1dGhvcj5NYWduw7pzZMOzdHRpcjwvQXV0aG9yPjxZZWFyPjIwMTc8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=
</w:fldData>
        </w:fldChar>
      </w:r>
      <w:r w:rsidR="00962ECA">
        <w:rPr>
          <w:rFonts w:asciiTheme="majorHAnsi" w:hAnsiTheme="majorHAnsi" w:cstheme="majorHAnsi"/>
          <w:sz w:val="24"/>
          <w:szCs w:val="24"/>
          <w:lang w:val="en-US"/>
        </w:rPr>
        <w:instrText xml:space="preserve"> ADDIN EN.CITE </w:instrText>
      </w:r>
      <w:r w:rsidR="00962ECA">
        <w:rPr>
          <w:rFonts w:asciiTheme="majorHAnsi" w:hAnsiTheme="majorHAnsi" w:cstheme="majorHAnsi"/>
          <w:sz w:val="24"/>
          <w:szCs w:val="24"/>
          <w:lang w:val="en-US"/>
        </w:rPr>
        <w:fldChar w:fldCharType="begin">
          <w:fldData xml:space="preserve">PEVuZE5vdGU+PENpdGU+PEF1dGhvcj5NYWduw7pzZMOzdHRpcjwvQXV0aG9yPjxZZWFyPjIwMTc8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=
</w:fldData>
        </w:fldChar>
      </w:r>
      <w:r w:rsidR="00962ECA">
        <w:rPr>
          <w:rFonts w:asciiTheme="majorHAnsi" w:hAnsiTheme="majorHAnsi" w:cstheme="majorHAnsi"/>
          <w:sz w:val="24"/>
          <w:szCs w:val="24"/>
          <w:lang w:val="en-US"/>
        </w:rPr>
        <w:instrText xml:space="preserve"> ADDIN EN.CITE.DATA </w:instrText>
      </w:r>
      <w:r w:rsidR="00962ECA">
        <w:rPr>
          <w:rFonts w:asciiTheme="majorHAnsi" w:hAnsiTheme="majorHAnsi" w:cstheme="majorHAnsi"/>
          <w:sz w:val="24"/>
          <w:szCs w:val="24"/>
          <w:lang w:val="en-US"/>
        </w:rPr>
      </w:r>
      <w:r w:rsidR="00962ECA">
        <w:rPr>
          <w:rFonts w:asciiTheme="majorHAnsi" w:hAnsiTheme="majorHAnsi" w:cstheme="majorHAnsi"/>
          <w:sz w:val="24"/>
          <w:szCs w:val="24"/>
          <w:lang w:val="en-US"/>
        </w:rPr>
        <w:fldChar w:fldCharType="end"/>
      </w:r>
      <w:r w:rsidR="00962ECA">
        <w:rPr>
          <w:rFonts w:asciiTheme="majorHAnsi" w:hAnsiTheme="majorHAnsi" w:cstheme="majorHAnsi"/>
          <w:sz w:val="24"/>
          <w:szCs w:val="24"/>
          <w:lang w:val="en-US"/>
        </w:rPr>
      </w:r>
      <w:r w:rsidR="00962ECA">
        <w:rPr>
          <w:rFonts w:asciiTheme="majorHAnsi" w:hAnsiTheme="majorHAnsi" w:cstheme="majorHAnsi"/>
          <w:sz w:val="24"/>
          <w:szCs w:val="24"/>
          <w:lang w:val="en-US"/>
        </w:rPr>
        <w:fldChar w:fldCharType="separate"/>
      </w:r>
      <w:r w:rsidR="00962ECA" w:rsidRPr="00962ECA">
        <w:rPr>
          <w:rFonts w:asciiTheme="majorHAnsi" w:hAnsiTheme="majorHAnsi" w:cstheme="majorHAnsi"/>
          <w:noProof/>
          <w:sz w:val="24"/>
          <w:szCs w:val="24"/>
          <w:vertAlign w:val="superscript"/>
          <w:lang w:val="en-US"/>
        </w:rPr>
        <w:t>2, 3</w:t>
      </w:r>
      <w:r w:rsidR="00962ECA">
        <w:rPr>
          <w:rFonts w:asciiTheme="majorHAnsi" w:hAnsiTheme="majorHAnsi" w:cstheme="majorHAnsi"/>
          <w:sz w:val="24"/>
          <w:szCs w:val="24"/>
          <w:lang w:val="en-US"/>
        </w:rPr>
        <w:fldChar w:fldCharType="end"/>
      </w:r>
      <w:r w:rsidRPr="00A654CF">
        <w:rPr>
          <w:rFonts w:asciiTheme="majorHAnsi" w:hAnsiTheme="majorHAnsi" w:cstheme="majorHAnsi"/>
          <w:sz w:val="24"/>
          <w:szCs w:val="24"/>
          <w:lang w:val="en-US"/>
        </w:rPr>
        <w:t xml:space="preserve"> (</w:t>
      </w:r>
      <w:hyperlink r:id="rId9">
        <w:r w:rsidRPr="00A654CF">
          <w:rPr>
            <w:rFonts w:asciiTheme="majorHAnsi" w:hAnsiTheme="majorHAnsi" w:cstheme="majorHAnsi"/>
            <w:color w:val="1155CC"/>
            <w:sz w:val="24"/>
            <w:szCs w:val="24"/>
            <w:u w:val="single"/>
            <w:lang w:val="en-US"/>
          </w:rPr>
          <w:t>https://vmh.uni.lu/)</w:t>
        </w:r>
      </w:hyperlink>
      <w:r w:rsidRPr="00A654CF">
        <w:rPr>
          <w:rFonts w:asciiTheme="majorHAnsi" w:hAnsiTheme="majorHAnsi" w:cstheme="majorHAnsi"/>
          <w:sz w:val="24"/>
          <w:szCs w:val="24"/>
          <w:lang w:val="en-US"/>
        </w:rPr>
        <w:t>, and assessed for further analysis (</w:t>
      </w:r>
      <w:r w:rsidRPr="00A654CF">
        <w:rPr>
          <w:rFonts w:asciiTheme="majorHAnsi" w:hAnsiTheme="majorHAnsi" w:cstheme="majorHAnsi"/>
          <w:b/>
          <w:sz w:val="24"/>
          <w:szCs w:val="24"/>
          <w:lang w:val="en-US"/>
        </w:rPr>
        <w:t>Supplementary Figure 6</w:t>
      </w:r>
      <w:r w:rsidRPr="00A654CF">
        <w:rPr>
          <w:rFonts w:asciiTheme="majorHAnsi" w:hAnsiTheme="majorHAnsi" w:cstheme="majorHAnsi"/>
          <w:sz w:val="24"/>
          <w:szCs w:val="24"/>
          <w:lang w:val="en-US"/>
        </w:rPr>
        <w:t xml:space="preserve">). Three types of GSMM strategies were adopted, (i) </w:t>
      </w:r>
      <w:r w:rsidR="007E1DB9">
        <w:rPr>
          <w:rFonts w:asciiTheme="majorHAnsi" w:hAnsiTheme="majorHAnsi" w:cstheme="majorHAnsi"/>
          <w:sz w:val="24"/>
          <w:szCs w:val="24"/>
          <w:lang w:val="en-US"/>
        </w:rPr>
        <w:t xml:space="preserve">Modeling </w:t>
      </w:r>
      <w:r w:rsidRPr="00A654CF">
        <w:rPr>
          <w:rFonts w:asciiTheme="majorHAnsi" w:hAnsiTheme="majorHAnsi" w:cstheme="majorHAnsi"/>
          <w:sz w:val="24"/>
          <w:szCs w:val="24"/>
          <w:lang w:val="en-US"/>
        </w:rPr>
        <w:t>the primary growth of individual microbe based on Average European Diet (AED)</w:t>
      </w:r>
      <w:r w:rsidR="00A91599">
        <w:rPr>
          <w:rFonts w:asciiTheme="majorHAnsi" w:hAnsiTheme="majorHAnsi" w:cstheme="majorHAnsi"/>
          <w:sz w:val="24"/>
          <w:szCs w:val="24"/>
          <w:lang w:val="en-US"/>
        </w:rPr>
        <w:fldChar w:fldCharType="begin"/>
      </w:r>
      <w:r w:rsidR="00A91599">
        <w:rPr>
          <w:rFonts w:asciiTheme="majorHAnsi" w:hAnsiTheme="majorHAnsi" w:cstheme="majorHAnsi"/>
          <w:sz w:val="24"/>
          <w:szCs w:val="24"/>
          <w:lang w:val="en-US"/>
        </w:rPr>
        <w:instrText xml:space="preserve"> ADDIN EN.CITE &lt;EndNote&gt;&lt;Cite&gt;&lt;Author&gt;Magnúsdóttir&lt;/Author&gt;&lt;Year&gt;2017&lt;/Year&gt;&lt;RecNum&gt;23&lt;/RecNum&gt;&lt;DisplayText&gt;&lt;style face="superscript"&gt;2&lt;/style&gt;&lt;/DisplayText&gt;&lt;record&gt;&lt;rec-number&gt;23&lt;/rec-number&gt;&lt;foreign-keys&gt;&lt;key app="EN" db-id="wdrzpw5vgw0z07ewf27pdzf7fwpw25pf5d2w" timestamp="1571381982"&gt;23&lt;/key&gt;&lt;/foreign-keys&gt;&lt;ref-type name="Journal Article"&gt;17&lt;/ref-type&gt;&lt;contributors&gt;&lt;authors&gt;&lt;author&gt;Magnúsdóttir, Stefanía&lt;/author&gt;&lt;author&gt;Heinken, Almut&lt;/author&gt;&lt;author&gt;Kutt, Laura&lt;/author&gt;&lt;author&gt;Ravcheev, Dmitry A&lt;/author&gt;&lt;author&gt;Bauer, Eugen&lt;/author&gt;&lt;author&gt;Noronha, Alberto&lt;/author&gt;&lt;author&gt;Greenhalgh, Kacy&lt;/author&gt;&lt;author&gt;Jäger, Christian&lt;/author&gt;&lt;author&gt;Baginska, Joanna&lt;/author&gt;&lt;author&gt;Wilmes, Paul&lt;/author&gt;&lt;/authors&gt;&lt;/contributors&gt;&lt;titles&gt;&lt;title&gt;Generation of genome-scale metabolic reconstructions for 773 members of the human gut microbiota&lt;/title&gt;&lt;secondary-title&gt;Nature biotechnology&lt;/secondary-title&gt;&lt;/titles&gt;&lt;periodical&gt;&lt;full-title&gt;Nature Biotechnology&lt;/full-title&gt;&lt;abbr-1&gt;Nat. Biotechnol.&lt;/abbr-1&gt;&lt;abbr-2&gt;Nat Biotechnol&lt;/abbr-2&gt;&lt;/periodical&gt;&lt;pages&gt;81&lt;/pages&gt;&lt;volume&gt;35&lt;/volume&gt;&lt;number&gt;1&lt;/number&gt;&lt;dates&gt;&lt;year&gt;2017&lt;/year&gt;&lt;/dates&gt;&lt;isbn&gt;1546-1696&lt;/isbn&gt;&lt;urls&gt;&lt;/urls&gt;&lt;/record&gt;&lt;/Cite&gt;&lt;/EndNote&gt;</w:instrText>
      </w:r>
      <w:r w:rsidR="00A91599">
        <w:rPr>
          <w:rFonts w:asciiTheme="majorHAnsi" w:hAnsiTheme="majorHAnsi" w:cstheme="majorHAnsi"/>
          <w:sz w:val="24"/>
          <w:szCs w:val="24"/>
          <w:lang w:val="en-US"/>
        </w:rPr>
        <w:fldChar w:fldCharType="separate"/>
      </w:r>
      <w:r w:rsidR="00A91599" w:rsidRPr="00A91599">
        <w:rPr>
          <w:rFonts w:asciiTheme="majorHAnsi" w:hAnsiTheme="majorHAnsi" w:cstheme="majorHAnsi"/>
          <w:noProof/>
          <w:sz w:val="24"/>
          <w:szCs w:val="24"/>
          <w:vertAlign w:val="superscript"/>
          <w:lang w:val="en-US"/>
        </w:rPr>
        <w:t>2</w:t>
      </w:r>
      <w:r w:rsidR="00A91599">
        <w:rPr>
          <w:rFonts w:asciiTheme="majorHAnsi" w:hAnsiTheme="majorHAnsi" w:cstheme="majorHAnsi"/>
          <w:sz w:val="24"/>
          <w:szCs w:val="24"/>
          <w:lang w:val="en-US"/>
        </w:rPr>
        <w:fldChar w:fldCharType="end"/>
      </w:r>
      <w:r w:rsidRPr="00A654CF">
        <w:rPr>
          <w:rFonts w:asciiTheme="majorHAnsi" w:hAnsiTheme="majorHAnsi" w:cstheme="majorHAnsi"/>
          <w:sz w:val="24"/>
          <w:szCs w:val="24"/>
          <w:lang w:val="en-US"/>
        </w:rPr>
        <w:t>, (ii) Microbe-microbe pairing (co-growth) to determine the joint ability of the microbes for BA biotransformation, and (iii) Personalized community mode</w:t>
      </w:r>
      <w:r w:rsidR="00E42B70" w:rsidRPr="00A654CF">
        <w:rPr>
          <w:rFonts w:asciiTheme="majorHAnsi" w:hAnsiTheme="majorHAnsi" w:cstheme="majorHAnsi"/>
          <w:sz w:val="24"/>
          <w:szCs w:val="24"/>
          <w:lang w:val="en-US"/>
        </w:rPr>
        <w:t>l</w:t>
      </w:r>
      <w:r w:rsidRPr="00A654CF">
        <w:rPr>
          <w:rFonts w:asciiTheme="majorHAnsi" w:hAnsiTheme="majorHAnsi" w:cstheme="majorHAnsi"/>
          <w:sz w:val="24"/>
          <w:szCs w:val="24"/>
          <w:lang w:val="en-US"/>
        </w:rPr>
        <w:t>ing at an individual (obese or non-obese)</w:t>
      </w:r>
      <w:r w:rsidR="00C93B82" w:rsidRPr="00A654CF">
        <w:rPr>
          <w:rFonts w:asciiTheme="majorHAnsi" w:hAnsiTheme="majorHAnsi" w:cstheme="majorHAnsi"/>
          <w:sz w:val="24"/>
          <w:szCs w:val="24"/>
          <w:lang w:val="en-US"/>
        </w:rPr>
        <w:t xml:space="preserve"> level using metagenomics data.</w:t>
      </w:r>
      <w:r w:rsidRPr="00A654CF">
        <w:rPr>
          <w:rFonts w:asciiTheme="majorHAnsi" w:hAnsiTheme="majorHAnsi" w:cstheme="majorHAnsi"/>
          <w:sz w:val="24"/>
          <w:szCs w:val="24"/>
          <w:lang w:val="en-US"/>
        </w:rPr>
        <w:t xml:space="preserve"> GSMM was performed using COBRA Toolbox</w:t>
      </w:r>
      <w:r w:rsidR="004E2F54">
        <w:rPr>
          <w:rFonts w:asciiTheme="majorHAnsi" w:hAnsiTheme="majorHAnsi" w:cstheme="majorHAnsi"/>
          <w:sz w:val="24"/>
          <w:szCs w:val="24"/>
          <w:lang w:val="en-US"/>
        </w:rPr>
        <w:fldChar w:fldCharType="begin"/>
      </w:r>
      <w:r w:rsidR="004E2F54">
        <w:rPr>
          <w:rFonts w:asciiTheme="majorHAnsi" w:hAnsiTheme="majorHAnsi" w:cstheme="majorHAnsi"/>
          <w:sz w:val="24"/>
          <w:szCs w:val="24"/>
          <w:lang w:val="en-US"/>
        </w:rPr>
        <w:instrText xml:space="preserve"> ADDIN EN.CITE &lt;EndNote&gt;&lt;Cite&gt;&lt;Author&gt;Heirendt&lt;/Author&gt;&lt;Year&gt;2017&lt;/Year&gt;&lt;RecNum&gt;58&lt;/RecNum&gt;&lt;DisplayText&gt;&lt;style face="superscript"&gt;4&lt;/style&gt;&lt;/DisplayText&gt;&lt;record&gt;&lt;rec-number&gt;58&lt;/rec-number&gt;&lt;foreign-keys&gt;&lt;key app="EN" db-id="wdrzpw5vgw0z07ewf27pdzf7fwpw25pf5d2w" timestamp="1571382036"&gt;58&lt;/key&gt;&lt;/foreign-keys&gt;&lt;ref-type name="Journal Article"&gt;17&lt;/ref-type&gt;&lt;contributors&gt;&lt;authors&gt;&lt;author&gt;Heirendt, Laurent&lt;/author&gt;&lt;author&gt;Arreckx, Sylvain&lt;/author&gt;&lt;author&gt;Pfau, Thomas&lt;/author&gt;&lt;author&gt;Mendoza, Sebastian N&lt;/author&gt;&lt;author&gt;Richelle, Anne&lt;/author&gt;&lt;author&gt;Heinken, Almut&lt;/author&gt;&lt;author&gt;Haraldsdottir, Hulda S&lt;/author&gt;&lt;author&gt;Wachowiak, Jacek&lt;/author&gt;&lt;author&gt;Keating, Sarah M&lt;/author&gt;&lt;author&gt;Vlasov, Vanja&lt;/author&gt;&lt;/authors&gt;&lt;/contributors&gt;&lt;titles&gt;&lt;title&gt;Creation and analysis of biochemical constraint-based models: the COBRA Toolbox v3. 0&lt;/title&gt;&lt;secondary-title&gt;arXiv preprint arXiv:1710.04038&lt;/secondary-title&gt;&lt;/titles&gt;&lt;dates&gt;&lt;year&gt;2017&lt;/year&gt;&lt;/dates&gt;&lt;urls&gt;&lt;/urls&gt;&lt;/record&gt;&lt;/Cite&gt;&lt;/EndNote&gt;</w:instrText>
      </w:r>
      <w:r w:rsidR="004E2F54">
        <w:rPr>
          <w:rFonts w:asciiTheme="majorHAnsi" w:hAnsiTheme="majorHAnsi" w:cstheme="majorHAnsi"/>
          <w:sz w:val="24"/>
          <w:szCs w:val="24"/>
          <w:lang w:val="en-US"/>
        </w:rPr>
        <w:fldChar w:fldCharType="separate"/>
      </w:r>
      <w:r w:rsidR="004E2F54" w:rsidRPr="004E2F54">
        <w:rPr>
          <w:rFonts w:asciiTheme="majorHAnsi" w:hAnsiTheme="majorHAnsi" w:cstheme="majorHAnsi"/>
          <w:noProof/>
          <w:sz w:val="24"/>
          <w:szCs w:val="24"/>
          <w:vertAlign w:val="superscript"/>
          <w:lang w:val="en-US"/>
        </w:rPr>
        <w:t>4</w:t>
      </w:r>
      <w:r w:rsidR="004E2F54">
        <w:rPr>
          <w:rFonts w:asciiTheme="majorHAnsi" w:hAnsiTheme="majorHAnsi" w:cstheme="majorHAnsi"/>
          <w:sz w:val="24"/>
          <w:szCs w:val="24"/>
          <w:lang w:val="en-US"/>
        </w:rPr>
        <w:fldChar w:fldCharType="end"/>
      </w:r>
      <w:r w:rsidRPr="00A654CF">
        <w:rPr>
          <w:rFonts w:asciiTheme="majorHAnsi" w:hAnsiTheme="majorHAnsi" w:cstheme="majorHAnsi"/>
          <w:sz w:val="24"/>
          <w:szCs w:val="24"/>
          <w:lang w:val="en-US"/>
        </w:rPr>
        <w:t xml:space="preserve"> deployed in MATLAB </w:t>
      </w:r>
      <w:r w:rsidRPr="00A654CF">
        <w:rPr>
          <w:rFonts w:asciiTheme="majorHAnsi" w:hAnsiTheme="majorHAnsi" w:cstheme="majorHAnsi"/>
          <w:i/>
          <w:sz w:val="24"/>
          <w:szCs w:val="24"/>
          <w:lang w:val="en-US"/>
        </w:rPr>
        <w:t xml:space="preserve">Inc., </w:t>
      </w:r>
      <w:r w:rsidRPr="00A654CF">
        <w:rPr>
          <w:rFonts w:asciiTheme="majorHAnsi" w:hAnsiTheme="majorHAnsi" w:cstheme="majorHAnsi"/>
          <w:sz w:val="24"/>
          <w:szCs w:val="24"/>
          <w:lang w:val="en-US"/>
        </w:rPr>
        <w:t xml:space="preserve">version R2017a. </w:t>
      </w:r>
    </w:p>
    <w:p w14:paraId="0A5EAADE" w14:textId="77777777" w:rsidR="00231265" w:rsidRPr="00A654CF" w:rsidRDefault="00231265" w:rsidP="00231265">
      <w:pPr>
        <w:spacing w:after="0" w:line="276" w:lineRule="auto"/>
        <w:ind w:firstLine="0"/>
        <w:rPr>
          <w:rFonts w:asciiTheme="majorHAnsi" w:hAnsiTheme="majorHAnsi" w:cstheme="majorHAnsi"/>
          <w:sz w:val="24"/>
          <w:szCs w:val="24"/>
          <w:lang w:val="en-US"/>
        </w:rPr>
      </w:pPr>
    </w:p>
    <w:p w14:paraId="37AC6EA7" w14:textId="6B1AC3F3" w:rsidR="0028696C" w:rsidRPr="00A654CF" w:rsidRDefault="00AA31BD" w:rsidP="00132A87">
      <w:pPr>
        <w:pStyle w:val="Heading4"/>
        <w:spacing w:before="0" w:after="0" w:line="276" w:lineRule="auto"/>
        <w:ind w:firstLine="0"/>
        <w:rPr>
          <w:rFonts w:asciiTheme="majorHAnsi" w:hAnsiTheme="majorHAnsi" w:cstheme="majorHAnsi"/>
          <w:lang w:val="en-US"/>
        </w:rPr>
      </w:pPr>
      <w:bookmarkStart w:id="1" w:name="_upftljughl10" w:colFirst="0" w:colLast="0"/>
      <w:bookmarkEnd w:id="1"/>
      <w:r w:rsidRPr="00A654CF">
        <w:rPr>
          <w:rFonts w:asciiTheme="majorHAnsi" w:hAnsiTheme="majorHAnsi" w:cstheme="majorHAnsi"/>
          <w:lang w:val="en-US"/>
        </w:rPr>
        <w:t xml:space="preserve">Analyses of intestinal microbial communities in 283 Danish adults applying the genome-scale metabolic </w:t>
      </w:r>
      <w:r w:rsidR="007E1DB9">
        <w:rPr>
          <w:rFonts w:asciiTheme="majorHAnsi" w:hAnsiTheme="majorHAnsi" w:cstheme="majorHAnsi"/>
          <w:lang w:val="en-US"/>
        </w:rPr>
        <w:t xml:space="preserve">modeling </w:t>
      </w:r>
      <w:r w:rsidRPr="00A654CF">
        <w:rPr>
          <w:rFonts w:asciiTheme="majorHAnsi" w:hAnsiTheme="majorHAnsi" w:cstheme="majorHAnsi"/>
          <w:lang w:val="en-US"/>
        </w:rPr>
        <w:t xml:space="preserve">tool </w:t>
      </w:r>
      <w:r w:rsidR="00593BEA" w:rsidRPr="00A654CF">
        <w:rPr>
          <w:rFonts w:asciiTheme="majorHAnsi" w:hAnsiTheme="majorHAnsi" w:cstheme="majorHAnsi"/>
          <w:lang w:val="en-US"/>
        </w:rPr>
        <w:t xml:space="preserve">combined with </w:t>
      </w:r>
      <w:r w:rsidRPr="00A654CF">
        <w:rPr>
          <w:rFonts w:asciiTheme="majorHAnsi" w:hAnsiTheme="majorHAnsi" w:cstheme="majorHAnsi"/>
          <w:lang w:val="en-US"/>
        </w:rPr>
        <w:t xml:space="preserve">the AGORA compendium </w:t>
      </w:r>
    </w:p>
    <w:p w14:paraId="6D1DDDC6" w14:textId="0193AED5" w:rsidR="0028696C" w:rsidRDefault="00AA31BD" w:rsidP="000A0FA4">
      <w:pPr>
        <w:spacing w:after="0" w:line="276" w:lineRule="auto"/>
        <w:ind w:firstLine="0"/>
        <w:jc w:val="both"/>
        <w:rPr>
          <w:rFonts w:asciiTheme="majorHAnsi" w:hAnsiTheme="majorHAnsi" w:cstheme="majorHAnsi"/>
          <w:sz w:val="24"/>
          <w:szCs w:val="24"/>
          <w:lang w:val="en-US"/>
        </w:rPr>
      </w:pPr>
      <w:r w:rsidRPr="00A654CF">
        <w:rPr>
          <w:rFonts w:asciiTheme="majorHAnsi" w:hAnsiTheme="majorHAnsi" w:cstheme="majorHAnsi"/>
          <w:sz w:val="24"/>
          <w:szCs w:val="24"/>
          <w:lang w:val="en-US"/>
        </w:rPr>
        <w:t>All possible pairs among bacterial species were established using the ‘joinModelsPairwiseFromList()’ function implemented in the Microbiome Modeling Toolbox  (MMT)</w:t>
      </w:r>
      <w:r w:rsidR="00B82A09">
        <w:rPr>
          <w:rFonts w:asciiTheme="majorHAnsi" w:hAnsiTheme="majorHAnsi" w:cstheme="majorHAnsi"/>
          <w:sz w:val="24"/>
          <w:szCs w:val="24"/>
          <w:lang w:val="en-US"/>
        </w:rPr>
        <w:fldChar w:fldCharType="begin"/>
      </w:r>
      <w:r w:rsidR="00B82A09">
        <w:rPr>
          <w:rFonts w:asciiTheme="majorHAnsi" w:hAnsiTheme="majorHAnsi" w:cstheme="majorHAnsi"/>
          <w:sz w:val="24"/>
          <w:szCs w:val="24"/>
          <w:lang w:val="en-US"/>
        </w:rPr>
        <w:instrText xml:space="preserve"> ADDIN EN.CITE &lt;EndNote&gt;&lt;Cite&gt;&lt;Author&gt;Baldini&lt;/Author&gt;&lt;Year&gt;2018&lt;/Year&gt;&lt;RecNum&gt;51&lt;/RecNum&gt;&lt;DisplayText&gt;&lt;style face="superscript"&gt;5&lt;/style&gt;&lt;/DisplayText&gt;&lt;record&gt;&lt;rec-number&gt;51&lt;/rec-number&gt;&lt;foreign-keys&gt;&lt;key app="EN" db-id="wdrzpw5vgw0z07ewf27pdzf7fwpw25pf5d2w" timestamp="1571382029"&gt;51&lt;/key&gt;&lt;/foreign-keys&gt;&lt;ref-type name="Journal Article"&gt;17&lt;/ref-type&gt;&lt;contributors&gt;&lt;authors&gt;&lt;author&gt;Baldini, Federico&lt;/author&gt;&lt;author&gt;Heinken, Almut&lt;/author&gt;&lt;author&gt;Heirendt, Laurent&lt;/author&gt;&lt;author&gt;Magnusdottir, Stefania&lt;/author&gt;&lt;author&gt;Fleming, Ronan MT&lt;/author&gt;&lt;author&gt;Thiele, Ines&lt;/author&gt;&lt;/authors&gt;&lt;/contributors&gt;&lt;titles&gt;&lt;title&gt;The Microbiome Modeling Toolbox: from microbial interactions to personalized microbial communities&lt;/title&gt;&lt;secondary-title&gt;Bioinformatics&lt;/secondary-title&gt;&lt;/titles&gt;&lt;periodical&gt;&lt;full-title&gt;Bioinformatics&lt;/full-title&gt;&lt;abbr-1&gt;Bioinformatics&lt;/abbr-1&gt;&lt;abbr-2&gt;Bioinformatics&lt;/abbr-2&gt;&lt;/periodical&gt;&lt;pages&gt;2332-2334&lt;/pages&gt;&lt;volume&gt;35&lt;/volume&gt;&lt;number&gt;13&lt;/number&gt;&lt;dates&gt;&lt;year&gt;2018&lt;/year&gt;&lt;/dates&gt;&lt;isbn&gt;1367-4803&lt;/isbn&gt;&lt;urls&gt;&lt;/urls&gt;&lt;/record&gt;&lt;/Cite&gt;&lt;/EndNote&gt;</w:instrText>
      </w:r>
      <w:r w:rsidR="00B82A09">
        <w:rPr>
          <w:rFonts w:asciiTheme="majorHAnsi" w:hAnsiTheme="majorHAnsi" w:cstheme="majorHAnsi"/>
          <w:sz w:val="24"/>
          <w:szCs w:val="24"/>
          <w:lang w:val="en-US"/>
        </w:rPr>
        <w:fldChar w:fldCharType="separate"/>
      </w:r>
      <w:r w:rsidR="00B82A09" w:rsidRPr="00B82A09">
        <w:rPr>
          <w:rFonts w:asciiTheme="majorHAnsi" w:hAnsiTheme="majorHAnsi" w:cstheme="majorHAnsi"/>
          <w:noProof/>
          <w:sz w:val="24"/>
          <w:szCs w:val="24"/>
          <w:vertAlign w:val="superscript"/>
          <w:lang w:val="en-US"/>
        </w:rPr>
        <w:t>5</w:t>
      </w:r>
      <w:r w:rsidR="00B82A09">
        <w:rPr>
          <w:rFonts w:asciiTheme="majorHAnsi" w:hAnsiTheme="majorHAnsi" w:cstheme="majorHAnsi"/>
          <w:sz w:val="24"/>
          <w:szCs w:val="24"/>
          <w:lang w:val="en-US"/>
        </w:rPr>
        <w:fldChar w:fldCharType="end"/>
      </w:r>
      <w:r w:rsidRPr="00A654CF">
        <w:rPr>
          <w:rFonts w:asciiTheme="majorHAnsi" w:hAnsiTheme="majorHAnsi" w:cstheme="majorHAnsi"/>
          <w:sz w:val="24"/>
          <w:szCs w:val="24"/>
          <w:lang w:val="en-US"/>
        </w:rPr>
        <w:t>. An ‘unknown’ model that contains common reactions and metabolites of the abundant species (MGSs with &gt; 500 genes) other than the 26 identified bacteria was added. The model maintains the repertoire of metabolic reactions in the gut ecosystem, which is otherwise under-determined. A common</w:t>
      </w:r>
      <w:r w:rsidR="004325B7">
        <w:rPr>
          <w:rFonts w:asciiTheme="majorHAnsi" w:hAnsiTheme="majorHAnsi" w:cstheme="majorHAnsi"/>
          <w:sz w:val="24"/>
          <w:szCs w:val="24"/>
          <w:lang w:val="en-US"/>
        </w:rPr>
        <w:t xml:space="preserve"> </w:t>
      </w:r>
      <w:r w:rsidRPr="00A654CF">
        <w:rPr>
          <w:rFonts w:asciiTheme="majorHAnsi" w:hAnsiTheme="majorHAnsi" w:cstheme="majorHAnsi"/>
          <w:sz w:val="24"/>
          <w:szCs w:val="24"/>
          <w:lang w:val="en-US"/>
        </w:rPr>
        <w:t>luminal compartment ‘[u]’ was introduced that enabled metabolite exchanges and cross-feeding between the bacteria (</w:t>
      </w:r>
      <w:r w:rsidRPr="00A654CF">
        <w:rPr>
          <w:rFonts w:asciiTheme="majorHAnsi" w:hAnsiTheme="majorHAnsi" w:cstheme="majorHAnsi"/>
          <w:b/>
          <w:sz w:val="24"/>
          <w:szCs w:val="24"/>
          <w:lang w:val="en-US"/>
        </w:rPr>
        <w:t>Supplementary Figure 8</w:t>
      </w:r>
      <w:r w:rsidRPr="00A654CF">
        <w:rPr>
          <w:rFonts w:asciiTheme="majorHAnsi" w:hAnsiTheme="majorHAnsi" w:cstheme="majorHAnsi"/>
          <w:sz w:val="24"/>
          <w:szCs w:val="24"/>
          <w:lang w:val="en-US"/>
        </w:rPr>
        <w:t xml:space="preserve">). The composition of the Average European Diet (AED) was retrieved from Virtual Metabolic Human (VMH; https://www.vmh.life/). The intestinal luminal uptake rates were constrained by the dietary fluxes using ‘useDiet()’. The paired models were allowed to exchange conjugated bile acids (BAs) while the uptake of other metabolites was limited. Different types of metabolic interactions were estimated by ‘simulatePairwiseInteractions()’ deployed in MMT with a minimum growth rate difference of 10% between </w:t>
      </w:r>
      <w:r w:rsidR="004325B7">
        <w:rPr>
          <w:rFonts w:asciiTheme="majorHAnsi" w:hAnsiTheme="majorHAnsi" w:cstheme="majorHAnsi"/>
          <w:sz w:val="24"/>
          <w:szCs w:val="24"/>
          <w:lang w:val="en-US"/>
        </w:rPr>
        <w:t>the microbes</w:t>
      </w:r>
      <w:r w:rsidRPr="00A654CF">
        <w:rPr>
          <w:rFonts w:asciiTheme="majorHAnsi" w:hAnsiTheme="majorHAnsi" w:cstheme="majorHAnsi"/>
          <w:sz w:val="24"/>
          <w:szCs w:val="24"/>
          <w:lang w:val="en-US"/>
        </w:rPr>
        <w:t xml:space="preserve">. Each </w:t>
      </w:r>
      <w:r w:rsidR="004325B7">
        <w:rPr>
          <w:rFonts w:asciiTheme="majorHAnsi" w:hAnsiTheme="majorHAnsi" w:cstheme="majorHAnsi"/>
          <w:sz w:val="24"/>
          <w:szCs w:val="24"/>
          <w:lang w:val="en-US"/>
        </w:rPr>
        <w:t xml:space="preserve">microbial </w:t>
      </w:r>
      <w:r w:rsidRPr="00A654CF">
        <w:rPr>
          <w:rFonts w:asciiTheme="majorHAnsi" w:hAnsiTheme="majorHAnsi" w:cstheme="majorHAnsi"/>
          <w:sz w:val="24"/>
          <w:szCs w:val="24"/>
          <w:lang w:val="en-US"/>
        </w:rPr>
        <w:t>model</w:t>
      </w:r>
      <w:r w:rsidR="004325B7">
        <w:rPr>
          <w:rFonts w:asciiTheme="majorHAnsi" w:hAnsiTheme="majorHAnsi" w:cstheme="majorHAnsi"/>
          <w:sz w:val="24"/>
          <w:szCs w:val="24"/>
          <w:lang w:val="en-US"/>
        </w:rPr>
        <w:t xml:space="preserve"> (GEM)</w:t>
      </w:r>
      <w:r w:rsidRPr="00A654CF">
        <w:rPr>
          <w:rFonts w:asciiTheme="majorHAnsi" w:hAnsiTheme="majorHAnsi" w:cstheme="majorHAnsi"/>
          <w:sz w:val="24"/>
          <w:szCs w:val="24"/>
          <w:lang w:val="en-US"/>
        </w:rPr>
        <w:t xml:space="preserve"> was allowed to grow on its own and as a pair under anaerobic conditions. Flux Variability Analysis (FVA) using ‘fastFVA()’</w:t>
      </w:r>
      <w:r w:rsidR="00432B4B">
        <w:rPr>
          <w:rFonts w:asciiTheme="majorHAnsi" w:hAnsiTheme="majorHAnsi" w:cstheme="majorHAnsi"/>
          <w:sz w:val="24"/>
          <w:szCs w:val="24"/>
          <w:lang w:val="en-US"/>
        </w:rPr>
        <w:fldChar w:fldCharType="begin"/>
      </w:r>
      <w:r w:rsidR="00432B4B">
        <w:rPr>
          <w:rFonts w:asciiTheme="majorHAnsi" w:hAnsiTheme="majorHAnsi" w:cstheme="majorHAnsi"/>
          <w:sz w:val="24"/>
          <w:szCs w:val="24"/>
          <w:lang w:val="en-US"/>
        </w:rPr>
        <w:instrText xml:space="preserve"> ADDIN EN.CITE &lt;EndNote&gt;&lt;Cite&gt;&lt;Author&gt;Gudmundsson&lt;/Author&gt;&lt;Year&gt;2010&lt;/Year&gt;&lt;RecNum&gt;52&lt;/RecNum&gt;&lt;DisplayText&gt;&lt;style face="superscript"&gt;6&lt;/style&gt;&lt;/DisplayText&gt;&lt;record&gt;&lt;rec-number&gt;52&lt;/rec-number&gt;&lt;foreign-keys&gt;&lt;key app="EN" db-id="wdrzpw5vgw0z07ewf27pdzf7fwpw25pf5d2w" timestamp="1571382030"&gt;52&lt;/key&gt;&lt;/foreign-keys&gt;&lt;ref-type name="Journal Article"&gt;17&lt;/ref-type&gt;&lt;contributors&gt;&lt;authors&gt;&lt;author&gt;Gudmundsson, Steinn&lt;/author&gt;&lt;author&gt;Thiele, Ines&lt;/author&gt;&lt;/authors&gt;&lt;/contributors&gt;&lt;titles&gt;&lt;title&gt;Computationally efficient flux variability analysis&lt;/title&gt;&lt;secondary-title&gt;BMC bioinformatics&lt;/secondary-title&gt;&lt;/titles&gt;&lt;periodical&gt;&lt;full-title&gt;BMC Bioinformatics&lt;/full-title&gt;&lt;abbr-1&gt;BMC Bioinformatics&lt;/abbr-1&gt;&lt;abbr-2&gt;BMC Bioinformatics&lt;/abbr-2&gt;&lt;/periodical&gt;&lt;pages&gt;489&lt;/pages&gt;&lt;volume&gt;11&lt;/volume&gt;&lt;number&gt;1&lt;/number&gt;&lt;dates&gt;&lt;year&gt;2010&lt;/year&gt;&lt;/dates&gt;&lt;isbn&gt;1471-2105&lt;/isbn&gt;&lt;urls&gt;&lt;/urls&gt;&lt;/record&gt;&lt;/Cite&gt;&lt;/EndNote&gt;</w:instrText>
      </w:r>
      <w:r w:rsidR="00432B4B">
        <w:rPr>
          <w:rFonts w:asciiTheme="majorHAnsi" w:hAnsiTheme="majorHAnsi" w:cstheme="majorHAnsi"/>
          <w:sz w:val="24"/>
          <w:szCs w:val="24"/>
          <w:lang w:val="en-US"/>
        </w:rPr>
        <w:fldChar w:fldCharType="separate"/>
      </w:r>
      <w:r w:rsidR="00432B4B" w:rsidRPr="00432B4B">
        <w:rPr>
          <w:rFonts w:asciiTheme="majorHAnsi" w:hAnsiTheme="majorHAnsi" w:cstheme="majorHAnsi"/>
          <w:noProof/>
          <w:sz w:val="24"/>
          <w:szCs w:val="24"/>
          <w:vertAlign w:val="superscript"/>
          <w:lang w:val="en-US"/>
        </w:rPr>
        <w:t>6</w:t>
      </w:r>
      <w:r w:rsidR="00432B4B">
        <w:rPr>
          <w:rFonts w:asciiTheme="majorHAnsi" w:hAnsiTheme="majorHAnsi" w:cstheme="majorHAnsi"/>
          <w:sz w:val="24"/>
          <w:szCs w:val="24"/>
          <w:lang w:val="en-US"/>
        </w:rPr>
        <w:fldChar w:fldCharType="end"/>
      </w:r>
      <w:r w:rsidRPr="00A654CF">
        <w:rPr>
          <w:rFonts w:asciiTheme="majorHAnsi" w:hAnsiTheme="majorHAnsi" w:cstheme="majorHAnsi"/>
          <w:sz w:val="24"/>
          <w:szCs w:val="24"/>
          <w:lang w:val="en-US"/>
        </w:rPr>
        <w:t xml:space="preserve"> was performed to assess maximum and minimum fluxes incurred by BA reactions in the paired </w:t>
      </w:r>
      <w:r w:rsidRPr="00A654CF">
        <w:rPr>
          <w:rFonts w:asciiTheme="majorHAnsi" w:hAnsiTheme="majorHAnsi" w:cstheme="majorHAnsi"/>
          <w:sz w:val="24"/>
          <w:szCs w:val="24"/>
          <w:lang w:val="en-US"/>
        </w:rPr>
        <w:lastRenderedPageBreak/>
        <w:t>model and the flux span was estimated. The paired models that carried fluxes through the BA exchange reactions were selected and grouped by their genus.</w:t>
      </w:r>
    </w:p>
    <w:p w14:paraId="191E3CA5" w14:textId="77777777" w:rsidR="00AD06EE" w:rsidRPr="00A654CF" w:rsidRDefault="00AD06EE" w:rsidP="000A0FA4">
      <w:pPr>
        <w:spacing w:after="0" w:line="276" w:lineRule="auto"/>
        <w:ind w:firstLine="0"/>
        <w:jc w:val="both"/>
        <w:rPr>
          <w:rFonts w:asciiTheme="majorHAnsi" w:hAnsiTheme="majorHAnsi" w:cstheme="majorHAnsi"/>
          <w:sz w:val="24"/>
          <w:szCs w:val="24"/>
          <w:lang w:val="en-US"/>
        </w:rPr>
      </w:pPr>
    </w:p>
    <w:p w14:paraId="2D3AE642" w14:textId="62C4621F" w:rsidR="00AD06EE" w:rsidRDefault="00AA31BD" w:rsidP="00AD06EE">
      <w:pPr>
        <w:spacing w:line="276" w:lineRule="auto"/>
        <w:ind w:firstLine="0"/>
        <w:jc w:val="both"/>
        <w:rPr>
          <w:rFonts w:asciiTheme="majorHAnsi" w:hAnsiTheme="majorHAnsi" w:cstheme="majorHAnsi"/>
          <w:color w:val="000000"/>
          <w:sz w:val="24"/>
          <w:szCs w:val="24"/>
          <w:lang w:val="en-US"/>
        </w:rPr>
      </w:pPr>
      <w:r w:rsidRPr="00A654CF">
        <w:rPr>
          <w:rFonts w:asciiTheme="majorHAnsi" w:hAnsiTheme="majorHAnsi" w:cstheme="majorHAnsi"/>
          <w:sz w:val="24"/>
          <w:szCs w:val="24"/>
          <w:lang w:val="en-US"/>
        </w:rPr>
        <w:t xml:space="preserve">Several metabolic reconstruction/models </w:t>
      </w:r>
      <w:r w:rsidRPr="00A654CF">
        <w:rPr>
          <w:rFonts w:asciiTheme="majorHAnsi" w:hAnsiTheme="majorHAnsi" w:cstheme="majorHAnsi"/>
          <w:color w:val="000000"/>
          <w:sz w:val="24"/>
          <w:szCs w:val="24"/>
          <w:lang w:val="en-US"/>
        </w:rPr>
        <w:t>such as Recon3</w:t>
      </w:r>
      <w:r w:rsidRPr="00A654CF">
        <w:rPr>
          <w:rFonts w:asciiTheme="majorHAnsi" w:hAnsiTheme="majorHAnsi" w:cstheme="majorHAnsi"/>
          <w:sz w:val="24"/>
          <w:szCs w:val="24"/>
          <w:lang w:val="en-US"/>
        </w:rPr>
        <w:t>D</w:t>
      </w:r>
      <w:r w:rsidR="001A1302">
        <w:rPr>
          <w:rFonts w:asciiTheme="majorHAnsi" w:hAnsiTheme="majorHAnsi" w:cstheme="majorHAnsi"/>
          <w:sz w:val="24"/>
          <w:szCs w:val="24"/>
          <w:lang w:val="en-US"/>
        </w:rPr>
        <w:fldChar w:fldCharType="begin"/>
      </w:r>
      <w:r w:rsidR="001A1302">
        <w:rPr>
          <w:rFonts w:asciiTheme="majorHAnsi" w:hAnsiTheme="majorHAnsi" w:cstheme="majorHAnsi"/>
          <w:sz w:val="24"/>
          <w:szCs w:val="24"/>
          <w:lang w:val="en-US"/>
        </w:rPr>
        <w:instrText xml:space="preserve"> ADDIN EN.CITE &lt;EndNote&gt;&lt;Cite&gt;&lt;Author&gt;Brunk&lt;/Author&gt;&lt;Year&gt;2018&lt;/Year&gt;&lt;RecNum&gt;95&lt;/RecNum&gt;&lt;DisplayText&gt;&lt;style face="superscript"&gt;7&lt;/style&gt;&lt;/DisplayText&gt;&lt;record&gt;&lt;rec-number&gt;95&lt;/rec-number&gt;&lt;foreign-keys&gt;&lt;key app="EN" db-id="wdrzpw5vgw0z07ewf27pdzf7fwpw25pf5d2w" timestamp="1576224161"&gt;95&lt;/key&gt;&lt;/foreign-keys&gt;&lt;ref-type name="Journal Article"&gt;17&lt;/ref-type&gt;&lt;contributors&gt;&lt;authors&gt;&lt;author&gt;Brunk, Elizabeth&lt;/author&gt;&lt;author&gt;Sahoo, Swagatika&lt;/author&gt;&lt;author&gt;Zielinski, Daniel C&lt;/author&gt;&lt;author&gt;Altunkaya, Ali&lt;/author&gt;&lt;author&gt;Dräger, Andreas&lt;/author&gt;&lt;author&gt;Mih, Nathan&lt;/author&gt;&lt;author&gt;Gatto, Francesco&lt;/author&gt;&lt;author&gt;Nilsson, Avlant&lt;/author&gt;&lt;author&gt;Gonzalez, German Andres Preciat&lt;/author&gt;&lt;author&gt;Aurich, Maike Kathrin&lt;/author&gt;&lt;/authors&gt;&lt;/contributors&gt;&lt;titles&gt;&lt;title&gt;Recon3D enables a three-dimensional view of gene variation in human metabolism&lt;/title&gt;&lt;secondary-title&gt;Nature biotechnology&lt;/secondary-title&gt;&lt;/titles&gt;&lt;periodical&gt;&lt;full-title&gt;Nature Biotechnology&lt;/full-title&gt;&lt;abbr-1&gt;Nat. Biotechnol.&lt;/abbr-1&gt;&lt;abbr-2&gt;Nat Biotechnol&lt;/abbr-2&gt;&lt;/periodical&gt;&lt;pages&gt;272&lt;/pages&gt;&lt;volume&gt;36&lt;/volume&gt;&lt;number&gt;3&lt;/number&gt;&lt;dates&gt;&lt;year&gt;2018&lt;/year&gt;&lt;/dates&gt;&lt;isbn&gt;1546-1696&lt;/isbn&gt;&lt;urls&gt;&lt;/urls&gt;&lt;/record&gt;&lt;/Cite&gt;&lt;/EndNote&gt;</w:instrText>
      </w:r>
      <w:r w:rsidR="001A1302">
        <w:rPr>
          <w:rFonts w:asciiTheme="majorHAnsi" w:hAnsiTheme="majorHAnsi" w:cstheme="majorHAnsi"/>
          <w:sz w:val="24"/>
          <w:szCs w:val="24"/>
          <w:lang w:val="en-US"/>
        </w:rPr>
        <w:fldChar w:fldCharType="separate"/>
      </w:r>
      <w:r w:rsidR="001A1302" w:rsidRPr="001A1302">
        <w:rPr>
          <w:rFonts w:asciiTheme="majorHAnsi" w:hAnsiTheme="majorHAnsi" w:cstheme="majorHAnsi"/>
          <w:noProof/>
          <w:sz w:val="24"/>
          <w:szCs w:val="24"/>
          <w:vertAlign w:val="superscript"/>
          <w:lang w:val="en-US"/>
        </w:rPr>
        <w:t>7</w:t>
      </w:r>
      <w:r w:rsidR="001A1302">
        <w:rPr>
          <w:rFonts w:asciiTheme="majorHAnsi" w:hAnsiTheme="majorHAnsi" w:cstheme="majorHAnsi"/>
          <w:sz w:val="24"/>
          <w:szCs w:val="24"/>
          <w:lang w:val="en-US"/>
        </w:rPr>
        <w:fldChar w:fldCharType="end"/>
      </w:r>
      <w:r w:rsidRPr="00A654CF">
        <w:rPr>
          <w:rFonts w:asciiTheme="majorHAnsi" w:hAnsiTheme="majorHAnsi" w:cstheme="majorHAnsi"/>
          <w:color w:val="000000"/>
          <w:sz w:val="24"/>
          <w:szCs w:val="24"/>
          <w:lang w:val="en-US"/>
        </w:rPr>
        <w:t>, the small intestinal epithelial cells– (sIECs</w:t>
      </w:r>
      <w:r w:rsidRPr="00A654CF">
        <w:rPr>
          <w:rFonts w:asciiTheme="majorHAnsi" w:hAnsiTheme="majorHAnsi" w:cstheme="majorHAnsi"/>
          <w:sz w:val="24"/>
          <w:szCs w:val="24"/>
          <w:lang w:val="en-US"/>
        </w:rPr>
        <w:t>)</w:t>
      </w:r>
      <w:r w:rsidR="001A1302">
        <w:rPr>
          <w:rFonts w:asciiTheme="majorHAnsi" w:hAnsiTheme="majorHAnsi" w:cstheme="majorHAnsi"/>
          <w:sz w:val="24"/>
          <w:szCs w:val="24"/>
          <w:lang w:val="en-US"/>
        </w:rPr>
        <w:fldChar w:fldCharType="begin"/>
      </w:r>
      <w:r w:rsidR="001A1302">
        <w:rPr>
          <w:rFonts w:asciiTheme="majorHAnsi" w:hAnsiTheme="majorHAnsi" w:cstheme="majorHAnsi"/>
          <w:sz w:val="24"/>
          <w:szCs w:val="24"/>
          <w:lang w:val="en-US"/>
        </w:rPr>
        <w:instrText xml:space="preserve"> ADDIN EN.CITE &lt;EndNote&gt;&lt;Cite&gt;&lt;Author&gt;Sahoo&lt;/Author&gt;&lt;Year&gt;2013&lt;/Year&gt;&lt;RecNum&gt;54&lt;/RecNum&gt;&lt;DisplayText&gt;&lt;style face="superscript"&gt;8&lt;/style&gt;&lt;/DisplayText&gt;&lt;record&gt;&lt;rec-number&gt;54&lt;/rec-number&gt;&lt;foreign-keys&gt;&lt;key app="EN" db-id="wdrzpw5vgw0z07ewf27pdzf7fwpw25pf5d2w" timestamp="1571382032"&gt;54&lt;/key&gt;&lt;/foreign-keys&gt;&lt;ref-type name="Journal Article"&gt;17&lt;/ref-type&gt;&lt;contributors&gt;&lt;authors&gt;&lt;author&gt;Sahoo, Swagatika&lt;/author&gt;&lt;author&gt;Thiele, Ines&lt;/author&gt;&lt;/authors&gt;&lt;/contributors&gt;&lt;titles&gt;&lt;title&gt;Predicting the impact of diet and enzymopathies on human small intestinal epithelial cells&lt;/title&gt;&lt;secondary-title&gt;Human molecular genetics&lt;/secondary-title&gt;&lt;/titles&gt;&lt;periodical&gt;&lt;full-title&gt;Human Molecular Genetics&lt;/full-title&gt;&lt;abbr-1&gt;Hum. Mol. Genet.&lt;/abbr-1&gt;&lt;abbr-2&gt;Hum Mol Genet&lt;/abbr-2&gt;&lt;/periodical&gt;&lt;pages&gt;2705-2722&lt;/pages&gt;&lt;volume&gt;22&lt;/volume&gt;&lt;number&gt;13&lt;/number&gt;&lt;dates&gt;&lt;year&gt;2013&lt;/year&gt;&lt;/dates&gt;&lt;isbn&gt;1460-2083&lt;/isbn&gt;&lt;urls&gt;&lt;/urls&gt;&lt;/record&gt;&lt;/Cite&gt;&lt;/EndNote&gt;</w:instrText>
      </w:r>
      <w:r w:rsidR="001A1302">
        <w:rPr>
          <w:rFonts w:asciiTheme="majorHAnsi" w:hAnsiTheme="majorHAnsi" w:cstheme="majorHAnsi"/>
          <w:sz w:val="24"/>
          <w:szCs w:val="24"/>
          <w:lang w:val="en-US"/>
        </w:rPr>
        <w:fldChar w:fldCharType="separate"/>
      </w:r>
      <w:r w:rsidR="001A1302" w:rsidRPr="001A1302">
        <w:rPr>
          <w:rFonts w:asciiTheme="majorHAnsi" w:hAnsiTheme="majorHAnsi" w:cstheme="majorHAnsi"/>
          <w:noProof/>
          <w:sz w:val="24"/>
          <w:szCs w:val="24"/>
          <w:vertAlign w:val="superscript"/>
          <w:lang w:val="en-US"/>
        </w:rPr>
        <w:t>8</w:t>
      </w:r>
      <w:r w:rsidR="001A1302">
        <w:rPr>
          <w:rFonts w:asciiTheme="majorHAnsi" w:hAnsiTheme="majorHAnsi" w:cstheme="majorHAnsi"/>
          <w:sz w:val="24"/>
          <w:szCs w:val="24"/>
          <w:lang w:val="en-US"/>
        </w:rPr>
        <w:fldChar w:fldCharType="end"/>
      </w:r>
      <w:r w:rsidRPr="00A654CF">
        <w:rPr>
          <w:rFonts w:asciiTheme="majorHAnsi" w:hAnsiTheme="majorHAnsi" w:cstheme="majorHAnsi"/>
          <w:sz w:val="24"/>
          <w:szCs w:val="24"/>
          <w:lang w:val="en-US"/>
        </w:rPr>
        <w:t xml:space="preserve"> </w:t>
      </w:r>
      <w:r w:rsidRPr="00A654CF">
        <w:rPr>
          <w:rFonts w:asciiTheme="majorHAnsi" w:hAnsiTheme="majorHAnsi" w:cstheme="majorHAnsi"/>
          <w:color w:val="000000"/>
          <w:sz w:val="24"/>
          <w:szCs w:val="24"/>
          <w:lang w:val="en-US"/>
        </w:rPr>
        <w:t xml:space="preserve">model, </w:t>
      </w:r>
      <w:r w:rsidR="00593BEA" w:rsidRPr="00A654CF">
        <w:rPr>
          <w:rFonts w:asciiTheme="majorHAnsi" w:hAnsiTheme="majorHAnsi" w:cstheme="majorHAnsi"/>
          <w:color w:val="000000"/>
          <w:sz w:val="24"/>
          <w:szCs w:val="24"/>
          <w:lang w:val="en-US"/>
        </w:rPr>
        <w:t xml:space="preserve">and </w:t>
      </w:r>
      <w:r w:rsidRPr="00A654CF">
        <w:rPr>
          <w:rFonts w:asciiTheme="majorHAnsi" w:hAnsiTheme="majorHAnsi" w:cstheme="majorHAnsi"/>
          <w:color w:val="000000"/>
          <w:sz w:val="24"/>
          <w:szCs w:val="24"/>
          <w:lang w:val="en-US"/>
        </w:rPr>
        <w:t>the VMH database and bibliographic reference</w:t>
      </w:r>
      <w:r w:rsidRPr="00A654CF">
        <w:rPr>
          <w:rFonts w:asciiTheme="majorHAnsi" w:hAnsiTheme="majorHAnsi" w:cstheme="majorHAnsi"/>
          <w:sz w:val="24"/>
          <w:szCs w:val="24"/>
          <w:lang w:val="en-US"/>
        </w:rPr>
        <w:t>s</w:t>
      </w:r>
      <w:r w:rsidR="001A1302">
        <w:rPr>
          <w:rFonts w:asciiTheme="majorHAnsi" w:hAnsiTheme="majorHAnsi" w:cstheme="majorHAnsi"/>
          <w:sz w:val="24"/>
          <w:szCs w:val="24"/>
          <w:lang w:val="en-US"/>
        </w:rPr>
        <w:fldChar w:fldCharType="begin">
          <w:fldData xml:space="preserve">PEVuZE5vdGU+PENpdGU+PEF1dGhvcj5XYXRhbmFiZTwvQXV0aG9yPjxZZWFyPjIwMTc8L1llYXI+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</w:fldData>
        </w:fldChar>
      </w:r>
      <w:r w:rsidR="00B32D8C">
        <w:rPr>
          <w:rFonts w:asciiTheme="majorHAnsi" w:hAnsiTheme="majorHAnsi" w:cstheme="majorHAnsi"/>
          <w:sz w:val="24"/>
          <w:szCs w:val="24"/>
          <w:lang w:val="en-US"/>
        </w:rPr>
        <w:instrText xml:space="preserve"> ADDIN EN.CITE </w:instrText>
      </w:r>
      <w:r w:rsidR="00B32D8C">
        <w:rPr>
          <w:rFonts w:asciiTheme="majorHAnsi" w:hAnsiTheme="majorHAnsi" w:cstheme="majorHAnsi"/>
          <w:sz w:val="24"/>
          <w:szCs w:val="24"/>
          <w:lang w:val="en-US"/>
        </w:rPr>
        <w:fldChar w:fldCharType="begin">
          <w:fldData xml:space="preserve">PEVuZE5vdGU+PENpdGU+PEF1dGhvcj5XYXRhbmFiZTwvQXV0aG9yPjxZZWFyPjIwMTc8L1llYXI+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</w:fldData>
        </w:fldChar>
      </w:r>
      <w:r w:rsidR="00B32D8C">
        <w:rPr>
          <w:rFonts w:asciiTheme="majorHAnsi" w:hAnsiTheme="majorHAnsi" w:cstheme="majorHAnsi"/>
          <w:sz w:val="24"/>
          <w:szCs w:val="24"/>
          <w:lang w:val="en-US"/>
        </w:rPr>
        <w:instrText xml:space="preserve"> ADDIN EN.CITE.DATA </w:instrText>
      </w:r>
      <w:r w:rsidR="00B32D8C">
        <w:rPr>
          <w:rFonts w:asciiTheme="majorHAnsi" w:hAnsiTheme="majorHAnsi" w:cstheme="majorHAnsi"/>
          <w:sz w:val="24"/>
          <w:szCs w:val="24"/>
          <w:lang w:val="en-US"/>
        </w:rPr>
      </w:r>
      <w:r w:rsidR="00B32D8C">
        <w:rPr>
          <w:rFonts w:asciiTheme="majorHAnsi" w:hAnsiTheme="majorHAnsi" w:cstheme="majorHAnsi"/>
          <w:sz w:val="24"/>
          <w:szCs w:val="24"/>
          <w:lang w:val="en-US"/>
        </w:rPr>
        <w:fldChar w:fldCharType="end"/>
      </w:r>
      <w:r w:rsidR="001A1302">
        <w:rPr>
          <w:rFonts w:asciiTheme="majorHAnsi" w:hAnsiTheme="majorHAnsi" w:cstheme="majorHAnsi"/>
          <w:sz w:val="24"/>
          <w:szCs w:val="24"/>
          <w:lang w:val="en-US"/>
        </w:rPr>
      </w:r>
      <w:r w:rsidR="001A1302">
        <w:rPr>
          <w:rFonts w:asciiTheme="majorHAnsi" w:hAnsiTheme="majorHAnsi" w:cstheme="majorHAnsi"/>
          <w:sz w:val="24"/>
          <w:szCs w:val="24"/>
          <w:lang w:val="en-US"/>
        </w:rPr>
        <w:fldChar w:fldCharType="separate"/>
      </w:r>
      <w:r w:rsidR="001A1302" w:rsidRPr="001A1302">
        <w:rPr>
          <w:rFonts w:asciiTheme="majorHAnsi" w:hAnsiTheme="majorHAnsi" w:cstheme="majorHAnsi"/>
          <w:noProof/>
          <w:sz w:val="24"/>
          <w:szCs w:val="24"/>
          <w:vertAlign w:val="superscript"/>
          <w:lang w:val="en-US"/>
        </w:rPr>
        <w:t>9-11</w:t>
      </w:r>
      <w:r w:rsidR="001A1302">
        <w:rPr>
          <w:rFonts w:asciiTheme="majorHAnsi" w:hAnsiTheme="majorHAnsi" w:cstheme="majorHAnsi"/>
          <w:sz w:val="24"/>
          <w:szCs w:val="24"/>
          <w:lang w:val="en-US"/>
        </w:rPr>
        <w:fldChar w:fldCharType="end"/>
      </w:r>
      <w:r w:rsidRPr="00A654CF">
        <w:rPr>
          <w:rFonts w:asciiTheme="majorHAnsi" w:hAnsiTheme="majorHAnsi" w:cstheme="majorHAnsi"/>
          <w:color w:val="000000"/>
          <w:sz w:val="24"/>
          <w:szCs w:val="24"/>
          <w:lang w:val="en-US"/>
        </w:rPr>
        <w:t xml:space="preserve">, were </w:t>
      </w:r>
      <w:r w:rsidRPr="00A654CF">
        <w:rPr>
          <w:rFonts w:asciiTheme="majorHAnsi" w:hAnsiTheme="majorHAnsi" w:cstheme="majorHAnsi"/>
          <w:sz w:val="24"/>
          <w:szCs w:val="24"/>
          <w:lang w:val="en-US"/>
        </w:rPr>
        <w:t>mined</w:t>
      </w:r>
      <w:r w:rsidRPr="00A654CF">
        <w:rPr>
          <w:rFonts w:asciiTheme="majorHAnsi" w:hAnsiTheme="majorHAnsi" w:cstheme="majorHAnsi"/>
          <w:color w:val="000000"/>
          <w:sz w:val="24"/>
          <w:szCs w:val="24"/>
          <w:lang w:val="en-US"/>
        </w:rPr>
        <w:t xml:space="preserve"> and </w:t>
      </w:r>
      <w:r w:rsidR="009412BC" w:rsidRPr="00A654CF">
        <w:rPr>
          <w:rFonts w:asciiTheme="majorHAnsi" w:hAnsiTheme="majorHAnsi" w:cstheme="majorHAnsi"/>
          <w:color w:val="000000"/>
          <w:sz w:val="24"/>
          <w:szCs w:val="24"/>
          <w:lang w:val="en-US"/>
        </w:rPr>
        <w:t xml:space="preserve">putative </w:t>
      </w:r>
      <w:r w:rsidRPr="00A654CF">
        <w:rPr>
          <w:rFonts w:asciiTheme="majorHAnsi" w:hAnsiTheme="majorHAnsi" w:cstheme="majorHAnsi"/>
          <w:color w:val="000000"/>
          <w:sz w:val="24"/>
          <w:szCs w:val="24"/>
          <w:lang w:val="en-US"/>
        </w:rPr>
        <w:t xml:space="preserve">BA transporters in the human gut </w:t>
      </w:r>
      <w:r w:rsidRPr="00A654CF">
        <w:rPr>
          <w:rFonts w:asciiTheme="majorHAnsi" w:hAnsiTheme="majorHAnsi" w:cstheme="majorHAnsi"/>
          <w:sz w:val="24"/>
          <w:szCs w:val="24"/>
          <w:lang w:val="en-US"/>
        </w:rPr>
        <w:t>were</w:t>
      </w:r>
      <w:r w:rsidRPr="00A654CF">
        <w:rPr>
          <w:rFonts w:asciiTheme="majorHAnsi" w:hAnsiTheme="majorHAnsi" w:cstheme="majorHAnsi"/>
          <w:color w:val="000000"/>
          <w:sz w:val="24"/>
          <w:szCs w:val="24"/>
          <w:lang w:val="en-US"/>
        </w:rPr>
        <w:t xml:space="preserve"> identified. A </w:t>
      </w:r>
      <w:r w:rsidRPr="00A654CF">
        <w:rPr>
          <w:rFonts w:asciiTheme="majorHAnsi" w:hAnsiTheme="majorHAnsi" w:cstheme="majorHAnsi"/>
          <w:sz w:val="24"/>
          <w:szCs w:val="24"/>
          <w:lang w:val="en-US"/>
        </w:rPr>
        <w:t xml:space="preserve">metabolic model of </w:t>
      </w:r>
      <w:r w:rsidRPr="00A654CF">
        <w:rPr>
          <w:rFonts w:asciiTheme="majorHAnsi" w:hAnsiTheme="majorHAnsi" w:cstheme="majorHAnsi"/>
          <w:color w:val="000000"/>
          <w:sz w:val="24"/>
          <w:szCs w:val="24"/>
          <w:lang w:val="en-US"/>
        </w:rPr>
        <w:t>human luminal/intestinal cells (</w:t>
      </w:r>
      <w:r w:rsidRPr="00AD06EE">
        <w:rPr>
          <w:rFonts w:asciiTheme="majorHAnsi" w:hAnsiTheme="majorHAnsi" w:cstheme="majorHAnsi"/>
          <w:i/>
          <w:iCs/>
          <w:color w:val="000000"/>
          <w:sz w:val="24"/>
          <w:szCs w:val="24"/>
          <w:lang w:val="en-US"/>
        </w:rPr>
        <w:t>hLC_001</w:t>
      </w:r>
      <w:r w:rsidRPr="00A654CF">
        <w:rPr>
          <w:rFonts w:asciiTheme="majorHAnsi" w:hAnsiTheme="majorHAnsi" w:cstheme="majorHAnsi"/>
          <w:color w:val="000000"/>
          <w:sz w:val="24"/>
          <w:szCs w:val="24"/>
          <w:lang w:val="en-US"/>
        </w:rPr>
        <w:t xml:space="preserve">) was reconstructed from Recon3D as a reference model. The BA transporters and exchange reactions were added. </w:t>
      </w:r>
      <w:r w:rsidRPr="00A654CF">
        <w:rPr>
          <w:rFonts w:asciiTheme="majorHAnsi" w:hAnsiTheme="majorHAnsi" w:cstheme="majorHAnsi"/>
          <w:sz w:val="24"/>
          <w:szCs w:val="24"/>
          <w:lang w:val="en-US"/>
        </w:rPr>
        <w:t>Sanity</w:t>
      </w:r>
      <w:r w:rsidRPr="00A654CF">
        <w:rPr>
          <w:rFonts w:asciiTheme="majorHAnsi" w:hAnsiTheme="majorHAnsi" w:cstheme="majorHAnsi"/>
          <w:color w:val="000000"/>
          <w:sz w:val="24"/>
          <w:szCs w:val="24"/>
          <w:lang w:val="en-US"/>
        </w:rPr>
        <w:t xml:space="preserve"> checks were performed using COBRA Toolbo</w:t>
      </w:r>
      <w:r w:rsidRPr="00A654CF">
        <w:rPr>
          <w:rFonts w:asciiTheme="majorHAnsi" w:hAnsiTheme="majorHAnsi" w:cstheme="majorHAnsi"/>
          <w:sz w:val="24"/>
          <w:szCs w:val="24"/>
          <w:lang w:val="en-US"/>
        </w:rPr>
        <w:t>x</w:t>
      </w:r>
      <w:r w:rsidR="007124D5">
        <w:rPr>
          <w:rFonts w:asciiTheme="majorHAnsi" w:hAnsiTheme="majorHAnsi" w:cstheme="majorHAnsi"/>
          <w:sz w:val="24"/>
          <w:szCs w:val="24"/>
          <w:lang w:val="en-US"/>
        </w:rPr>
        <w:fldChar w:fldCharType="begin"/>
      </w:r>
      <w:r w:rsidR="007124D5">
        <w:rPr>
          <w:rFonts w:asciiTheme="majorHAnsi" w:hAnsiTheme="majorHAnsi" w:cstheme="majorHAnsi"/>
          <w:sz w:val="24"/>
          <w:szCs w:val="24"/>
          <w:lang w:val="en-US"/>
        </w:rPr>
        <w:instrText xml:space="preserve"> ADDIN EN.CITE &lt;EndNote&gt;&lt;Cite&gt;&lt;Author&gt;Heirendt&lt;/Author&gt;&lt;Year&gt;2017&lt;/Year&gt;&lt;RecNum&gt;58&lt;/RecNum&gt;&lt;DisplayText&gt;&lt;style face="superscript"&gt;4&lt;/style&gt;&lt;/DisplayText&gt;&lt;record&gt;&lt;rec-number&gt;58&lt;/rec-number&gt;&lt;foreign-keys&gt;&lt;key app="EN" db-id="wdrzpw5vgw0z07ewf27pdzf7fwpw25pf5d2w" timestamp="1571382036"&gt;58&lt;/key&gt;&lt;/foreign-keys&gt;&lt;ref-type name="Journal Article"&gt;17&lt;/ref-type&gt;&lt;contributors&gt;&lt;authors&gt;&lt;author&gt;Heirendt, Laurent&lt;/author&gt;&lt;author&gt;Arreckx, Sylvain&lt;/author&gt;&lt;author&gt;Pfau, Thomas&lt;/author&gt;&lt;author&gt;Mendoza, Sebastian N&lt;/author&gt;&lt;author&gt;Richelle, Anne&lt;/author&gt;&lt;author&gt;Heinken, Almut&lt;/author&gt;&lt;author&gt;Haraldsdottir, Hulda S&lt;/author&gt;&lt;author&gt;Wachowiak, Jacek&lt;/author&gt;&lt;author&gt;Keating, Sarah M&lt;/author&gt;&lt;author&gt;Vlasov, Vanja&lt;/author&gt;&lt;/authors&gt;&lt;/contributors&gt;&lt;titles&gt;&lt;title&gt;Creation and analysis of biochemical constraint-based models: the COBRA Toolbox v3. 0&lt;/title&gt;&lt;secondary-title&gt;arXiv preprint arXiv:1710.04038&lt;/secondary-title&gt;&lt;/titles&gt;&lt;dates&gt;&lt;year&gt;2017&lt;/year&gt;&lt;/dates&gt;&lt;urls&gt;&lt;/urls&gt;&lt;/record&gt;&lt;/Cite&gt;&lt;/EndNote&gt;</w:instrText>
      </w:r>
      <w:r w:rsidR="007124D5">
        <w:rPr>
          <w:rFonts w:asciiTheme="majorHAnsi" w:hAnsiTheme="majorHAnsi" w:cstheme="majorHAnsi"/>
          <w:sz w:val="24"/>
          <w:szCs w:val="24"/>
          <w:lang w:val="en-US"/>
        </w:rPr>
        <w:fldChar w:fldCharType="separate"/>
      </w:r>
      <w:r w:rsidR="007124D5" w:rsidRPr="007124D5">
        <w:rPr>
          <w:rFonts w:asciiTheme="majorHAnsi" w:hAnsiTheme="majorHAnsi" w:cstheme="majorHAnsi"/>
          <w:noProof/>
          <w:sz w:val="24"/>
          <w:szCs w:val="24"/>
          <w:vertAlign w:val="superscript"/>
          <w:lang w:val="en-US"/>
        </w:rPr>
        <w:t>4</w:t>
      </w:r>
      <w:r w:rsidR="007124D5">
        <w:rPr>
          <w:rFonts w:asciiTheme="majorHAnsi" w:hAnsiTheme="majorHAnsi" w:cstheme="majorHAnsi"/>
          <w:sz w:val="24"/>
          <w:szCs w:val="24"/>
          <w:lang w:val="en-US"/>
        </w:rPr>
        <w:fldChar w:fldCharType="end"/>
      </w:r>
      <w:r w:rsidRPr="00A654CF">
        <w:rPr>
          <w:rFonts w:asciiTheme="majorHAnsi" w:hAnsiTheme="majorHAnsi" w:cstheme="majorHAnsi"/>
          <w:color w:val="000000"/>
          <w:sz w:val="24"/>
          <w:szCs w:val="24"/>
          <w:lang w:val="en-US"/>
        </w:rPr>
        <w:t xml:space="preserve">. All models carried out </w:t>
      </w:r>
      <w:r w:rsidRPr="00A654CF">
        <w:rPr>
          <w:rFonts w:asciiTheme="majorHAnsi" w:hAnsiTheme="majorHAnsi" w:cstheme="majorHAnsi"/>
          <w:sz w:val="24"/>
          <w:szCs w:val="24"/>
          <w:lang w:val="en-US"/>
        </w:rPr>
        <w:t xml:space="preserve">basic </w:t>
      </w:r>
      <w:r w:rsidRPr="00A654CF">
        <w:rPr>
          <w:rFonts w:asciiTheme="majorHAnsi" w:hAnsiTheme="majorHAnsi" w:cstheme="majorHAnsi"/>
          <w:color w:val="000000"/>
          <w:sz w:val="24"/>
          <w:szCs w:val="24"/>
          <w:lang w:val="en-US"/>
        </w:rPr>
        <w:t>metabolic task</w:t>
      </w:r>
      <w:r w:rsidRPr="00A654CF">
        <w:rPr>
          <w:rFonts w:asciiTheme="majorHAnsi" w:hAnsiTheme="majorHAnsi" w:cstheme="majorHAnsi"/>
          <w:sz w:val="24"/>
          <w:szCs w:val="24"/>
          <w:lang w:val="en-US"/>
        </w:rPr>
        <w:t>s</w:t>
      </w:r>
      <w:r w:rsidRPr="00A654CF">
        <w:rPr>
          <w:rFonts w:asciiTheme="majorHAnsi" w:hAnsiTheme="majorHAnsi" w:cstheme="majorHAnsi"/>
          <w:color w:val="000000"/>
          <w:sz w:val="24"/>
          <w:szCs w:val="24"/>
          <w:lang w:val="en-US"/>
        </w:rPr>
        <w:t xml:space="preserve">, including exchange and transport of BAs. The lists of reactions and metabolites in </w:t>
      </w:r>
      <w:r w:rsidRPr="00AD06EE">
        <w:rPr>
          <w:rFonts w:asciiTheme="majorHAnsi" w:hAnsiTheme="majorHAnsi" w:cstheme="majorHAnsi"/>
          <w:i/>
          <w:iCs/>
          <w:color w:val="000000"/>
          <w:sz w:val="24"/>
          <w:szCs w:val="24"/>
          <w:lang w:val="en-US"/>
        </w:rPr>
        <w:t>hLC_001</w:t>
      </w:r>
      <w:r w:rsidRPr="00A654CF">
        <w:rPr>
          <w:rFonts w:asciiTheme="majorHAnsi" w:hAnsiTheme="majorHAnsi" w:cstheme="majorHAnsi"/>
          <w:color w:val="000000"/>
          <w:sz w:val="24"/>
          <w:szCs w:val="24"/>
          <w:lang w:val="en-US"/>
        </w:rPr>
        <w:t xml:space="preserve"> are provided in </w:t>
      </w:r>
      <w:r w:rsidR="00AD06EE">
        <w:rPr>
          <w:rFonts w:asciiTheme="majorHAnsi" w:hAnsiTheme="majorHAnsi" w:cstheme="majorHAnsi"/>
          <w:color w:val="000000"/>
          <w:sz w:val="24"/>
          <w:szCs w:val="24"/>
          <w:lang w:val="en-US"/>
        </w:rPr>
        <w:t>(</w:t>
      </w:r>
      <w:r w:rsidRPr="00A654CF">
        <w:rPr>
          <w:rFonts w:asciiTheme="majorHAnsi" w:hAnsiTheme="majorHAnsi" w:cstheme="majorHAnsi"/>
          <w:b/>
          <w:color w:val="000000"/>
          <w:sz w:val="24"/>
          <w:szCs w:val="24"/>
          <w:lang w:val="en-US"/>
        </w:rPr>
        <w:t>Supplementary Dataset 1</w:t>
      </w:r>
      <w:r w:rsidR="00AD06EE" w:rsidRPr="00776C65">
        <w:rPr>
          <w:rFonts w:asciiTheme="majorHAnsi" w:hAnsiTheme="majorHAnsi" w:cstheme="majorHAnsi"/>
          <w:bCs/>
          <w:color w:val="000000"/>
          <w:sz w:val="24"/>
          <w:szCs w:val="24"/>
          <w:lang w:val="en-US"/>
        </w:rPr>
        <w:t>)</w:t>
      </w:r>
      <w:r w:rsidRPr="00A654CF">
        <w:rPr>
          <w:rFonts w:asciiTheme="majorHAnsi" w:hAnsiTheme="majorHAnsi" w:cstheme="majorHAnsi"/>
          <w:color w:val="000000"/>
          <w:sz w:val="24"/>
          <w:szCs w:val="24"/>
          <w:lang w:val="en-US"/>
        </w:rPr>
        <w:t>.  The host model (</w:t>
      </w:r>
      <w:r w:rsidRPr="00AD06EE">
        <w:rPr>
          <w:rFonts w:asciiTheme="majorHAnsi" w:hAnsiTheme="majorHAnsi" w:cstheme="majorHAnsi"/>
          <w:i/>
          <w:iCs/>
          <w:color w:val="000000"/>
          <w:sz w:val="24"/>
          <w:szCs w:val="24"/>
          <w:lang w:val="en-US"/>
        </w:rPr>
        <w:t>hLC_001</w:t>
      </w:r>
      <w:r w:rsidRPr="00A654CF">
        <w:rPr>
          <w:rFonts w:asciiTheme="majorHAnsi" w:hAnsiTheme="majorHAnsi" w:cstheme="majorHAnsi"/>
          <w:color w:val="000000"/>
          <w:sz w:val="24"/>
          <w:szCs w:val="24"/>
          <w:lang w:val="en-US"/>
        </w:rPr>
        <w:t>) was coupled with microbial models using ‘createMultipleSpeciesModel()’ coded in MMT-COBRA toolbo</w:t>
      </w:r>
      <w:r w:rsidRPr="00A654CF">
        <w:rPr>
          <w:rFonts w:asciiTheme="majorHAnsi" w:hAnsiTheme="majorHAnsi" w:cstheme="majorHAnsi"/>
          <w:sz w:val="24"/>
          <w:szCs w:val="24"/>
          <w:lang w:val="en-US"/>
        </w:rPr>
        <w:t>x</w:t>
      </w:r>
      <w:r w:rsidR="007013C8">
        <w:rPr>
          <w:rFonts w:asciiTheme="majorHAnsi" w:hAnsiTheme="majorHAnsi" w:cstheme="majorHAnsi"/>
          <w:sz w:val="24"/>
          <w:szCs w:val="24"/>
          <w:lang w:val="en-US"/>
        </w:rPr>
        <w:fldChar w:fldCharType="begin"/>
      </w:r>
      <w:r w:rsidR="007013C8">
        <w:rPr>
          <w:rFonts w:asciiTheme="majorHAnsi" w:hAnsiTheme="majorHAnsi" w:cstheme="majorHAnsi"/>
          <w:sz w:val="24"/>
          <w:szCs w:val="24"/>
          <w:lang w:val="en-US"/>
        </w:rPr>
        <w:instrText xml:space="preserve"> ADDIN EN.CITE &lt;EndNote&gt;&lt;Cite&gt;&lt;Author&gt;Heirendt&lt;/Author&gt;&lt;Year&gt;2017&lt;/Year&gt;&lt;RecNum&gt;58&lt;/RecNum&gt;&lt;DisplayText&gt;&lt;style face="superscript"&gt;4, 5&lt;/style&gt;&lt;/DisplayText&gt;&lt;record&gt;&lt;rec-number&gt;58&lt;/rec-number&gt;&lt;foreign-keys&gt;&lt;key app="EN" db-id="wdrzpw5vgw0z07ewf27pdzf7fwpw25pf5d2w" timestamp="1571382036"&gt;58&lt;/key&gt;&lt;/foreign-keys&gt;&lt;ref-type name="Journal Article"&gt;17&lt;/ref-type&gt;&lt;contributors&gt;&lt;authors&gt;&lt;author&gt;Heirendt, Laurent&lt;/author&gt;&lt;author&gt;Arreckx, Sylvain&lt;/author&gt;&lt;author&gt;Pfau, Thomas&lt;/author&gt;&lt;author&gt;Mendoza, Sebastian N&lt;/author&gt;&lt;author&gt;Richelle, Anne&lt;/author&gt;&lt;author&gt;Heinken, Almut&lt;/author&gt;&lt;author&gt;Haraldsdottir, Hulda S&lt;/author&gt;&lt;author&gt;Wachowiak, Jacek&lt;/author&gt;&lt;author&gt;Keating, Sarah M&lt;/author&gt;&lt;author&gt;Vlasov, Vanja&lt;/author&gt;&lt;/authors&gt;&lt;/contributors&gt;&lt;titles&gt;&lt;title&gt;Creation and analysis of biochemical constraint-based models: the COBRA Toolbox v3. 0&lt;/title&gt;&lt;secondary-title&gt;arXiv preprint arXiv:1710.04038&lt;/secondary-title&gt;&lt;/titles&gt;&lt;dates&gt;&lt;year&gt;2017&lt;/year&gt;&lt;/dates&gt;&lt;urls&gt;&lt;/urls&gt;&lt;/record&gt;&lt;/Cite&gt;&lt;Cite&gt;&lt;Author&gt;Baldini&lt;/Author&gt;&lt;Year&gt;2018&lt;/Year&gt;&lt;RecNum&gt;51&lt;/RecNum&gt;&lt;record&gt;&lt;rec-number&gt;51&lt;/rec-number&gt;&lt;foreign-keys&gt;&lt;key app="EN" db-id="wdrzpw5vgw0z07ewf27pdzf7fwpw25pf5d2w" timestamp="1571382029"&gt;51&lt;/key&gt;&lt;/foreign-keys&gt;&lt;ref-type name="Journal Article"&gt;17&lt;/ref-type&gt;&lt;contributors&gt;&lt;authors&gt;&lt;author&gt;Baldini, Federico&lt;/author&gt;&lt;author&gt;Heinken, Almut&lt;/author&gt;&lt;author&gt;Heirendt, Laurent&lt;/author&gt;&lt;author&gt;Magnusdottir, Stefania&lt;/author&gt;&lt;author&gt;Fleming, Ronan MT&lt;/author&gt;&lt;author&gt;Thiele, Ines&lt;/author&gt;&lt;/authors&gt;&lt;/contributors&gt;&lt;titles&gt;&lt;title&gt;The Microbiome Modeling Toolbox: from microbial interactions to personalized microbial communities&lt;/title&gt;&lt;secondary-title&gt;Bioinformatics&lt;/secondary-title&gt;&lt;/titles&gt;&lt;periodical&gt;&lt;full-title&gt;Bioinformatics&lt;/full-title&gt;&lt;abbr-1&gt;Bioinformatics&lt;/abbr-1&gt;&lt;abbr-2&gt;Bioinformatics&lt;/abbr-2&gt;&lt;/periodical&gt;&lt;pages&gt;2332-2334&lt;/pages&gt;&lt;volume&gt;35&lt;/volume&gt;&lt;number&gt;13&lt;/number&gt;&lt;dates&gt;&lt;year&gt;2018&lt;/year&gt;&lt;/dates&gt;&lt;isbn&gt;1367-4803&lt;/isbn&gt;&lt;urls&gt;&lt;/urls&gt;&lt;/record&gt;&lt;/Cite&gt;&lt;/EndNote&gt;</w:instrText>
      </w:r>
      <w:r w:rsidR="007013C8">
        <w:rPr>
          <w:rFonts w:asciiTheme="majorHAnsi" w:hAnsiTheme="majorHAnsi" w:cstheme="majorHAnsi"/>
          <w:sz w:val="24"/>
          <w:szCs w:val="24"/>
          <w:lang w:val="en-US"/>
        </w:rPr>
        <w:fldChar w:fldCharType="separate"/>
      </w:r>
      <w:r w:rsidR="007013C8" w:rsidRPr="007013C8">
        <w:rPr>
          <w:rFonts w:asciiTheme="majorHAnsi" w:hAnsiTheme="majorHAnsi" w:cstheme="majorHAnsi"/>
          <w:noProof/>
          <w:sz w:val="24"/>
          <w:szCs w:val="24"/>
          <w:vertAlign w:val="superscript"/>
          <w:lang w:val="en-US"/>
        </w:rPr>
        <w:t>4, 5</w:t>
      </w:r>
      <w:r w:rsidR="007013C8">
        <w:rPr>
          <w:rFonts w:asciiTheme="majorHAnsi" w:hAnsiTheme="majorHAnsi" w:cstheme="majorHAnsi"/>
          <w:sz w:val="24"/>
          <w:szCs w:val="24"/>
          <w:lang w:val="en-US"/>
        </w:rPr>
        <w:fldChar w:fldCharType="end"/>
      </w:r>
      <w:r w:rsidRPr="00A654CF">
        <w:rPr>
          <w:rFonts w:asciiTheme="majorHAnsi" w:hAnsiTheme="majorHAnsi" w:cstheme="majorHAnsi"/>
          <w:sz w:val="24"/>
          <w:szCs w:val="24"/>
          <w:vertAlign w:val="superscript"/>
          <w:lang w:val="en-US"/>
        </w:rPr>
        <w:t xml:space="preserve"> </w:t>
      </w:r>
      <w:r w:rsidRPr="00A654CF">
        <w:rPr>
          <w:rFonts w:asciiTheme="majorHAnsi" w:hAnsiTheme="majorHAnsi" w:cstheme="majorHAnsi"/>
          <w:color w:val="000000"/>
          <w:sz w:val="24"/>
          <w:szCs w:val="24"/>
          <w:lang w:val="en-US"/>
        </w:rPr>
        <w:t>and necessary coupling constraints were adde</w:t>
      </w:r>
      <w:r w:rsidRPr="00A654CF">
        <w:rPr>
          <w:rFonts w:asciiTheme="majorHAnsi" w:hAnsiTheme="majorHAnsi" w:cstheme="majorHAnsi"/>
          <w:sz w:val="24"/>
          <w:szCs w:val="24"/>
          <w:lang w:val="en-US"/>
        </w:rPr>
        <w:t>d</w:t>
      </w:r>
      <w:r w:rsidRPr="00A654CF">
        <w:rPr>
          <w:rFonts w:asciiTheme="majorHAnsi" w:hAnsiTheme="majorHAnsi" w:cstheme="majorHAnsi"/>
          <w:color w:val="000000"/>
          <w:sz w:val="24"/>
          <w:szCs w:val="24"/>
          <w:lang w:val="en-US"/>
        </w:rPr>
        <w:t>. Similarly, a common lumen compartment ‘[u]’ was added for the metabolite exchanges between bacteria and luminal epithelial cells. A compartment ‘[b]’ for body fluids was introduce</w:t>
      </w:r>
      <w:r w:rsidRPr="00A654CF">
        <w:rPr>
          <w:rFonts w:asciiTheme="majorHAnsi" w:hAnsiTheme="majorHAnsi" w:cstheme="majorHAnsi"/>
          <w:sz w:val="24"/>
          <w:szCs w:val="24"/>
          <w:lang w:val="en-US"/>
        </w:rPr>
        <w:t>d</w:t>
      </w:r>
      <w:r w:rsidRPr="00A654CF">
        <w:rPr>
          <w:rFonts w:asciiTheme="majorHAnsi" w:hAnsiTheme="majorHAnsi" w:cstheme="majorHAnsi"/>
          <w:color w:val="000000"/>
          <w:sz w:val="24"/>
          <w:szCs w:val="24"/>
          <w:lang w:val="en-US"/>
        </w:rPr>
        <w:t xml:space="preserve">. For each of the 283 study individuals a </w:t>
      </w:r>
      <w:r w:rsidRPr="00A654CF">
        <w:rPr>
          <w:rFonts w:asciiTheme="majorHAnsi" w:hAnsiTheme="majorHAnsi" w:cstheme="majorHAnsi"/>
          <w:sz w:val="24"/>
          <w:szCs w:val="24"/>
          <w:lang w:val="en-US"/>
        </w:rPr>
        <w:t>c</w:t>
      </w:r>
      <w:r w:rsidRPr="00A654CF">
        <w:rPr>
          <w:rFonts w:asciiTheme="majorHAnsi" w:hAnsiTheme="majorHAnsi" w:cstheme="majorHAnsi"/>
          <w:color w:val="000000"/>
          <w:sz w:val="24"/>
          <w:szCs w:val="24"/>
          <w:lang w:val="en-US"/>
        </w:rPr>
        <w:t>ommunity/consensus model</w:t>
      </w:r>
      <w:r w:rsidRPr="00A654CF">
        <w:rPr>
          <w:rFonts w:asciiTheme="majorHAnsi" w:hAnsiTheme="majorHAnsi" w:cstheme="majorHAnsi"/>
          <w:sz w:val="24"/>
          <w:szCs w:val="24"/>
          <w:lang w:val="en-US"/>
        </w:rPr>
        <w:t xml:space="preserve"> of the</w:t>
      </w:r>
      <w:r w:rsidRPr="00A654CF">
        <w:rPr>
          <w:rFonts w:asciiTheme="majorHAnsi" w:hAnsiTheme="majorHAnsi" w:cstheme="majorHAnsi"/>
          <w:color w:val="000000"/>
          <w:sz w:val="24"/>
          <w:szCs w:val="24"/>
          <w:lang w:val="en-US"/>
        </w:rPr>
        <w:t xml:space="preserve"> </w:t>
      </w:r>
      <w:r w:rsidRPr="00A654CF">
        <w:rPr>
          <w:rFonts w:asciiTheme="majorHAnsi" w:hAnsiTheme="majorHAnsi" w:cstheme="majorHAnsi"/>
          <w:sz w:val="24"/>
          <w:szCs w:val="24"/>
          <w:lang w:val="en-US"/>
        </w:rPr>
        <w:t xml:space="preserve">26 chosen bacteria was developed as outlined by Baldini </w:t>
      </w:r>
      <w:r w:rsidRPr="00A654CF">
        <w:rPr>
          <w:rFonts w:asciiTheme="majorHAnsi" w:hAnsiTheme="majorHAnsi" w:cstheme="majorHAnsi"/>
          <w:i/>
          <w:sz w:val="24"/>
          <w:szCs w:val="24"/>
          <w:lang w:val="en-US"/>
        </w:rPr>
        <w:t>et al</w:t>
      </w:r>
      <w:r w:rsidR="00906356">
        <w:rPr>
          <w:rFonts w:asciiTheme="majorHAnsi" w:hAnsiTheme="majorHAnsi" w:cstheme="majorHAnsi"/>
          <w:i/>
          <w:sz w:val="24"/>
          <w:szCs w:val="24"/>
          <w:lang w:val="en-US"/>
        </w:rPr>
        <w:t>.,</w:t>
      </w:r>
      <w:r w:rsidR="002B7442" w:rsidRPr="002B7442">
        <w:rPr>
          <w:rFonts w:asciiTheme="majorHAnsi" w:hAnsiTheme="majorHAnsi" w:cstheme="majorHAnsi"/>
          <w:iCs/>
          <w:sz w:val="24"/>
          <w:szCs w:val="24"/>
          <w:lang w:val="en-US"/>
        </w:rPr>
        <w:fldChar w:fldCharType="begin"/>
      </w:r>
      <w:r w:rsidR="002B7442" w:rsidRPr="002B7442">
        <w:rPr>
          <w:rFonts w:asciiTheme="majorHAnsi" w:hAnsiTheme="majorHAnsi" w:cstheme="majorHAnsi"/>
          <w:iCs/>
          <w:sz w:val="24"/>
          <w:szCs w:val="24"/>
          <w:lang w:val="en-US"/>
        </w:rPr>
        <w:instrText xml:space="preserve"> ADDIN EN.CITE &lt;EndNote&gt;&lt;Cite&gt;&lt;Author&gt;Baldini&lt;/Author&gt;&lt;Year&gt;2018&lt;/Year&gt;&lt;RecNum&gt;51&lt;/RecNum&gt;&lt;DisplayText&gt;&lt;style face="superscript"&gt;5&lt;/style&gt;&lt;/DisplayText&gt;&lt;record&gt;&lt;rec-number&gt;51&lt;/rec-number&gt;&lt;foreign-keys&gt;&lt;key app="EN" db-id="wdrzpw5vgw0z07ewf27pdzf7fwpw25pf5d2w" timestamp="1571382029"&gt;51&lt;/key&gt;&lt;/foreign-keys&gt;&lt;ref-type name="Journal Article"&gt;17&lt;/ref-type&gt;&lt;contributors&gt;&lt;authors&gt;&lt;author&gt;Baldini, Federico&lt;/author&gt;&lt;author&gt;Heinken, Almut&lt;/author&gt;&lt;author&gt;Heirendt, Laurent&lt;/author&gt;&lt;author&gt;Magnusdottir, Stefania&lt;/author&gt;&lt;author&gt;Fleming, Ronan MT&lt;/author&gt;&lt;author&gt;Thiele, Ines&lt;/author&gt;&lt;/authors&gt;&lt;/contributors&gt;&lt;titles&gt;&lt;title&gt;The Microbiome Modeling Toolbox: from microbial interactions to personalized microbial communities&lt;/title&gt;&lt;secondary-title&gt;Bioinformatics&lt;/secondary-title&gt;&lt;/titles&gt;&lt;periodical&gt;&lt;full-title&gt;Bioinformatics&lt;/full-title&gt;&lt;abbr-1&gt;Bioinformatics&lt;/abbr-1&gt;&lt;abbr-2&gt;Bioinformatics&lt;/abbr-2&gt;&lt;/periodical&gt;&lt;pages&gt;2332-2334&lt;/pages&gt;&lt;volume&gt;35&lt;/volume&gt;&lt;number&gt;13&lt;/number&gt;&lt;dates&gt;&lt;year&gt;2018&lt;/year&gt;&lt;/dates&gt;&lt;isbn&gt;1367-4803&lt;/isbn&gt;&lt;urls&gt;&lt;/urls&gt;&lt;/record&gt;&lt;/Cite&gt;&lt;/EndNote&gt;</w:instrText>
      </w:r>
      <w:r w:rsidR="002B7442" w:rsidRPr="002B7442">
        <w:rPr>
          <w:rFonts w:asciiTheme="majorHAnsi" w:hAnsiTheme="majorHAnsi" w:cstheme="majorHAnsi"/>
          <w:iCs/>
          <w:sz w:val="24"/>
          <w:szCs w:val="24"/>
          <w:lang w:val="en-US"/>
        </w:rPr>
        <w:fldChar w:fldCharType="separate"/>
      </w:r>
      <w:r w:rsidR="002B7442" w:rsidRPr="002B7442">
        <w:rPr>
          <w:rFonts w:asciiTheme="majorHAnsi" w:hAnsiTheme="majorHAnsi" w:cstheme="majorHAnsi"/>
          <w:iCs/>
          <w:noProof/>
          <w:sz w:val="24"/>
          <w:szCs w:val="24"/>
          <w:vertAlign w:val="superscript"/>
          <w:lang w:val="en-US"/>
        </w:rPr>
        <w:t>5</w:t>
      </w:r>
      <w:r w:rsidR="002B7442" w:rsidRPr="002B7442">
        <w:rPr>
          <w:rFonts w:asciiTheme="majorHAnsi" w:hAnsiTheme="majorHAnsi" w:cstheme="majorHAnsi"/>
          <w:iCs/>
          <w:sz w:val="24"/>
          <w:szCs w:val="24"/>
          <w:lang w:val="en-US"/>
        </w:rPr>
        <w:fldChar w:fldCharType="end"/>
      </w:r>
      <w:r w:rsidRPr="002B7442">
        <w:rPr>
          <w:rFonts w:asciiTheme="majorHAnsi" w:hAnsiTheme="majorHAnsi" w:cstheme="majorHAnsi"/>
          <w:iCs/>
          <w:color w:val="000000"/>
          <w:sz w:val="24"/>
          <w:szCs w:val="24"/>
          <w:lang w:val="en-US"/>
        </w:rPr>
        <w:t>.</w:t>
      </w:r>
      <w:r w:rsidRPr="00A654CF">
        <w:rPr>
          <w:rFonts w:asciiTheme="majorHAnsi" w:hAnsiTheme="majorHAnsi" w:cstheme="majorHAnsi"/>
          <w:color w:val="000000"/>
          <w:sz w:val="24"/>
          <w:szCs w:val="24"/>
          <w:lang w:val="en-US"/>
        </w:rPr>
        <w:t xml:space="preserve"> The average reactions and metabolites </w:t>
      </w:r>
      <w:r w:rsidRPr="00A654CF">
        <w:rPr>
          <w:rFonts w:asciiTheme="majorHAnsi" w:hAnsiTheme="majorHAnsi" w:cstheme="majorHAnsi"/>
          <w:sz w:val="24"/>
          <w:szCs w:val="24"/>
          <w:lang w:val="en-US"/>
        </w:rPr>
        <w:t xml:space="preserve">of the consensus </w:t>
      </w:r>
      <w:r w:rsidRPr="00A654CF">
        <w:rPr>
          <w:rFonts w:asciiTheme="majorHAnsi" w:hAnsiTheme="majorHAnsi" w:cstheme="majorHAnsi"/>
          <w:color w:val="000000"/>
          <w:sz w:val="24"/>
          <w:szCs w:val="24"/>
          <w:lang w:val="en-US"/>
        </w:rPr>
        <w:t>model was 15,800 and 13,900 respectively.</w:t>
      </w:r>
    </w:p>
    <w:p w14:paraId="7C46D77C" w14:textId="57841898" w:rsidR="000A0FA4" w:rsidRPr="00C0231E" w:rsidRDefault="00AA31BD" w:rsidP="00C0231E">
      <w:pPr>
        <w:spacing w:line="276" w:lineRule="auto"/>
        <w:ind w:firstLine="0"/>
        <w:jc w:val="both"/>
        <w:rPr>
          <w:rFonts w:asciiTheme="majorHAnsi" w:hAnsiTheme="majorHAnsi" w:cstheme="majorHAnsi"/>
          <w:color w:val="000000"/>
          <w:sz w:val="24"/>
          <w:szCs w:val="24"/>
          <w:lang w:val="en-US"/>
        </w:rPr>
      </w:pPr>
      <w:r w:rsidRPr="00A654CF">
        <w:rPr>
          <w:rFonts w:asciiTheme="majorHAnsi" w:hAnsiTheme="majorHAnsi" w:cstheme="majorHAnsi"/>
          <w:sz w:val="24"/>
          <w:szCs w:val="24"/>
          <w:lang w:val="en-US"/>
        </w:rPr>
        <w:t xml:space="preserve">The individual contribution of a bacteria in a community to BA production was estimated by the following steps, i) the faecal production rate was maximized, ii) </w:t>
      </w:r>
      <w:r w:rsidR="00A21272" w:rsidRPr="00A654CF">
        <w:rPr>
          <w:rFonts w:asciiTheme="majorHAnsi" w:hAnsiTheme="majorHAnsi" w:cstheme="majorHAnsi"/>
          <w:sz w:val="24"/>
          <w:szCs w:val="24"/>
          <w:lang w:val="en-US"/>
        </w:rPr>
        <w:t>f</w:t>
      </w:r>
      <w:r w:rsidR="009412BC" w:rsidRPr="00A654CF">
        <w:rPr>
          <w:rFonts w:asciiTheme="majorHAnsi" w:hAnsiTheme="majorHAnsi" w:cstheme="majorHAnsi"/>
          <w:sz w:val="24"/>
          <w:szCs w:val="24"/>
          <w:lang w:val="en-US"/>
        </w:rPr>
        <w:t>lux variability analysis (</w:t>
      </w:r>
      <w:r w:rsidRPr="00A654CF">
        <w:rPr>
          <w:rFonts w:asciiTheme="majorHAnsi" w:hAnsiTheme="majorHAnsi" w:cstheme="majorHAnsi"/>
          <w:sz w:val="24"/>
          <w:szCs w:val="24"/>
          <w:lang w:val="en-US"/>
        </w:rPr>
        <w:t>FVA</w:t>
      </w:r>
      <w:r w:rsidR="009412BC" w:rsidRPr="00A654CF">
        <w:rPr>
          <w:rFonts w:asciiTheme="majorHAnsi" w:hAnsiTheme="majorHAnsi" w:cstheme="majorHAnsi"/>
          <w:sz w:val="24"/>
          <w:szCs w:val="24"/>
          <w:lang w:val="en-US"/>
        </w:rPr>
        <w:t>)</w:t>
      </w:r>
      <w:r w:rsidRPr="00A654CF">
        <w:rPr>
          <w:rFonts w:asciiTheme="majorHAnsi" w:hAnsiTheme="majorHAnsi" w:cstheme="majorHAnsi"/>
          <w:sz w:val="24"/>
          <w:szCs w:val="24"/>
          <w:lang w:val="en-US"/>
        </w:rPr>
        <w:t xml:space="preserve"> was performed on the BA exchange reactions of each species and </w:t>
      </w:r>
      <w:r w:rsidR="00A21272" w:rsidRPr="00A654CF">
        <w:rPr>
          <w:rFonts w:asciiTheme="majorHAnsi" w:hAnsiTheme="majorHAnsi" w:cstheme="majorHAnsi"/>
          <w:sz w:val="24"/>
          <w:szCs w:val="24"/>
          <w:lang w:val="en-US"/>
        </w:rPr>
        <w:t>flux span was calculated, and iii) t</w:t>
      </w:r>
      <w:r w:rsidRPr="00A654CF">
        <w:rPr>
          <w:rFonts w:asciiTheme="majorHAnsi" w:hAnsiTheme="majorHAnsi" w:cstheme="majorHAnsi"/>
          <w:sz w:val="24"/>
          <w:szCs w:val="24"/>
          <w:lang w:val="en-US"/>
        </w:rPr>
        <w:t>he estimated metabolic potential (EMP) was computed as given in (eq.1). The EMP of a BA reaction is given by EMP</w:t>
      </w:r>
      <w:r w:rsidRPr="00A654CF">
        <w:rPr>
          <w:rFonts w:asciiTheme="majorHAnsi" w:hAnsiTheme="majorHAnsi" w:cstheme="majorHAnsi"/>
          <w:sz w:val="24"/>
          <w:szCs w:val="24"/>
          <w:vertAlign w:val="subscript"/>
          <w:lang w:val="en-US"/>
        </w:rPr>
        <w:t>ij</w:t>
      </w:r>
      <w:r w:rsidRPr="00A654CF">
        <w:rPr>
          <w:rFonts w:asciiTheme="majorHAnsi" w:hAnsiTheme="majorHAnsi" w:cstheme="majorHAnsi"/>
          <w:sz w:val="24"/>
          <w:szCs w:val="24"/>
          <w:lang w:val="en-US"/>
        </w:rPr>
        <w:t xml:space="preserve"> = A</w:t>
      </w:r>
      <w:r w:rsidRPr="00A654CF">
        <w:rPr>
          <w:rFonts w:asciiTheme="majorHAnsi" w:hAnsiTheme="majorHAnsi" w:cstheme="majorHAnsi"/>
          <w:sz w:val="24"/>
          <w:szCs w:val="24"/>
          <w:vertAlign w:val="subscript"/>
          <w:lang w:val="en-US"/>
        </w:rPr>
        <w:t>i</w:t>
      </w:r>
      <w:r w:rsidRPr="00A654CF">
        <w:rPr>
          <w:rFonts w:asciiTheme="majorHAnsi" w:hAnsiTheme="majorHAnsi" w:cstheme="majorHAnsi"/>
          <w:sz w:val="24"/>
          <w:szCs w:val="24"/>
          <w:lang w:val="en-US"/>
        </w:rPr>
        <w:t xml:space="preserve"> × v</w:t>
      </w:r>
      <w:r w:rsidRPr="00A654CF">
        <w:rPr>
          <w:rFonts w:asciiTheme="majorHAnsi" w:hAnsiTheme="majorHAnsi" w:cstheme="majorHAnsi"/>
          <w:sz w:val="24"/>
          <w:szCs w:val="24"/>
          <w:vertAlign w:val="subscript"/>
          <w:lang w:val="en-US"/>
        </w:rPr>
        <w:t>j</w:t>
      </w:r>
      <w:r w:rsidRPr="00A654CF">
        <w:rPr>
          <w:rFonts w:asciiTheme="majorHAnsi" w:hAnsiTheme="majorHAnsi" w:cstheme="majorHAnsi"/>
          <w:sz w:val="24"/>
          <w:szCs w:val="24"/>
          <w:lang w:val="en-US"/>
        </w:rPr>
        <w:t xml:space="preserve"> (eq.1), where 'EMP</w:t>
      </w:r>
      <w:r w:rsidRPr="00A654CF">
        <w:rPr>
          <w:rFonts w:asciiTheme="majorHAnsi" w:hAnsiTheme="majorHAnsi" w:cstheme="majorHAnsi"/>
          <w:sz w:val="24"/>
          <w:szCs w:val="24"/>
          <w:vertAlign w:val="subscript"/>
          <w:lang w:val="en-US"/>
        </w:rPr>
        <w:t>ij</w:t>
      </w:r>
      <w:r w:rsidRPr="00A654CF">
        <w:rPr>
          <w:rFonts w:asciiTheme="majorHAnsi" w:hAnsiTheme="majorHAnsi" w:cstheme="majorHAnsi"/>
          <w:sz w:val="24"/>
          <w:szCs w:val="24"/>
          <w:lang w:val="en-US"/>
        </w:rPr>
        <w:t>' denotes the estimated metabolic potential of 'j</w:t>
      </w:r>
      <w:r w:rsidRPr="00A654CF">
        <w:rPr>
          <w:rFonts w:asciiTheme="majorHAnsi" w:hAnsiTheme="majorHAnsi" w:cstheme="majorHAnsi"/>
          <w:sz w:val="24"/>
          <w:szCs w:val="24"/>
          <w:vertAlign w:val="superscript"/>
          <w:lang w:val="en-US"/>
        </w:rPr>
        <w:t>th</w:t>
      </w:r>
      <w:r w:rsidRPr="00A654CF">
        <w:rPr>
          <w:rFonts w:asciiTheme="majorHAnsi" w:hAnsiTheme="majorHAnsi" w:cstheme="majorHAnsi"/>
          <w:sz w:val="24"/>
          <w:szCs w:val="24"/>
          <w:lang w:val="en-US"/>
        </w:rPr>
        <w:t>' BA in 'i</w:t>
      </w:r>
      <w:r w:rsidRPr="00A654CF">
        <w:rPr>
          <w:rFonts w:asciiTheme="majorHAnsi" w:hAnsiTheme="majorHAnsi" w:cstheme="majorHAnsi"/>
          <w:sz w:val="24"/>
          <w:szCs w:val="24"/>
          <w:vertAlign w:val="superscript"/>
          <w:lang w:val="en-US"/>
        </w:rPr>
        <w:t>th</w:t>
      </w:r>
      <w:r w:rsidRPr="00A654CF">
        <w:rPr>
          <w:rFonts w:asciiTheme="majorHAnsi" w:hAnsiTheme="majorHAnsi" w:cstheme="majorHAnsi"/>
          <w:sz w:val="24"/>
          <w:szCs w:val="24"/>
          <w:lang w:val="en-US"/>
        </w:rPr>
        <w:t>' species. A and v represent the relative abundance of a species and absolute flux potential (mmol/gDw/hr), respectively</w:t>
      </w:r>
      <w:r w:rsidR="00A121D4">
        <w:rPr>
          <w:rFonts w:asciiTheme="majorHAnsi" w:hAnsiTheme="majorHAnsi" w:cstheme="majorHAnsi"/>
          <w:sz w:val="24"/>
          <w:szCs w:val="24"/>
          <w:lang w:val="en-US"/>
        </w:rPr>
        <w:fldChar w:fldCharType="begin"/>
      </w:r>
      <w:r w:rsidR="00A121D4">
        <w:rPr>
          <w:rFonts w:asciiTheme="majorHAnsi" w:hAnsiTheme="majorHAnsi" w:cstheme="majorHAnsi"/>
          <w:sz w:val="24"/>
          <w:szCs w:val="24"/>
          <w:lang w:val="en-US"/>
        </w:rPr>
        <w:instrText xml:space="preserve"> ADDIN EN.CITE &lt;EndNote&gt;&lt;Cite&gt;&lt;Author&gt;Kumar&lt;/Author&gt;&lt;Year&gt;2018&lt;/Year&gt;&lt;RecNum&gt;60&lt;/RecNum&gt;&lt;DisplayText&gt;&lt;style face="superscript"&gt;12&lt;/style&gt;&lt;/DisplayText&gt;&lt;record&gt;&lt;rec-number&gt;60&lt;/rec-number&gt;&lt;foreign-keys&gt;&lt;key app="EN" db-id="wdrzpw5vgw0z07ewf27pdzf7fwpw25pf5d2w" timestamp="1571382039"&gt;60&lt;/key&gt;&lt;/foreign-keys&gt;&lt;ref-type name="Journal Article"&gt;17&lt;/ref-type&gt;&lt;contributors&gt;&lt;authors&gt;&lt;author&gt;Kumar, Manish&lt;/author&gt;&lt;author&gt;Ji, Boyang&lt;/author&gt;&lt;author&gt;Babaei, Parizad&lt;/author&gt;&lt;author&gt;Das, Promi&lt;/author&gt;&lt;author&gt;Lappa, Dimitra&lt;/author&gt;&lt;author&gt;Ramakrishnan, Girija&lt;/author&gt;&lt;author&gt;Fox, Todd E&lt;/author&gt;&lt;author&gt;Haque, Rashidul&lt;/author&gt;&lt;author&gt;Petri, William A&lt;/author&gt;&lt;author&gt;Bäckhed, Fredrik&lt;/author&gt;&lt;/authors&gt;&lt;/contributors&gt;&lt;titles&gt;&lt;title&gt;Gut microbiota dysbiosis is associated with malnutrition and reduced plasma amino acid levels: lessons from genome-scale metabolic modeling&lt;/title&gt;&lt;secondary-title&gt;Metabolic engineering&lt;/secondary-title&gt;&lt;/titles&gt;&lt;periodical&gt;&lt;full-title&gt;Metabolic Engineering&lt;/full-title&gt;&lt;abbr-1&gt;Metab. Eng.&lt;/abbr-1&gt;&lt;abbr-2&gt;Metab Eng&lt;/abbr-2&gt;&lt;/periodical&gt;&lt;pages&gt;128-142&lt;/pages&gt;&lt;volume&gt;49&lt;/volume&gt;&lt;dates&gt;&lt;year&gt;2018&lt;/year&gt;&lt;/dates&gt;&lt;isbn&gt;1096-7176&lt;/isbn&gt;&lt;urls&gt;&lt;/urls&gt;&lt;/record&gt;&lt;/Cite&gt;&lt;/EndNote&gt;</w:instrText>
      </w:r>
      <w:r w:rsidR="00A121D4">
        <w:rPr>
          <w:rFonts w:asciiTheme="majorHAnsi" w:hAnsiTheme="majorHAnsi" w:cstheme="majorHAnsi"/>
          <w:sz w:val="24"/>
          <w:szCs w:val="24"/>
          <w:lang w:val="en-US"/>
        </w:rPr>
        <w:fldChar w:fldCharType="separate"/>
      </w:r>
      <w:r w:rsidR="00A121D4" w:rsidRPr="00A121D4">
        <w:rPr>
          <w:rFonts w:asciiTheme="majorHAnsi" w:hAnsiTheme="majorHAnsi" w:cstheme="majorHAnsi"/>
          <w:noProof/>
          <w:sz w:val="24"/>
          <w:szCs w:val="24"/>
          <w:vertAlign w:val="superscript"/>
          <w:lang w:val="en-US"/>
        </w:rPr>
        <w:t>12</w:t>
      </w:r>
      <w:r w:rsidR="00A121D4">
        <w:rPr>
          <w:rFonts w:asciiTheme="majorHAnsi" w:hAnsiTheme="majorHAnsi" w:cstheme="majorHAnsi"/>
          <w:sz w:val="24"/>
          <w:szCs w:val="24"/>
          <w:lang w:val="en-US"/>
        </w:rPr>
        <w:fldChar w:fldCharType="end"/>
      </w:r>
      <w:r w:rsidRPr="00A654CF">
        <w:rPr>
          <w:rFonts w:asciiTheme="majorHAnsi" w:hAnsiTheme="majorHAnsi" w:cstheme="majorHAnsi"/>
          <w:sz w:val="24"/>
          <w:szCs w:val="24"/>
          <w:lang w:val="en-US"/>
        </w:rPr>
        <w:t>. EMP is a measure to quantify the metabolic efficiency of a particular reaction, under a specified condition</w:t>
      </w:r>
      <w:r w:rsidR="00A121D4">
        <w:rPr>
          <w:rFonts w:asciiTheme="majorHAnsi" w:hAnsiTheme="majorHAnsi" w:cstheme="majorHAnsi"/>
          <w:sz w:val="24"/>
          <w:szCs w:val="24"/>
          <w:lang w:val="en-US"/>
        </w:rPr>
        <w:fldChar w:fldCharType="begin"/>
      </w:r>
      <w:r w:rsidR="00A121D4">
        <w:rPr>
          <w:rFonts w:asciiTheme="majorHAnsi" w:hAnsiTheme="majorHAnsi" w:cstheme="majorHAnsi"/>
          <w:sz w:val="24"/>
          <w:szCs w:val="24"/>
          <w:lang w:val="en-US"/>
        </w:rPr>
        <w:instrText xml:space="preserve"> ADDIN EN.CITE &lt;EndNote&gt;&lt;Cite&gt;&lt;Author&gt;Kumar&lt;/Author&gt;&lt;Year&gt;2018&lt;/Year&gt;&lt;RecNum&gt;60&lt;/RecNum&gt;&lt;DisplayText&gt;&lt;style face="superscript"&gt;12&lt;/style&gt;&lt;/DisplayText&gt;&lt;record&gt;&lt;rec-number&gt;60&lt;/rec-number&gt;&lt;foreign-keys&gt;&lt;key app="EN" db-id="wdrzpw5vgw0z07ewf27pdzf7fwpw25pf5d2w" timestamp="1571382039"&gt;60&lt;/key&gt;&lt;/foreign-keys&gt;&lt;ref-type name="Journal Article"&gt;17&lt;/ref-type&gt;&lt;contributors&gt;&lt;authors&gt;&lt;author&gt;Kumar, Manish&lt;/author&gt;&lt;author&gt;Ji, Boyang&lt;/author&gt;&lt;author&gt;Babaei, Parizad&lt;/author&gt;&lt;author&gt;Das, Promi&lt;/author&gt;&lt;author&gt;Lappa, Dimitra&lt;/author&gt;&lt;author&gt;Ramakrishnan, Girija&lt;/author&gt;&lt;author&gt;Fox, Todd E&lt;/author&gt;&lt;author&gt;Haque, Rashidul&lt;/author&gt;&lt;author&gt;Petri, William A&lt;/author&gt;&lt;author&gt;Bäckhed, Fredrik&lt;/author&gt;&lt;/authors&gt;&lt;/contributors&gt;&lt;titles&gt;&lt;title&gt;Gut microbiota dysbiosis is associated with malnutrition and reduced plasma amino acid levels: lessons from genome-scale metabolic modeling&lt;/title&gt;&lt;secondary-title&gt;Metabolic engineering&lt;/secondary-title&gt;&lt;/titles&gt;&lt;periodical&gt;&lt;full-title&gt;Metabolic Engineering&lt;/full-title&gt;&lt;abbr-1&gt;Metab. Eng.&lt;/abbr-1&gt;&lt;abbr-2&gt;Metab Eng&lt;/abbr-2&gt;&lt;/periodical&gt;&lt;pages&gt;128-142&lt;/pages&gt;&lt;volume&gt;49&lt;/volume&gt;&lt;dates&gt;&lt;year&gt;2018&lt;/year&gt;&lt;/dates&gt;&lt;isbn&gt;1096-7176&lt;/isbn&gt;&lt;urls&gt;&lt;/urls&gt;&lt;/record&gt;&lt;/Cite&gt;&lt;/EndNote&gt;</w:instrText>
      </w:r>
      <w:r w:rsidR="00A121D4">
        <w:rPr>
          <w:rFonts w:asciiTheme="majorHAnsi" w:hAnsiTheme="majorHAnsi" w:cstheme="majorHAnsi"/>
          <w:sz w:val="24"/>
          <w:szCs w:val="24"/>
          <w:lang w:val="en-US"/>
        </w:rPr>
        <w:fldChar w:fldCharType="separate"/>
      </w:r>
      <w:r w:rsidR="00A121D4" w:rsidRPr="00A121D4">
        <w:rPr>
          <w:rFonts w:asciiTheme="majorHAnsi" w:hAnsiTheme="majorHAnsi" w:cstheme="majorHAnsi"/>
          <w:noProof/>
          <w:sz w:val="24"/>
          <w:szCs w:val="24"/>
          <w:vertAlign w:val="superscript"/>
          <w:lang w:val="en-US"/>
        </w:rPr>
        <w:t>12</w:t>
      </w:r>
      <w:r w:rsidR="00A121D4">
        <w:rPr>
          <w:rFonts w:asciiTheme="majorHAnsi" w:hAnsiTheme="majorHAnsi" w:cstheme="majorHAnsi"/>
          <w:sz w:val="24"/>
          <w:szCs w:val="24"/>
          <w:lang w:val="en-US"/>
        </w:rPr>
        <w:fldChar w:fldCharType="end"/>
      </w:r>
      <w:r w:rsidRPr="00A654CF">
        <w:rPr>
          <w:rFonts w:asciiTheme="majorHAnsi" w:hAnsiTheme="majorHAnsi" w:cstheme="majorHAnsi"/>
          <w:sz w:val="24"/>
          <w:szCs w:val="24"/>
          <w:lang w:val="en-US"/>
        </w:rPr>
        <w:t>. The total EMP determines the metabolic capability/potential of the bacteria to perform a particular function. In this study, EMP was used to evaluate the performances of bacteria for BA transformation. For any particular BA, EMP was used to estimate the flux potential, the uptake or compound produced by bacteria. Overall, the maximum luminal uptake (LUP) and secretion (LSP) potential of the BA exchange reactions, facilitated by the gut bacteria in the community model, was estimated and adjusted with the abundances</w:t>
      </w:r>
      <w:r w:rsidR="009412BC" w:rsidRPr="00A654CF">
        <w:rPr>
          <w:rFonts w:asciiTheme="majorHAnsi" w:hAnsiTheme="majorHAnsi" w:cstheme="majorHAnsi"/>
          <w:sz w:val="24"/>
          <w:szCs w:val="24"/>
          <w:lang w:val="en-US"/>
        </w:rPr>
        <w:t xml:space="preserve"> of MGSs</w:t>
      </w:r>
      <w:r w:rsidRPr="00A654CF">
        <w:rPr>
          <w:rFonts w:asciiTheme="majorHAnsi" w:hAnsiTheme="majorHAnsi" w:cstheme="majorHAnsi"/>
          <w:sz w:val="24"/>
          <w:szCs w:val="24"/>
          <w:lang w:val="en-US"/>
        </w:rPr>
        <w:t>. BA reaction abundances were estimated by ‘calculateReactionAbundance()’.</w:t>
      </w:r>
    </w:p>
    <w:p w14:paraId="6976C183" w14:textId="61CEFC9C" w:rsidR="0028696C" w:rsidRPr="00A654CF" w:rsidRDefault="00AA31BD" w:rsidP="000A0FA4">
      <w:pPr>
        <w:pStyle w:val="Heading4"/>
        <w:spacing w:before="0" w:after="0" w:line="276" w:lineRule="auto"/>
        <w:ind w:firstLine="0"/>
        <w:rPr>
          <w:rFonts w:asciiTheme="majorHAnsi" w:hAnsiTheme="majorHAnsi" w:cstheme="majorHAnsi"/>
          <w:lang w:val="en-US"/>
        </w:rPr>
      </w:pPr>
      <w:bookmarkStart w:id="2" w:name="_4hdhm3twoncy" w:colFirst="0" w:colLast="0"/>
      <w:bookmarkEnd w:id="2"/>
      <w:r w:rsidRPr="00A654CF">
        <w:rPr>
          <w:rFonts w:asciiTheme="majorHAnsi" w:hAnsiTheme="majorHAnsi" w:cstheme="majorHAnsi"/>
          <w:lang w:val="en-US"/>
        </w:rPr>
        <w:t xml:space="preserve">Metabolic modeling of </w:t>
      </w:r>
      <w:r w:rsidR="009412BC" w:rsidRPr="00A654CF">
        <w:rPr>
          <w:rFonts w:asciiTheme="majorHAnsi" w:hAnsiTheme="majorHAnsi" w:cstheme="majorHAnsi"/>
          <w:lang w:val="en-US"/>
        </w:rPr>
        <w:t xml:space="preserve">human </w:t>
      </w:r>
      <w:r w:rsidR="00C0231E">
        <w:rPr>
          <w:rFonts w:asciiTheme="majorHAnsi" w:hAnsiTheme="majorHAnsi" w:cstheme="majorHAnsi"/>
          <w:lang w:val="en-US"/>
        </w:rPr>
        <w:t>gut microbiota</w:t>
      </w:r>
      <w:r w:rsidR="009412BC" w:rsidRPr="00A654CF">
        <w:rPr>
          <w:rFonts w:asciiTheme="majorHAnsi" w:hAnsiTheme="majorHAnsi" w:cstheme="majorHAnsi"/>
          <w:lang w:val="en-US"/>
        </w:rPr>
        <w:t xml:space="preserve"> for bile acid</w:t>
      </w:r>
      <w:r w:rsidRPr="00A654CF">
        <w:rPr>
          <w:rFonts w:asciiTheme="majorHAnsi" w:hAnsiTheme="majorHAnsi" w:cstheme="majorHAnsi"/>
          <w:lang w:val="en-US"/>
        </w:rPr>
        <w:t xml:space="preserve"> transformation</w:t>
      </w:r>
    </w:p>
    <w:p w14:paraId="0BEAAD90" w14:textId="2AD2DACE" w:rsidR="0028696C" w:rsidRDefault="00AA31BD" w:rsidP="000A0FA4">
      <w:pPr>
        <w:spacing w:after="0" w:line="276" w:lineRule="auto"/>
        <w:ind w:firstLine="0"/>
        <w:jc w:val="both"/>
        <w:rPr>
          <w:rFonts w:asciiTheme="majorHAnsi" w:hAnsiTheme="majorHAnsi" w:cstheme="majorHAnsi"/>
          <w:sz w:val="24"/>
          <w:szCs w:val="24"/>
          <w:lang w:val="en-US"/>
        </w:rPr>
      </w:pPr>
      <w:r w:rsidRPr="00A654CF">
        <w:rPr>
          <w:rFonts w:asciiTheme="majorHAnsi" w:hAnsiTheme="majorHAnsi" w:cstheme="majorHAnsi"/>
          <w:sz w:val="24"/>
          <w:szCs w:val="24"/>
          <w:lang w:val="en-US"/>
        </w:rPr>
        <w:t xml:space="preserve">In non-obese individuals, the serum levels of CA and CDCA were positively correlated </w:t>
      </w:r>
      <w:r w:rsidR="00E37AAF" w:rsidRPr="00A654CF">
        <w:rPr>
          <w:rFonts w:asciiTheme="majorHAnsi" w:hAnsiTheme="majorHAnsi" w:cstheme="majorHAnsi"/>
          <w:sz w:val="24"/>
          <w:szCs w:val="24"/>
          <w:lang w:val="en-US"/>
        </w:rPr>
        <w:t>(</w:t>
      </w:r>
      <w:r w:rsidR="00E37AAF">
        <w:rPr>
          <w:rFonts w:ascii="Symbol" w:hAnsi="Symbol" w:cstheme="majorHAnsi"/>
          <w:sz w:val="24"/>
          <w:szCs w:val="24"/>
          <w:lang w:val="en-US"/>
        </w:rPr>
        <w:t></w:t>
      </w:r>
      <w:r w:rsidR="00E37AAF" w:rsidRPr="00A654CF">
        <w:rPr>
          <w:rFonts w:asciiTheme="majorHAnsi" w:hAnsiTheme="majorHAnsi" w:cstheme="majorHAnsi"/>
          <w:sz w:val="24"/>
          <w:szCs w:val="24"/>
          <w:lang w:val="en-US"/>
        </w:rPr>
        <w:t>=</w:t>
      </w:r>
      <w:r w:rsidRPr="00A654CF">
        <w:rPr>
          <w:rFonts w:asciiTheme="majorHAnsi" w:hAnsiTheme="majorHAnsi" w:cstheme="majorHAnsi"/>
          <w:sz w:val="24"/>
          <w:szCs w:val="24"/>
          <w:lang w:val="en-US"/>
        </w:rPr>
        <w:t>0.21, p &lt; 0.05) with their luminal secretion potential (LSP) (</w:t>
      </w:r>
      <w:r w:rsidRPr="00A654CF">
        <w:rPr>
          <w:rFonts w:asciiTheme="majorHAnsi" w:hAnsiTheme="majorHAnsi" w:cstheme="majorHAnsi"/>
          <w:b/>
          <w:sz w:val="24"/>
          <w:szCs w:val="24"/>
          <w:lang w:val="en-US"/>
        </w:rPr>
        <w:t>Supplementary Figure 9A</w:t>
      </w:r>
      <w:r w:rsidRPr="00A654CF">
        <w:rPr>
          <w:rFonts w:asciiTheme="majorHAnsi" w:hAnsiTheme="majorHAnsi" w:cstheme="majorHAnsi"/>
          <w:sz w:val="24"/>
          <w:szCs w:val="24"/>
          <w:lang w:val="en-US"/>
        </w:rPr>
        <w:t>), whereas in the obese individuals, these associations were weak or</w:t>
      </w:r>
      <w:r w:rsidR="00A9600D" w:rsidRPr="00A654CF">
        <w:rPr>
          <w:rFonts w:asciiTheme="majorHAnsi" w:hAnsiTheme="majorHAnsi" w:cstheme="majorHAnsi"/>
          <w:sz w:val="24"/>
          <w:szCs w:val="24"/>
          <w:lang w:val="en-US"/>
        </w:rPr>
        <w:t xml:space="preserve"> absent</w:t>
      </w:r>
      <w:r w:rsidRPr="00A654CF">
        <w:rPr>
          <w:rFonts w:asciiTheme="majorHAnsi" w:hAnsiTheme="majorHAnsi" w:cstheme="majorHAnsi"/>
          <w:sz w:val="24"/>
          <w:szCs w:val="24"/>
          <w:lang w:val="en-US"/>
        </w:rPr>
        <w:t>. However, conjugates of CAs such as GCA, TCA correlated directly with their LSP (</w:t>
      </w:r>
      <w:r w:rsidRPr="00A654CF">
        <w:rPr>
          <w:rFonts w:asciiTheme="majorHAnsi" w:hAnsiTheme="majorHAnsi" w:cstheme="majorHAnsi"/>
          <w:b/>
          <w:sz w:val="24"/>
          <w:szCs w:val="24"/>
          <w:lang w:val="en-US"/>
        </w:rPr>
        <w:t>Supplementary Figure 9B</w:t>
      </w:r>
      <w:r w:rsidRPr="00A654CF">
        <w:rPr>
          <w:rFonts w:asciiTheme="majorHAnsi" w:hAnsiTheme="majorHAnsi" w:cstheme="majorHAnsi"/>
          <w:sz w:val="24"/>
          <w:szCs w:val="24"/>
          <w:lang w:val="en-US"/>
        </w:rPr>
        <w:t xml:space="preserve">). In addition, in non-obese </w:t>
      </w:r>
      <w:r w:rsidRPr="00A654CF">
        <w:rPr>
          <w:rFonts w:asciiTheme="majorHAnsi" w:hAnsiTheme="majorHAnsi" w:cstheme="majorHAnsi"/>
          <w:sz w:val="24"/>
          <w:szCs w:val="24"/>
          <w:lang w:val="en-US"/>
        </w:rPr>
        <w:lastRenderedPageBreak/>
        <w:t>individuals, the serum CA concentration correlated directly with the estimated metabolic potentials (EMPs) (</w:t>
      </w:r>
      <w:r w:rsidRPr="00584856">
        <w:rPr>
          <w:rFonts w:asciiTheme="majorHAnsi" w:hAnsiTheme="majorHAnsi" w:cstheme="majorHAnsi"/>
          <w:iCs/>
          <w:sz w:val="24"/>
          <w:szCs w:val="24"/>
          <w:lang w:val="en-US"/>
        </w:rPr>
        <w:t>see</w:t>
      </w:r>
      <w:r w:rsidRPr="00A654CF">
        <w:rPr>
          <w:rFonts w:asciiTheme="majorHAnsi" w:hAnsiTheme="majorHAnsi" w:cstheme="majorHAnsi"/>
          <w:i/>
          <w:sz w:val="24"/>
          <w:szCs w:val="24"/>
          <w:lang w:val="en-US"/>
        </w:rPr>
        <w:t xml:space="preserve"> </w:t>
      </w:r>
      <w:r w:rsidRPr="00584856">
        <w:rPr>
          <w:rFonts w:asciiTheme="majorHAnsi" w:hAnsiTheme="majorHAnsi" w:cstheme="majorHAnsi"/>
          <w:b/>
          <w:iCs/>
          <w:sz w:val="24"/>
          <w:szCs w:val="24"/>
          <w:lang w:val="en-US"/>
        </w:rPr>
        <w:t>Methods</w:t>
      </w:r>
      <w:r w:rsidRPr="00A654CF">
        <w:rPr>
          <w:rFonts w:asciiTheme="majorHAnsi" w:hAnsiTheme="majorHAnsi" w:cstheme="majorHAnsi"/>
          <w:sz w:val="24"/>
          <w:szCs w:val="24"/>
          <w:lang w:val="en-US"/>
        </w:rPr>
        <w:t xml:space="preserve">) of </w:t>
      </w:r>
      <w:r w:rsidRPr="00A654CF">
        <w:rPr>
          <w:rFonts w:asciiTheme="majorHAnsi" w:hAnsiTheme="majorHAnsi" w:cstheme="majorHAnsi"/>
          <w:i/>
          <w:sz w:val="24"/>
          <w:szCs w:val="24"/>
          <w:lang w:val="en-US"/>
        </w:rPr>
        <w:t>Ruminococcus spp.</w:t>
      </w:r>
      <w:r w:rsidRPr="00A654CF">
        <w:rPr>
          <w:rFonts w:asciiTheme="majorHAnsi" w:hAnsiTheme="majorHAnsi" w:cstheme="majorHAnsi"/>
          <w:sz w:val="24"/>
          <w:szCs w:val="24"/>
          <w:lang w:val="en-US"/>
        </w:rPr>
        <w:t xml:space="preserve"> and </w:t>
      </w:r>
      <w:r w:rsidRPr="00A654CF">
        <w:rPr>
          <w:rFonts w:asciiTheme="majorHAnsi" w:hAnsiTheme="majorHAnsi" w:cstheme="majorHAnsi"/>
          <w:i/>
          <w:sz w:val="24"/>
          <w:szCs w:val="24"/>
          <w:lang w:val="en-US"/>
        </w:rPr>
        <w:t>Bacteroides spp.</w:t>
      </w:r>
      <w:r w:rsidRPr="00A654CF">
        <w:rPr>
          <w:rFonts w:asciiTheme="majorHAnsi" w:hAnsiTheme="majorHAnsi" w:cstheme="majorHAnsi"/>
          <w:sz w:val="24"/>
          <w:szCs w:val="24"/>
          <w:lang w:val="en-US"/>
        </w:rPr>
        <w:t xml:space="preserve">, respectively, for the TCA exchanges. Likewise, serum CDCA correlated positively with the EMPs of the </w:t>
      </w:r>
      <w:r w:rsidRPr="00A654CF">
        <w:rPr>
          <w:rFonts w:asciiTheme="majorHAnsi" w:hAnsiTheme="majorHAnsi" w:cstheme="majorHAnsi"/>
          <w:i/>
          <w:sz w:val="24"/>
          <w:szCs w:val="24"/>
          <w:lang w:val="en-US"/>
        </w:rPr>
        <w:t>Eubacterium spp.</w:t>
      </w:r>
      <w:r w:rsidRPr="00A654CF">
        <w:rPr>
          <w:rFonts w:asciiTheme="majorHAnsi" w:hAnsiTheme="majorHAnsi" w:cstheme="majorHAnsi"/>
          <w:sz w:val="24"/>
          <w:szCs w:val="24"/>
          <w:lang w:val="en-US"/>
        </w:rPr>
        <w:t xml:space="preserve">, </w:t>
      </w:r>
      <w:r w:rsidRPr="00A654CF">
        <w:rPr>
          <w:rFonts w:asciiTheme="majorHAnsi" w:hAnsiTheme="majorHAnsi" w:cstheme="majorHAnsi"/>
          <w:i/>
          <w:sz w:val="24"/>
          <w:szCs w:val="24"/>
          <w:lang w:val="en-US"/>
        </w:rPr>
        <w:t>Parabacteroides spp.</w:t>
      </w:r>
      <w:r w:rsidRPr="00A654CF">
        <w:rPr>
          <w:rFonts w:asciiTheme="majorHAnsi" w:hAnsiTheme="majorHAnsi" w:cstheme="majorHAnsi"/>
          <w:sz w:val="24"/>
          <w:szCs w:val="24"/>
          <w:lang w:val="en-US"/>
        </w:rPr>
        <w:t xml:space="preserve">, and </w:t>
      </w:r>
      <w:r w:rsidRPr="00A654CF">
        <w:rPr>
          <w:rFonts w:asciiTheme="majorHAnsi" w:hAnsiTheme="majorHAnsi" w:cstheme="majorHAnsi"/>
          <w:i/>
          <w:sz w:val="24"/>
          <w:szCs w:val="24"/>
          <w:lang w:val="en-US"/>
        </w:rPr>
        <w:t>Bifidobacterium spp.</w:t>
      </w:r>
      <w:r w:rsidRPr="00A654CF">
        <w:rPr>
          <w:rFonts w:asciiTheme="majorHAnsi" w:hAnsiTheme="majorHAnsi" w:cstheme="majorHAnsi"/>
          <w:sz w:val="24"/>
          <w:szCs w:val="24"/>
          <w:lang w:val="en-US"/>
        </w:rPr>
        <w:t>, respectively, for the GCDCA exchange (</w:t>
      </w:r>
      <w:r w:rsidRPr="00A654CF">
        <w:rPr>
          <w:rFonts w:asciiTheme="majorHAnsi" w:hAnsiTheme="majorHAnsi" w:cstheme="majorHAnsi"/>
          <w:b/>
          <w:sz w:val="24"/>
          <w:szCs w:val="24"/>
          <w:lang w:val="en-US"/>
        </w:rPr>
        <w:t>Supplementary Figure 10)</w:t>
      </w:r>
      <w:r w:rsidRPr="00A654CF">
        <w:rPr>
          <w:rFonts w:asciiTheme="majorHAnsi" w:hAnsiTheme="majorHAnsi" w:cstheme="majorHAnsi"/>
          <w:sz w:val="24"/>
          <w:szCs w:val="24"/>
          <w:lang w:val="en-US"/>
        </w:rPr>
        <w:t xml:space="preserve">. In contrast, in the obese group the serum CA and CDCA levels correlated positively with the EMPs of </w:t>
      </w:r>
      <w:r w:rsidRPr="00A654CF">
        <w:rPr>
          <w:rFonts w:asciiTheme="majorHAnsi" w:hAnsiTheme="majorHAnsi" w:cstheme="majorHAnsi"/>
          <w:i/>
          <w:sz w:val="24"/>
          <w:szCs w:val="24"/>
          <w:lang w:val="en-US"/>
        </w:rPr>
        <w:t>Ruminococcus_lactaris_ATCC_29176</w:t>
      </w:r>
      <w:r w:rsidRPr="00A654CF">
        <w:rPr>
          <w:rFonts w:asciiTheme="majorHAnsi" w:hAnsiTheme="majorHAnsi" w:cstheme="majorHAnsi"/>
          <w:sz w:val="24"/>
          <w:szCs w:val="24"/>
          <w:lang w:val="en-US"/>
        </w:rPr>
        <w:t xml:space="preserve"> and </w:t>
      </w:r>
      <w:r w:rsidRPr="00A654CF">
        <w:rPr>
          <w:rFonts w:asciiTheme="majorHAnsi" w:hAnsiTheme="majorHAnsi" w:cstheme="majorHAnsi"/>
          <w:i/>
          <w:sz w:val="24"/>
          <w:szCs w:val="24"/>
          <w:lang w:val="en-US"/>
        </w:rPr>
        <w:t>Bacteroides_massiliensis_B846dnLKV334</w:t>
      </w:r>
      <w:r w:rsidRPr="00A654CF">
        <w:rPr>
          <w:rFonts w:asciiTheme="majorHAnsi" w:hAnsiTheme="majorHAnsi" w:cstheme="majorHAnsi"/>
          <w:sz w:val="24"/>
          <w:szCs w:val="24"/>
          <w:lang w:val="en-US"/>
        </w:rPr>
        <w:t>,</w:t>
      </w:r>
      <w:r w:rsidRPr="00A654CF">
        <w:rPr>
          <w:rFonts w:asciiTheme="majorHAnsi" w:hAnsiTheme="majorHAnsi" w:cstheme="majorHAnsi"/>
          <w:i/>
          <w:sz w:val="24"/>
          <w:szCs w:val="24"/>
          <w:lang w:val="en-US"/>
        </w:rPr>
        <w:t xml:space="preserve"> </w:t>
      </w:r>
      <w:r w:rsidRPr="00A654CF">
        <w:rPr>
          <w:rFonts w:asciiTheme="majorHAnsi" w:hAnsiTheme="majorHAnsi" w:cstheme="majorHAnsi"/>
          <w:sz w:val="24"/>
          <w:szCs w:val="24"/>
          <w:lang w:val="en-US"/>
        </w:rPr>
        <w:t>respectively (</w:t>
      </w:r>
      <w:r w:rsidRPr="00A654CF">
        <w:rPr>
          <w:rFonts w:asciiTheme="majorHAnsi" w:hAnsiTheme="majorHAnsi" w:cstheme="majorHAnsi"/>
          <w:b/>
          <w:sz w:val="24"/>
          <w:szCs w:val="24"/>
          <w:lang w:val="en-US"/>
        </w:rPr>
        <w:t>Supplementary Figure 11)</w:t>
      </w:r>
      <w:r w:rsidRPr="00A654CF">
        <w:rPr>
          <w:rFonts w:asciiTheme="majorHAnsi" w:hAnsiTheme="majorHAnsi" w:cstheme="majorHAnsi"/>
          <w:sz w:val="24"/>
          <w:szCs w:val="24"/>
          <w:lang w:val="en-US"/>
        </w:rPr>
        <w:t xml:space="preserve">. </w:t>
      </w:r>
    </w:p>
    <w:p w14:paraId="518DD057" w14:textId="77777777" w:rsidR="00584856" w:rsidRPr="00A654CF" w:rsidRDefault="00584856" w:rsidP="000A0FA4">
      <w:pPr>
        <w:spacing w:after="0" w:line="276" w:lineRule="auto"/>
        <w:ind w:firstLine="0"/>
        <w:jc w:val="both"/>
        <w:rPr>
          <w:rFonts w:asciiTheme="majorHAnsi" w:hAnsiTheme="majorHAnsi" w:cstheme="majorHAnsi"/>
          <w:sz w:val="24"/>
          <w:szCs w:val="24"/>
          <w:lang w:val="en-US"/>
        </w:rPr>
      </w:pPr>
    </w:p>
    <w:p w14:paraId="4511212A" w14:textId="5B0187DB" w:rsidR="0028696C" w:rsidRDefault="00AA31BD" w:rsidP="000A0FA4">
      <w:pPr>
        <w:spacing w:after="0" w:line="276" w:lineRule="auto"/>
        <w:ind w:firstLine="0"/>
        <w:jc w:val="both"/>
        <w:rPr>
          <w:rFonts w:asciiTheme="majorHAnsi" w:hAnsiTheme="majorHAnsi" w:cstheme="majorHAnsi"/>
          <w:sz w:val="24"/>
          <w:szCs w:val="24"/>
          <w:lang w:val="en-US"/>
        </w:rPr>
      </w:pPr>
      <w:r w:rsidRPr="00A654CF">
        <w:rPr>
          <w:rFonts w:asciiTheme="majorHAnsi" w:hAnsiTheme="majorHAnsi" w:cstheme="majorHAnsi"/>
          <w:sz w:val="24"/>
          <w:szCs w:val="24"/>
          <w:lang w:val="en-US"/>
        </w:rPr>
        <w:t xml:space="preserve">As a common denominator, the abundances of </w:t>
      </w:r>
      <w:r w:rsidRPr="00A654CF">
        <w:rPr>
          <w:rFonts w:asciiTheme="majorHAnsi" w:hAnsiTheme="majorHAnsi" w:cstheme="majorHAnsi"/>
          <w:i/>
          <w:sz w:val="24"/>
          <w:szCs w:val="24"/>
          <w:lang w:val="en-US"/>
        </w:rPr>
        <w:t>Ruminococcus</w:t>
      </w:r>
      <w:r w:rsidRPr="00A654CF">
        <w:rPr>
          <w:rFonts w:asciiTheme="majorHAnsi" w:hAnsiTheme="majorHAnsi" w:cstheme="majorHAnsi"/>
          <w:sz w:val="24"/>
          <w:szCs w:val="24"/>
          <w:lang w:val="en-US"/>
        </w:rPr>
        <w:t xml:space="preserve"> </w:t>
      </w:r>
      <w:r w:rsidRPr="00A654CF">
        <w:rPr>
          <w:rFonts w:asciiTheme="majorHAnsi" w:hAnsiTheme="majorHAnsi" w:cstheme="majorHAnsi"/>
          <w:i/>
          <w:sz w:val="24"/>
          <w:szCs w:val="24"/>
          <w:lang w:val="en-US"/>
        </w:rPr>
        <w:t>spp.</w:t>
      </w:r>
      <w:r w:rsidRPr="00A654CF">
        <w:rPr>
          <w:rFonts w:asciiTheme="majorHAnsi" w:hAnsiTheme="majorHAnsi" w:cstheme="majorHAnsi"/>
          <w:sz w:val="24"/>
          <w:szCs w:val="24"/>
          <w:lang w:val="en-US"/>
        </w:rPr>
        <w:t xml:space="preserve">, and </w:t>
      </w:r>
      <w:r w:rsidRPr="00A654CF">
        <w:rPr>
          <w:rFonts w:asciiTheme="majorHAnsi" w:hAnsiTheme="majorHAnsi" w:cstheme="majorHAnsi"/>
          <w:i/>
          <w:sz w:val="24"/>
          <w:szCs w:val="24"/>
          <w:lang w:val="en-US"/>
        </w:rPr>
        <w:t xml:space="preserve">Bacteroides spp., </w:t>
      </w:r>
      <w:r w:rsidRPr="00A654CF">
        <w:rPr>
          <w:rFonts w:asciiTheme="majorHAnsi" w:hAnsiTheme="majorHAnsi" w:cstheme="majorHAnsi"/>
          <w:sz w:val="24"/>
          <w:szCs w:val="24"/>
          <w:lang w:val="en-US"/>
        </w:rPr>
        <w:t>may determine the BA biotransformation in non-obese and obese individuals (</w:t>
      </w:r>
      <w:r w:rsidRPr="00A654CF">
        <w:rPr>
          <w:rFonts w:asciiTheme="majorHAnsi" w:hAnsiTheme="majorHAnsi" w:cstheme="majorHAnsi"/>
          <w:b/>
          <w:sz w:val="24"/>
          <w:szCs w:val="24"/>
          <w:lang w:val="en-US"/>
        </w:rPr>
        <w:t xml:space="preserve">Supplementary Figure 10 </w:t>
      </w:r>
      <w:r w:rsidR="00584856">
        <w:rPr>
          <w:rFonts w:asciiTheme="majorHAnsi" w:hAnsiTheme="majorHAnsi" w:cstheme="majorHAnsi"/>
          <w:sz w:val="24"/>
          <w:szCs w:val="24"/>
          <w:lang w:val="en-US"/>
        </w:rPr>
        <w:t>and</w:t>
      </w:r>
      <w:r w:rsidRPr="00A654CF">
        <w:rPr>
          <w:rFonts w:asciiTheme="majorHAnsi" w:hAnsiTheme="majorHAnsi" w:cstheme="majorHAnsi"/>
          <w:b/>
          <w:sz w:val="24"/>
          <w:szCs w:val="24"/>
          <w:lang w:val="en-US"/>
        </w:rPr>
        <w:t xml:space="preserve"> Supplementary Figure 11)</w:t>
      </w:r>
      <w:r w:rsidRPr="00A654CF">
        <w:rPr>
          <w:rFonts w:asciiTheme="majorHAnsi" w:hAnsiTheme="majorHAnsi" w:cstheme="majorHAnsi"/>
          <w:sz w:val="24"/>
          <w:szCs w:val="24"/>
          <w:lang w:val="en-US"/>
        </w:rPr>
        <w:t xml:space="preserve">. The total EMP of the luminal BA exchange reactions carried by </w:t>
      </w:r>
      <w:r w:rsidRPr="00A654CF">
        <w:rPr>
          <w:rFonts w:asciiTheme="majorHAnsi" w:hAnsiTheme="majorHAnsi" w:cstheme="majorHAnsi"/>
          <w:i/>
          <w:sz w:val="24"/>
          <w:szCs w:val="24"/>
          <w:lang w:val="en-US"/>
        </w:rPr>
        <w:t xml:space="preserve">Bacteroides_coprocola_M16_DSM_17136 </w:t>
      </w:r>
      <w:r w:rsidRPr="00A654CF">
        <w:rPr>
          <w:rFonts w:asciiTheme="majorHAnsi" w:hAnsiTheme="majorHAnsi" w:cstheme="majorHAnsi"/>
          <w:sz w:val="24"/>
          <w:szCs w:val="24"/>
          <w:lang w:val="en-US"/>
        </w:rPr>
        <w:t xml:space="preserve">was increased (p = 0.040), whereas that of </w:t>
      </w:r>
      <w:r w:rsidRPr="00A654CF">
        <w:rPr>
          <w:rFonts w:asciiTheme="majorHAnsi" w:hAnsiTheme="majorHAnsi" w:cstheme="majorHAnsi"/>
          <w:i/>
          <w:sz w:val="24"/>
          <w:szCs w:val="24"/>
          <w:lang w:val="en-US"/>
        </w:rPr>
        <w:t>Ruminococcus_bromii_L2_63</w:t>
      </w:r>
      <w:r w:rsidRPr="00A654CF">
        <w:rPr>
          <w:rFonts w:asciiTheme="majorHAnsi" w:hAnsiTheme="majorHAnsi" w:cstheme="majorHAnsi"/>
          <w:sz w:val="24"/>
          <w:szCs w:val="24"/>
          <w:lang w:val="en-US"/>
        </w:rPr>
        <w:t xml:space="preserve"> was decreased (p = 0.008) in the obese group (</w:t>
      </w:r>
      <w:r w:rsidRPr="00A654CF">
        <w:rPr>
          <w:rFonts w:asciiTheme="majorHAnsi" w:hAnsiTheme="majorHAnsi" w:cstheme="majorHAnsi"/>
          <w:b/>
          <w:sz w:val="24"/>
          <w:szCs w:val="24"/>
          <w:lang w:val="en-US"/>
        </w:rPr>
        <w:t xml:space="preserve">Supplementary </w:t>
      </w:r>
      <w:r w:rsidR="00884975">
        <w:rPr>
          <w:rFonts w:asciiTheme="majorHAnsi" w:hAnsiTheme="majorHAnsi" w:cstheme="majorHAnsi"/>
          <w:b/>
          <w:sz w:val="24"/>
          <w:szCs w:val="24"/>
          <w:lang w:val="en-US"/>
        </w:rPr>
        <w:t>Fig.</w:t>
      </w:r>
      <w:r w:rsidRPr="00A654CF">
        <w:rPr>
          <w:rFonts w:asciiTheme="majorHAnsi" w:hAnsiTheme="majorHAnsi" w:cstheme="majorHAnsi"/>
          <w:b/>
          <w:sz w:val="24"/>
          <w:szCs w:val="24"/>
          <w:lang w:val="en-US"/>
        </w:rPr>
        <w:t xml:space="preserve"> 12</w:t>
      </w:r>
      <w:r w:rsidRPr="00A654CF">
        <w:rPr>
          <w:rFonts w:asciiTheme="majorHAnsi" w:hAnsiTheme="majorHAnsi" w:cstheme="majorHAnsi"/>
          <w:sz w:val="24"/>
          <w:szCs w:val="24"/>
          <w:lang w:val="en-US"/>
        </w:rPr>
        <w:t xml:space="preserve">). Additionally, in the obese subjects, the EMP for TCA exchange by </w:t>
      </w:r>
      <w:r w:rsidRPr="00A654CF">
        <w:rPr>
          <w:rFonts w:asciiTheme="majorHAnsi" w:hAnsiTheme="majorHAnsi" w:cstheme="majorHAnsi"/>
          <w:i/>
          <w:sz w:val="24"/>
          <w:szCs w:val="24"/>
          <w:lang w:val="en-US"/>
        </w:rPr>
        <w:t xml:space="preserve">Coprococcus_eutactus_ATCC_27759 </w:t>
      </w:r>
      <w:r w:rsidRPr="00A654CF">
        <w:rPr>
          <w:rFonts w:asciiTheme="majorHAnsi" w:hAnsiTheme="majorHAnsi" w:cstheme="majorHAnsi"/>
          <w:sz w:val="24"/>
          <w:szCs w:val="24"/>
          <w:lang w:val="en-US"/>
        </w:rPr>
        <w:t>correlated positively with most of the serum BAs (except CA and CDCA) measured in this study (</w:t>
      </w:r>
      <w:r w:rsidRPr="00A654CF">
        <w:rPr>
          <w:rFonts w:asciiTheme="majorHAnsi" w:hAnsiTheme="majorHAnsi" w:cstheme="majorHAnsi"/>
          <w:b/>
          <w:sz w:val="24"/>
          <w:szCs w:val="24"/>
          <w:lang w:val="en-US"/>
        </w:rPr>
        <w:t xml:space="preserve">Supplementary </w:t>
      </w:r>
      <w:r w:rsidR="00884975">
        <w:rPr>
          <w:rFonts w:asciiTheme="majorHAnsi" w:hAnsiTheme="majorHAnsi" w:cstheme="majorHAnsi"/>
          <w:b/>
          <w:sz w:val="24"/>
          <w:szCs w:val="24"/>
          <w:lang w:val="en-US"/>
        </w:rPr>
        <w:t>Fig.</w:t>
      </w:r>
      <w:r w:rsidRPr="00A654CF">
        <w:rPr>
          <w:rFonts w:asciiTheme="majorHAnsi" w:hAnsiTheme="majorHAnsi" w:cstheme="majorHAnsi"/>
          <w:b/>
          <w:sz w:val="24"/>
          <w:szCs w:val="24"/>
          <w:lang w:val="en-US"/>
        </w:rPr>
        <w:t xml:space="preserve"> 11</w:t>
      </w:r>
      <w:r w:rsidRPr="00A654CF">
        <w:rPr>
          <w:rFonts w:asciiTheme="majorHAnsi" w:hAnsiTheme="majorHAnsi" w:cstheme="majorHAnsi"/>
          <w:sz w:val="24"/>
          <w:szCs w:val="24"/>
          <w:lang w:val="en-US"/>
        </w:rPr>
        <w:t>). Simulation of the pairwise interaction between these bacteria suggests that, most of the studied taxa exhibit Amensalism (</w:t>
      </w:r>
      <w:r w:rsidRPr="00A654CF">
        <w:rPr>
          <w:rFonts w:asciiTheme="majorHAnsi" w:hAnsiTheme="majorHAnsi" w:cstheme="majorHAnsi"/>
          <w:b/>
          <w:sz w:val="24"/>
          <w:szCs w:val="24"/>
          <w:lang w:val="en-US"/>
        </w:rPr>
        <w:t xml:space="preserve">Supplementary </w:t>
      </w:r>
      <w:r w:rsidR="00884975">
        <w:rPr>
          <w:rFonts w:asciiTheme="majorHAnsi" w:hAnsiTheme="majorHAnsi" w:cstheme="majorHAnsi"/>
          <w:b/>
          <w:sz w:val="24"/>
          <w:szCs w:val="24"/>
          <w:lang w:val="en-US"/>
        </w:rPr>
        <w:t>Fig.</w:t>
      </w:r>
      <w:r w:rsidRPr="00A654CF">
        <w:rPr>
          <w:rFonts w:asciiTheme="majorHAnsi" w:hAnsiTheme="majorHAnsi" w:cstheme="majorHAnsi"/>
          <w:b/>
          <w:sz w:val="24"/>
          <w:szCs w:val="24"/>
          <w:lang w:val="en-US"/>
        </w:rPr>
        <w:t xml:space="preserve"> 13B</w:t>
      </w:r>
      <w:r w:rsidRPr="00A654CF">
        <w:rPr>
          <w:rFonts w:asciiTheme="majorHAnsi" w:hAnsiTheme="majorHAnsi" w:cstheme="majorHAnsi"/>
          <w:sz w:val="24"/>
          <w:szCs w:val="24"/>
          <w:lang w:val="en-US"/>
        </w:rPr>
        <w:t xml:space="preserve">). </w:t>
      </w:r>
    </w:p>
    <w:p w14:paraId="39F1021E" w14:textId="77777777" w:rsidR="00584856" w:rsidRPr="00A654CF" w:rsidRDefault="00584856" w:rsidP="000A0FA4">
      <w:pPr>
        <w:spacing w:after="0" w:line="276" w:lineRule="auto"/>
        <w:ind w:firstLine="0"/>
        <w:jc w:val="both"/>
        <w:rPr>
          <w:rFonts w:asciiTheme="majorHAnsi" w:hAnsiTheme="majorHAnsi" w:cstheme="majorHAnsi"/>
          <w:sz w:val="24"/>
          <w:szCs w:val="24"/>
          <w:lang w:val="en-US"/>
        </w:rPr>
      </w:pPr>
    </w:p>
    <w:p w14:paraId="3D321669" w14:textId="7E0ED388" w:rsidR="0028696C" w:rsidRPr="00A654CF" w:rsidRDefault="00AA31BD" w:rsidP="000A0FA4">
      <w:pPr>
        <w:spacing w:line="276" w:lineRule="auto"/>
        <w:ind w:firstLine="0"/>
        <w:jc w:val="both"/>
        <w:rPr>
          <w:rFonts w:asciiTheme="majorHAnsi" w:hAnsiTheme="majorHAnsi" w:cstheme="majorHAnsi"/>
          <w:sz w:val="24"/>
          <w:szCs w:val="24"/>
          <w:lang w:val="en-US"/>
        </w:rPr>
      </w:pPr>
      <w:r w:rsidRPr="00A654CF">
        <w:rPr>
          <w:rFonts w:asciiTheme="majorHAnsi" w:hAnsiTheme="majorHAnsi" w:cstheme="majorHAnsi"/>
          <w:sz w:val="24"/>
          <w:szCs w:val="24"/>
          <w:lang w:val="en-US"/>
        </w:rPr>
        <w:t>The serum DCA concentration correlated directly with their LSPs in non-obese and obese individuals (</w:t>
      </w:r>
      <w:r w:rsidRPr="00A654CF">
        <w:rPr>
          <w:rFonts w:asciiTheme="majorHAnsi" w:hAnsiTheme="majorHAnsi" w:cstheme="majorHAnsi"/>
          <w:b/>
          <w:sz w:val="24"/>
          <w:szCs w:val="24"/>
          <w:lang w:val="en-US"/>
        </w:rPr>
        <w:t xml:space="preserve">Supplementary </w:t>
      </w:r>
      <w:r w:rsidR="00884975">
        <w:rPr>
          <w:rFonts w:asciiTheme="majorHAnsi" w:hAnsiTheme="majorHAnsi" w:cstheme="majorHAnsi"/>
          <w:b/>
          <w:sz w:val="24"/>
          <w:szCs w:val="24"/>
          <w:lang w:val="en-US"/>
        </w:rPr>
        <w:t>Fig.</w:t>
      </w:r>
      <w:r w:rsidRPr="00A654CF">
        <w:rPr>
          <w:rFonts w:asciiTheme="majorHAnsi" w:hAnsiTheme="majorHAnsi" w:cstheme="majorHAnsi"/>
          <w:b/>
          <w:sz w:val="24"/>
          <w:szCs w:val="24"/>
          <w:lang w:val="en-US"/>
        </w:rPr>
        <w:t xml:space="preserve"> 9</w:t>
      </w:r>
      <w:r w:rsidRPr="00A654CF">
        <w:rPr>
          <w:rFonts w:asciiTheme="majorHAnsi" w:hAnsiTheme="majorHAnsi" w:cstheme="majorHAnsi"/>
          <w:sz w:val="24"/>
          <w:szCs w:val="24"/>
          <w:lang w:val="en-US"/>
        </w:rPr>
        <w:t>). Interestingly, the serum level of 7-oxo-DCA (a stable intermediate) correlated with the LSPs of primary and secondary BAs in non-obese people (</w:t>
      </w:r>
      <w:r w:rsidRPr="00A654CF">
        <w:rPr>
          <w:rFonts w:asciiTheme="majorHAnsi" w:hAnsiTheme="majorHAnsi" w:cstheme="majorHAnsi"/>
          <w:b/>
          <w:sz w:val="24"/>
          <w:szCs w:val="24"/>
          <w:lang w:val="en-US"/>
        </w:rPr>
        <w:t xml:space="preserve">Supplementary </w:t>
      </w:r>
      <w:r w:rsidR="00884975">
        <w:rPr>
          <w:rFonts w:asciiTheme="majorHAnsi" w:hAnsiTheme="majorHAnsi" w:cstheme="majorHAnsi"/>
          <w:b/>
          <w:sz w:val="24"/>
          <w:szCs w:val="24"/>
          <w:lang w:val="en-US"/>
        </w:rPr>
        <w:t>Fig.</w:t>
      </w:r>
      <w:r w:rsidRPr="00A654CF">
        <w:rPr>
          <w:rFonts w:asciiTheme="majorHAnsi" w:hAnsiTheme="majorHAnsi" w:cstheme="majorHAnsi"/>
          <w:b/>
          <w:sz w:val="24"/>
          <w:szCs w:val="24"/>
          <w:lang w:val="en-US"/>
        </w:rPr>
        <w:t xml:space="preserve"> 9A</w:t>
      </w:r>
      <w:r w:rsidRPr="00A654CF">
        <w:rPr>
          <w:rFonts w:asciiTheme="majorHAnsi" w:hAnsiTheme="majorHAnsi" w:cstheme="majorHAnsi"/>
          <w:sz w:val="24"/>
          <w:szCs w:val="24"/>
          <w:lang w:val="en-US"/>
        </w:rPr>
        <w:t>). However, a similar association was not observed in the obese subjects (</w:t>
      </w:r>
      <w:r w:rsidRPr="00A654CF">
        <w:rPr>
          <w:rFonts w:asciiTheme="majorHAnsi" w:hAnsiTheme="majorHAnsi" w:cstheme="majorHAnsi"/>
          <w:b/>
          <w:sz w:val="24"/>
          <w:szCs w:val="24"/>
          <w:lang w:val="en-US"/>
        </w:rPr>
        <w:t xml:space="preserve">Supplementary </w:t>
      </w:r>
      <w:r w:rsidR="00884975">
        <w:rPr>
          <w:rFonts w:asciiTheme="majorHAnsi" w:hAnsiTheme="majorHAnsi" w:cstheme="majorHAnsi"/>
          <w:b/>
          <w:sz w:val="24"/>
          <w:szCs w:val="24"/>
          <w:lang w:val="en-US"/>
        </w:rPr>
        <w:t>Fig.</w:t>
      </w:r>
      <w:r w:rsidRPr="00A654CF">
        <w:rPr>
          <w:rFonts w:asciiTheme="majorHAnsi" w:hAnsiTheme="majorHAnsi" w:cstheme="majorHAnsi"/>
          <w:b/>
          <w:sz w:val="24"/>
          <w:szCs w:val="24"/>
          <w:lang w:val="en-US"/>
        </w:rPr>
        <w:t xml:space="preserve"> 9B</w:t>
      </w:r>
      <w:r w:rsidRPr="00A654CF">
        <w:rPr>
          <w:rFonts w:asciiTheme="majorHAnsi" w:hAnsiTheme="majorHAnsi" w:cstheme="majorHAnsi"/>
          <w:sz w:val="24"/>
          <w:szCs w:val="24"/>
          <w:lang w:val="en-US"/>
        </w:rPr>
        <w:t>)</w:t>
      </w:r>
      <w:r w:rsidRPr="00A654CF">
        <w:rPr>
          <w:rFonts w:asciiTheme="majorHAnsi" w:hAnsiTheme="majorHAnsi" w:cstheme="majorHAnsi"/>
          <w:b/>
          <w:sz w:val="24"/>
          <w:szCs w:val="24"/>
          <w:lang w:val="en-US"/>
        </w:rPr>
        <w:t xml:space="preserve">. </w:t>
      </w:r>
      <w:r w:rsidRPr="00A654CF">
        <w:rPr>
          <w:rFonts w:asciiTheme="majorHAnsi" w:hAnsiTheme="majorHAnsi" w:cstheme="majorHAnsi"/>
          <w:sz w:val="24"/>
          <w:szCs w:val="24"/>
          <w:lang w:val="en-US"/>
        </w:rPr>
        <w:t xml:space="preserve">The conjugates and intermediates of serum DCAs correlated positively with EMP of </w:t>
      </w:r>
      <w:r w:rsidRPr="00A654CF">
        <w:rPr>
          <w:rFonts w:asciiTheme="majorHAnsi" w:hAnsiTheme="majorHAnsi" w:cstheme="majorHAnsi"/>
          <w:i/>
          <w:sz w:val="24"/>
          <w:szCs w:val="24"/>
          <w:lang w:val="en-US"/>
        </w:rPr>
        <w:t xml:space="preserve">Ruminococcus spp., </w:t>
      </w:r>
      <w:r w:rsidRPr="00A654CF">
        <w:rPr>
          <w:rFonts w:asciiTheme="majorHAnsi" w:hAnsiTheme="majorHAnsi" w:cstheme="majorHAnsi"/>
          <w:sz w:val="24"/>
          <w:szCs w:val="24"/>
          <w:lang w:val="en-US"/>
        </w:rPr>
        <w:t>for the exchange of GCA</w:t>
      </w:r>
      <w:r w:rsidRPr="00A654CF">
        <w:rPr>
          <w:rFonts w:asciiTheme="majorHAnsi" w:hAnsiTheme="majorHAnsi" w:cstheme="majorHAnsi"/>
          <w:i/>
          <w:sz w:val="24"/>
          <w:szCs w:val="24"/>
          <w:lang w:val="en-US"/>
        </w:rPr>
        <w:t xml:space="preserve"> </w:t>
      </w:r>
      <w:r w:rsidRPr="00A654CF">
        <w:rPr>
          <w:rFonts w:asciiTheme="majorHAnsi" w:hAnsiTheme="majorHAnsi" w:cstheme="majorHAnsi"/>
          <w:sz w:val="24"/>
          <w:szCs w:val="24"/>
          <w:lang w:val="en-US"/>
        </w:rPr>
        <w:t>in the non-obese group (</w:t>
      </w:r>
      <w:r w:rsidRPr="00A654CF">
        <w:rPr>
          <w:rFonts w:asciiTheme="majorHAnsi" w:hAnsiTheme="majorHAnsi" w:cstheme="majorHAnsi"/>
          <w:b/>
          <w:sz w:val="24"/>
          <w:szCs w:val="24"/>
          <w:lang w:val="en-US"/>
        </w:rPr>
        <w:t xml:space="preserve">Supplementary </w:t>
      </w:r>
      <w:r w:rsidR="00884975">
        <w:rPr>
          <w:rFonts w:asciiTheme="majorHAnsi" w:hAnsiTheme="majorHAnsi" w:cstheme="majorHAnsi"/>
          <w:b/>
          <w:sz w:val="24"/>
          <w:szCs w:val="24"/>
          <w:lang w:val="en-US"/>
        </w:rPr>
        <w:t>Fig.</w:t>
      </w:r>
      <w:r w:rsidRPr="00A654CF">
        <w:rPr>
          <w:rFonts w:asciiTheme="majorHAnsi" w:hAnsiTheme="majorHAnsi" w:cstheme="majorHAnsi"/>
          <w:b/>
          <w:sz w:val="24"/>
          <w:szCs w:val="24"/>
          <w:lang w:val="en-US"/>
        </w:rPr>
        <w:t xml:space="preserve"> 9A</w:t>
      </w:r>
      <w:r w:rsidRPr="00A654CF">
        <w:rPr>
          <w:rFonts w:asciiTheme="majorHAnsi" w:hAnsiTheme="majorHAnsi" w:cstheme="majorHAnsi"/>
          <w:sz w:val="24"/>
          <w:szCs w:val="24"/>
          <w:lang w:val="en-US"/>
        </w:rPr>
        <w:t xml:space="preserve">), while they correlated positively with the EMPs of </w:t>
      </w:r>
      <w:r w:rsidRPr="00A654CF">
        <w:rPr>
          <w:rFonts w:asciiTheme="majorHAnsi" w:hAnsiTheme="majorHAnsi" w:cstheme="majorHAnsi"/>
          <w:i/>
          <w:sz w:val="24"/>
          <w:szCs w:val="24"/>
          <w:lang w:val="en-US"/>
        </w:rPr>
        <w:t xml:space="preserve">Coprococcus eutactus </w:t>
      </w:r>
      <w:r w:rsidRPr="00A654CF">
        <w:rPr>
          <w:rFonts w:asciiTheme="majorHAnsi" w:hAnsiTheme="majorHAnsi" w:cstheme="majorHAnsi"/>
          <w:sz w:val="24"/>
          <w:szCs w:val="24"/>
          <w:lang w:val="en-US"/>
        </w:rPr>
        <w:t>for the exchange of TCA in the obese subjects</w:t>
      </w:r>
      <w:r w:rsidRPr="00A654CF">
        <w:rPr>
          <w:rFonts w:asciiTheme="majorHAnsi" w:hAnsiTheme="majorHAnsi" w:cstheme="majorHAnsi"/>
          <w:i/>
          <w:sz w:val="24"/>
          <w:szCs w:val="24"/>
          <w:lang w:val="en-US"/>
        </w:rPr>
        <w:t xml:space="preserve"> </w:t>
      </w:r>
      <w:r w:rsidRPr="00A654CF">
        <w:rPr>
          <w:rFonts w:asciiTheme="majorHAnsi" w:hAnsiTheme="majorHAnsi" w:cstheme="majorHAnsi"/>
          <w:sz w:val="24"/>
          <w:szCs w:val="24"/>
          <w:lang w:val="en-US"/>
        </w:rPr>
        <w:t>(</w:t>
      </w:r>
      <w:r w:rsidRPr="00A654CF">
        <w:rPr>
          <w:rFonts w:asciiTheme="majorHAnsi" w:hAnsiTheme="majorHAnsi" w:cstheme="majorHAnsi"/>
          <w:b/>
          <w:sz w:val="24"/>
          <w:szCs w:val="24"/>
          <w:lang w:val="en-US"/>
        </w:rPr>
        <w:t xml:space="preserve">Supplementary </w:t>
      </w:r>
      <w:r w:rsidR="00884975">
        <w:rPr>
          <w:rFonts w:asciiTheme="majorHAnsi" w:hAnsiTheme="majorHAnsi" w:cstheme="majorHAnsi"/>
          <w:b/>
          <w:sz w:val="24"/>
          <w:szCs w:val="24"/>
          <w:lang w:val="en-US"/>
        </w:rPr>
        <w:t>Fig.</w:t>
      </w:r>
      <w:r w:rsidRPr="00A654CF">
        <w:rPr>
          <w:rFonts w:asciiTheme="majorHAnsi" w:hAnsiTheme="majorHAnsi" w:cstheme="majorHAnsi"/>
          <w:b/>
          <w:sz w:val="24"/>
          <w:szCs w:val="24"/>
          <w:lang w:val="en-US"/>
        </w:rPr>
        <w:t xml:space="preserve"> 9B</w:t>
      </w:r>
      <w:r w:rsidRPr="00A654CF">
        <w:rPr>
          <w:rFonts w:asciiTheme="majorHAnsi" w:hAnsiTheme="majorHAnsi" w:cstheme="majorHAnsi"/>
          <w:sz w:val="24"/>
          <w:szCs w:val="24"/>
          <w:lang w:val="en-US"/>
        </w:rPr>
        <w:t>). No significant correlation was observed between serum LCA and their LSP in neither non-obese nor obese individuals (</w:t>
      </w:r>
      <w:r w:rsidRPr="00A654CF">
        <w:rPr>
          <w:rFonts w:asciiTheme="majorHAnsi" w:hAnsiTheme="majorHAnsi" w:cstheme="majorHAnsi"/>
          <w:b/>
          <w:sz w:val="24"/>
          <w:szCs w:val="24"/>
          <w:lang w:val="en-US"/>
        </w:rPr>
        <w:t xml:space="preserve">Supplementary </w:t>
      </w:r>
      <w:r w:rsidR="00884975">
        <w:rPr>
          <w:rFonts w:asciiTheme="majorHAnsi" w:hAnsiTheme="majorHAnsi" w:cstheme="majorHAnsi"/>
          <w:b/>
          <w:sz w:val="24"/>
          <w:szCs w:val="24"/>
          <w:lang w:val="en-US"/>
        </w:rPr>
        <w:t>Fig.</w:t>
      </w:r>
      <w:r w:rsidRPr="00A654CF">
        <w:rPr>
          <w:rFonts w:asciiTheme="majorHAnsi" w:hAnsiTheme="majorHAnsi" w:cstheme="majorHAnsi"/>
          <w:b/>
          <w:sz w:val="24"/>
          <w:szCs w:val="24"/>
          <w:lang w:val="en-US"/>
        </w:rPr>
        <w:t xml:space="preserve"> 9</w:t>
      </w:r>
      <w:r w:rsidRPr="00A654CF">
        <w:rPr>
          <w:rFonts w:asciiTheme="majorHAnsi" w:hAnsiTheme="majorHAnsi" w:cstheme="majorHAnsi"/>
          <w:sz w:val="24"/>
          <w:szCs w:val="24"/>
          <w:lang w:val="en-US"/>
        </w:rPr>
        <w:t xml:space="preserve">). </w:t>
      </w:r>
    </w:p>
    <w:p w14:paraId="45927EEE" w14:textId="11876A9E" w:rsidR="0028696C" w:rsidRPr="00A654CF" w:rsidRDefault="00AA31BD" w:rsidP="000A0FA4">
      <w:pPr>
        <w:spacing w:after="0" w:line="276" w:lineRule="auto"/>
        <w:ind w:firstLine="0"/>
        <w:jc w:val="both"/>
        <w:rPr>
          <w:rFonts w:asciiTheme="majorHAnsi" w:hAnsiTheme="majorHAnsi" w:cstheme="majorHAnsi"/>
          <w:b/>
          <w:i/>
          <w:sz w:val="24"/>
          <w:szCs w:val="24"/>
          <w:lang w:val="en-US"/>
        </w:rPr>
      </w:pPr>
      <w:r w:rsidRPr="00A654CF">
        <w:rPr>
          <w:rFonts w:asciiTheme="majorHAnsi" w:hAnsiTheme="majorHAnsi" w:cstheme="majorHAnsi"/>
          <w:sz w:val="24"/>
          <w:szCs w:val="24"/>
          <w:lang w:val="en-US"/>
        </w:rPr>
        <w:t>UDCA comprises approximately 4% of the serum BA pool in humans</w:t>
      </w:r>
      <w:r w:rsidR="00F813E6">
        <w:rPr>
          <w:rFonts w:asciiTheme="majorHAnsi" w:hAnsiTheme="majorHAnsi" w:cstheme="majorHAnsi"/>
          <w:sz w:val="24"/>
          <w:szCs w:val="24"/>
          <w:lang w:val="en-US"/>
        </w:rPr>
        <w:fldChar w:fldCharType="begin"/>
      </w:r>
      <w:r w:rsidR="00F813E6">
        <w:rPr>
          <w:rFonts w:asciiTheme="majorHAnsi" w:hAnsiTheme="majorHAnsi" w:cstheme="majorHAnsi"/>
          <w:sz w:val="24"/>
          <w:szCs w:val="24"/>
          <w:lang w:val="en-US"/>
        </w:rPr>
        <w:instrText xml:space="preserve"> ADDIN EN.CITE &lt;EndNote&gt;&lt;Cite&gt;&lt;Author&gt;Lazaridis&lt;/Author&gt;&lt;Year&gt;2001&lt;/Year&gt;&lt;RecNum&gt;24&lt;/RecNum&gt;&lt;DisplayText&gt;&lt;style face="superscript"&gt;13&lt;/style&gt;&lt;/DisplayText&gt;&lt;record&gt;&lt;rec-number&gt;24&lt;/rec-number&gt;&lt;foreign-keys&gt;&lt;key app="EN" db-id="wdrzpw5vgw0z07ewf27pdzf7fwpw25pf5d2w" timestamp="1571381982"&gt;24&lt;/key&gt;&lt;/foreign-keys&gt;&lt;ref-type name="Journal Article"&gt;17&lt;/ref-type&gt;&lt;contributors&gt;&lt;authors&gt;&lt;author&gt;Lazaridis, Konstantinos N&lt;/author&gt;&lt;author&gt;Gores, Gregory J&lt;/author&gt;&lt;author&gt;Lindor, Keith D&lt;/author&gt;&lt;/authors&gt;&lt;/contributors&gt;&lt;titles&gt;&lt;title&gt;Ursodeoxycholic acid ‘mechanisms of action and clinical use in hepatobiliary disorders’&lt;/title&gt;&lt;secondary-title&gt;Journal of hepatology&lt;/secondary-title&gt;&lt;/titles&gt;&lt;periodical&gt;&lt;full-title&gt;Journal of Hepatology&lt;/full-title&gt;&lt;abbr-1&gt;J. Hepatol.&lt;/abbr-1&gt;&lt;abbr-2&gt;J Hepatol&lt;/abbr-2&gt;&lt;/periodical&gt;&lt;pages&gt;134-146&lt;/pages&gt;&lt;volume&gt;35&lt;/volume&gt;&lt;number&gt;1&lt;/number&gt;&lt;dates&gt;&lt;year&gt;2001&lt;/year&gt;&lt;/dates&gt;&lt;isbn&gt;0168-8278&lt;/isbn&gt;&lt;urls&gt;&lt;/urls&gt;&lt;/record&gt;&lt;/Cite&gt;&lt;/EndNote&gt;</w:instrText>
      </w:r>
      <w:r w:rsidR="00F813E6">
        <w:rPr>
          <w:rFonts w:asciiTheme="majorHAnsi" w:hAnsiTheme="majorHAnsi" w:cstheme="majorHAnsi"/>
          <w:sz w:val="24"/>
          <w:szCs w:val="24"/>
          <w:lang w:val="en-US"/>
        </w:rPr>
        <w:fldChar w:fldCharType="separate"/>
      </w:r>
      <w:r w:rsidR="00F813E6" w:rsidRPr="00F813E6">
        <w:rPr>
          <w:rFonts w:asciiTheme="majorHAnsi" w:hAnsiTheme="majorHAnsi" w:cstheme="majorHAnsi"/>
          <w:noProof/>
          <w:sz w:val="24"/>
          <w:szCs w:val="24"/>
          <w:vertAlign w:val="superscript"/>
          <w:lang w:val="en-US"/>
        </w:rPr>
        <w:t>13</w:t>
      </w:r>
      <w:r w:rsidR="00F813E6">
        <w:rPr>
          <w:rFonts w:asciiTheme="majorHAnsi" w:hAnsiTheme="majorHAnsi" w:cstheme="majorHAnsi"/>
          <w:sz w:val="24"/>
          <w:szCs w:val="24"/>
          <w:lang w:val="en-US"/>
        </w:rPr>
        <w:fldChar w:fldCharType="end"/>
      </w:r>
      <w:r w:rsidR="00F813E6">
        <w:rPr>
          <w:rFonts w:asciiTheme="majorHAnsi" w:hAnsiTheme="majorHAnsi" w:cstheme="majorHAnsi"/>
          <w:sz w:val="24"/>
          <w:szCs w:val="24"/>
          <w:lang w:val="en-US"/>
        </w:rPr>
        <w:t>.</w:t>
      </w:r>
      <w:r w:rsidRPr="00A654CF">
        <w:rPr>
          <w:rFonts w:asciiTheme="majorHAnsi" w:hAnsiTheme="majorHAnsi" w:cstheme="majorHAnsi"/>
          <w:sz w:val="24"/>
          <w:szCs w:val="24"/>
          <w:lang w:val="en-US"/>
        </w:rPr>
        <w:t xml:space="preserve"> In non-obese subjects, LSP of UDCA correlated directly with the serum levels of its precursor CDCA (</w:t>
      </w:r>
      <w:r w:rsidRPr="00A654CF">
        <w:rPr>
          <w:rFonts w:asciiTheme="majorHAnsi" w:hAnsiTheme="majorHAnsi" w:cstheme="majorHAnsi"/>
          <w:b/>
          <w:sz w:val="24"/>
          <w:szCs w:val="24"/>
          <w:lang w:val="en-US"/>
        </w:rPr>
        <w:t xml:space="preserve">Supplementary </w:t>
      </w:r>
      <w:r w:rsidR="00884975">
        <w:rPr>
          <w:rFonts w:asciiTheme="majorHAnsi" w:hAnsiTheme="majorHAnsi" w:cstheme="majorHAnsi"/>
          <w:b/>
          <w:sz w:val="24"/>
          <w:szCs w:val="24"/>
          <w:lang w:val="en-US"/>
        </w:rPr>
        <w:t>Fig.</w:t>
      </w:r>
      <w:r w:rsidRPr="00A654CF">
        <w:rPr>
          <w:rFonts w:asciiTheme="majorHAnsi" w:hAnsiTheme="majorHAnsi" w:cstheme="majorHAnsi"/>
          <w:b/>
          <w:sz w:val="24"/>
          <w:szCs w:val="24"/>
          <w:lang w:val="en-US"/>
        </w:rPr>
        <w:t xml:space="preserve"> 9A</w:t>
      </w:r>
      <w:r w:rsidRPr="00A654CF">
        <w:rPr>
          <w:rFonts w:asciiTheme="majorHAnsi" w:hAnsiTheme="majorHAnsi" w:cstheme="majorHAnsi"/>
          <w:sz w:val="24"/>
          <w:szCs w:val="24"/>
          <w:lang w:val="en-US"/>
        </w:rPr>
        <w:t xml:space="preserve">) and inversely with its serum conjugates. Findings, which are suggesting that UDCA may have been absorbed by the epithelial cells or eliminated in the stool. Similar associations were not observed in obese. Serum UDCA levels were directly correlated with its precursor CDCA exchanged by </w:t>
      </w:r>
      <w:r w:rsidRPr="00A654CF">
        <w:rPr>
          <w:rFonts w:asciiTheme="majorHAnsi" w:hAnsiTheme="majorHAnsi" w:cstheme="majorHAnsi"/>
          <w:i/>
          <w:sz w:val="24"/>
          <w:szCs w:val="24"/>
          <w:lang w:val="en-US"/>
        </w:rPr>
        <w:t xml:space="preserve">Eubacterium_siraeum_70_3 </w:t>
      </w:r>
      <w:r w:rsidRPr="00A654CF">
        <w:rPr>
          <w:rFonts w:asciiTheme="majorHAnsi" w:hAnsiTheme="majorHAnsi" w:cstheme="majorHAnsi"/>
          <w:sz w:val="24"/>
          <w:szCs w:val="24"/>
          <w:lang w:val="en-US"/>
        </w:rPr>
        <w:t>or Bacteroides</w:t>
      </w:r>
      <w:r w:rsidRPr="00A654CF">
        <w:rPr>
          <w:rFonts w:asciiTheme="majorHAnsi" w:hAnsiTheme="majorHAnsi" w:cstheme="majorHAnsi"/>
          <w:i/>
          <w:sz w:val="24"/>
          <w:szCs w:val="24"/>
          <w:lang w:val="en-US"/>
        </w:rPr>
        <w:t>_xylanisolvens_XB1A</w:t>
      </w:r>
      <w:r w:rsidRPr="00A654CF">
        <w:rPr>
          <w:rFonts w:asciiTheme="majorHAnsi" w:hAnsiTheme="majorHAnsi" w:cstheme="majorHAnsi"/>
          <w:sz w:val="24"/>
          <w:szCs w:val="24"/>
          <w:lang w:val="en-US"/>
        </w:rPr>
        <w:t xml:space="preserve"> in non-obese and obese people, respectively (</w:t>
      </w:r>
      <w:r w:rsidRPr="00A654CF">
        <w:rPr>
          <w:rFonts w:asciiTheme="majorHAnsi" w:hAnsiTheme="majorHAnsi" w:cstheme="majorHAnsi"/>
          <w:b/>
          <w:sz w:val="24"/>
          <w:szCs w:val="24"/>
          <w:lang w:val="en-US"/>
        </w:rPr>
        <w:t xml:space="preserve">Supplementary </w:t>
      </w:r>
      <w:r w:rsidR="00884975">
        <w:rPr>
          <w:rFonts w:asciiTheme="majorHAnsi" w:hAnsiTheme="majorHAnsi" w:cstheme="majorHAnsi"/>
          <w:b/>
          <w:sz w:val="24"/>
          <w:szCs w:val="24"/>
          <w:lang w:val="en-US"/>
        </w:rPr>
        <w:t>Fig.</w:t>
      </w:r>
      <w:r w:rsidRPr="00A654CF">
        <w:rPr>
          <w:rFonts w:asciiTheme="majorHAnsi" w:hAnsiTheme="majorHAnsi" w:cstheme="majorHAnsi"/>
          <w:b/>
          <w:sz w:val="24"/>
          <w:szCs w:val="24"/>
          <w:lang w:val="en-US"/>
        </w:rPr>
        <w:t xml:space="preserve"> 10 </w:t>
      </w:r>
      <w:r w:rsidR="003D7D74">
        <w:rPr>
          <w:rFonts w:asciiTheme="majorHAnsi" w:hAnsiTheme="majorHAnsi" w:cstheme="majorHAnsi"/>
          <w:sz w:val="24"/>
          <w:szCs w:val="24"/>
          <w:lang w:val="en-US"/>
        </w:rPr>
        <w:t>and</w:t>
      </w:r>
      <w:r w:rsidRPr="00A654CF">
        <w:rPr>
          <w:rFonts w:asciiTheme="majorHAnsi" w:hAnsiTheme="majorHAnsi" w:cstheme="majorHAnsi"/>
          <w:b/>
          <w:sz w:val="24"/>
          <w:szCs w:val="24"/>
          <w:lang w:val="en-US"/>
        </w:rPr>
        <w:t xml:space="preserve"> Supplementary </w:t>
      </w:r>
      <w:r w:rsidR="00884975">
        <w:rPr>
          <w:rFonts w:asciiTheme="majorHAnsi" w:hAnsiTheme="majorHAnsi" w:cstheme="majorHAnsi"/>
          <w:b/>
          <w:sz w:val="24"/>
          <w:szCs w:val="24"/>
          <w:lang w:val="en-US"/>
        </w:rPr>
        <w:t>Fig.</w:t>
      </w:r>
      <w:r w:rsidRPr="00A654CF">
        <w:rPr>
          <w:rFonts w:asciiTheme="majorHAnsi" w:hAnsiTheme="majorHAnsi" w:cstheme="majorHAnsi"/>
          <w:b/>
          <w:sz w:val="24"/>
          <w:szCs w:val="24"/>
          <w:lang w:val="en-US"/>
        </w:rPr>
        <w:t xml:space="preserve"> 11</w:t>
      </w:r>
      <w:r w:rsidRPr="00A654CF">
        <w:rPr>
          <w:rFonts w:asciiTheme="majorHAnsi" w:hAnsiTheme="majorHAnsi" w:cstheme="majorHAnsi"/>
          <w:sz w:val="24"/>
          <w:szCs w:val="24"/>
          <w:lang w:val="en-US"/>
        </w:rPr>
        <w:t xml:space="preserve">). </w:t>
      </w:r>
    </w:p>
    <w:p w14:paraId="333559CE" w14:textId="5CA9531F" w:rsidR="00242082" w:rsidRDefault="00AA31BD" w:rsidP="000A0FA4">
      <w:pPr>
        <w:spacing w:after="0" w:line="276" w:lineRule="auto"/>
        <w:ind w:firstLine="0"/>
        <w:jc w:val="both"/>
        <w:rPr>
          <w:rFonts w:asciiTheme="majorHAnsi" w:hAnsiTheme="majorHAnsi" w:cstheme="majorHAnsi"/>
          <w:sz w:val="24"/>
          <w:szCs w:val="24"/>
          <w:lang w:val="en-US"/>
        </w:rPr>
      </w:pPr>
      <w:r w:rsidRPr="00A654CF">
        <w:rPr>
          <w:rFonts w:asciiTheme="majorHAnsi" w:hAnsiTheme="majorHAnsi" w:cstheme="majorHAnsi"/>
          <w:sz w:val="24"/>
          <w:szCs w:val="24"/>
          <w:lang w:val="en-US"/>
        </w:rPr>
        <w:lastRenderedPageBreak/>
        <w:t>No significant correlation was observed between serum LCA or GLCA and their LSPs in the non-obese and obese subjects (</w:t>
      </w:r>
      <w:r w:rsidRPr="00A654CF">
        <w:rPr>
          <w:rFonts w:asciiTheme="majorHAnsi" w:hAnsiTheme="majorHAnsi" w:cstheme="majorHAnsi"/>
          <w:b/>
          <w:sz w:val="24"/>
          <w:szCs w:val="24"/>
          <w:lang w:val="en-US"/>
        </w:rPr>
        <w:t xml:space="preserve">Supplementary </w:t>
      </w:r>
      <w:r w:rsidR="00884975">
        <w:rPr>
          <w:rFonts w:asciiTheme="majorHAnsi" w:hAnsiTheme="majorHAnsi" w:cstheme="majorHAnsi"/>
          <w:b/>
          <w:sz w:val="24"/>
          <w:szCs w:val="24"/>
          <w:lang w:val="en-US"/>
        </w:rPr>
        <w:t>Fig.</w:t>
      </w:r>
      <w:r w:rsidRPr="00A654CF">
        <w:rPr>
          <w:rFonts w:asciiTheme="majorHAnsi" w:hAnsiTheme="majorHAnsi" w:cstheme="majorHAnsi"/>
          <w:b/>
          <w:sz w:val="24"/>
          <w:szCs w:val="24"/>
          <w:lang w:val="en-US"/>
        </w:rPr>
        <w:t xml:space="preserve"> 9</w:t>
      </w:r>
      <w:r w:rsidRPr="00A654CF">
        <w:rPr>
          <w:rFonts w:asciiTheme="majorHAnsi" w:hAnsiTheme="majorHAnsi" w:cstheme="majorHAnsi"/>
          <w:sz w:val="24"/>
          <w:szCs w:val="24"/>
          <w:lang w:val="en-US"/>
        </w:rPr>
        <w:t>). LCA can be produced from CDCA and UDCA by 7</w:t>
      </w:r>
      <w:r w:rsidR="00E37AAF">
        <w:rPr>
          <w:rFonts w:ascii="Symbol" w:hAnsi="Symbol" w:cstheme="majorHAnsi"/>
          <w:sz w:val="24"/>
          <w:szCs w:val="24"/>
          <w:lang w:val="en-US"/>
        </w:rPr>
        <w:t></w:t>
      </w:r>
      <w:r w:rsidR="00E37AAF" w:rsidRPr="00A654CF">
        <w:rPr>
          <w:rFonts w:asciiTheme="majorHAnsi" w:hAnsiTheme="majorHAnsi" w:cstheme="majorHAnsi"/>
          <w:sz w:val="24"/>
          <w:szCs w:val="24"/>
          <w:lang w:val="en-US"/>
        </w:rPr>
        <w:t>/</w:t>
      </w:r>
      <w:r w:rsidRPr="00A654CF">
        <w:rPr>
          <w:rFonts w:asciiTheme="majorHAnsi" w:hAnsiTheme="majorHAnsi" w:cstheme="majorHAnsi"/>
          <w:sz w:val="24"/>
          <w:szCs w:val="24"/>
          <w:lang w:val="en-US"/>
        </w:rPr>
        <w:t>7</w:t>
      </w:r>
      <w:r w:rsidR="00E37AAF">
        <w:rPr>
          <w:rFonts w:ascii="Symbol" w:hAnsi="Symbol" w:cstheme="majorHAnsi"/>
          <w:sz w:val="24"/>
          <w:szCs w:val="24"/>
          <w:lang w:val="en-US"/>
        </w:rPr>
        <w:t></w:t>
      </w:r>
      <w:r w:rsidR="00E37AAF" w:rsidRPr="00A654CF">
        <w:rPr>
          <w:rFonts w:asciiTheme="majorHAnsi" w:hAnsiTheme="majorHAnsi" w:cstheme="majorHAnsi"/>
          <w:sz w:val="24"/>
          <w:szCs w:val="24"/>
          <w:lang w:val="en-US"/>
        </w:rPr>
        <w:t>-</w:t>
      </w:r>
      <w:r w:rsidRPr="00A654CF">
        <w:rPr>
          <w:rFonts w:asciiTheme="majorHAnsi" w:hAnsiTheme="majorHAnsi" w:cstheme="majorHAnsi"/>
          <w:sz w:val="24"/>
          <w:szCs w:val="24"/>
          <w:lang w:val="en-US"/>
        </w:rPr>
        <w:t xml:space="preserve">dehydroxylation pathway or alternatively de-conjugated from GLCA. In obese subjects, serum GLCA and LCA concentrations correlated directly with the GCDCA uptake potential of </w:t>
      </w:r>
      <w:r w:rsidRPr="00242082">
        <w:rPr>
          <w:rFonts w:asciiTheme="majorHAnsi" w:hAnsiTheme="majorHAnsi" w:cstheme="majorHAnsi"/>
          <w:i/>
          <w:iCs/>
          <w:sz w:val="24"/>
          <w:szCs w:val="24"/>
          <w:lang w:val="en-US"/>
        </w:rPr>
        <w:t>Ruminococcus_bromii_L2_63</w:t>
      </w:r>
      <w:r w:rsidRPr="00A654CF">
        <w:rPr>
          <w:rFonts w:asciiTheme="majorHAnsi" w:hAnsiTheme="majorHAnsi" w:cstheme="majorHAnsi"/>
          <w:sz w:val="24"/>
          <w:szCs w:val="24"/>
          <w:lang w:val="en-US"/>
        </w:rPr>
        <w:t>,</w:t>
      </w:r>
      <w:r w:rsidR="000A0FA4" w:rsidRPr="00A654CF">
        <w:rPr>
          <w:rFonts w:asciiTheme="majorHAnsi" w:hAnsiTheme="majorHAnsi" w:cstheme="majorHAnsi"/>
          <w:sz w:val="24"/>
          <w:szCs w:val="24"/>
          <w:lang w:val="en-US"/>
        </w:rPr>
        <w:t xml:space="preserve"> </w:t>
      </w:r>
      <w:r w:rsidRPr="00242082">
        <w:rPr>
          <w:rFonts w:asciiTheme="majorHAnsi" w:hAnsiTheme="majorHAnsi" w:cstheme="majorHAnsi"/>
          <w:i/>
          <w:iCs/>
          <w:sz w:val="24"/>
          <w:szCs w:val="24"/>
          <w:lang w:val="en-US"/>
        </w:rPr>
        <w:t>Lachnospiraceae_bacterium_sp_5_1_63FAA</w:t>
      </w:r>
      <w:r w:rsidRPr="00A654CF">
        <w:rPr>
          <w:rFonts w:asciiTheme="majorHAnsi" w:hAnsiTheme="majorHAnsi" w:cstheme="majorHAnsi"/>
          <w:sz w:val="24"/>
          <w:szCs w:val="24"/>
          <w:lang w:val="en-US"/>
        </w:rPr>
        <w:t xml:space="preserve">, </w:t>
      </w:r>
    </w:p>
    <w:p w14:paraId="201C4090" w14:textId="42D4D69E" w:rsidR="0028696C" w:rsidRDefault="00AA31BD" w:rsidP="000A0FA4">
      <w:pPr>
        <w:spacing w:after="0" w:line="276" w:lineRule="auto"/>
        <w:ind w:firstLine="0"/>
        <w:jc w:val="both"/>
        <w:rPr>
          <w:rFonts w:asciiTheme="majorHAnsi" w:hAnsiTheme="majorHAnsi" w:cstheme="majorHAnsi"/>
          <w:sz w:val="24"/>
          <w:szCs w:val="24"/>
          <w:lang w:val="en-US"/>
        </w:rPr>
      </w:pPr>
      <w:r w:rsidRPr="00242082">
        <w:rPr>
          <w:rFonts w:asciiTheme="majorHAnsi" w:hAnsiTheme="majorHAnsi" w:cstheme="majorHAnsi"/>
          <w:i/>
          <w:iCs/>
          <w:sz w:val="24"/>
          <w:szCs w:val="24"/>
          <w:lang w:val="en-US"/>
        </w:rPr>
        <w:t>Bacteroides_plebeius_M12_DSM_17135</w:t>
      </w:r>
      <w:r w:rsidR="00242082">
        <w:rPr>
          <w:rFonts w:asciiTheme="majorHAnsi" w:hAnsiTheme="majorHAnsi" w:cstheme="majorHAnsi"/>
          <w:sz w:val="24"/>
          <w:szCs w:val="24"/>
          <w:lang w:val="en-US"/>
        </w:rPr>
        <w:t xml:space="preserve"> </w:t>
      </w:r>
      <w:r w:rsidRPr="00A654CF">
        <w:rPr>
          <w:rFonts w:asciiTheme="majorHAnsi" w:hAnsiTheme="majorHAnsi" w:cstheme="majorHAnsi"/>
          <w:sz w:val="24"/>
          <w:szCs w:val="24"/>
          <w:lang w:val="en-US"/>
        </w:rPr>
        <w:t xml:space="preserve">and </w:t>
      </w:r>
      <w:r w:rsidRPr="00242082">
        <w:rPr>
          <w:rFonts w:asciiTheme="majorHAnsi" w:hAnsiTheme="majorHAnsi" w:cstheme="majorHAnsi"/>
          <w:i/>
          <w:iCs/>
          <w:sz w:val="24"/>
          <w:szCs w:val="24"/>
          <w:lang w:val="en-US"/>
        </w:rPr>
        <w:t>Roseburia_hominis_A2_183</w:t>
      </w:r>
      <w:r w:rsidRPr="00A654CF">
        <w:rPr>
          <w:rFonts w:asciiTheme="majorHAnsi" w:hAnsiTheme="majorHAnsi" w:cstheme="majorHAnsi"/>
          <w:sz w:val="24"/>
          <w:szCs w:val="24"/>
          <w:lang w:val="en-US"/>
        </w:rPr>
        <w:t>, respectively (</w:t>
      </w:r>
      <w:r w:rsidRPr="00A654CF">
        <w:rPr>
          <w:rFonts w:asciiTheme="majorHAnsi" w:hAnsiTheme="majorHAnsi" w:cstheme="majorHAnsi"/>
          <w:b/>
          <w:sz w:val="24"/>
          <w:szCs w:val="24"/>
          <w:lang w:val="en-US"/>
        </w:rPr>
        <w:t xml:space="preserve">Supplementary </w:t>
      </w:r>
      <w:r w:rsidR="00884975">
        <w:rPr>
          <w:rFonts w:asciiTheme="majorHAnsi" w:hAnsiTheme="majorHAnsi" w:cstheme="majorHAnsi"/>
          <w:b/>
          <w:sz w:val="24"/>
          <w:szCs w:val="24"/>
          <w:lang w:val="en-US"/>
        </w:rPr>
        <w:t>Fig.</w:t>
      </w:r>
      <w:r w:rsidRPr="00A654CF">
        <w:rPr>
          <w:rFonts w:asciiTheme="majorHAnsi" w:hAnsiTheme="majorHAnsi" w:cstheme="majorHAnsi"/>
          <w:b/>
          <w:sz w:val="24"/>
          <w:szCs w:val="24"/>
          <w:lang w:val="en-US"/>
        </w:rPr>
        <w:t xml:space="preserve"> 11</w:t>
      </w:r>
      <w:r w:rsidRPr="00A654CF">
        <w:rPr>
          <w:rFonts w:asciiTheme="majorHAnsi" w:hAnsiTheme="majorHAnsi" w:cstheme="majorHAnsi"/>
          <w:sz w:val="24"/>
          <w:szCs w:val="24"/>
          <w:lang w:val="en-US"/>
        </w:rPr>
        <w:t xml:space="preserve">). In non-obese individuals, LCA was correlated with the TCDCA uptake potential of </w:t>
      </w:r>
      <w:r w:rsidRPr="00242082">
        <w:rPr>
          <w:rFonts w:asciiTheme="majorHAnsi" w:hAnsiTheme="majorHAnsi" w:cstheme="majorHAnsi"/>
          <w:i/>
          <w:iCs/>
          <w:sz w:val="24"/>
          <w:szCs w:val="24"/>
          <w:lang w:val="en-US"/>
        </w:rPr>
        <w:t>Ruminococcus_sp_5_1_39BFAA</w:t>
      </w:r>
      <w:r w:rsidRPr="00A654CF">
        <w:rPr>
          <w:rFonts w:asciiTheme="majorHAnsi" w:hAnsiTheme="majorHAnsi" w:cstheme="majorHAnsi"/>
          <w:sz w:val="24"/>
          <w:szCs w:val="24"/>
          <w:lang w:val="en-US"/>
        </w:rPr>
        <w:t xml:space="preserve">, </w:t>
      </w:r>
      <w:r w:rsidRPr="00242082">
        <w:rPr>
          <w:rFonts w:asciiTheme="majorHAnsi" w:hAnsiTheme="majorHAnsi" w:cstheme="majorHAnsi"/>
          <w:i/>
          <w:iCs/>
          <w:sz w:val="24"/>
          <w:szCs w:val="24"/>
          <w:lang w:val="en-US"/>
        </w:rPr>
        <w:t>Bifidobacterium_adolescentis_ATCC_15703</w:t>
      </w:r>
      <w:r w:rsidRPr="00A654CF">
        <w:rPr>
          <w:rFonts w:asciiTheme="majorHAnsi" w:hAnsiTheme="majorHAnsi" w:cstheme="majorHAnsi"/>
          <w:sz w:val="24"/>
          <w:szCs w:val="24"/>
          <w:lang w:val="en-US"/>
        </w:rPr>
        <w:t xml:space="preserve"> and </w:t>
      </w:r>
      <w:r w:rsidRPr="00242082">
        <w:rPr>
          <w:rFonts w:asciiTheme="majorHAnsi" w:hAnsiTheme="majorHAnsi" w:cstheme="majorHAnsi"/>
          <w:i/>
          <w:iCs/>
          <w:sz w:val="24"/>
          <w:szCs w:val="24"/>
          <w:lang w:val="en-US"/>
        </w:rPr>
        <w:t>Ruminococcus_sp_SR1_5</w:t>
      </w:r>
      <w:r w:rsidRPr="00A654CF">
        <w:rPr>
          <w:rFonts w:asciiTheme="majorHAnsi" w:hAnsiTheme="majorHAnsi" w:cstheme="majorHAnsi"/>
          <w:sz w:val="24"/>
          <w:szCs w:val="24"/>
          <w:lang w:val="en-US"/>
        </w:rPr>
        <w:t xml:space="preserve"> (</w:t>
      </w:r>
      <w:r w:rsidRPr="00A654CF">
        <w:rPr>
          <w:rFonts w:asciiTheme="majorHAnsi" w:hAnsiTheme="majorHAnsi" w:cstheme="majorHAnsi"/>
          <w:b/>
          <w:sz w:val="24"/>
          <w:szCs w:val="24"/>
          <w:lang w:val="en-US"/>
        </w:rPr>
        <w:t xml:space="preserve">Supplementary </w:t>
      </w:r>
      <w:r w:rsidR="00884975">
        <w:rPr>
          <w:rFonts w:asciiTheme="majorHAnsi" w:hAnsiTheme="majorHAnsi" w:cstheme="majorHAnsi"/>
          <w:b/>
          <w:sz w:val="24"/>
          <w:szCs w:val="24"/>
          <w:lang w:val="en-US"/>
        </w:rPr>
        <w:t>Fig.</w:t>
      </w:r>
      <w:r w:rsidRPr="00A654CF">
        <w:rPr>
          <w:rFonts w:asciiTheme="majorHAnsi" w:hAnsiTheme="majorHAnsi" w:cstheme="majorHAnsi"/>
          <w:b/>
          <w:sz w:val="24"/>
          <w:szCs w:val="24"/>
          <w:lang w:val="en-US"/>
        </w:rPr>
        <w:t xml:space="preserve"> 10</w:t>
      </w:r>
      <w:r w:rsidRPr="00A654CF">
        <w:rPr>
          <w:rFonts w:asciiTheme="majorHAnsi" w:hAnsiTheme="majorHAnsi" w:cstheme="majorHAnsi"/>
          <w:sz w:val="24"/>
          <w:szCs w:val="24"/>
          <w:lang w:val="en-US"/>
        </w:rPr>
        <w:t>). UDCA can be synthesized from LCA by 7</w:t>
      </w:r>
      <w:r w:rsidR="00E37AAF">
        <w:rPr>
          <w:rFonts w:ascii="Arial" w:hAnsi="Arial" w:cs="Arial"/>
          <w:color w:val="202122"/>
          <w:sz w:val="18"/>
          <w:szCs w:val="18"/>
          <w:shd w:val="clear" w:color="auto" w:fill="F8F9FA"/>
        </w:rPr>
        <w:t>α</w:t>
      </w:r>
      <w:r w:rsidRPr="00A654CF">
        <w:rPr>
          <w:rFonts w:asciiTheme="majorHAnsi" w:hAnsiTheme="majorHAnsi" w:cstheme="majorHAnsi"/>
          <w:sz w:val="24"/>
          <w:szCs w:val="24"/>
          <w:lang w:val="en-US"/>
        </w:rPr>
        <w:t xml:space="preserve"> dehydroxylation pathway, CDCA by hydroxysteroid dehydrogenase (7</w:t>
      </w:r>
      <w:r w:rsidR="00E37AAF">
        <w:rPr>
          <w:rFonts w:ascii="Arial" w:hAnsi="Arial" w:cs="Arial"/>
          <w:color w:val="202122"/>
          <w:sz w:val="18"/>
          <w:szCs w:val="18"/>
          <w:shd w:val="clear" w:color="auto" w:fill="F8F9FA"/>
        </w:rPr>
        <w:t>α</w:t>
      </w:r>
      <w:r w:rsidRPr="00A654CF">
        <w:rPr>
          <w:rFonts w:asciiTheme="majorHAnsi" w:hAnsiTheme="majorHAnsi" w:cstheme="majorHAnsi"/>
          <w:sz w:val="24"/>
          <w:szCs w:val="24"/>
          <w:lang w:val="en-US"/>
        </w:rPr>
        <w:t>/7</w:t>
      </w:r>
      <w:r w:rsidR="00E37AAF" w:rsidRPr="00E37AAF">
        <w:rPr>
          <w:rFonts w:ascii="Symbol" w:hAnsi="Symbol" w:cstheme="majorHAnsi"/>
          <w:sz w:val="24"/>
          <w:szCs w:val="24"/>
          <w:lang w:val="en-US"/>
        </w:rPr>
        <w:t></w:t>
      </w:r>
      <w:r w:rsidR="00E37AAF">
        <w:rPr>
          <w:rFonts w:ascii="Symbol" w:hAnsi="Symbol" w:cstheme="majorHAnsi"/>
          <w:sz w:val="24"/>
          <w:szCs w:val="24"/>
          <w:lang w:val="en-US"/>
        </w:rPr>
        <w:t></w:t>
      </w:r>
      <w:r w:rsidRPr="00A654CF">
        <w:rPr>
          <w:rFonts w:asciiTheme="majorHAnsi" w:hAnsiTheme="majorHAnsi" w:cstheme="majorHAnsi"/>
          <w:sz w:val="24"/>
          <w:szCs w:val="24"/>
          <w:lang w:val="en-US"/>
        </w:rPr>
        <w:t xml:space="preserve"> HDSH) or from deconjugation of TUDCA and GUDCA (</w:t>
      </w:r>
      <w:r w:rsidRPr="00A654CF">
        <w:rPr>
          <w:rFonts w:asciiTheme="majorHAnsi" w:hAnsiTheme="majorHAnsi" w:cstheme="majorHAnsi"/>
          <w:b/>
          <w:sz w:val="24"/>
          <w:szCs w:val="24"/>
          <w:lang w:val="en-US"/>
        </w:rPr>
        <w:t xml:space="preserve">Supplementary </w:t>
      </w:r>
      <w:r w:rsidR="00884975">
        <w:rPr>
          <w:rFonts w:asciiTheme="majorHAnsi" w:hAnsiTheme="majorHAnsi" w:cstheme="majorHAnsi"/>
          <w:b/>
          <w:sz w:val="24"/>
          <w:szCs w:val="24"/>
          <w:lang w:val="en-US"/>
        </w:rPr>
        <w:t>Fig.</w:t>
      </w:r>
      <w:r w:rsidRPr="00A654CF">
        <w:rPr>
          <w:rFonts w:asciiTheme="majorHAnsi" w:hAnsiTheme="majorHAnsi" w:cstheme="majorHAnsi"/>
          <w:b/>
          <w:sz w:val="24"/>
          <w:szCs w:val="24"/>
          <w:lang w:val="en-US"/>
        </w:rPr>
        <w:t xml:space="preserve"> 5).</w:t>
      </w:r>
      <w:r w:rsidRPr="00A654CF">
        <w:rPr>
          <w:rFonts w:asciiTheme="majorHAnsi" w:hAnsiTheme="majorHAnsi" w:cstheme="majorHAnsi"/>
          <w:sz w:val="24"/>
          <w:szCs w:val="24"/>
          <w:lang w:val="en-US"/>
        </w:rPr>
        <w:t xml:space="preserve"> UDCA was negatively and positively correlated with TCDCA uptake potential of </w:t>
      </w:r>
      <w:r w:rsidRPr="00242082">
        <w:rPr>
          <w:rFonts w:asciiTheme="majorHAnsi" w:hAnsiTheme="majorHAnsi" w:cstheme="majorHAnsi"/>
          <w:i/>
          <w:iCs/>
          <w:sz w:val="24"/>
          <w:szCs w:val="24"/>
          <w:lang w:val="en-US"/>
        </w:rPr>
        <w:t>Ruminococcus_sp_5_1_39BFAA</w:t>
      </w:r>
      <w:r w:rsidRPr="00A654CF">
        <w:rPr>
          <w:rFonts w:asciiTheme="majorHAnsi" w:hAnsiTheme="majorHAnsi" w:cstheme="majorHAnsi"/>
          <w:sz w:val="24"/>
          <w:szCs w:val="24"/>
          <w:lang w:val="en-US"/>
        </w:rPr>
        <w:t xml:space="preserve"> and </w:t>
      </w:r>
      <w:r w:rsidRPr="00242082">
        <w:rPr>
          <w:rFonts w:asciiTheme="majorHAnsi" w:hAnsiTheme="majorHAnsi" w:cstheme="majorHAnsi"/>
          <w:i/>
          <w:iCs/>
          <w:sz w:val="24"/>
          <w:szCs w:val="24"/>
          <w:lang w:val="en-US"/>
        </w:rPr>
        <w:t>Bacteroides_plebeius_M12_DSM_17135</w:t>
      </w:r>
      <w:r w:rsidRPr="00A654CF">
        <w:rPr>
          <w:rFonts w:asciiTheme="majorHAnsi" w:hAnsiTheme="majorHAnsi" w:cstheme="majorHAnsi"/>
          <w:sz w:val="24"/>
          <w:szCs w:val="24"/>
          <w:lang w:val="en-US"/>
        </w:rPr>
        <w:t>, respectively (</w:t>
      </w:r>
      <w:r w:rsidRPr="00A654CF">
        <w:rPr>
          <w:rFonts w:asciiTheme="majorHAnsi" w:hAnsiTheme="majorHAnsi" w:cstheme="majorHAnsi"/>
          <w:b/>
          <w:sz w:val="24"/>
          <w:szCs w:val="24"/>
          <w:lang w:val="en-US"/>
        </w:rPr>
        <w:t xml:space="preserve">Supplementary </w:t>
      </w:r>
      <w:r w:rsidR="00884975">
        <w:rPr>
          <w:rFonts w:asciiTheme="majorHAnsi" w:hAnsiTheme="majorHAnsi" w:cstheme="majorHAnsi"/>
          <w:b/>
          <w:sz w:val="24"/>
          <w:szCs w:val="24"/>
          <w:lang w:val="en-US"/>
        </w:rPr>
        <w:t>Fig.</w:t>
      </w:r>
      <w:r w:rsidRPr="00A654CF">
        <w:rPr>
          <w:rFonts w:asciiTheme="majorHAnsi" w:hAnsiTheme="majorHAnsi" w:cstheme="majorHAnsi"/>
          <w:b/>
          <w:sz w:val="24"/>
          <w:szCs w:val="24"/>
          <w:lang w:val="en-US"/>
        </w:rPr>
        <w:t xml:space="preserve"> 11</w:t>
      </w:r>
      <w:r w:rsidRPr="00A654CF">
        <w:rPr>
          <w:rFonts w:asciiTheme="majorHAnsi" w:hAnsiTheme="majorHAnsi" w:cstheme="majorHAnsi"/>
          <w:sz w:val="24"/>
          <w:szCs w:val="24"/>
          <w:lang w:val="en-US"/>
        </w:rPr>
        <w:t xml:space="preserve">). UDCA and its conjugates correlated directly with the CDCA secretion potential of </w:t>
      </w:r>
      <w:r w:rsidRPr="00242082">
        <w:rPr>
          <w:rFonts w:asciiTheme="majorHAnsi" w:hAnsiTheme="majorHAnsi" w:cstheme="majorHAnsi"/>
          <w:i/>
          <w:iCs/>
          <w:sz w:val="24"/>
          <w:szCs w:val="24"/>
          <w:lang w:val="en-US"/>
        </w:rPr>
        <w:t>Bacteroides_xylanisolvens_XB1A</w:t>
      </w:r>
      <w:r w:rsidRPr="00A654CF">
        <w:rPr>
          <w:rFonts w:asciiTheme="majorHAnsi" w:hAnsiTheme="majorHAnsi" w:cstheme="majorHAnsi"/>
          <w:sz w:val="24"/>
          <w:szCs w:val="24"/>
          <w:lang w:val="en-US"/>
        </w:rPr>
        <w:t xml:space="preserve"> and with the GCDCA uptake potential of </w:t>
      </w:r>
      <w:r w:rsidRPr="00242082">
        <w:rPr>
          <w:rFonts w:asciiTheme="majorHAnsi" w:hAnsiTheme="majorHAnsi" w:cstheme="majorHAnsi"/>
          <w:i/>
          <w:iCs/>
          <w:sz w:val="24"/>
          <w:szCs w:val="24"/>
          <w:lang w:val="en-US"/>
        </w:rPr>
        <w:t>Coprococcus_eutactus_ATCC_27759</w:t>
      </w:r>
      <w:r w:rsidRPr="00A654CF">
        <w:rPr>
          <w:rFonts w:asciiTheme="majorHAnsi" w:hAnsiTheme="majorHAnsi" w:cstheme="majorHAnsi"/>
          <w:sz w:val="24"/>
          <w:szCs w:val="24"/>
          <w:lang w:val="en-US"/>
        </w:rPr>
        <w:t xml:space="preserve"> (</w:t>
      </w:r>
      <w:r w:rsidRPr="00A654CF">
        <w:rPr>
          <w:rFonts w:asciiTheme="majorHAnsi" w:hAnsiTheme="majorHAnsi" w:cstheme="majorHAnsi"/>
          <w:b/>
          <w:sz w:val="24"/>
          <w:szCs w:val="24"/>
          <w:lang w:val="en-US"/>
        </w:rPr>
        <w:t xml:space="preserve">Supplementary </w:t>
      </w:r>
      <w:r w:rsidR="00884975">
        <w:rPr>
          <w:rFonts w:asciiTheme="majorHAnsi" w:hAnsiTheme="majorHAnsi" w:cstheme="majorHAnsi"/>
          <w:b/>
          <w:sz w:val="24"/>
          <w:szCs w:val="24"/>
          <w:lang w:val="en-US"/>
        </w:rPr>
        <w:t>Fig.</w:t>
      </w:r>
      <w:r w:rsidRPr="00A654CF">
        <w:rPr>
          <w:rFonts w:asciiTheme="majorHAnsi" w:hAnsiTheme="majorHAnsi" w:cstheme="majorHAnsi"/>
          <w:b/>
          <w:sz w:val="24"/>
          <w:szCs w:val="24"/>
          <w:lang w:val="en-US"/>
        </w:rPr>
        <w:t xml:space="preserve"> 11</w:t>
      </w:r>
      <w:r w:rsidRPr="00A654CF">
        <w:rPr>
          <w:rFonts w:asciiTheme="majorHAnsi" w:hAnsiTheme="majorHAnsi" w:cstheme="majorHAnsi"/>
          <w:sz w:val="24"/>
          <w:szCs w:val="24"/>
          <w:lang w:val="en-US"/>
        </w:rPr>
        <w:t>).</w:t>
      </w:r>
    </w:p>
    <w:p w14:paraId="1452E499" w14:textId="77777777" w:rsidR="00242082" w:rsidRPr="00A654CF" w:rsidRDefault="00242082" w:rsidP="000A0FA4">
      <w:pPr>
        <w:spacing w:after="0" w:line="276" w:lineRule="auto"/>
        <w:ind w:firstLine="0"/>
        <w:jc w:val="both"/>
        <w:rPr>
          <w:rFonts w:asciiTheme="majorHAnsi" w:hAnsiTheme="majorHAnsi" w:cstheme="majorHAnsi"/>
          <w:sz w:val="24"/>
          <w:szCs w:val="24"/>
          <w:lang w:val="en-US"/>
        </w:rPr>
      </w:pPr>
    </w:p>
    <w:p w14:paraId="76E58E74" w14:textId="190C50A8" w:rsidR="0028696C" w:rsidRDefault="00AA31BD" w:rsidP="000A0FA4">
      <w:pPr>
        <w:spacing w:after="0" w:line="276" w:lineRule="auto"/>
        <w:ind w:firstLine="0"/>
        <w:jc w:val="both"/>
        <w:rPr>
          <w:rFonts w:asciiTheme="majorHAnsi" w:hAnsiTheme="majorHAnsi" w:cstheme="majorHAnsi"/>
          <w:sz w:val="24"/>
          <w:szCs w:val="24"/>
          <w:lang w:val="en-US"/>
        </w:rPr>
      </w:pPr>
      <w:r w:rsidRPr="00A654CF">
        <w:rPr>
          <w:rFonts w:asciiTheme="majorHAnsi" w:hAnsiTheme="majorHAnsi" w:cstheme="majorHAnsi"/>
          <w:sz w:val="24"/>
          <w:szCs w:val="24"/>
          <w:lang w:val="en-US"/>
        </w:rPr>
        <w:t>THCA and GHCA can be de-conjugated or hydrolyzed to HCA. In rodents, T</w:t>
      </w:r>
      <w:r w:rsidR="00E37AAF">
        <w:rPr>
          <w:rFonts w:ascii="Arial" w:hAnsi="Arial" w:cs="Arial"/>
          <w:color w:val="202122"/>
          <w:sz w:val="18"/>
          <w:szCs w:val="18"/>
          <w:shd w:val="clear" w:color="auto" w:fill="F8F9FA"/>
        </w:rPr>
        <w:t>α</w:t>
      </w:r>
      <w:r w:rsidRPr="00A654CF">
        <w:rPr>
          <w:rFonts w:asciiTheme="majorHAnsi" w:hAnsiTheme="majorHAnsi" w:cstheme="majorHAnsi"/>
          <w:sz w:val="24"/>
          <w:szCs w:val="24"/>
          <w:lang w:val="en-US"/>
        </w:rPr>
        <w:t xml:space="preserve">MCA can be deconjugated to </w:t>
      </w:r>
      <w:r w:rsidR="00E37AAF">
        <w:rPr>
          <w:rFonts w:ascii="Arial" w:hAnsi="Arial" w:cs="Arial"/>
          <w:color w:val="202122"/>
          <w:sz w:val="18"/>
          <w:szCs w:val="18"/>
          <w:shd w:val="clear" w:color="auto" w:fill="F8F9FA"/>
        </w:rPr>
        <w:t>α</w:t>
      </w:r>
      <w:r w:rsidR="00CA582A" w:rsidRPr="00A654CF">
        <w:rPr>
          <w:rFonts w:asciiTheme="majorHAnsi" w:hAnsiTheme="majorHAnsi" w:cstheme="majorHAnsi"/>
          <w:sz w:val="24"/>
          <w:szCs w:val="24"/>
          <w:lang w:val="en-US"/>
        </w:rPr>
        <w:t>MCA,</w:t>
      </w:r>
      <w:r w:rsidR="00A21272" w:rsidRPr="00A654CF">
        <w:rPr>
          <w:rFonts w:asciiTheme="majorHAnsi" w:hAnsiTheme="majorHAnsi" w:cstheme="majorHAnsi"/>
          <w:sz w:val="24"/>
          <w:szCs w:val="24"/>
          <w:lang w:val="en-US"/>
        </w:rPr>
        <w:t xml:space="preserve"> </w:t>
      </w:r>
      <w:r w:rsidRPr="00A654CF">
        <w:rPr>
          <w:rFonts w:asciiTheme="majorHAnsi" w:hAnsiTheme="majorHAnsi" w:cstheme="majorHAnsi"/>
          <w:sz w:val="24"/>
          <w:szCs w:val="24"/>
          <w:lang w:val="en-US"/>
        </w:rPr>
        <w:t>which can produce HCA and HDCA</w:t>
      </w:r>
      <w:r w:rsidR="00053DCD">
        <w:rPr>
          <w:rFonts w:asciiTheme="majorHAnsi" w:hAnsiTheme="majorHAnsi" w:cstheme="majorHAnsi"/>
          <w:sz w:val="24"/>
          <w:szCs w:val="24"/>
          <w:lang w:val="en-US"/>
        </w:rPr>
        <w:fldChar w:fldCharType="begin"/>
      </w:r>
      <w:r w:rsidR="00053DCD">
        <w:rPr>
          <w:rFonts w:asciiTheme="majorHAnsi" w:hAnsiTheme="majorHAnsi" w:cstheme="majorHAnsi"/>
          <w:sz w:val="24"/>
          <w:szCs w:val="24"/>
          <w:lang w:val="en-US"/>
        </w:rPr>
        <w:instrText xml:space="preserve"> ADDIN EN.CITE &lt;EndNote&gt;&lt;Cite&gt;&lt;Author&gt;Wahlström&lt;/Author&gt;&lt;Year&gt;2016&lt;/Year&gt;&lt;RecNum&gt;21&lt;/RecNum&gt;&lt;DisplayText&gt;&lt;style face="superscript"&gt;14&lt;/style&gt;&lt;/DisplayText&gt;&lt;record&gt;&lt;rec-number&gt;21&lt;/rec-number&gt;&lt;foreign-keys&gt;&lt;key app="EN" db-id="wdrzpw5vgw0z07ewf27pdzf7fwpw25pf5d2w" timestamp="1571381981"&gt;21&lt;/key&gt;&lt;/foreign-keys&gt;&lt;ref-type name="Journal Article"&gt;17&lt;/ref-type&gt;&lt;contributors&gt;&lt;authors&gt;&lt;author&gt;Wahlström, Annika&lt;/author&gt;&lt;author&gt;Sayin, Sama I&lt;/author&gt;&lt;author&gt;Marschall, Hanns-Ulrich&lt;/author&gt;&lt;author&gt;Bäckhed, Fredrik&lt;/author&gt;&lt;/authors&gt;&lt;/contributors&gt;&lt;titles&gt;&lt;title&gt;Intestinal crosstalk between bile acids and microbiota and its impact on host metabolism&lt;/title&gt;&lt;secondary-title&gt;Cell metabolism&lt;/secondary-title&gt;&lt;/titles&gt;&lt;periodical&gt;&lt;full-title&gt;Cell Metabolism&lt;/full-title&gt;&lt;abbr-1&gt;Cell Metab.&lt;/abbr-1&gt;&lt;abbr-2&gt;Cell Metab&lt;/abbr-2&gt;&lt;/periodical&gt;&lt;pages&gt;41-50&lt;/pages&gt;&lt;volume&gt;24&lt;/volume&gt;&lt;number&gt;1&lt;/number&gt;&lt;dates&gt;&lt;year&gt;2016&lt;/year&gt;&lt;/dates&gt;&lt;isbn&gt;1550-4131&lt;/isbn&gt;&lt;urls&gt;&lt;/urls&gt;&lt;/record&gt;&lt;/Cite&gt;&lt;/EndNote&gt;</w:instrText>
      </w:r>
      <w:r w:rsidR="00053DCD">
        <w:rPr>
          <w:rFonts w:asciiTheme="majorHAnsi" w:hAnsiTheme="majorHAnsi" w:cstheme="majorHAnsi"/>
          <w:sz w:val="24"/>
          <w:szCs w:val="24"/>
          <w:lang w:val="en-US"/>
        </w:rPr>
        <w:fldChar w:fldCharType="separate"/>
      </w:r>
      <w:r w:rsidR="00053DCD" w:rsidRPr="00053DCD">
        <w:rPr>
          <w:rFonts w:asciiTheme="majorHAnsi" w:hAnsiTheme="majorHAnsi" w:cstheme="majorHAnsi"/>
          <w:noProof/>
          <w:sz w:val="24"/>
          <w:szCs w:val="24"/>
          <w:vertAlign w:val="superscript"/>
          <w:lang w:val="en-US"/>
        </w:rPr>
        <w:t>14</w:t>
      </w:r>
      <w:r w:rsidR="00053DCD">
        <w:rPr>
          <w:rFonts w:asciiTheme="majorHAnsi" w:hAnsiTheme="majorHAnsi" w:cstheme="majorHAnsi"/>
          <w:sz w:val="24"/>
          <w:szCs w:val="24"/>
          <w:lang w:val="en-US"/>
        </w:rPr>
        <w:fldChar w:fldCharType="end"/>
      </w:r>
      <w:r w:rsidRPr="00A654CF">
        <w:rPr>
          <w:rFonts w:asciiTheme="majorHAnsi" w:hAnsiTheme="majorHAnsi" w:cstheme="majorHAnsi"/>
          <w:sz w:val="24"/>
          <w:szCs w:val="24"/>
          <w:lang w:val="en-US"/>
        </w:rPr>
        <w:t>. We have not identified microbial enzymes that could facilitate these conversions. However, we putatively identified gut transporters for THCA (</w:t>
      </w:r>
      <w:r w:rsidRPr="00A654CF">
        <w:rPr>
          <w:rFonts w:asciiTheme="majorHAnsi" w:hAnsiTheme="majorHAnsi" w:cstheme="majorHAnsi"/>
          <w:b/>
          <w:sz w:val="24"/>
          <w:szCs w:val="24"/>
          <w:lang w:val="en-US"/>
        </w:rPr>
        <w:t>Supplementary Dataset 1</w:t>
      </w:r>
      <w:r w:rsidRPr="00A654CF">
        <w:rPr>
          <w:rFonts w:asciiTheme="majorHAnsi" w:hAnsiTheme="majorHAnsi" w:cstheme="majorHAnsi"/>
          <w:sz w:val="24"/>
          <w:szCs w:val="24"/>
          <w:lang w:val="en-US"/>
        </w:rPr>
        <w:t>)</w:t>
      </w:r>
      <w:r w:rsidR="00053DCD">
        <w:rPr>
          <w:rFonts w:asciiTheme="majorHAnsi" w:hAnsiTheme="majorHAnsi" w:cstheme="majorHAnsi"/>
          <w:sz w:val="24"/>
          <w:szCs w:val="24"/>
          <w:lang w:val="en-US"/>
        </w:rPr>
        <w:fldChar w:fldCharType="begin">
          <w:fldData xml:space="preserve">PEVuZE5vdGU+PENpdGU+PEF1dGhvcj5SaWRsb248L0F1dGhvcj48WWVhcj4yMDA2PC9ZZWFyPjxS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</w:fldData>
        </w:fldChar>
      </w:r>
      <w:r w:rsidR="00053DCD">
        <w:rPr>
          <w:rFonts w:asciiTheme="majorHAnsi" w:hAnsiTheme="majorHAnsi" w:cstheme="majorHAnsi"/>
          <w:sz w:val="24"/>
          <w:szCs w:val="24"/>
          <w:lang w:val="en-US"/>
        </w:rPr>
        <w:instrText xml:space="preserve"> ADDIN EN.CITE </w:instrText>
      </w:r>
      <w:r w:rsidR="00053DCD">
        <w:rPr>
          <w:rFonts w:asciiTheme="majorHAnsi" w:hAnsiTheme="majorHAnsi" w:cstheme="majorHAnsi"/>
          <w:sz w:val="24"/>
          <w:szCs w:val="24"/>
          <w:lang w:val="en-US"/>
        </w:rPr>
        <w:fldChar w:fldCharType="begin">
          <w:fldData xml:space="preserve">PEVuZE5vdGU+PENpdGU+PEF1dGhvcj5SaWRsb248L0F1dGhvcj48WWVhcj4yMDA2PC9ZZWFyPjxS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</w:fldData>
        </w:fldChar>
      </w:r>
      <w:r w:rsidR="00053DCD">
        <w:rPr>
          <w:rFonts w:asciiTheme="majorHAnsi" w:hAnsiTheme="majorHAnsi" w:cstheme="majorHAnsi"/>
          <w:sz w:val="24"/>
          <w:szCs w:val="24"/>
          <w:lang w:val="en-US"/>
        </w:rPr>
        <w:instrText xml:space="preserve"> ADDIN EN.CITE.DATA </w:instrText>
      </w:r>
      <w:r w:rsidR="00053DCD">
        <w:rPr>
          <w:rFonts w:asciiTheme="majorHAnsi" w:hAnsiTheme="majorHAnsi" w:cstheme="majorHAnsi"/>
          <w:sz w:val="24"/>
          <w:szCs w:val="24"/>
          <w:lang w:val="en-US"/>
        </w:rPr>
      </w:r>
      <w:r w:rsidR="00053DCD">
        <w:rPr>
          <w:rFonts w:asciiTheme="majorHAnsi" w:hAnsiTheme="majorHAnsi" w:cstheme="majorHAnsi"/>
          <w:sz w:val="24"/>
          <w:szCs w:val="24"/>
          <w:lang w:val="en-US"/>
        </w:rPr>
        <w:fldChar w:fldCharType="end"/>
      </w:r>
      <w:r w:rsidR="00053DCD">
        <w:rPr>
          <w:rFonts w:asciiTheme="majorHAnsi" w:hAnsiTheme="majorHAnsi" w:cstheme="majorHAnsi"/>
          <w:sz w:val="24"/>
          <w:szCs w:val="24"/>
          <w:lang w:val="en-US"/>
        </w:rPr>
      </w:r>
      <w:r w:rsidR="00053DCD">
        <w:rPr>
          <w:rFonts w:asciiTheme="majorHAnsi" w:hAnsiTheme="majorHAnsi" w:cstheme="majorHAnsi"/>
          <w:sz w:val="24"/>
          <w:szCs w:val="24"/>
          <w:lang w:val="en-US"/>
        </w:rPr>
        <w:fldChar w:fldCharType="separate"/>
      </w:r>
      <w:r w:rsidR="00053DCD" w:rsidRPr="00053DCD">
        <w:rPr>
          <w:rFonts w:asciiTheme="majorHAnsi" w:hAnsiTheme="majorHAnsi" w:cstheme="majorHAnsi"/>
          <w:noProof/>
          <w:sz w:val="24"/>
          <w:szCs w:val="24"/>
          <w:vertAlign w:val="superscript"/>
          <w:lang w:val="en-US"/>
        </w:rPr>
        <w:t>6, 8, 9, 15, 16</w:t>
      </w:r>
      <w:r w:rsidR="00053DCD">
        <w:rPr>
          <w:rFonts w:asciiTheme="majorHAnsi" w:hAnsiTheme="majorHAnsi" w:cstheme="majorHAnsi"/>
          <w:sz w:val="24"/>
          <w:szCs w:val="24"/>
          <w:lang w:val="en-US"/>
        </w:rPr>
        <w:fldChar w:fldCharType="end"/>
      </w:r>
      <w:r w:rsidRPr="00A654CF">
        <w:rPr>
          <w:rFonts w:asciiTheme="majorHAnsi" w:hAnsiTheme="majorHAnsi" w:cstheme="majorHAnsi"/>
          <w:sz w:val="24"/>
          <w:szCs w:val="24"/>
          <w:lang w:val="en-US"/>
        </w:rPr>
        <w:t>. THCA and GHCA in serum of non-obese and obese subjects correlated directly with their luminal uptake potential and with serum T</w:t>
      </w:r>
      <w:r w:rsidR="00E37AAF">
        <w:rPr>
          <w:rFonts w:ascii="Arial" w:hAnsi="Arial" w:cs="Arial"/>
          <w:color w:val="202122"/>
          <w:sz w:val="18"/>
          <w:szCs w:val="18"/>
          <w:shd w:val="clear" w:color="auto" w:fill="F8F9FA"/>
        </w:rPr>
        <w:t>α</w:t>
      </w:r>
      <w:r w:rsidRPr="00A654CF">
        <w:rPr>
          <w:rFonts w:asciiTheme="majorHAnsi" w:hAnsiTheme="majorHAnsi" w:cstheme="majorHAnsi"/>
          <w:sz w:val="24"/>
          <w:szCs w:val="24"/>
          <w:lang w:val="en-US"/>
        </w:rPr>
        <w:t>MCA concentration while HCA correlated directly with unconjugated primary and secondary BAs in the lumen (</w:t>
      </w:r>
      <w:r w:rsidRPr="00A654CF">
        <w:rPr>
          <w:rFonts w:asciiTheme="majorHAnsi" w:hAnsiTheme="majorHAnsi" w:cstheme="majorHAnsi"/>
          <w:b/>
          <w:sz w:val="24"/>
          <w:szCs w:val="24"/>
          <w:lang w:val="en-US"/>
        </w:rPr>
        <w:t xml:space="preserve">Supplementary </w:t>
      </w:r>
      <w:r w:rsidR="00884975">
        <w:rPr>
          <w:rFonts w:asciiTheme="majorHAnsi" w:hAnsiTheme="majorHAnsi" w:cstheme="majorHAnsi"/>
          <w:b/>
          <w:sz w:val="24"/>
          <w:szCs w:val="24"/>
          <w:lang w:val="en-US"/>
        </w:rPr>
        <w:t>Fig.</w:t>
      </w:r>
      <w:r w:rsidRPr="00A654CF">
        <w:rPr>
          <w:rFonts w:asciiTheme="majorHAnsi" w:hAnsiTheme="majorHAnsi" w:cstheme="majorHAnsi"/>
          <w:b/>
          <w:sz w:val="24"/>
          <w:szCs w:val="24"/>
          <w:lang w:val="en-US"/>
        </w:rPr>
        <w:t xml:space="preserve"> 9A </w:t>
      </w:r>
      <w:r w:rsidR="009B1E39" w:rsidRPr="009B1E39">
        <w:rPr>
          <w:rFonts w:asciiTheme="majorHAnsi" w:hAnsiTheme="majorHAnsi" w:cstheme="majorHAnsi"/>
          <w:bCs/>
          <w:sz w:val="24"/>
          <w:szCs w:val="24"/>
          <w:lang w:val="en-US"/>
        </w:rPr>
        <w:t>and</w:t>
      </w:r>
      <w:r w:rsidRPr="00A654CF">
        <w:rPr>
          <w:rFonts w:asciiTheme="majorHAnsi" w:hAnsiTheme="majorHAnsi" w:cstheme="majorHAnsi"/>
          <w:b/>
          <w:sz w:val="24"/>
          <w:szCs w:val="24"/>
          <w:lang w:val="en-US"/>
        </w:rPr>
        <w:t xml:space="preserve"> B</w:t>
      </w:r>
      <w:r w:rsidRPr="00A654CF">
        <w:rPr>
          <w:rFonts w:asciiTheme="majorHAnsi" w:hAnsiTheme="majorHAnsi" w:cstheme="majorHAnsi"/>
          <w:sz w:val="24"/>
          <w:szCs w:val="24"/>
          <w:lang w:val="en-US"/>
        </w:rPr>
        <w:t xml:space="preserve">). In addition, the GCDCA uptake potential of </w:t>
      </w:r>
      <w:r w:rsidRPr="00E83E40">
        <w:rPr>
          <w:rFonts w:asciiTheme="majorHAnsi" w:hAnsiTheme="majorHAnsi" w:cstheme="majorHAnsi"/>
          <w:i/>
          <w:iCs/>
          <w:sz w:val="24"/>
          <w:szCs w:val="24"/>
          <w:lang w:val="en-US"/>
        </w:rPr>
        <w:t>Parabacteroides_sp_D13</w:t>
      </w:r>
      <w:r w:rsidRPr="00A654CF">
        <w:rPr>
          <w:rFonts w:asciiTheme="majorHAnsi" w:hAnsiTheme="majorHAnsi" w:cstheme="majorHAnsi"/>
          <w:sz w:val="24"/>
          <w:szCs w:val="24"/>
          <w:lang w:val="en-US"/>
        </w:rPr>
        <w:t xml:space="preserve"> correlated positively with the T</w:t>
      </w:r>
      <w:r w:rsidR="00E37AAF">
        <w:rPr>
          <w:rFonts w:ascii="Arial" w:hAnsi="Arial" w:cs="Arial"/>
          <w:color w:val="202122"/>
          <w:sz w:val="18"/>
          <w:szCs w:val="18"/>
          <w:shd w:val="clear" w:color="auto" w:fill="F8F9FA"/>
        </w:rPr>
        <w:t>α</w:t>
      </w:r>
      <w:r w:rsidRPr="00A654CF">
        <w:rPr>
          <w:rFonts w:asciiTheme="majorHAnsi" w:hAnsiTheme="majorHAnsi" w:cstheme="majorHAnsi"/>
          <w:sz w:val="24"/>
          <w:szCs w:val="24"/>
          <w:lang w:val="en-US"/>
        </w:rPr>
        <w:t>MCA serum level in non-obese subjects (</w:t>
      </w:r>
      <w:r w:rsidRPr="00A654CF">
        <w:rPr>
          <w:rFonts w:asciiTheme="majorHAnsi" w:hAnsiTheme="majorHAnsi" w:cstheme="majorHAnsi"/>
          <w:b/>
          <w:sz w:val="24"/>
          <w:szCs w:val="24"/>
          <w:lang w:val="en-US"/>
        </w:rPr>
        <w:t xml:space="preserve">Supplementary </w:t>
      </w:r>
      <w:r w:rsidR="00884975">
        <w:rPr>
          <w:rFonts w:asciiTheme="majorHAnsi" w:hAnsiTheme="majorHAnsi" w:cstheme="majorHAnsi"/>
          <w:b/>
          <w:sz w:val="24"/>
          <w:szCs w:val="24"/>
          <w:lang w:val="en-US"/>
        </w:rPr>
        <w:t>Fig.</w:t>
      </w:r>
      <w:r w:rsidRPr="00A654CF">
        <w:rPr>
          <w:rFonts w:asciiTheme="majorHAnsi" w:hAnsiTheme="majorHAnsi" w:cstheme="majorHAnsi"/>
          <w:b/>
          <w:sz w:val="24"/>
          <w:szCs w:val="24"/>
          <w:lang w:val="en-US"/>
        </w:rPr>
        <w:t xml:space="preserve"> 10</w:t>
      </w:r>
      <w:r w:rsidRPr="00A654CF">
        <w:rPr>
          <w:rFonts w:asciiTheme="majorHAnsi" w:hAnsiTheme="majorHAnsi" w:cstheme="majorHAnsi"/>
          <w:sz w:val="24"/>
          <w:szCs w:val="24"/>
          <w:lang w:val="en-US"/>
        </w:rPr>
        <w:t xml:space="preserve">). </w:t>
      </w:r>
      <w:r w:rsidR="00A21272" w:rsidRPr="00A654CF">
        <w:rPr>
          <w:rFonts w:asciiTheme="majorHAnsi" w:hAnsiTheme="majorHAnsi" w:cstheme="majorHAnsi"/>
          <w:sz w:val="24"/>
          <w:szCs w:val="24"/>
          <w:lang w:val="en-US"/>
        </w:rPr>
        <w:t>Based on these findings</w:t>
      </w:r>
      <w:r w:rsidR="00A9600D" w:rsidRPr="00A654CF">
        <w:rPr>
          <w:rFonts w:asciiTheme="majorHAnsi" w:hAnsiTheme="majorHAnsi" w:cstheme="majorHAnsi"/>
          <w:sz w:val="24"/>
          <w:szCs w:val="24"/>
          <w:lang w:val="en-US"/>
        </w:rPr>
        <w:t xml:space="preserve">, we cannot exclude that </w:t>
      </w:r>
      <w:r w:rsidRPr="00A654CF">
        <w:rPr>
          <w:rFonts w:asciiTheme="majorHAnsi" w:hAnsiTheme="majorHAnsi" w:cstheme="majorHAnsi"/>
          <w:sz w:val="24"/>
          <w:szCs w:val="24"/>
          <w:lang w:val="en-US"/>
        </w:rPr>
        <w:t xml:space="preserve">metabolic biotransformation of MCA might </w:t>
      </w:r>
      <w:r w:rsidR="00A9600D" w:rsidRPr="00A654CF">
        <w:rPr>
          <w:rFonts w:asciiTheme="majorHAnsi" w:hAnsiTheme="majorHAnsi" w:cstheme="majorHAnsi"/>
          <w:sz w:val="24"/>
          <w:szCs w:val="24"/>
          <w:lang w:val="en-US"/>
        </w:rPr>
        <w:t xml:space="preserve">take place </w:t>
      </w:r>
      <w:r w:rsidRPr="00A654CF">
        <w:rPr>
          <w:rFonts w:asciiTheme="majorHAnsi" w:hAnsiTheme="majorHAnsi" w:cstheme="majorHAnsi"/>
          <w:sz w:val="24"/>
          <w:szCs w:val="24"/>
          <w:lang w:val="en-US"/>
        </w:rPr>
        <w:t xml:space="preserve">the human gut. </w:t>
      </w:r>
    </w:p>
    <w:p w14:paraId="4B566785" w14:textId="77777777" w:rsidR="00E83E40" w:rsidRPr="00A654CF" w:rsidRDefault="00E83E40" w:rsidP="000A0FA4">
      <w:pPr>
        <w:spacing w:after="0" w:line="276" w:lineRule="auto"/>
        <w:ind w:firstLine="0"/>
        <w:jc w:val="both"/>
        <w:rPr>
          <w:rFonts w:asciiTheme="majorHAnsi" w:hAnsiTheme="majorHAnsi" w:cstheme="majorHAnsi"/>
          <w:sz w:val="24"/>
          <w:szCs w:val="24"/>
          <w:lang w:val="en-US"/>
        </w:rPr>
      </w:pPr>
    </w:p>
    <w:p w14:paraId="5F96F68B" w14:textId="605588F9" w:rsidR="0028696C" w:rsidRPr="00A654CF" w:rsidRDefault="00AA31BD" w:rsidP="000A0FA4">
      <w:pPr>
        <w:spacing w:line="276" w:lineRule="auto"/>
        <w:ind w:firstLine="0"/>
        <w:jc w:val="both"/>
        <w:rPr>
          <w:rFonts w:asciiTheme="majorHAnsi" w:hAnsiTheme="majorHAnsi" w:cstheme="majorHAnsi"/>
          <w:sz w:val="24"/>
          <w:szCs w:val="24"/>
          <w:lang w:val="en-US"/>
        </w:rPr>
      </w:pPr>
      <w:r w:rsidRPr="00A654CF">
        <w:rPr>
          <w:rFonts w:asciiTheme="majorHAnsi" w:hAnsiTheme="majorHAnsi" w:cstheme="majorHAnsi"/>
          <w:sz w:val="24"/>
          <w:szCs w:val="24"/>
          <w:lang w:val="en-US"/>
        </w:rPr>
        <w:t>Furthermore, we calculated the possible non-redundant pairwise interactions among 26 bacterial species subjected to Average European Diet (AED)</w:t>
      </w:r>
      <w:r w:rsidR="001906B6">
        <w:rPr>
          <w:rFonts w:asciiTheme="majorHAnsi" w:hAnsiTheme="majorHAnsi" w:cstheme="majorHAnsi"/>
          <w:sz w:val="24"/>
          <w:szCs w:val="24"/>
          <w:lang w:val="en-US"/>
        </w:rPr>
        <w:fldChar w:fldCharType="begin">
          <w:fldData xml:space="preserve">PEVuZE5vdGU+PENpdGU+PEF1dGhvcj5NYWduw7pzZMOzdHRpcjwvQXV0aG9yPjxZZWFyPjIwMTc8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=
</w:fldData>
        </w:fldChar>
      </w:r>
      <w:r w:rsidR="001906B6">
        <w:rPr>
          <w:rFonts w:asciiTheme="majorHAnsi" w:hAnsiTheme="majorHAnsi" w:cstheme="majorHAnsi"/>
          <w:sz w:val="24"/>
          <w:szCs w:val="24"/>
          <w:lang w:val="en-US"/>
        </w:rPr>
        <w:instrText xml:space="preserve"> ADDIN EN.CITE </w:instrText>
      </w:r>
      <w:r w:rsidR="001906B6">
        <w:rPr>
          <w:rFonts w:asciiTheme="majorHAnsi" w:hAnsiTheme="majorHAnsi" w:cstheme="majorHAnsi"/>
          <w:sz w:val="24"/>
          <w:szCs w:val="24"/>
          <w:lang w:val="en-US"/>
        </w:rPr>
        <w:fldChar w:fldCharType="begin">
          <w:fldData xml:space="preserve">PEVuZE5vdGU+PENpdGU+PEF1dGhvcj5NYWduw7pzZMOzdHRpcjwvQXV0aG9yPjxZZWFyPjIwMTc8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=
</w:fldData>
        </w:fldChar>
      </w:r>
      <w:r w:rsidR="001906B6">
        <w:rPr>
          <w:rFonts w:asciiTheme="majorHAnsi" w:hAnsiTheme="majorHAnsi" w:cstheme="majorHAnsi"/>
          <w:sz w:val="24"/>
          <w:szCs w:val="24"/>
          <w:lang w:val="en-US"/>
        </w:rPr>
        <w:instrText xml:space="preserve"> ADDIN EN.CITE.DATA </w:instrText>
      </w:r>
      <w:r w:rsidR="001906B6">
        <w:rPr>
          <w:rFonts w:asciiTheme="majorHAnsi" w:hAnsiTheme="majorHAnsi" w:cstheme="majorHAnsi"/>
          <w:sz w:val="24"/>
          <w:szCs w:val="24"/>
          <w:lang w:val="en-US"/>
        </w:rPr>
      </w:r>
      <w:r w:rsidR="001906B6">
        <w:rPr>
          <w:rFonts w:asciiTheme="majorHAnsi" w:hAnsiTheme="majorHAnsi" w:cstheme="majorHAnsi"/>
          <w:sz w:val="24"/>
          <w:szCs w:val="24"/>
          <w:lang w:val="en-US"/>
        </w:rPr>
        <w:fldChar w:fldCharType="end"/>
      </w:r>
      <w:r w:rsidR="001906B6">
        <w:rPr>
          <w:rFonts w:asciiTheme="majorHAnsi" w:hAnsiTheme="majorHAnsi" w:cstheme="majorHAnsi"/>
          <w:sz w:val="24"/>
          <w:szCs w:val="24"/>
          <w:lang w:val="en-US"/>
        </w:rPr>
      </w:r>
      <w:r w:rsidR="001906B6">
        <w:rPr>
          <w:rFonts w:asciiTheme="majorHAnsi" w:hAnsiTheme="majorHAnsi" w:cstheme="majorHAnsi"/>
          <w:sz w:val="24"/>
          <w:szCs w:val="24"/>
          <w:lang w:val="en-US"/>
        </w:rPr>
        <w:fldChar w:fldCharType="separate"/>
      </w:r>
      <w:r w:rsidR="001906B6" w:rsidRPr="001906B6">
        <w:rPr>
          <w:rFonts w:asciiTheme="majorHAnsi" w:hAnsiTheme="majorHAnsi" w:cstheme="majorHAnsi"/>
          <w:noProof/>
          <w:sz w:val="24"/>
          <w:szCs w:val="24"/>
          <w:vertAlign w:val="superscript"/>
          <w:lang w:val="en-US"/>
        </w:rPr>
        <w:t>2, 3</w:t>
      </w:r>
      <w:r w:rsidR="001906B6">
        <w:rPr>
          <w:rFonts w:asciiTheme="majorHAnsi" w:hAnsiTheme="majorHAnsi" w:cstheme="majorHAnsi"/>
          <w:sz w:val="24"/>
          <w:szCs w:val="24"/>
          <w:lang w:val="en-US"/>
        </w:rPr>
        <w:fldChar w:fldCharType="end"/>
      </w:r>
      <w:r w:rsidRPr="00A654CF">
        <w:rPr>
          <w:rFonts w:asciiTheme="majorHAnsi" w:hAnsiTheme="majorHAnsi" w:cstheme="majorHAnsi"/>
          <w:sz w:val="24"/>
          <w:szCs w:val="24"/>
          <w:lang w:val="en-US"/>
        </w:rPr>
        <w:t>. These pairs were constrained for uptake and secretion of unconjugated and conjugated BAs, respectively. Most of the species pairs that have the ability to transform or deconjugate BAs showed Amensalism i.e, in the paired simulation, one microbe grows slower than the other but their growth is not mutually dependent</w:t>
      </w:r>
      <w:r w:rsidR="003A5620">
        <w:rPr>
          <w:rFonts w:asciiTheme="majorHAnsi" w:hAnsiTheme="majorHAnsi" w:cstheme="majorHAnsi"/>
          <w:sz w:val="24"/>
          <w:szCs w:val="24"/>
          <w:lang w:val="en-US"/>
        </w:rPr>
        <w:fldChar w:fldCharType="begin"/>
      </w:r>
      <w:r w:rsidR="003A5620">
        <w:rPr>
          <w:rFonts w:asciiTheme="majorHAnsi" w:hAnsiTheme="majorHAnsi" w:cstheme="majorHAnsi"/>
          <w:sz w:val="24"/>
          <w:szCs w:val="24"/>
          <w:lang w:val="en-US"/>
        </w:rPr>
        <w:instrText xml:space="preserve"> ADDIN EN.CITE &lt;EndNote&gt;&lt;Cite&gt;&lt;Author&gt;Magnúsdóttir&lt;/Author&gt;&lt;Year&gt;2017&lt;/Year&gt;&lt;RecNum&gt;23&lt;/RecNum&gt;&lt;DisplayText&gt;&lt;style face="superscript"&gt;2&lt;/style&gt;&lt;/DisplayText&gt;&lt;record&gt;&lt;rec-number&gt;23&lt;/rec-number&gt;&lt;foreign-keys&gt;&lt;key app="EN" db-id="wdrzpw5vgw0z07ewf27pdzf7fwpw25pf5d2w" timestamp="1571381982"&gt;23&lt;/key&gt;&lt;/foreign-keys&gt;&lt;ref-type name="Journal Article"&gt;17&lt;/ref-type&gt;&lt;contributors&gt;&lt;authors&gt;&lt;author&gt;Magnúsdóttir, Stefanía&lt;/author&gt;&lt;author&gt;Heinken, Almut&lt;/author&gt;&lt;author&gt;Kutt, Laura&lt;/author&gt;&lt;author&gt;Ravcheev, Dmitry A&lt;/author&gt;&lt;author&gt;Bauer, Eugen&lt;/author&gt;&lt;author&gt;Noronha, Alberto&lt;/author&gt;&lt;author&gt;Greenhalgh, Kacy&lt;/author&gt;&lt;author&gt;Jäger, Christian&lt;/author&gt;&lt;author&gt;Baginska, Joanna&lt;/author&gt;&lt;author&gt;Wilmes, Paul&lt;/author&gt;&lt;/authors&gt;&lt;/contributors&gt;&lt;titles&gt;&lt;title&gt;Generation of genome-scale metabolic reconstructions for 773 members of the human gut microbiota&lt;/title&gt;&lt;secondary-title&gt;Nature biotechnology&lt;/secondary-title&gt;&lt;/titles&gt;&lt;periodical&gt;&lt;full-title&gt;Nature Biotechnology&lt;/full-title&gt;&lt;abbr-1&gt;Nat. Biotechnol.&lt;/abbr-1&gt;&lt;abbr-2&gt;Nat Biotechnol&lt;/abbr-2&gt;&lt;/periodical&gt;&lt;pages&gt;81&lt;/pages&gt;&lt;volume&gt;35&lt;/volume&gt;&lt;number&gt;1&lt;/number&gt;&lt;dates&gt;&lt;year&gt;2017&lt;/year&gt;&lt;/dates&gt;&lt;isbn&gt;1546-1696&lt;/isbn&gt;&lt;urls&gt;&lt;/urls&gt;&lt;/record&gt;&lt;/Cite&gt;&lt;/EndNote&gt;</w:instrText>
      </w:r>
      <w:r w:rsidR="003A5620">
        <w:rPr>
          <w:rFonts w:asciiTheme="majorHAnsi" w:hAnsiTheme="majorHAnsi" w:cstheme="majorHAnsi"/>
          <w:sz w:val="24"/>
          <w:szCs w:val="24"/>
          <w:lang w:val="en-US"/>
        </w:rPr>
        <w:fldChar w:fldCharType="separate"/>
      </w:r>
      <w:r w:rsidR="003A5620" w:rsidRPr="003A5620">
        <w:rPr>
          <w:rFonts w:asciiTheme="majorHAnsi" w:hAnsiTheme="majorHAnsi" w:cstheme="majorHAnsi"/>
          <w:noProof/>
          <w:sz w:val="24"/>
          <w:szCs w:val="24"/>
          <w:vertAlign w:val="superscript"/>
          <w:lang w:val="en-US"/>
        </w:rPr>
        <w:t>2</w:t>
      </w:r>
      <w:r w:rsidR="003A5620">
        <w:rPr>
          <w:rFonts w:asciiTheme="majorHAnsi" w:hAnsiTheme="majorHAnsi" w:cstheme="majorHAnsi"/>
          <w:sz w:val="24"/>
          <w:szCs w:val="24"/>
          <w:lang w:val="en-US"/>
        </w:rPr>
        <w:fldChar w:fldCharType="end"/>
      </w:r>
      <w:r w:rsidRPr="00A654CF">
        <w:rPr>
          <w:rFonts w:asciiTheme="majorHAnsi" w:hAnsiTheme="majorHAnsi" w:cstheme="majorHAnsi"/>
          <w:sz w:val="24"/>
          <w:szCs w:val="24"/>
          <w:lang w:val="en-US"/>
        </w:rPr>
        <w:t xml:space="preserve"> (</w:t>
      </w:r>
      <w:r w:rsidRPr="00A654CF">
        <w:rPr>
          <w:rFonts w:asciiTheme="majorHAnsi" w:hAnsiTheme="majorHAnsi" w:cstheme="majorHAnsi"/>
          <w:b/>
          <w:sz w:val="24"/>
          <w:szCs w:val="24"/>
          <w:lang w:val="en-US"/>
        </w:rPr>
        <w:t xml:space="preserve">Supplementary </w:t>
      </w:r>
      <w:r w:rsidR="00884975">
        <w:rPr>
          <w:rFonts w:asciiTheme="majorHAnsi" w:hAnsiTheme="majorHAnsi" w:cstheme="majorHAnsi"/>
          <w:b/>
          <w:sz w:val="24"/>
          <w:szCs w:val="24"/>
          <w:lang w:val="en-US"/>
        </w:rPr>
        <w:t>Fig.</w:t>
      </w:r>
      <w:r w:rsidRPr="00A654CF">
        <w:rPr>
          <w:rFonts w:asciiTheme="majorHAnsi" w:hAnsiTheme="majorHAnsi" w:cstheme="majorHAnsi"/>
          <w:b/>
          <w:sz w:val="24"/>
          <w:szCs w:val="24"/>
          <w:lang w:val="en-US"/>
        </w:rPr>
        <w:t xml:space="preserve"> 13B</w:t>
      </w:r>
      <w:r w:rsidRPr="00A654CF">
        <w:rPr>
          <w:rFonts w:asciiTheme="majorHAnsi" w:hAnsiTheme="majorHAnsi" w:cstheme="majorHAnsi"/>
          <w:sz w:val="24"/>
          <w:szCs w:val="24"/>
          <w:lang w:val="en-US"/>
        </w:rPr>
        <w:t xml:space="preserve">). </w:t>
      </w:r>
      <w:r w:rsidR="00E8678A" w:rsidRPr="00A654CF">
        <w:rPr>
          <w:rFonts w:asciiTheme="majorHAnsi" w:hAnsiTheme="majorHAnsi" w:cstheme="majorHAnsi"/>
          <w:sz w:val="24"/>
          <w:szCs w:val="24"/>
          <w:lang w:val="en-US"/>
        </w:rPr>
        <w:t xml:space="preserve">Twenty-one </w:t>
      </w:r>
      <w:r w:rsidRPr="00A654CF">
        <w:rPr>
          <w:rFonts w:asciiTheme="majorHAnsi" w:hAnsiTheme="majorHAnsi" w:cstheme="majorHAnsi"/>
          <w:sz w:val="24"/>
          <w:szCs w:val="24"/>
          <w:lang w:val="en-US"/>
        </w:rPr>
        <w:t xml:space="preserve">species pairs that can transform BA belonged to the </w:t>
      </w:r>
      <w:r w:rsidRPr="00A654CF">
        <w:rPr>
          <w:rFonts w:asciiTheme="majorHAnsi" w:hAnsiTheme="majorHAnsi" w:cstheme="majorHAnsi"/>
          <w:i/>
          <w:sz w:val="24"/>
          <w:szCs w:val="24"/>
          <w:lang w:val="en-US"/>
        </w:rPr>
        <w:t>Ruminococcus</w:t>
      </w:r>
      <w:r w:rsidRPr="00A654CF">
        <w:rPr>
          <w:rFonts w:asciiTheme="majorHAnsi" w:hAnsiTheme="majorHAnsi" w:cstheme="majorHAnsi"/>
          <w:sz w:val="24"/>
          <w:szCs w:val="24"/>
          <w:lang w:val="en-US"/>
        </w:rPr>
        <w:t xml:space="preserve"> and </w:t>
      </w:r>
      <w:r w:rsidRPr="00A654CF">
        <w:rPr>
          <w:rFonts w:asciiTheme="majorHAnsi" w:hAnsiTheme="majorHAnsi" w:cstheme="majorHAnsi"/>
          <w:i/>
          <w:sz w:val="24"/>
          <w:szCs w:val="24"/>
          <w:lang w:val="en-US"/>
        </w:rPr>
        <w:t>Bacteroides</w:t>
      </w:r>
      <w:r w:rsidRPr="00A654CF">
        <w:rPr>
          <w:rFonts w:asciiTheme="majorHAnsi" w:hAnsiTheme="majorHAnsi" w:cstheme="majorHAnsi"/>
          <w:sz w:val="24"/>
          <w:szCs w:val="24"/>
          <w:lang w:val="en-US"/>
        </w:rPr>
        <w:t xml:space="preserve"> genera </w:t>
      </w:r>
      <w:r w:rsidRPr="00A654CF">
        <w:rPr>
          <w:rFonts w:asciiTheme="majorHAnsi" w:hAnsiTheme="majorHAnsi" w:cstheme="majorHAnsi"/>
          <w:b/>
          <w:sz w:val="24"/>
          <w:szCs w:val="24"/>
          <w:lang w:val="en-US"/>
        </w:rPr>
        <w:t xml:space="preserve">(Supplementary </w:t>
      </w:r>
      <w:r w:rsidR="00884975">
        <w:rPr>
          <w:rFonts w:asciiTheme="majorHAnsi" w:hAnsiTheme="majorHAnsi" w:cstheme="majorHAnsi"/>
          <w:b/>
          <w:sz w:val="24"/>
          <w:szCs w:val="24"/>
          <w:lang w:val="en-US"/>
        </w:rPr>
        <w:t>Fig.</w:t>
      </w:r>
      <w:r w:rsidRPr="00A654CF">
        <w:rPr>
          <w:rFonts w:asciiTheme="majorHAnsi" w:hAnsiTheme="majorHAnsi" w:cstheme="majorHAnsi"/>
          <w:b/>
          <w:sz w:val="24"/>
          <w:szCs w:val="24"/>
          <w:lang w:val="en-US"/>
        </w:rPr>
        <w:t xml:space="preserve"> 13A</w:t>
      </w:r>
      <w:r w:rsidRPr="00A654CF">
        <w:rPr>
          <w:rFonts w:asciiTheme="majorHAnsi" w:hAnsiTheme="majorHAnsi" w:cstheme="majorHAnsi"/>
          <w:sz w:val="24"/>
          <w:szCs w:val="24"/>
          <w:lang w:val="en-US"/>
        </w:rPr>
        <w:t xml:space="preserve">). These bacteria might be potential markers for biotransformation of </w:t>
      </w:r>
      <w:r w:rsidR="00E8678A" w:rsidRPr="00A654CF">
        <w:rPr>
          <w:rFonts w:asciiTheme="majorHAnsi" w:hAnsiTheme="majorHAnsi" w:cstheme="majorHAnsi"/>
          <w:sz w:val="24"/>
          <w:szCs w:val="24"/>
          <w:lang w:val="en-US"/>
        </w:rPr>
        <w:t xml:space="preserve">some </w:t>
      </w:r>
      <w:r w:rsidRPr="00A654CF">
        <w:rPr>
          <w:rFonts w:asciiTheme="majorHAnsi" w:hAnsiTheme="majorHAnsi" w:cstheme="majorHAnsi"/>
          <w:sz w:val="24"/>
          <w:szCs w:val="24"/>
          <w:lang w:val="en-US"/>
        </w:rPr>
        <w:t xml:space="preserve">BAs. </w:t>
      </w:r>
    </w:p>
    <w:p w14:paraId="3D7D1CD2" w14:textId="77777777" w:rsidR="0028696C" w:rsidRPr="00A654CF" w:rsidRDefault="00AA31BD" w:rsidP="000A0FA4">
      <w:pPr>
        <w:pStyle w:val="Heading3"/>
        <w:spacing w:after="0" w:line="276" w:lineRule="auto"/>
        <w:ind w:firstLine="0"/>
        <w:rPr>
          <w:rFonts w:asciiTheme="majorHAnsi" w:hAnsiTheme="majorHAnsi" w:cstheme="majorHAnsi"/>
          <w:sz w:val="24"/>
          <w:szCs w:val="24"/>
          <w:lang w:val="en-US"/>
        </w:rPr>
      </w:pPr>
      <w:bookmarkStart w:id="3" w:name="_9je01opap08h" w:colFirst="0" w:colLast="0"/>
      <w:bookmarkEnd w:id="3"/>
      <w:r w:rsidRPr="00A654CF">
        <w:rPr>
          <w:rFonts w:asciiTheme="majorHAnsi" w:hAnsiTheme="majorHAnsi" w:cstheme="majorHAnsi"/>
          <w:sz w:val="24"/>
          <w:szCs w:val="24"/>
          <w:lang w:val="en-US"/>
        </w:rPr>
        <w:lastRenderedPageBreak/>
        <w:t xml:space="preserve">Construction of communities of human intestinal species </w:t>
      </w:r>
    </w:p>
    <w:p w14:paraId="03C77477" w14:textId="5049EA87" w:rsidR="0028696C" w:rsidRDefault="00AA31BD" w:rsidP="000A0FA4">
      <w:pPr>
        <w:spacing w:after="0" w:line="276" w:lineRule="auto"/>
        <w:ind w:firstLine="0"/>
        <w:jc w:val="both"/>
        <w:rPr>
          <w:rFonts w:asciiTheme="majorHAnsi" w:hAnsiTheme="majorHAnsi" w:cstheme="majorHAnsi"/>
          <w:sz w:val="24"/>
          <w:szCs w:val="24"/>
          <w:lang w:val="en-US"/>
        </w:rPr>
      </w:pPr>
      <w:r w:rsidRPr="00A654CF">
        <w:rPr>
          <w:rFonts w:asciiTheme="majorHAnsi" w:hAnsiTheme="majorHAnsi" w:cstheme="majorHAnsi"/>
          <w:sz w:val="24"/>
          <w:szCs w:val="24"/>
          <w:lang w:val="en-US"/>
        </w:rPr>
        <w:t xml:space="preserve">Metagenomics yields high dimensionality datasets where the number of variables by far exceeds the number of samples. This situation is prone to major pitfalls, </w:t>
      </w:r>
      <w:r w:rsidRPr="00A654CF">
        <w:rPr>
          <w:rFonts w:asciiTheme="majorHAnsi" w:hAnsiTheme="majorHAnsi" w:cstheme="majorHAnsi"/>
          <w:i/>
          <w:sz w:val="24"/>
          <w:szCs w:val="24"/>
          <w:lang w:val="en-US"/>
        </w:rPr>
        <w:t>i.e.</w:t>
      </w:r>
      <w:r w:rsidRPr="00A654CF">
        <w:rPr>
          <w:rFonts w:asciiTheme="majorHAnsi" w:hAnsiTheme="majorHAnsi" w:cstheme="majorHAnsi"/>
          <w:sz w:val="24"/>
          <w:szCs w:val="24"/>
          <w:lang w:val="en-US"/>
        </w:rPr>
        <w:t xml:space="preserve"> lack of model generalization and difficulties in data interpretation. We therefore chose to apply a form of feature agglomeration to reduce the dimensionality of our microbiome dataset, </w:t>
      </w:r>
      <w:r w:rsidRPr="00A654CF">
        <w:rPr>
          <w:rFonts w:asciiTheme="majorHAnsi" w:hAnsiTheme="majorHAnsi" w:cstheme="majorHAnsi"/>
          <w:i/>
          <w:sz w:val="24"/>
          <w:szCs w:val="24"/>
          <w:lang w:val="en-US"/>
        </w:rPr>
        <w:t>i.e.</w:t>
      </w:r>
      <w:r w:rsidRPr="00A654CF">
        <w:rPr>
          <w:rFonts w:asciiTheme="majorHAnsi" w:hAnsiTheme="majorHAnsi" w:cstheme="majorHAnsi"/>
          <w:sz w:val="24"/>
          <w:szCs w:val="24"/>
          <w:lang w:val="en-US"/>
        </w:rPr>
        <w:t xml:space="preserve"> we grouped communities of species based on their co-abundance. A similar co-abundance grouping has previously been applied with success at the genus level</w:t>
      </w:r>
      <w:r w:rsidR="00327230">
        <w:rPr>
          <w:rFonts w:asciiTheme="majorHAnsi" w:hAnsiTheme="majorHAnsi" w:cstheme="majorHAnsi"/>
          <w:sz w:val="24"/>
          <w:szCs w:val="24"/>
          <w:lang w:val="en-US"/>
        </w:rPr>
        <w:fldChar w:fldCharType="begin"/>
      </w:r>
      <w:r w:rsidR="00327230">
        <w:rPr>
          <w:rFonts w:asciiTheme="majorHAnsi" w:hAnsiTheme="majorHAnsi" w:cstheme="majorHAnsi"/>
          <w:sz w:val="24"/>
          <w:szCs w:val="24"/>
          <w:lang w:val="en-US"/>
        </w:rPr>
        <w:instrText xml:space="preserve"> ADDIN EN.CITE &lt;EndNote&gt;&lt;Cite&gt;&lt;Author&gt;Jeffery&lt;/Author&gt;&lt;Year&gt;2012&lt;/Year&gt;&lt;RecNum&gt;33&lt;/RecNum&gt;&lt;DisplayText&gt;&lt;style face="superscript"&gt;17&lt;/style&gt;&lt;/DisplayText&gt;&lt;record&gt;&lt;rec-number&gt;33&lt;/rec-number&gt;&lt;foreign-keys&gt;&lt;key app="EN" db-id="wdrzpw5vgw0z07ewf27pdzf7fwpw25pf5d2w" timestamp="1571382000"&gt;33&lt;/key&gt;&lt;/foreign-keys&gt;&lt;ref-type name="Journal Article"&gt;17&lt;/ref-type&gt;&lt;contributors&gt;&lt;authors&gt;&lt;author&gt;Jeffery, Ian B&lt;/author&gt;&lt;author&gt;Claesson, Marcus J&lt;/author&gt;&lt;author&gt;O&amp;apos;toole, Paul W&lt;/author&gt;&lt;author&gt;Shanahan, Fergus&lt;/author&gt;&lt;/authors&gt;&lt;/contributors&gt;&lt;titles&gt;&lt;title&gt;Categorization of the gut microbiota: enterotypes or gradients?&lt;/title&gt;&lt;secondary-title&gt;Nature Reviews Microbiology&lt;/secondary-title&gt;&lt;/titles&gt;&lt;periodical&gt;&lt;full-title&gt;Nature Reviews Microbiology&lt;/full-title&gt;&lt;abbr-1&gt;Nat. Rev. Microbiol.&lt;/abbr-1&gt;&lt;abbr-2&gt;Nat Rev Microbiol&lt;/abbr-2&gt;&lt;/periodical&gt;&lt;pages&gt;591&lt;/pages&gt;&lt;volume&gt;10&lt;/volume&gt;&lt;number&gt;9&lt;/number&gt;&lt;dates&gt;&lt;year&gt;2012&lt;/year&gt;&lt;/dates&gt;&lt;isbn&gt;1740-1534&lt;/isbn&gt;&lt;urls&gt;&lt;/urls&gt;&lt;/record&gt;&lt;/Cite&gt;&lt;/EndNote&gt;</w:instrText>
      </w:r>
      <w:r w:rsidR="00327230">
        <w:rPr>
          <w:rFonts w:asciiTheme="majorHAnsi" w:hAnsiTheme="majorHAnsi" w:cstheme="majorHAnsi"/>
          <w:sz w:val="24"/>
          <w:szCs w:val="24"/>
          <w:lang w:val="en-US"/>
        </w:rPr>
        <w:fldChar w:fldCharType="separate"/>
      </w:r>
      <w:r w:rsidR="00327230" w:rsidRPr="00327230">
        <w:rPr>
          <w:rFonts w:asciiTheme="majorHAnsi" w:hAnsiTheme="majorHAnsi" w:cstheme="majorHAnsi"/>
          <w:noProof/>
          <w:sz w:val="24"/>
          <w:szCs w:val="24"/>
          <w:vertAlign w:val="superscript"/>
          <w:lang w:val="en-US"/>
        </w:rPr>
        <w:t>17</w:t>
      </w:r>
      <w:r w:rsidR="00327230">
        <w:rPr>
          <w:rFonts w:asciiTheme="majorHAnsi" w:hAnsiTheme="majorHAnsi" w:cstheme="majorHAnsi"/>
          <w:sz w:val="24"/>
          <w:szCs w:val="24"/>
          <w:lang w:val="en-US"/>
        </w:rPr>
        <w:fldChar w:fldCharType="end"/>
      </w:r>
      <w:r w:rsidRPr="00A654CF">
        <w:rPr>
          <w:rFonts w:asciiTheme="majorHAnsi" w:hAnsiTheme="majorHAnsi" w:cstheme="majorHAnsi"/>
          <w:sz w:val="24"/>
          <w:szCs w:val="24"/>
          <w:lang w:val="en-US"/>
        </w:rPr>
        <w:t>. To form groups of co-abundant species we applied a pipeline of co-abundance graph inference (see</w:t>
      </w:r>
      <w:r w:rsidRPr="00A654CF">
        <w:rPr>
          <w:rFonts w:asciiTheme="majorHAnsi" w:hAnsiTheme="majorHAnsi" w:cstheme="majorHAnsi"/>
          <w:b/>
          <w:sz w:val="24"/>
          <w:szCs w:val="24"/>
          <w:lang w:val="en-US"/>
        </w:rPr>
        <w:t xml:space="preserve"> Methods</w:t>
      </w:r>
      <w:r w:rsidRPr="00A654CF">
        <w:rPr>
          <w:rFonts w:asciiTheme="majorHAnsi" w:hAnsiTheme="majorHAnsi" w:cstheme="majorHAnsi"/>
          <w:sz w:val="24"/>
          <w:szCs w:val="24"/>
          <w:lang w:val="en-US"/>
        </w:rPr>
        <w:t>) and used community detection on the network to group the species. The modularity of the community partition of the largest connected component reached a value of 0.69 (theoretical maximum is 1), indicating an acceptable match between the community partition and the graph structure.</w:t>
      </w:r>
    </w:p>
    <w:p w14:paraId="30DC7736" w14:textId="77777777" w:rsidR="00B974F1" w:rsidRPr="00A654CF" w:rsidRDefault="00B974F1" w:rsidP="000A0FA4">
      <w:pPr>
        <w:spacing w:after="0" w:line="276" w:lineRule="auto"/>
        <w:ind w:firstLine="0"/>
        <w:jc w:val="both"/>
        <w:rPr>
          <w:rFonts w:asciiTheme="majorHAnsi" w:hAnsiTheme="majorHAnsi" w:cstheme="majorHAnsi"/>
          <w:sz w:val="24"/>
          <w:szCs w:val="24"/>
          <w:lang w:val="en-US"/>
        </w:rPr>
      </w:pPr>
    </w:p>
    <w:p w14:paraId="15CBBA59" w14:textId="25E7493B" w:rsidR="0028696C" w:rsidRPr="00A654CF" w:rsidRDefault="00AA31BD" w:rsidP="000A0FA4">
      <w:pPr>
        <w:spacing w:line="276" w:lineRule="auto"/>
        <w:ind w:firstLine="0"/>
        <w:jc w:val="both"/>
        <w:rPr>
          <w:rFonts w:asciiTheme="majorHAnsi" w:hAnsiTheme="majorHAnsi" w:cstheme="majorHAnsi"/>
          <w:sz w:val="24"/>
          <w:szCs w:val="24"/>
          <w:lang w:val="en-US"/>
        </w:rPr>
      </w:pPr>
      <w:r w:rsidRPr="00A654CF">
        <w:rPr>
          <w:rFonts w:asciiTheme="majorHAnsi" w:hAnsiTheme="majorHAnsi" w:cstheme="majorHAnsi"/>
          <w:sz w:val="24"/>
          <w:szCs w:val="24"/>
          <w:lang w:val="en-US"/>
        </w:rPr>
        <w:t xml:space="preserve">While yielding a view coherent with the enterotype approach, the community approach is conceptually very different. </w:t>
      </w:r>
      <w:r w:rsidRPr="00A654CF">
        <w:rPr>
          <w:rFonts w:asciiTheme="majorHAnsi" w:hAnsiTheme="majorHAnsi" w:cstheme="majorHAnsi"/>
          <w:i/>
          <w:sz w:val="24"/>
          <w:szCs w:val="24"/>
          <w:lang w:val="en-US"/>
        </w:rPr>
        <w:t>Communities are clusters of species, whereas enterotyping clusters individuals.</w:t>
      </w:r>
      <w:r w:rsidRPr="00A654CF">
        <w:rPr>
          <w:rFonts w:asciiTheme="majorHAnsi" w:hAnsiTheme="majorHAnsi" w:cstheme="majorHAnsi"/>
          <w:sz w:val="24"/>
          <w:szCs w:val="24"/>
          <w:lang w:val="en-US"/>
        </w:rPr>
        <w:t xml:space="preserve"> Therefore, an individual can only belong to one enterotype, whereas an individual can have a moderate to high level of several communities. The community approach overcomes several issues related to enterotypes</w:t>
      </w:r>
      <w:r w:rsidR="00EC6F8B">
        <w:rPr>
          <w:rFonts w:asciiTheme="majorHAnsi" w:hAnsiTheme="majorHAnsi" w:cstheme="majorHAnsi"/>
          <w:sz w:val="24"/>
          <w:szCs w:val="24"/>
          <w:lang w:val="en-US"/>
        </w:rPr>
        <w:fldChar w:fldCharType="begin"/>
      </w:r>
      <w:r w:rsidR="00EC6F8B">
        <w:rPr>
          <w:rFonts w:asciiTheme="majorHAnsi" w:hAnsiTheme="majorHAnsi" w:cstheme="majorHAnsi"/>
          <w:sz w:val="24"/>
          <w:szCs w:val="24"/>
          <w:lang w:val="en-US"/>
        </w:rPr>
        <w:instrText xml:space="preserve"> ADDIN EN.CITE &lt;EndNote&gt;&lt;Cite&gt;&lt;Author&gt;Jeffery&lt;/Author&gt;&lt;Year&gt;2012&lt;/Year&gt;&lt;RecNum&gt;33&lt;/RecNum&gt;&lt;DisplayText&gt;&lt;style face="superscript"&gt;17, 18&lt;/style&gt;&lt;/DisplayText&gt;&lt;record&gt;&lt;rec-number&gt;33&lt;/rec-number&gt;&lt;foreign-keys&gt;&lt;key app="EN" db-id="wdrzpw5vgw0z07ewf27pdzf7fwpw25pf5d2w" timestamp="1571382000"&gt;33&lt;/key&gt;&lt;/foreign-keys&gt;&lt;ref-type name="Journal Article"&gt;17&lt;/ref-type&gt;&lt;contributors&gt;&lt;authors&gt;&lt;author&gt;Jeffery, Ian B&lt;/author&gt;&lt;author&gt;Claesson, Marcus J&lt;/author&gt;&lt;author&gt;O&amp;apos;toole, Paul W&lt;/author&gt;&lt;author&gt;Shanahan, Fergus&lt;/author&gt;&lt;/authors&gt;&lt;/contributors&gt;&lt;titles&gt;&lt;title&gt;Categorization of the gut microbiota: enterotypes or gradients?&lt;/title&gt;&lt;secondary-title&gt;Nature Reviews Microbiology&lt;/secondary-title&gt;&lt;/titles&gt;&lt;periodical&gt;&lt;full-title&gt;Nature Reviews Microbiology&lt;/full-title&gt;&lt;abbr-1&gt;Nat. Rev. Microbiol.&lt;/abbr-1&gt;&lt;abbr-2&gt;Nat Rev Microbiol&lt;/abbr-2&gt;&lt;/periodical&gt;&lt;pages&gt;591&lt;/pages&gt;&lt;volume&gt;10&lt;/volume&gt;&lt;number&gt;9&lt;/number&gt;&lt;dates&gt;&lt;year&gt;2012&lt;/year&gt;&lt;/dates&gt;&lt;isbn&gt;1740-1534&lt;/isbn&gt;&lt;urls&gt;&lt;/urls&gt;&lt;/record&gt;&lt;/Cite&gt;&lt;Cite&gt;&lt;Author&gt;Knights&lt;/Author&gt;&lt;Year&gt;2014&lt;/Year&gt;&lt;RecNum&gt;35&lt;/RecNum&gt;&lt;record&gt;&lt;rec-number&gt;35&lt;/rec-number&gt;&lt;foreign-keys&gt;&lt;key app="EN" db-id="wdrzpw5vgw0z07ewf27pdzf7fwpw25pf5d2w" timestamp="1571382006"&gt;35&lt;/key&gt;&lt;/foreign-keys&gt;&lt;ref-type name="Journal Article"&gt;17&lt;/ref-type&gt;&lt;contributors&gt;&lt;authors&gt;&lt;author&gt;Knights, Dan&lt;/author&gt;&lt;author&gt;Ward, Tonya L&lt;/author&gt;&lt;author&gt;McKinlay, Christopher E&lt;/author&gt;&lt;author&gt;Miller, Hannah&lt;/author&gt;&lt;author&gt;Gonzalez, Antonio&lt;/author&gt;&lt;author&gt;McDonald, Daniel&lt;/author&gt;&lt;author&gt;Knight, Rob&lt;/author&gt;&lt;/authors&gt;&lt;/contributors&gt;&lt;titles&gt;&lt;title&gt;Rethinking “enterotypes”&lt;/title&gt;&lt;secondary-title&gt;Cell host &amp;amp; microbe&lt;/secondary-title&gt;&lt;/titles&gt;&lt;periodical&gt;&lt;full-title&gt;Cell Host &amp;amp; Microbe&lt;/full-title&gt;&lt;abbr-1&gt;Cell Host Microbe&lt;/abbr-1&gt;&lt;abbr-2&gt;Cell Host Microbe&lt;/abbr-2&gt;&lt;/periodical&gt;&lt;pages&gt;433-437&lt;/pages&gt;&lt;volume&gt;16&lt;/volume&gt;&lt;number&gt;4&lt;/number&gt;&lt;dates&gt;&lt;year&gt;2014&lt;/year&gt;&lt;/dates&gt;&lt;isbn&gt;1931-3128&lt;/isbn&gt;&lt;urls&gt;&lt;/urls&gt;&lt;/record&gt;&lt;/Cite&gt;&lt;/EndNote&gt;</w:instrText>
      </w:r>
      <w:r w:rsidR="00EC6F8B">
        <w:rPr>
          <w:rFonts w:asciiTheme="majorHAnsi" w:hAnsiTheme="majorHAnsi" w:cstheme="majorHAnsi"/>
          <w:sz w:val="24"/>
          <w:szCs w:val="24"/>
          <w:lang w:val="en-US"/>
        </w:rPr>
        <w:fldChar w:fldCharType="separate"/>
      </w:r>
      <w:r w:rsidR="00EC6F8B" w:rsidRPr="00EC6F8B">
        <w:rPr>
          <w:rFonts w:asciiTheme="majorHAnsi" w:hAnsiTheme="majorHAnsi" w:cstheme="majorHAnsi"/>
          <w:noProof/>
          <w:sz w:val="24"/>
          <w:szCs w:val="24"/>
          <w:vertAlign w:val="superscript"/>
          <w:lang w:val="en-US"/>
        </w:rPr>
        <w:t>17, 18</w:t>
      </w:r>
      <w:r w:rsidR="00EC6F8B">
        <w:rPr>
          <w:rFonts w:asciiTheme="majorHAnsi" w:hAnsiTheme="majorHAnsi" w:cstheme="majorHAnsi"/>
          <w:sz w:val="24"/>
          <w:szCs w:val="24"/>
          <w:lang w:val="en-US"/>
        </w:rPr>
        <w:fldChar w:fldCharType="end"/>
      </w:r>
      <w:r w:rsidRPr="00A654CF">
        <w:rPr>
          <w:rFonts w:asciiTheme="majorHAnsi" w:hAnsiTheme="majorHAnsi" w:cstheme="majorHAnsi"/>
          <w:sz w:val="24"/>
          <w:szCs w:val="24"/>
          <w:lang w:val="en-US"/>
        </w:rPr>
        <w:t xml:space="preserve">, being continuous, robustly detected, and usable as features in machine learning algorithms. In the current context, the community C is particularly interesting because it groups together species known to be health promoting such as </w:t>
      </w:r>
      <w:r w:rsidRPr="00A654CF">
        <w:rPr>
          <w:rFonts w:asciiTheme="majorHAnsi" w:hAnsiTheme="majorHAnsi" w:cstheme="majorHAnsi"/>
          <w:i/>
          <w:sz w:val="24"/>
          <w:szCs w:val="24"/>
          <w:lang w:val="en-US"/>
        </w:rPr>
        <w:t>Akkermansia municiphila</w:t>
      </w:r>
      <w:r w:rsidR="00F24F83">
        <w:rPr>
          <w:rFonts w:asciiTheme="majorHAnsi" w:hAnsiTheme="majorHAnsi" w:cstheme="majorHAnsi"/>
          <w:i/>
          <w:sz w:val="24"/>
          <w:szCs w:val="24"/>
          <w:lang w:val="en-US"/>
        </w:rPr>
        <w:fldChar w:fldCharType="begin"/>
      </w:r>
      <w:r w:rsidR="00F24F83">
        <w:rPr>
          <w:rFonts w:asciiTheme="majorHAnsi" w:hAnsiTheme="majorHAnsi" w:cstheme="majorHAnsi"/>
          <w:i/>
          <w:sz w:val="24"/>
          <w:szCs w:val="24"/>
          <w:lang w:val="en-US"/>
        </w:rPr>
        <w:instrText xml:space="preserve"> ADDIN EN.CITE &lt;EndNote&gt;&lt;Cite&gt;&lt;Author&gt;Dao&lt;/Author&gt;&lt;Year&gt;2016&lt;/Year&gt;&lt;RecNum&gt;36&lt;/RecNum&gt;&lt;DisplayText&gt;&lt;style face="superscript"&gt;19&lt;/style&gt;&lt;/DisplayText&gt;&lt;record&gt;&lt;rec-number&gt;36&lt;/rec-number&gt;&lt;foreign-keys&gt;&lt;key app="EN" db-id="wdrzpw5vgw0z07ewf27pdzf7fwpw25pf5d2w" timestamp="1571382007"&gt;36&lt;/key&gt;&lt;/foreign-keys&gt;&lt;ref-type name="Journal Article"&gt;17&lt;/ref-type&gt;&lt;contributors&gt;&lt;authors&gt;&lt;author&gt;Dao, Maria Carlota&lt;/author&gt;&lt;author&gt;Everard, Amandine&lt;/author&gt;&lt;author&gt;Aron-Wisnewsky, Judith&lt;/author&gt;&lt;author&gt;Sokolovska, Nataliya&lt;/author&gt;&lt;author&gt;Prifti, Edi&lt;/author&gt;&lt;author&gt;Verger, Eric O&lt;/author&gt;&lt;author&gt;Kayser, Brandon D&lt;/author&gt;&lt;author&gt;Levenez, Florence&lt;/author&gt;&lt;author&gt;Chilloux, Julien&lt;/author&gt;&lt;author&gt;Hoyles, Lesley&lt;/author&gt;&lt;/authors&gt;&lt;/contributors&gt;&lt;titles&gt;&lt;title&gt;Akkermansia muciniphila and improved metabolic health during a dietary intervention in obesity: relationship with gut microbiome richness and ecology&lt;/title&gt;&lt;secondary-title&gt;Gut&lt;/secondary-title&gt;&lt;/titles&gt;&lt;periodical&gt;&lt;full-title&gt;Gut&lt;/full-title&gt;&lt;abbr-1&gt;Gut&lt;/abbr-1&gt;&lt;abbr-2&gt;Gut&lt;/abbr-2&gt;&lt;/periodical&gt;&lt;pages&gt;426-436&lt;/pages&gt;&lt;volume&gt;65&lt;/volume&gt;&lt;number&gt;3&lt;/number&gt;&lt;dates&gt;&lt;year&gt;2016&lt;/year&gt;&lt;/dates&gt;&lt;isbn&gt;0017-5749&lt;/isbn&gt;&lt;urls&gt;&lt;/urls&gt;&lt;/record&gt;&lt;/Cite&gt;&lt;/EndNote&gt;</w:instrText>
      </w:r>
      <w:r w:rsidR="00F24F83">
        <w:rPr>
          <w:rFonts w:asciiTheme="majorHAnsi" w:hAnsiTheme="majorHAnsi" w:cstheme="majorHAnsi"/>
          <w:i/>
          <w:sz w:val="24"/>
          <w:szCs w:val="24"/>
          <w:lang w:val="en-US"/>
        </w:rPr>
        <w:fldChar w:fldCharType="separate"/>
      </w:r>
      <w:r w:rsidR="00F24F83" w:rsidRPr="00F24F83">
        <w:rPr>
          <w:rFonts w:asciiTheme="majorHAnsi" w:hAnsiTheme="majorHAnsi" w:cstheme="majorHAnsi"/>
          <w:i/>
          <w:noProof/>
          <w:sz w:val="24"/>
          <w:szCs w:val="24"/>
          <w:vertAlign w:val="superscript"/>
          <w:lang w:val="en-US"/>
        </w:rPr>
        <w:t>19</w:t>
      </w:r>
      <w:r w:rsidR="00F24F83">
        <w:rPr>
          <w:rFonts w:asciiTheme="majorHAnsi" w:hAnsiTheme="majorHAnsi" w:cstheme="majorHAnsi"/>
          <w:i/>
          <w:sz w:val="24"/>
          <w:szCs w:val="24"/>
          <w:lang w:val="en-US"/>
        </w:rPr>
        <w:fldChar w:fldCharType="end"/>
      </w:r>
      <w:r w:rsidRPr="00A654CF">
        <w:rPr>
          <w:rFonts w:asciiTheme="majorHAnsi" w:hAnsiTheme="majorHAnsi" w:cstheme="majorHAnsi"/>
          <w:sz w:val="24"/>
          <w:szCs w:val="24"/>
          <w:vertAlign w:val="superscript"/>
          <w:lang w:val="en-US"/>
        </w:rPr>
        <w:t xml:space="preserve"> </w:t>
      </w:r>
      <w:r w:rsidRPr="00A654CF">
        <w:rPr>
          <w:rFonts w:asciiTheme="majorHAnsi" w:hAnsiTheme="majorHAnsi" w:cstheme="majorHAnsi"/>
          <w:sz w:val="24"/>
          <w:szCs w:val="24"/>
          <w:lang w:val="en-US"/>
        </w:rPr>
        <w:t xml:space="preserve">and </w:t>
      </w:r>
      <w:r w:rsidRPr="00A654CF">
        <w:rPr>
          <w:rFonts w:asciiTheme="majorHAnsi" w:hAnsiTheme="majorHAnsi" w:cstheme="majorHAnsi"/>
          <w:i/>
          <w:sz w:val="24"/>
          <w:szCs w:val="24"/>
          <w:lang w:val="en-US"/>
        </w:rPr>
        <w:t>Faecalibacterium</w:t>
      </w:r>
      <w:r w:rsidR="00F24F83">
        <w:rPr>
          <w:rFonts w:asciiTheme="majorHAnsi" w:hAnsiTheme="majorHAnsi" w:cstheme="majorHAnsi"/>
          <w:i/>
          <w:sz w:val="24"/>
          <w:szCs w:val="24"/>
          <w:lang w:val="en-US"/>
        </w:rPr>
        <w:fldChar w:fldCharType="begin"/>
      </w:r>
      <w:r w:rsidR="00B32D8C">
        <w:rPr>
          <w:rFonts w:asciiTheme="majorHAnsi" w:hAnsiTheme="majorHAnsi" w:cstheme="majorHAnsi"/>
          <w:i/>
          <w:sz w:val="24"/>
          <w:szCs w:val="24"/>
          <w:lang w:val="en-US"/>
        </w:rPr>
        <w:instrText xml:space="preserve"> ADDIN EN.CITE &lt;EndNote&gt;&lt;Cite&gt;&lt;Author&gt;Miquel&lt;/Author&gt;&lt;Year&gt;2014&lt;/Year&gt;&lt;RecNum&gt;37&lt;/RecNum&gt;&lt;DisplayText&gt;&lt;style face="superscript"&gt;20&lt;/style&gt;&lt;/DisplayText&gt;&lt;record&gt;&lt;rec-number&gt;37&lt;/rec-number&gt;&lt;foreign-keys&gt;&lt;key app="EN" db-id="wdrzpw5vgw0z07ewf27pdzf7fwpw25pf5d2w" timestamp="1571382008"&gt;37&lt;/key&gt;&lt;/foreign-keys&gt;&lt;ref-type name="Journal Article"&gt;17&lt;/ref-type&gt;&lt;contributors&gt;&lt;authors&gt;&lt;author&gt;Miquel, Sylvie&lt;/author&gt;&lt;author&gt;Martín, Rebeca&lt;/author&gt;&lt;author&gt;Bridonneau, Chantal&lt;/author&gt;&lt;author&gt;Robert, Véronique&lt;/author&gt;&lt;author&gt;Sokol, Harry&lt;/author&gt;&lt;author&gt;Bermúdez-Humarán, Luis G&lt;/author&gt;&lt;author&gt;Thomas, Muriel&lt;/author&gt;&lt;author&gt;Langella, Philippe&lt;/author&gt;&lt;/authors&gt;&lt;/contributors&gt;&lt;titles&gt;&lt;title&gt;Ecology and metabolism of the beneficial intestinal commensal bacterium Faecalibacterium prausnitzii&lt;/title&gt;&lt;secondary-title&gt;Gut microbes&lt;/secondary-title&gt;&lt;/titles&gt;&lt;periodical&gt;&lt;full-title&gt;Gut microbes&lt;/full-title&gt;&lt;abbr-1&gt;Gut Microbes&lt;/abbr-1&gt;&lt;abbr-2&gt;Gut Microbes&lt;/abbr-2&gt;&lt;/periodical&gt;&lt;pages&gt;146-151&lt;/pages&gt;&lt;volume&gt;5&lt;/volume&gt;&lt;number&gt;2&lt;/number&gt;&lt;dates&gt;&lt;year&gt;2014&lt;/year&gt;&lt;/dates&gt;&lt;isbn&gt;1949-0976&lt;/isbn&gt;&lt;urls&gt;&lt;/urls&gt;&lt;/record&gt;&lt;/Cite&gt;&lt;/EndNote&gt;</w:instrText>
      </w:r>
      <w:r w:rsidR="00F24F83">
        <w:rPr>
          <w:rFonts w:asciiTheme="majorHAnsi" w:hAnsiTheme="majorHAnsi" w:cstheme="majorHAnsi"/>
          <w:i/>
          <w:sz w:val="24"/>
          <w:szCs w:val="24"/>
          <w:lang w:val="en-US"/>
        </w:rPr>
        <w:fldChar w:fldCharType="separate"/>
      </w:r>
      <w:r w:rsidR="00F24F83" w:rsidRPr="00F24F83">
        <w:rPr>
          <w:rFonts w:asciiTheme="majorHAnsi" w:hAnsiTheme="majorHAnsi" w:cstheme="majorHAnsi"/>
          <w:i/>
          <w:noProof/>
          <w:sz w:val="24"/>
          <w:szCs w:val="24"/>
          <w:vertAlign w:val="superscript"/>
          <w:lang w:val="en-US"/>
        </w:rPr>
        <w:t>20</w:t>
      </w:r>
      <w:r w:rsidR="00F24F83">
        <w:rPr>
          <w:rFonts w:asciiTheme="majorHAnsi" w:hAnsiTheme="majorHAnsi" w:cstheme="majorHAnsi"/>
          <w:i/>
          <w:sz w:val="24"/>
          <w:szCs w:val="24"/>
          <w:lang w:val="en-US"/>
        </w:rPr>
        <w:fldChar w:fldCharType="end"/>
      </w:r>
      <w:r w:rsidRPr="00A654CF">
        <w:rPr>
          <w:rFonts w:asciiTheme="majorHAnsi" w:hAnsiTheme="majorHAnsi" w:cstheme="majorHAnsi"/>
          <w:sz w:val="24"/>
          <w:szCs w:val="24"/>
          <w:lang w:val="en-US"/>
        </w:rPr>
        <w:t xml:space="preserve"> and it correlates with serum concentration of secondary BAs.</w:t>
      </w:r>
    </w:p>
    <w:p w14:paraId="43B895E3" w14:textId="77777777" w:rsidR="0028696C" w:rsidRPr="00A654CF" w:rsidRDefault="00AA31BD" w:rsidP="000A0FA4">
      <w:pPr>
        <w:pStyle w:val="Heading3"/>
        <w:spacing w:after="0" w:line="276" w:lineRule="auto"/>
        <w:ind w:firstLine="0"/>
        <w:rPr>
          <w:rFonts w:asciiTheme="majorHAnsi" w:hAnsiTheme="majorHAnsi" w:cstheme="majorHAnsi"/>
          <w:sz w:val="24"/>
          <w:szCs w:val="24"/>
          <w:lang w:val="en-US"/>
        </w:rPr>
      </w:pPr>
      <w:bookmarkStart w:id="4" w:name="_9hh6o07acwty" w:colFirst="0" w:colLast="0"/>
      <w:bookmarkEnd w:id="4"/>
      <w:r w:rsidRPr="00A654CF">
        <w:rPr>
          <w:rFonts w:asciiTheme="majorHAnsi" w:hAnsiTheme="majorHAnsi" w:cstheme="majorHAnsi"/>
          <w:sz w:val="24"/>
          <w:szCs w:val="24"/>
          <w:lang w:val="en-US"/>
        </w:rPr>
        <w:t xml:space="preserve">Search for enzymes encoded by the human gut microbiome and involved in biosynthesis of C-6 hydroxylated bile acids </w:t>
      </w:r>
    </w:p>
    <w:p w14:paraId="1B5B1017" w14:textId="08377125" w:rsidR="0028696C" w:rsidRDefault="00AA31BD" w:rsidP="000A0FA4">
      <w:pPr>
        <w:spacing w:after="0" w:line="276" w:lineRule="auto"/>
        <w:ind w:firstLine="0"/>
        <w:jc w:val="both"/>
        <w:rPr>
          <w:rFonts w:asciiTheme="majorHAnsi" w:hAnsiTheme="majorHAnsi" w:cstheme="majorHAnsi"/>
          <w:sz w:val="24"/>
          <w:szCs w:val="24"/>
          <w:lang w:val="en-US"/>
        </w:rPr>
      </w:pPr>
      <w:r w:rsidRPr="00A654CF">
        <w:rPr>
          <w:rFonts w:asciiTheme="majorHAnsi" w:hAnsiTheme="majorHAnsi" w:cstheme="majorHAnsi"/>
          <w:sz w:val="24"/>
          <w:szCs w:val="24"/>
          <w:lang w:val="en-US"/>
        </w:rPr>
        <w:t xml:space="preserve">In an attempt to identify bacterial genes with the capability of producing C6-hydroxylated BAs, different types of analyses were undertaken. </w:t>
      </w:r>
    </w:p>
    <w:p w14:paraId="51FC5D13" w14:textId="77777777" w:rsidR="00681D6D" w:rsidRPr="00A654CF" w:rsidRDefault="00681D6D" w:rsidP="000A0FA4">
      <w:pPr>
        <w:spacing w:after="0" w:line="276" w:lineRule="auto"/>
        <w:ind w:firstLine="0"/>
        <w:jc w:val="both"/>
        <w:rPr>
          <w:rFonts w:asciiTheme="majorHAnsi" w:hAnsiTheme="majorHAnsi" w:cstheme="majorHAnsi"/>
          <w:sz w:val="24"/>
          <w:szCs w:val="24"/>
          <w:lang w:val="en-US"/>
        </w:rPr>
      </w:pPr>
    </w:p>
    <w:p w14:paraId="0F85080B" w14:textId="482DF913" w:rsidR="0028696C" w:rsidRDefault="00AA31BD" w:rsidP="000A0FA4">
      <w:pPr>
        <w:spacing w:after="0" w:line="276" w:lineRule="auto"/>
        <w:ind w:firstLine="0"/>
        <w:jc w:val="both"/>
        <w:rPr>
          <w:rFonts w:asciiTheme="majorHAnsi" w:hAnsiTheme="majorHAnsi" w:cstheme="majorHAnsi"/>
          <w:sz w:val="24"/>
          <w:szCs w:val="24"/>
          <w:lang w:val="en-US"/>
        </w:rPr>
      </w:pPr>
      <w:r w:rsidRPr="00A654CF">
        <w:rPr>
          <w:rFonts w:asciiTheme="majorHAnsi" w:hAnsiTheme="majorHAnsi" w:cstheme="majorHAnsi"/>
          <w:sz w:val="24"/>
          <w:szCs w:val="24"/>
          <w:lang w:val="en-US"/>
        </w:rPr>
        <w:t>First, we undertook a correlation-based analysis attempting to identify Clusters of Orthologous Groups (COGs) of proteins that might be responsible for the conversion of one hydroxylation pattern into another. The assumption was that existence of gut bacteria that are able to shift the concentration ratio of substrate</w:t>
      </w:r>
      <w:r w:rsidR="00B974F1">
        <w:rPr>
          <w:rFonts w:asciiTheme="majorHAnsi" w:hAnsiTheme="majorHAnsi" w:cstheme="majorHAnsi"/>
          <w:sz w:val="24"/>
          <w:szCs w:val="24"/>
          <w:lang w:val="en-US"/>
        </w:rPr>
        <w:t>:</w:t>
      </w:r>
      <w:r w:rsidRPr="00A654CF">
        <w:rPr>
          <w:rFonts w:asciiTheme="majorHAnsi" w:hAnsiTheme="majorHAnsi" w:cstheme="majorHAnsi"/>
          <w:sz w:val="24"/>
          <w:szCs w:val="24"/>
          <w:lang w:val="en-US"/>
        </w:rPr>
        <w:t xml:space="preserve">product would allow identification of bacteria that correlate strongly to a certain BA ratio. We summarized BAs into BA groups (BAGs), by pooling a given hydroxylation pattern regardless of conjugation (e.g. TCA, GCA and CA into “CAs”) and using their sum concentration as the concentration for that BAG. Pairs of BAGs that differed only in one hydroxyl group were identified as likely substrate:product pairs and the ratio of their concentrations were computed for each individual. These BAG ratios were linked to the abundance of MGSs by Spearman correlation analysis.  In these analyses we assumed that muricholic acid (MCA) and hyocholic acid (HCA) were produced from chenodeoxycholic acid </w:t>
      </w:r>
      <w:r w:rsidRPr="00A654CF">
        <w:rPr>
          <w:rFonts w:asciiTheme="majorHAnsi" w:hAnsiTheme="majorHAnsi" w:cstheme="majorHAnsi"/>
          <w:sz w:val="24"/>
          <w:szCs w:val="24"/>
          <w:lang w:val="en-US"/>
        </w:rPr>
        <w:lastRenderedPageBreak/>
        <w:t xml:space="preserve">(CDCA). However, following </w:t>
      </w:r>
      <w:r w:rsidR="00681D6D" w:rsidRPr="00681D6D">
        <w:rPr>
          <w:rFonts w:asciiTheme="majorHAnsi" w:hAnsiTheme="majorHAnsi" w:cstheme="majorHAnsi"/>
          <w:sz w:val="24"/>
          <w:szCs w:val="24"/>
          <w:lang w:val="en-US"/>
        </w:rPr>
        <w:t>Benjamini-Hochberg</w:t>
      </w:r>
      <w:r w:rsidR="00681D6D">
        <w:rPr>
          <w:rFonts w:asciiTheme="majorHAnsi" w:hAnsiTheme="majorHAnsi" w:cstheme="majorHAnsi"/>
          <w:sz w:val="24"/>
          <w:szCs w:val="24"/>
          <w:lang w:val="en-US"/>
        </w:rPr>
        <w:t xml:space="preserve"> (FDR)</w:t>
      </w:r>
      <w:r w:rsidRPr="00A654CF">
        <w:rPr>
          <w:rFonts w:asciiTheme="majorHAnsi" w:hAnsiTheme="majorHAnsi" w:cstheme="majorHAnsi"/>
          <w:sz w:val="24"/>
          <w:szCs w:val="24"/>
          <w:lang w:val="en-US"/>
        </w:rPr>
        <w:t xml:space="preserve"> correction, no MGS was significantly (p&lt;0.05) correlated to ratios between HCAs and CDCAs or MCAs or CDCAs, respectively. </w:t>
      </w:r>
    </w:p>
    <w:p w14:paraId="26B92472" w14:textId="77777777" w:rsidR="00681D6D" w:rsidRPr="00A654CF" w:rsidRDefault="00681D6D" w:rsidP="000A0FA4">
      <w:pPr>
        <w:spacing w:after="0" w:line="276" w:lineRule="auto"/>
        <w:ind w:firstLine="0"/>
        <w:jc w:val="both"/>
        <w:rPr>
          <w:rFonts w:asciiTheme="majorHAnsi" w:hAnsiTheme="majorHAnsi" w:cstheme="majorHAnsi"/>
          <w:sz w:val="24"/>
          <w:szCs w:val="24"/>
          <w:lang w:val="en-US"/>
        </w:rPr>
      </w:pPr>
    </w:p>
    <w:p w14:paraId="7D923E9F" w14:textId="6B296BA2" w:rsidR="0028696C" w:rsidRDefault="00AA31BD" w:rsidP="000A0FA4">
      <w:pPr>
        <w:spacing w:after="0" w:line="276" w:lineRule="auto"/>
        <w:ind w:firstLine="0"/>
        <w:jc w:val="both"/>
        <w:rPr>
          <w:rFonts w:asciiTheme="majorHAnsi" w:hAnsiTheme="majorHAnsi" w:cstheme="majorHAnsi"/>
          <w:sz w:val="24"/>
          <w:szCs w:val="24"/>
          <w:lang w:val="en-US"/>
        </w:rPr>
      </w:pPr>
      <w:r w:rsidRPr="00A654CF">
        <w:rPr>
          <w:rFonts w:asciiTheme="majorHAnsi" w:hAnsiTheme="majorHAnsi" w:cstheme="majorHAnsi"/>
          <w:sz w:val="24"/>
          <w:szCs w:val="24"/>
          <w:lang w:val="en-US"/>
        </w:rPr>
        <w:t>It is of note that well-studied BA metabolism pathways did in fact in these analyses show significant results. Both the ratio of CA to deoxycholic acid (DCA) and CDCA to ursodeoxycholic acid (UDCA) returned significantly (</w:t>
      </w:r>
      <w:r w:rsidR="00AC3601">
        <w:rPr>
          <w:rFonts w:asciiTheme="majorHAnsi" w:hAnsiTheme="majorHAnsi" w:cstheme="majorHAnsi"/>
          <w:sz w:val="24"/>
          <w:szCs w:val="24"/>
          <w:lang w:val="en-US"/>
        </w:rPr>
        <w:t>FDR</w:t>
      </w:r>
      <w:r w:rsidRPr="00A654CF">
        <w:rPr>
          <w:rFonts w:asciiTheme="majorHAnsi" w:hAnsiTheme="majorHAnsi" w:cstheme="majorHAnsi"/>
          <w:sz w:val="24"/>
          <w:szCs w:val="24"/>
          <w:lang w:val="en-US"/>
        </w:rPr>
        <w:t xml:space="preserve"> corrected</w:t>
      </w:r>
      <w:r w:rsidR="00AC3601">
        <w:rPr>
          <w:rFonts w:asciiTheme="majorHAnsi" w:hAnsiTheme="majorHAnsi" w:cstheme="majorHAnsi"/>
          <w:sz w:val="24"/>
          <w:szCs w:val="24"/>
          <w:lang w:val="en-US"/>
        </w:rPr>
        <w:t xml:space="preserve"> </w:t>
      </w:r>
      <w:r w:rsidR="00AC3601" w:rsidRPr="00A654CF">
        <w:rPr>
          <w:rFonts w:asciiTheme="majorHAnsi" w:hAnsiTheme="majorHAnsi" w:cstheme="majorHAnsi"/>
          <w:sz w:val="24"/>
          <w:szCs w:val="24"/>
          <w:lang w:val="en-US"/>
        </w:rPr>
        <w:t>p&lt;0.05</w:t>
      </w:r>
      <w:r w:rsidRPr="00A654CF">
        <w:rPr>
          <w:rFonts w:asciiTheme="majorHAnsi" w:hAnsiTheme="majorHAnsi" w:cstheme="majorHAnsi"/>
          <w:sz w:val="24"/>
          <w:szCs w:val="24"/>
          <w:lang w:val="en-US"/>
        </w:rPr>
        <w:t xml:space="preserve">) correlated MGSs. In an attempt to identify COGs that correlated with the variables of interest, Spearman correlation strengths of MGSs containing a given COG were compared with those where the COG was absent by Wilcoxon testing. We annotated bacterial genes to COGs using EggNOG 4.5. After </w:t>
      </w:r>
      <w:r w:rsidR="00F76E18">
        <w:rPr>
          <w:rFonts w:asciiTheme="majorHAnsi" w:hAnsiTheme="majorHAnsi" w:cstheme="majorHAnsi"/>
          <w:sz w:val="24"/>
          <w:szCs w:val="24"/>
          <w:lang w:val="en-US"/>
        </w:rPr>
        <w:t>FDR</w:t>
      </w:r>
      <w:r w:rsidRPr="00A654CF">
        <w:rPr>
          <w:rFonts w:asciiTheme="majorHAnsi" w:hAnsiTheme="majorHAnsi" w:cstheme="majorHAnsi"/>
          <w:sz w:val="24"/>
          <w:szCs w:val="24"/>
          <w:lang w:val="en-US"/>
        </w:rPr>
        <w:t xml:space="preserve"> correction, several COGs correlated significantly (q&lt;0.05) to both well-studied and hypothetical BA ratios. The number of significantly (q&lt;0.05) correlating COGs is reported in </w:t>
      </w:r>
      <w:r w:rsidR="00681D6D">
        <w:rPr>
          <w:rFonts w:asciiTheme="majorHAnsi" w:hAnsiTheme="majorHAnsi" w:cstheme="majorHAnsi"/>
          <w:sz w:val="24"/>
          <w:szCs w:val="24"/>
          <w:lang w:val="en-US"/>
        </w:rPr>
        <w:t>(</w:t>
      </w:r>
      <w:r w:rsidRPr="00A654CF">
        <w:rPr>
          <w:rFonts w:asciiTheme="majorHAnsi" w:hAnsiTheme="majorHAnsi" w:cstheme="majorHAnsi"/>
          <w:b/>
          <w:sz w:val="24"/>
          <w:szCs w:val="24"/>
          <w:lang w:val="en-US"/>
        </w:rPr>
        <w:t>Supplementary Table 4</w:t>
      </w:r>
      <w:r w:rsidR="00681D6D" w:rsidRPr="00F633FD">
        <w:rPr>
          <w:rFonts w:asciiTheme="majorHAnsi" w:hAnsiTheme="majorHAnsi" w:cstheme="majorHAnsi"/>
          <w:bCs/>
          <w:sz w:val="24"/>
          <w:szCs w:val="24"/>
          <w:lang w:val="en-US"/>
        </w:rPr>
        <w:t>)</w:t>
      </w:r>
      <w:r w:rsidRPr="00A654CF">
        <w:rPr>
          <w:rFonts w:asciiTheme="majorHAnsi" w:hAnsiTheme="majorHAnsi" w:cstheme="majorHAnsi"/>
          <w:sz w:val="24"/>
          <w:szCs w:val="24"/>
          <w:lang w:val="en-US"/>
        </w:rPr>
        <w:t xml:space="preserve">.  Manual inspection of COG annotations showed that the plurality of the COGs was associated with cell membrane integrity, antibiotic resistance and other functions that relate to the antibacterial nature of BAs. </w:t>
      </w:r>
    </w:p>
    <w:p w14:paraId="5833D3DD" w14:textId="77777777" w:rsidR="00681D6D" w:rsidRPr="00A654CF" w:rsidRDefault="00681D6D" w:rsidP="000A0FA4">
      <w:pPr>
        <w:spacing w:after="0" w:line="276" w:lineRule="auto"/>
        <w:ind w:firstLine="0"/>
        <w:jc w:val="both"/>
        <w:rPr>
          <w:rFonts w:asciiTheme="majorHAnsi" w:hAnsiTheme="majorHAnsi" w:cstheme="majorHAnsi"/>
          <w:sz w:val="24"/>
          <w:szCs w:val="24"/>
          <w:lang w:val="en-US"/>
        </w:rPr>
      </w:pPr>
    </w:p>
    <w:p w14:paraId="6E79558A" w14:textId="44FB19B7" w:rsidR="0028696C" w:rsidRPr="00A654CF" w:rsidRDefault="00AA31BD" w:rsidP="000A0FA4">
      <w:pPr>
        <w:spacing w:after="0" w:line="276" w:lineRule="auto"/>
        <w:ind w:firstLine="0"/>
        <w:jc w:val="both"/>
        <w:rPr>
          <w:rFonts w:asciiTheme="majorHAnsi" w:hAnsiTheme="majorHAnsi" w:cstheme="majorHAnsi"/>
          <w:sz w:val="24"/>
          <w:szCs w:val="24"/>
          <w:lang w:val="en-US"/>
        </w:rPr>
      </w:pPr>
      <w:r w:rsidRPr="00A654CF">
        <w:rPr>
          <w:rFonts w:asciiTheme="majorHAnsi" w:hAnsiTheme="majorHAnsi" w:cstheme="majorHAnsi"/>
          <w:sz w:val="24"/>
          <w:szCs w:val="24"/>
          <w:lang w:val="en-US"/>
        </w:rPr>
        <w:t xml:space="preserve">Additionally, a list of known BA-related genes (supplementary file all_fastas.fa) was mapped using eggNOG </w:t>
      </w:r>
      <w:r w:rsidR="00F76E18">
        <w:rPr>
          <w:rFonts w:asciiTheme="majorHAnsi" w:hAnsiTheme="majorHAnsi" w:cstheme="majorHAnsi"/>
          <w:sz w:val="24"/>
          <w:szCs w:val="24"/>
          <w:lang w:val="en-US"/>
        </w:rPr>
        <w:t>(v</w:t>
      </w:r>
      <w:r w:rsidRPr="00A654CF">
        <w:rPr>
          <w:rFonts w:asciiTheme="majorHAnsi" w:hAnsiTheme="majorHAnsi" w:cstheme="majorHAnsi"/>
          <w:sz w:val="24"/>
          <w:szCs w:val="24"/>
          <w:lang w:val="en-US"/>
        </w:rPr>
        <w:t>4.5.1</w:t>
      </w:r>
      <w:r w:rsidR="00F76E18">
        <w:rPr>
          <w:rFonts w:asciiTheme="majorHAnsi" w:hAnsiTheme="majorHAnsi" w:cstheme="majorHAnsi"/>
          <w:sz w:val="24"/>
          <w:szCs w:val="24"/>
          <w:lang w:val="en-US"/>
        </w:rPr>
        <w:t>)</w:t>
      </w:r>
      <w:r w:rsidRPr="00A654CF">
        <w:rPr>
          <w:rFonts w:asciiTheme="majorHAnsi" w:hAnsiTheme="majorHAnsi" w:cstheme="majorHAnsi"/>
          <w:sz w:val="24"/>
          <w:szCs w:val="24"/>
          <w:lang w:val="en-US"/>
        </w:rPr>
        <w:t xml:space="preserve"> and the COGs that correlated to BAGs were inspected for the presence of known BA-related genes. However, none of these genes were significantly associated with any BAG ratio of interest. In a final attempt to identify narrow the search space of significantly related COGs, the </w:t>
      </w:r>
      <w:r w:rsidRPr="00F76E18">
        <w:rPr>
          <w:rFonts w:asciiTheme="majorHAnsi" w:hAnsiTheme="majorHAnsi" w:cstheme="majorHAnsi"/>
          <w:i/>
          <w:iCs/>
          <w:sz w:val="24"/>
          <w:szCs w:val="24"/>
          <w:lang w:val="en-US"/>
        </w:rPr>
        <w:t>STRING</w:t>
      </w:r>
      <w:r w:rsidRPr="00A654CF">
        <w:rPr>
          <w:rFonts w:asciiTheme="majorHAnsi" w:hAnsiTheme="majorHAnsi" w:cstheme="majorHAnsi"/>
          <w:sz w:val="24"/>
          <w:szCs w:val="24"/>
          <w:lang w:val="en-US"/>
        </w:rPr>
        <w:t xml:space="preserve"> database was employed, which evaluates the relatedness between two COGs by a score between 0 and 1, 1 being highly correlated, 0 meaning no relation. The COGs that significantly correlated to a given BAG ratio were identified in the </w:t>
      </w:r>
      <w:r w:rsidRPr="00F76E18">
        <w:rPr>
          <w:rFonts w:asciiTheme="majorHAnsi" w:hAnsiTheme="majorHAnsi" w:cstheme="majorHAnsi"/>
          <w:i/>
          <w:iCs/>
          <w:sz w:val="24"/>
          <w:szCs w:val="24"/>
          <w:lang w:val="en-US"/>
        </w:rPr>
        <w:t>STRING</w:t>
      </w:r>
      <w:r w:rsidRPr="00A654CF">
        <w:rPr>
          <w:rFonts w:asciiTheme="majorHAnsi" w:hAnsiTheme="majorHAnsi" w:cstheme="majorHAnsi"/>
          <w:sz w:val="24"/>
          <w:szCs w:val="24"/>
          <w:lang w:val="en-US"/>
        </w:rPr>
        <w:t xml:space="preserve"> database, and relatedness was evaluated as the sum of intermediary weights. Any connection with spanned more than one intermediary COG was considered tenuous and ignored. No BAG ratio was correlated to a set of COGs that showed noticeable degrees of interconnectedness in the STRING database. This analysis was also carried out with a lower significance threshold (FDR corrected</w:t>
      </w:r>
      <w:r w:rsidR="00F76E18">
        <w:rPr>
          <w:rFonts w:asciiTheme="majorHAnsi" w:hAnsiTheme="majorHAnsi" w:cstheme="majorHAnsi"/>
          <w:sz w:val="24"/>
          <w:szCs w:val="24"/>
          <w:lang w:val="en-US"/>
        </w:rPr>
        <w:t xml:space="preserve"> </w:t>
      </w:r>
      <w:r w:rsidR="00F76E18" w:rsidRPr="00A654CF">
        <w:rPr>
          <w:rFonts w:asciiTheme="majorHAnsi" w:hAnsiTheme="majorHAnsi" w:cstheme="majorHAnsi"/>
          <w:sz w:val="24"/>
          <w:szCs w:val="24"/>
          <w:lang w:val="en-US"/>
        </w:rPr>
        <w:t>p&lt;0.01</w:t>
      </w:r>
      <w:r w:rsidRPr="00A654CF">
        <w:rPr>
          <w:rFonts w:asciiTheme="majorHAnsi" w:hAnsiTheme="majorHAnsi" w:cstheme="majorHAnsi"/>
          <w:sz w:val="24"/>
          <w:szCs w:val="24"/>
          <w:lang w:val="en-US"/>
        </w:rPr>
        <w:t>) but with similar results.</w:t>
      </w:r>
    </w:p>
    <w:p w14:paraId="3FD39208" w14:textId="77777777" w:rsidR="0028696C" w:rsidRPr="00A654CF" w:rsidRDefault="0028696C" w:rsidP="000A0FA4">
      <w:pPr>
        <w:spacing w:after="0" w:line="276" w:lineRule="auto"/>
        <w:ind w:firstLine="0"/>
        <w:rPr>
          <w:rFonts w:asciiTheme="majorHAnsi" w:hAnsiTheme="majorHAnsi" w:cstheme="majorHAnsi"/>
          <w:sz w:val="24"/>
          <w:szCs w:val="24"/>
          <w:lang w:val="en-US"/>
        </w:rPr>
      </w:pPr>
    </w:p>
    <w:p w14:paraId="32962356" w14:textId="6B3D0A3F" w:rsidR="0028696C" w:rsidRPr="00A654CF" w:rsidRDefault="00AA31BD" w:rsidP="000A0FA4">
      <w:pPr>
        <w:spacing w:after="0" w:line="276" w:lineRule="auto"/>
        <w:ind w:firstLine="0"/>
        <w:jc w:val="both"/>
        <w:rPr>
          <w:rFonts w:asciiTheme="majorHAnsi" w:hAnsiTheme="majorHAnsi" w:cstheme="majorHAnsi"/>
          <w:sz w:val="24"/>
          <w:szCs w:val="24"/>
          <w:lang w:val="en-US"/>
        </w:rPr>
      </w:pPr>
      <w:r w:rsidRPr="00A654CF">
        <w:rPr>
          <w:rFonts w:asciiTheme="majorHAnsi" w:hAnsiTheme="majorHAnsi" w:cstheme="majorHAnsi"/>
          <w:sz w:val="24"/>
          <w:szCs w:val="24"/>
          <w:lang w:val="en-US"/>
        </w:rPr>
        <w:t xml:space="preserve">Lastly, Dr. Solenne Marion of École Polytechnique Fédérale de Lausanne, Switzerland kindly provided us with gut bacterial strains that when given to germfree mice produced secondary murine bile acids such as </w:t>
      </w:r>
      <w:r w:rsidR="00E37AAF">
        <w:rPr>
          <w:rFonts w:ascii="Symbol" w:hAnsi="Symbol" w:cstheme="majorHAnsi"/>
          <w:sz w:val="24"/>
          <w:szCs w:val="24"/>
          <w:lang w:val="en-US"/>
        </w:rPr>
        <w:t></w:t>
      </w:r>
      <w:r w:rsidR="00E37AAF" w:rsidRPr="00A654CF" w:rsidDel="00E37AAF">
        <w:rPr>
          <w:rFonts w:asciiTheme="majorHAnsi" w:hAnsiTheme="majorHAnsi" w:cstheme="majorHAnsi"/>
          <w:sz w:val="24"/>
          <w:szCs w:val="24"/>
          <w:lang w:val="en-US"/>
        </w:rPr>
        <w:t xml:space="preserve"> </w:t>
      </w:r>
      <w:r w:rsidRPr="00A654CF">
        <w:rPr>
          <w:rFonts w:asciiTheme="majorHAnsi" w:hAnsiTheme="majorHAnsi" w:cstheme="majorHAnsi"/>
          <w:sz w:val="24"/>
          <w:szCs w:val="24"/>
          <w:lang w:val="en-US"/>
        </w:rPr>
        <w:t>MCA. In an attempt to identify novel enzymes involved in muricholic BA biosynthesis, we made predicting studies using GeneMark on these specific bacterial genomes. The genes were blasted against a list of known BA-related genes (supplementary file all_fastas.fa) and the score (1/e-value) was plotted against the gene position. However, we failed to identify any bacterial genes encoding novel enzymes involved in biosynthesis of muricholic acids.</w:t>
      </w:r>
    </w:p>
    <w:p w14:paraId="44D65955" w14:textId="77777777" w:rsidR="0028696C" w:rsidRPr="00A654CF" w:rsidRDefault="00AA31BD" w:rsidP="000A0FA4">
      <w:pPr>
        <w:pStyle w:val="Heading3"/>
        <w:spacing w:after="0" w:line="276" w:lineRule="auto"/>
        <w:ind w:firstLine="0"/>
        <w:jc w:val="both"/>
        <w:rPr>
          <w:rFonts w:asciiTheme="majorHAnsi" w:hAnsiTheme="majorHAnsi" w:cstheme="majorHAnsi"/>
          <w:sz w:val="24"/>
          <w:szCs w:val="24"/>
          <w:lang w:val="en-US"/>
        </w:rPr>
      </w:pPr>
      <w:bookmarkStart w:id="5" w:name="_4ejo2stk1neo" w:colFirst="0" w:colLast="0"/>
      <w:bookmarkEnd w:id="5"/>
      <w:r w:rsidRPr="00A654CF">
        <w:rPr>
          <w:rFonts w:asciiTheme="majorHAnsi" w:hAnsiTheme="majorHAnsi" w:cstheme="majorHAnsi"/>
          <w:sz w:val="24"/>
          <w:szCs w:val="24"/>
          <w:lang w:val="en-US"/>
        </w:rPr>
        <w:lastRenderedPageBreak/>
        <w:t>Logistic ridge regression</w:t>
      </w:r>
    </w:p>
    <w:p w14:paraId="72628765" w14:textId="2746D9FE" w:rsidR="0028696C" w:rsidRPr="00A654CF" w:rsidRDefault="00AA31BD" w:rsidP="000A0FA4">
      <w:pPr>
        <w:spacing w:after="0" w:line="276" w:lineRule="auto"/>
        <w:ind w:firstLine="0"/>
        <w:jc w:val="both"/>
        <w:rPr>
          <w:rFonts w:asciiTheme="majorHAnsi" w:hAnsiTheme="majorHAnsi" w:cstheme="majorHAnsi"/>
          <w:sz w:val="24"/>
          <w:szCs w:val="24"/>
          <w:lang w:val="en-US"/>
        </w:rPr>
      </w:pPr>
      <w:r w:rsidRPr="00A654CF">
        <w:rPr>
          <w:rFonts w:asciiTheme="majorHAnsi" w:hAnsiTheme="majorHAnsi" w:cstheme="majorHAnsi"/>
          <w:sz w:val="24"/>
          <w:szCs w:val="24"/>
          <w:lang w:val="en-US"/>
        </w:rPr>
        <w:t xml:space="preserve">Each of the training and test sets were stratified to have the same proportion of obese individuals included in it, which was used to calculate the area under the </w:t>
      </w:r>
      <w:r w:rsidR="00D15C70" w:rsidRPr="00A654CF">
        <w:rPr>
          <w:rFonts w:asciiTheme="majorHAnsi" w:hAnsiTheme="majorHAnsi" w:cstheme="majorHAnsi"/>
          <w:sz w:val="24"/>
          <w:szCs w:val="24"/>
          <w:lang w:val="en-US"/>
        </w:rPr>
        <w:t>receiver</w:t>
      </w:r>
      <w:r w:rsidRPr="00A654CF">
        <w:rPr>
          <w:rFonts w:asciiTheme="majorHAnsi" w:hAnsiTheme="majorHAnsi" w:cstheme="majorHAnsi"/>
          <w:sz w:val="24"/>
          <w:szCs w:val="24"/>
          <w:lang w:val="en-US"/>
        </w:rPr>
        <w:t xml:space="preserve"> operating characteristic curve (AUC).</w:t>
      </w:r>
      <w:r w:rsidR="00D15C70">
        <w:rPr>
          <w:rFonts w:asciiTheme="majorHAnsi" w:hAnsiTheme="majorHAnsi" w:cstheme="majorHAnsi"/>
          <w:sz w:val="24"/>
          <w:szCs w:val="24"/>
          <w:lang w:val="en-US"/>
        </w:rPr>
        <w:t xml:space="preserve"> </w:t>
      </w:r>
      <w:r w:rsidRPr="00A654CF">
        <w:rPr>
          <w:rFonts w:asciiTheme="majorHAnsi" w:hAnsiTheme="majorHAnsi" w:cstheme="majorHAnsi"/>
          <w:sz w:val="24"/>
          <w:szCs w:val="24"/>
          <w:lang w:val="en-US"/>
        </w:rPr>
        <w:t>We computed the model’s coefficients on the training set and the model performance on the test set for each partition. We then used the 10,000 model coefficients to compute a mean coefficient and the standard deviation for each BA of the coefficient. The 10,000 models were used to compute a mean AUC estimate with its variability. Regularized regression techniques were employed, because they perform well in cases when the dependent variable is noisy and the number of samples is modest as compared with the number of examined variables</w:t>
      </w:r>
      <w:r w:rsidR="008920DB">
        <w:rPr>
          <w:rFonts w:asciiTheme="majorHAnsi" w:hAnsiTheme="majorHAnsi" w:cstheme="majorHAnsi"/>
          <w:sz w:val="24"/>
          <w:szCs w:val="24"/>
          <w:lang w:val="en-US"/>
        </w:rPr>
        <w:fldChar w:fldCharType="begin"/>
      </w:r>
      <w:r w:rsidR="008920DB">
        <w:rPr>
          <w:rFonts w:asciiTheme="majorHAnsi" w:hAnsiTheme="majorHAnsi" w:cstheme="majorHAnsi"/>
          <w:sz w:val="24"/>
          <w:szCs w:val="24"/>
          <w:lang w:val="en-US"/>
        </w:rPr>
        <w:instrText xml:space="preserve"> ADDIN EN.CITE &lt;EndNote&gt;&lt;Cite&gt;&lt;Author&gt;Friedman&lt;/Author&gt;&lt;Year&gt;2001&lt;/Year&gt;&lt;RecNum&gt;15&lt;/RecNum&gt;&lt;DisplayText&gt;&lt;style face="superscript"&gt;21&lt;/style&gt;&lt;/DisplayText&gt;&lt;record&gt;&lt;rec-number&gt;15&lt;/rec-number&gt;&lt;foreign-keys&gt;&lt;key app="EN" db-id="wdrzpw5vgw0z07ewf27pdzf7fwpw25pf5d2w" timestamp="1571381978"&gt;15&lt;/key&gt;&lt;/foreign-keys&gt;&lt;ref-type name="Book"&gt;6&lt;/ref-type&gt;&lt;contributors&gt;&lt;authors&gt;&lt;author&gt;Friedman, Jerome&lt;/author&gt;&lt;author&gt;Hastie, Trevor&lt;/author&gt;&lt;author&gt;Tibshirani, Robert&lt;/author&gt;&lt;/authors&gt;&lt;/contributors&gt;&lt;titles&gt;&lt;title&gt;The elements of statistical learning&lt;/title&gt;&lt;/titles&gt;&lt;volume&gt;1&lt;/volume&gt;&lt;number&gt;10&lt;/number&gt;&lt;dates&gt;&lt;year&gt;2001&lt;/year&gt;&lt;/dates&gt;&lt;publisher&gt;Springer series in statistics New York&lt;/publisher&gt;&lt;urls&gt;&lt;/urls&gt;&lt;/record&gt;&lt;/Cite&gt;&lt;/EndNote&gt;</w:instrText>
      </w:r>
      <w:r w:rsidR="008920DB">
        <w:rPr>
          <w:rFonts w:asciiTheme="majorHAnsi" w:hAnsiTheme="majorHAnsi" w:cstheme="majorHAnsi"/>
          <w:sz w:val="24"/>
          <w:szCs w:val="24"/>
          <w:lang w:val="en-US"/>
        </w:rPr>
        <w:fldChar w:fldCharType="separate"/>
      </w:r>
      <w:r w:rsidR="008920DB" w:rsidRPr="008920DB">
        <w:rPr>
          <w:rFonts w:asciiTheme="majorHAnsi" w:hAnsiTheme="majorHAnsi" w:cstheme="majorHAnsi"/>
          <w:noProof/>
          <w:sz w:val="24"/>
          <w:szCs w:val="24"/>
          <w:vertAlign w:val="superscript"/>
          <w:lang w:val="en-US"/>
        </w:rPr>
        <w:t>21</w:t>
      </w:r>
      <w:r w:rsidR="008920DB">
        <w:rPr>
          <w:rFonts w:asciiTheme="majorHAnsi" w:hAnsiTheme="majorHAnsi" w:cstheme="majorHAnsi"/>
          <w:sz w:val="24"/>
          <w:szCs w:val="24"/>
          <w:lang w:val="en-US"/>
        </w:rPr>
        <w:fldChar w:fldCharType="end"/>
      </w:r>
      <w:r w:rsidRPr="00A654CF">
        <w:rPr>
          <w:rFonts w:asciiTheme="majorHAnsi" w:hAnsiTheme="majorHAnsi" w:cstheme="majorHAnsi"/>
          <w:sz w:val="24"/>
          <w:szCs w:val="24"/>
          <w:lang w:val="en-US"/>
        </w:rPr>
        <w:t>.</w:t>
      </w:r>
    </w:p>
    <w:p w14:paraId="48F10F9F" w14:textId="77777777" w:rsidR="0028696C" w:rsidRPr="00A654CF" w:rsidRDefault="0028696C" w:rsidP="000A0FA4">
      <w:pPr>
        <w:pStyle w:val="Heading3"/>
        <w:keepNext w:val="0"/>
        <w:keepLines w:val="0"/>
        <w:spacing w:before="0" w:after="0" w:line="276" w:lineRule="auto"/>
        <w:ind w:firstLine="0"/>
        <w:jc w:val="both"/>
        <w:rPr>
          <w:rFonts w:asciiTheme="majorHAnsi" w:hAnsiTheme="majorHAnsi" w:cstheme="majorHAnsi"/>
          <w:i/>
          <w:sz w:val="24"/>
          <w:szCs w:val="24"/>
          <w:lang w:val="en-US"/>
        </w:rPr>
      </w:pPr>
      <w:bookmarkStart w:id="6" w:name="_dpomfxhddwhu" w:colFirst="0" w:colLast="0"/>
      <w:bookmarkEnd w:id="6"/>
    </w:p>
    <w:p w14:paraId="62F1302F" w14:textId="77777777" w:rsidR="0028696C" w:rsidRPr="00997B40" w:rsidRDefault="00AA31BD" w:rsidP="000A0FA4">
      <w:pPr>
        <w:pStyle w:val="Heading3"/>
        <w:keepNext w:val="0"/>
        <w:keepLines w:val="0"/>
        <w:spacing w:before="0" w:after="0" w:line="276" w:lineRule="auto"/>
        <w:ind w:firstLine="0"/>
        <w:jc w:val="both"/>
        <w:rPr>
          <w:rFonts w:asciiTheme="majorHAnsi" w:hAnsiTheme="majorHAnsi" w:cstheme="majorHAnsi"/>
          <w:iCs/>
          <w:sz w:val="24"/>
          <w:szCs w:val="24"/>
          <w:lang w:val="en-US"/>
        </w:rPr>
      </w:pPr>
      <w:bookmarkStart w:id="7" w:name="_od0vkzlwqlv7" w:colFirst="0" w:colLast="0"/>
      <w:bookmarkEnd w:id="7"/>
      <w:r w:rsidRPr="00997B40">
        <w:rPr>
          <w:rFonts w:asciiTheme="majorHAnsi" w:hAnsiTheme="majorHAnsi" w:cstheme="majorHAnsi"/>
          <w:iCs/>
          <w:sz w:val="24"/>
          <w:szCs w:val="24"/>
          <w:lang w:val="en-US"/>
        </w:rPr>
        <w:t>Construction of heatmaps and correlation testing</w:t>
      </w:r>
    </w:p>
    <w:p w14:paraId="4A1EBE3B" w14:textId="126C0EA4" w:rsidR="008E5E31" w:rsidRDefault="00AA31BD" w:rsidP="000A0FA4">
      <w:pPr>
        <w:spacing w:after="0" w:line="276" w:lineRule="auto"/>
        <w:ind w:firstLine="0"/>
        <w:jc w:val="both"/>
        <w:rPr>
          <w:rFonts w:asciiTheme="majorHAnsi" w:hAnsiTheme="majorHAnsi" w:cstheme="majorHAnsi"/>
          <w:sz w:val="24"/>
          <w:szCs w:val="24"/>
          <w:lang w:val="en-US"/>
        </w:rPr>
      </w:pPr>
      <w:bookmarkStart w:id="8" w:name="_gjdgxs" w:colFirst="0" w:colLast="0"/>
      <w:bookmarkEnd w:id="8"/>
      <w:r w:rsidRPr="00A654CF">
        <w:rPr>
          <w:rFonts w:asciiTheme="majorHAnsi" w:hAnsiTheme="majorHAnsi" w:cstheme="majorHAnsi"/>
          <w:sz w:val="24"/>
          <w:szCs w:val="24"/>
          <w:lang w:val="en-US"/>
        </w:rPr>
        <w:t xml:space="preserve">Spearman correlations were computed with R and the associated p-value with </w:t>
      </w:r>
      <w:r w:rsidR="008E5E31">
        <w:rPr>
          <w:rFonts w:asciiTheme="majorHAnsi" w:hAnsiTheme="majorHAnsi" w:cstheme="majorHAnsi"/>
          <w:sz w:val="24"/>
          <w:szCs w:val="24"/>
          <w:lang w:val="en-US"/>
        </w:rPr>
        <w:t>‘</w:t>
      </w:r>
      <w:r w:rsidRPr="008E5E31">
        <w:rPr>
          <w:rFonts w:asciiTheme="majorHAnsi" w:hAnsiTheme="majorHAnsi" w:cstheme="majorHAnsi"/>
          <w:i/>
          <w:iCs/>
          <w:sz w:val="24"/>
          <w:szCs w:val="24"/>
          <w:lang w:val="en-US"/>
        </w:rPr>
        <w:t>cor.test</w:t>
      </w:r>
      <w:r w:rsidR="008E5E31">
        <w:rPr>
          <w:rFonts w:asciiTheme="majorHAnsi" w:hAnsiTheme="majorHAnsi" w:cstheme="majorHAnsi"/>
          <w:i/>
          <w:iCs/>
          <w:sz w:val="24"/>
          <w:szCs w:val="24"/>
          <w:lang w:val="en-US"/>
        </w:rPr>
        <w:t>’</w:t>
      </w:r>
      <w:r w:rsidRPr="00A654CF">
        <w:rPr>
          <w:rFonts w:asciiTheme="majorHAnsi" w:hAnsiTheme="majorHAnsi" w:cstheme="majorHAnsi"/>
          <w:sz w:val="24"/>
          <w:szCs w:val="24"/>
          <w:lang w:val="en-US"/>
        </w:rPr>
        <w:t xml:space="preserve">. Multiple testing correction was applied with the </w:t>
      </w:r>
      <w:r w:rsidR="008E5E31">
        <w:rPr>
          <w:rFonts w:asciiTheme="majorHAnsi" w:hAnsiTheme="majorHAnsi" w:cstheme="majorHAnsi"/>
          <w:sz w:val="24"/>
          <w:szCs w:val="24"/>
          <w:lang w:val="en-US"/>
        </w:rPr>
        <w:t>‘</w:t>
      </w:r>
      <w:r w:rsidRPr="008E5E31">
        <w:rPr>
          <w:rFonts w:asciiTheme="majorHAnsi" w:hAnsiTheme="majorHAnsi" w:cstheme="majorHAnsi"/>
          <w:i/>
          <w:iCs/>
          <w:sz w:val="24"/>
          <w:szCs w:val="24"/>
          <w:lang w:val="en-US"/>
        </w:rPr>
        <w:t>fdrtool</w:t>
      </w:r>
      <w:r w:rsidR="008E5E31">
        <w:rPr>
          <w:rFonts w:asciiTheme="majorHAnsi" w:hAnsiTheme="majorHAnsi" w:cstheme="majorHAnsi"/>
          <w:i/>
          <w:iCs/>
          <w:sz w:val="24"/>
          <w:szCs w:val="24"/>
          <w:lang w:val="en-US"/>
        </w:rPr>
        <w:t>’</w:t>
      </w:r>
      <w:r w:rsidRPr="00A654CF">
        <w:rPr>
          <w:rFonts w:asciiTheme="majorHAnsi" w:hAnsiTheme="majorHAnsi" w:cstheme="majorHAnsi"/>
          <w:sz w:val="24"/>
          <w:szCs w:val="24"/>
          <w:lang w:val="en-US"/>
        </w:rPr>
        <w:t xml:space="preserve"> package</w:t>
      </w:r>
    </w:p>
    <w:p w14:paraId="59D26AB7" w14:textId="575A9BFB" w:rsidR="0028696C" w:rsidRPr="00A654CF" w:rsidRDefault="00AA31BD" w:rsidP="000A0FA4">
      <w:pPr>
        <w:spacing w:after="0" w:line="276" w:lineRule="auto"/>
        <w:ind w:firstLine="0"/>
        <w:jc w:val="both"/>
        <w:rPr>
          <w:rFonts w:asciiTheme="majorHAnsi" w:hAnsiTheme="majorHAnsi" w:cstheme="majorHAnsi"/>
          <w:sz w:val="24"/>
          <w:szCs w:val="24"/>
          <w:lang w:val="en-US"/>
        </w:rPr>
      </w:pPr>
      <w:r w:rsidRPr="00A654CF">
        <w:rPr>
          <w:rFonts w:asciiTheme="majorHAnsi" w:hAnsiTheme="majorHAnsi" w:cstheme="majorHAnsi"/>
          <w:sz w:val="24"/>
          <w:szCs w:val="24"/>
          <w:lang w:val="en-US"/>
        </w:rPr>
        <w:t xml:space="preserve"> (</w:t>
      </w:r>
      <w:hyperlink r:id="rId10">
        <w:r w:rsidRPr="00A654CF">
          <w:rPr>
            <w:rFonts w:asciiTheme="majorHAnsi" w:hAnsiTheme="majorHAnsi" w:cstheme="majorHAnsi"/>
            <w:color w:val="0563C1"/>
            <w:sz w:val="24"/>
            <w:szCs w:val="24"/>
            <w:u w:val="single"/>
            <w:lang w:val="en-US"/>
          </w:rPr>
          <w:t>http://strimmerlab.org/software/fdrtool/</w:t>
        </w:r>
      </w:hyperlink>
      <w:r w:rsidRPr="00A654CF">
        <w:rPr>
          <w:rFonts w:asciiTheme="majorHAnsi" w:hAnsiTheme="majorHAnsi" w:cstheme="majorHAnsi"/>
          <w:sz w:val="24"/>
          <w:szCs w:val="24"/>
          <w:lang w:val="en-US"/>
        </w:rPr>
        <w:t>). A community was associated with for instance an adiposity trait if the community correlated (after multiple testing correction) with at least one negative association with one of the following traits: Homeostatic Model Assessment of Insulin Resistance (HOMA-IR), BMI, waist circumference, waist to hip ratio or body fat percentage.</w:t>
      </w:r>
    </w:p>
    <w:p w14:paraId="7854E10B" w14:textId="77777777" w:rsidR="0028696C" w:rsidRPr="00A654CF" w:rsidRDefault="00AA31BD" w:rsidP="000A0FA4">
      <w:pPr>
        <w:pStyle w:val="Heading3"/>
        <w:spacing w:after="0" w:line="276" w:lineRule="auto"/>
        <w:ind w:firstLine="0"/>
        <w:rPr>
          <w:rFonts w:asciiTheme="majorHAnsi" w:hAnsiTheme="majorHAnsi" w:cstheme="majorHAnsi"/>
          <w:sz w:val="24"/>
          <w:szCs w:val="24"/>
          <w:lang w:val="en-US"/>
        </w:rPr>
      </w:pPr>
      <w:bookmarkStart w:id="9" w:name="_3wwg0gm48qa5" w:colFirst="0" w:colLast="0"/>
      <w:bookmarkEnd w:id="9"/>
      <w:r w:rsidRPr="00A654CF">
        <w:rPr>
          <w:rFonts w:asciiTheme="majorHAnsi" w:hAnsiTheme="majorHAnsi" w:cstheme="majorHAnsi"/>
          <w:sz w:val="24"/>
          <w:szCs w:val="24"/>
          <w:lang w:val="en-US"/>
        </w:rPr>
        <w:t>Graph based community construction</w:t>
      </w:r>
    </w:p>
    <w:p w14:paraId="6B4A58C8" w14:textId="77777777" w:rsidR="0028696C" w:rsidRPr="00A654CF" w:rsidRDefault="00AA31BD" w:rsidP="000A0FA4">
      <w:pPr>
        <w:spacing w:after="0" w:line="276" w:lineRule="auto"/>
        <w:ind w:firstLine="0"/>
        <w:jc w:val="both"/>
        <w:rPr>
          <w:rFonts w:asciiTheme="majorHAnsi" w:hAnsiTheme="majorHAnsi" w:cstheme="majorHAnsi"/>
          <w:sz w:val="24"/>
          <w:szCs w:val="24"/>
          <w:lang w:val="en-US"/>
        </w:rPr>
      </w:pPr>
      <w:r w:rsidRPr="00A654CF">
        <w:rPr>
          <w:rFonts w:asciiTheme="majorHAnsi" w:hAnsiTheme="majorHAnsi" w:cstheme="majorHAnsi"/>
          <w:sz w:val="24"/>
          <w:szCs w:val="24"/>
          <w:lang w:val="en-US"/>
        </w:rPr>
        <w:t>Following MGS construction, following steps were taken:</w:t>
      </w:r>
    </w:p>
    <w:p w14:paraId="1E3CDF2E" w14:textId="77777777" w:rsidR="0028696C" w:rsidRPr="00A654CF" w:rsidRDefault="00AA31BD" w:rsidP="000A0FA4">
      <w:pPr>
        <w:numPr>
          <w:ilvl w:val="0"/>
          <w:numId w:val="1"/>
        </w:numPr>
        <w:spacing w:after="0" w:line="276" w:lineRule="auto"/>
        <w:jc w:val="both"/>
        <w:rPr>
          <w:rFonts w:asciiTheme="majorHAnsi" w:hAnsiTheme="majorHAnsi" w:cstheme="majorHAnsi"/>
          <w:sz w:val="24"/>
          <w:szCs w:val="24"/>
          <w:lang w:val="en-US"/>
        </w:rPr>
      </w:pPr>
      <w:r w:rsidRPr="00A654CF">
        <w:rPr>
          <w:rFonts w:asciiTheme="majorHAnsi" w:hAnsiTheme="majorHAnsi" w:cstheme="majorHAnsi"/>
          <w:sz w:val="24"/>
          <w:szCs w:val="24"/>
          <w:lang w:val="en-US"/>
        </w:rPr>
        <w:t xml:space="preserve"> Selection of MGS that were present in at least 5% of samples and had a mean abundance value of fragments per kilobase per million mapped reads (FPKM) of 10 to 7 across samples.</w:t>
      </w:r>
    </w:p>
    <w:p w14:paraId="204A9831" w14:textId="77777777" w:rsidR="0028696C" w:rsidRPr="00A654CF" w:rsidRDefault="00AA31BD" w:rsidP="000A0FA4">
      <w:pPr>
        <w:numPr>
          <w:ilvl w:val="0"/>
          <w:numId w:val="1"/>
        </w:numPr>
        <w:spacing w:after="0" w:line="276" w:lineRule="auto"/>
        <w:jc w:val="both"/>
        <w:rPr>
          <w:rFonts w:asciiTheme="majorHAnsi" w:hAnsiTheme="majorHAnsi" w:cstheme="majorHAnsi"/>
          <w:sz w:val="24"/>
          <w:szCs w:val="24"/>
          <w:lang w:val="en-US"/>
        </w:rPr>
      </w:pPr>
      <w:r w:rsidRPr="00A654CF">
        <w:rPr>
          <w:rFonts w:asciiTheme="majorHAnsi" w:hAnsiTheme="majorHAnsi" w:cstheme="majorHAnsi"/>
          <w:sz w:val="24"/>
          <w:szCs w:val="24"/>
          <w:lang w:val="en-US"/>
        </w:rPr>
        <w:t>For the selected MGSs, the co-abundance graph was inferred with the SPIEC EASI pipeline.</w:t>
      </w:r>
    </w:p>
    <w:p w14:paraId="68BD5748" w14:textId="77777777" w:rsidR="0028696C" w:rsidRPr="00A654CF" w:rsidRDefault="00AA31BD" w:rsidP="000A0FA4">
      <w:pPr>
        <w:numPr>
          <w:ilvl w:val="0"/>
          <w:numId w:val="1"/>
        </w:numPr>
        <w:spacing w:after="0" w:line="276" w:lineRule="auto"/>
        <w:jc w:val="both"/>
        <w:rPr>
          <w:rFonts w:asciiTheme="majorHAnsi" w:hAnsiTheme="majorHAnsi" w:cstheme="majorHAnsi"/>
          <w:sz w:val="24"/>
          <w:szCs w:val="24"/>
          <w:lang w:val="en-US"/>
        </w:rPr>
      </w:pPr>
      <w:r w:rsidRPr="00A654CF">
        <w:rPr>
          <w:rFonts w:asciiTheme="majorHAnsi" w:hAnsiTheme="majorHAnsi" w:cstheme="majorHAnsi"/>
          <w:sz w:val="24"/>
          <w:szCs w:val="24"/>
          <w:lang w:val="en-US"/>
        </w:rPr>
        <w:t>We constructed the community structure with the walktrap algorithm from the igraph R package (</w:t>
      </w:r>
      <w:hyperlink r:id="rId11">
        <w:r w:rsidRPr="00A654CF">
          <w:rPr>
            <w:rFonts w:asciiTheme="majorHAnsi" w:hAnsiTheme="majorHAnsi" w:cstheme="majorHAnsi"/>
            <w:color w:val="0000FF"/>
            <w:sz w:val="24"/>
            <w:szCs w:val="24"/>
            <w:u w:val="single"/>
            <w:lang w:val="en-US"/>
          </w:rPr>
          <w:t>http://igraph.org/r/</w:t>
        </w:r>
      </w:hyperlink>
      <w:r w:rsidRPr="00A654CF">
        <w:rPr>
          <w:rFonts w:asciiTheme="majorHAnsi" w:hAnsiTheme="majorHAnsi" w:cstheme="majorHAnsi"/>
          <w:sz w:val="24"/>
          <w:szCs w:val="24"/>
          <w:lang w:val="en-US"/>
        </w:rPr>
        <w:t xml:space="preserve">). </w:t>
      </w:r>
    </w:p>
    <w:p w14:paraId="42CA49EF" w14:textId="77777777" w:rsidR="0028696C" w:rsidRPr="00A654CF" w:rsidRDefault="00AA31BD" w:rsidP="000A0FA4">
      <w:pPr>
        <w:numPr>
          <w:ilvl w:val="0"/>
          <w:numId w:val="1"/>
        </w:numPr>
        <w:spacing w:after="0" w:line="276" w:lineRule="auto"/>
        <w:jc w:val="both"/>
        <w:rPr>
          <w:rFonts w:asciiTheme="majorHAnsi" w:hAnsiTheme="majorHAnsi" w:cstheme="majorHAnsi"/>
          <w:sz w:val="24"/>
          <w:szCs w:val="24"/>
          <w:lang w:val="en-US"/>
        </w:rPr>
      </w:pPr>
      <w:r w:rsidRPr="00A654CF">
        <w:rPr>
          <w:rFonts w:asciiTheme="majorHAnsi" w:hAnsiTheme="majorHAnsi" w:cstheme="majorHAnsi"/>
          <w:sz w:val="24"/>
          <w:szCs w:val="24"/>
          <w:lang w:val="en-US"/>
        </w:rPr>
        <w:t>The graph structure was transferred to a Gephi https://gephi.org/ compatible format.</w:t>
      </w:r>
    </w:p>
    <w:p w14:paraId="65833B6D" w14:textId="77777777" w:rsidR="0028696C" w:rsidRPr="00A654CF" w:rsidRDefault="00AA31BD" w:rsidP="000A0FA4">
      <w:pPr>
        <w:numPr>
          <w:ilvl w:val="0"/>
          <w:numId w:val="1"/>
        </w:numPr>
        <w:spacing w:after="0" w:line="276" w:lineRule="auto"/>
        <w:jc w:val="both"/>
        <w:rPr>
          <w:rFonts w:asciiTheme="majorHAnsi" w:hAnsiTheme="majorHAnsi" w:cstheme="majorHAnsi"/>
          <w:sz w:val="24"/>
          <w:szCs w:val="24"/>
          <w:lang w:val="en-US"/>
        </w:rPr>
      </w:pPr>
      <w:r w:rsidRPr="00A654CF">
        <w:rPr>
          <w:rFonts w:asciiTheme="majorHAnsi" w:hAnsiTheme="majorHAnsi" w:cstheme="majorHAnsi"/>
          <w:sz w:val="24"/>
          <w:szCs w:val="24"/>
          <w:lang w:val="en-US"/>
        </w:rPr>
        <w:t>The community abundances were computed by summing the abundance of MGSs in the community.</w:t>
      </w:r>
    </w:p>
    <w:p w14:paraId="768BAA1F" w14:textId="77777777" w:rsidR="0028696C" w:rsidRPr="00A654CF" w:rsidRDefault="00AA31BD" w:rsidP="000A0FA4">
      <w:pPr>
        <w:spacing w:after="0" w:line="276" w:lineRule="auto"/>
        <w:ind w:firstLine="0"/>
        <w:rPr>
          <w:rFonts w:asciiTheme="majorHAnsi" w:hAnsiTheme="majorHAnsi" w:cstheme="majorHAnsi"/>
          <w:sz w:val="24"/>
          <w:szCs w:val="24"/>
          <w:lang w:val="en-US"/>
        </w:rPr>
      </w:pPr>
      <w:r w:rsidRPr="00A654CF">
        <w:rPr>
          <w:rFonts w:asciiTheme="majorHAnsi" w:hAnsiTheme="majorHAnsi" w:cstheme="majorHAnsi"/>
          <w:sz w:val="24"/>
          <w:szCs w:val="24"/>
          <w:lang w:val="en-US"/>
        </w:rPr>
        <w:t>The computational processes were launched applying the Gleesso pipeline function with the following set of parameters: occurence_treshold of 0.05; abundance_treshold of 10</w:t>
      </w:r>
      <w:r w:rsidRPr="00A654CF">
        <w:rPr>
          <w:rFonts w:asciiTheme="majorHAnsi" w:hAnsiTheme="majorHAnsi" w:cstheme="majorHAnsi"/>
          <w:sz w:val="24"/>
          <w:szCs w:val="24"/>
          <w:vertAlign w:val="superscript"/>
          <w:lang w:val="en-US"/>
        </w:rPr>
        <w:t>−7</w:t>
      </w:r>
      <w:r w:rsidRPr="00A654CF">
        <w:rPr>
          <w:rFonts w:asciiTheme="majorHAnsi" w:hAnsiTheme="majorHAnsi" w:cstheme="majorHAnsi"/>
          <w:sz w:val="24"/>
          <w:szCs w:val="24"/>
          <w:lang w:val="en-US"/>
        </w:rPr>
        <w:t>; and lambda.min.ratio of 0.01.</w:t>
      </w:r>
    </w:p>
    <w:p w14:paraId="670A6C2F" w14:textId="77777777" w:rsidR="0028696C" w:rsidRPr="00A654CF" w:rsidRDefault="00AA31BD" w:rsidP="000A0FA4">
      <w:pPr>
        <w:pStyle w:val="Heading3"/>
        <w:spacing w:after="0" w:line="276" w:lineRule="auto"/>
        <w:ind w:firstLine="0"/>
        <w:jc w:val="both"/>
        <w:rPr>
          <w:rFonts w:asciiTheme="majorHAnsi" w:hAnsiTheme="majorHAnsi" w:cstheme="majorHAnsi"/>
          <w:sz w:val="24"/>
          <w:szCs w:val="24"/>
          <w:lang w:val="en-US"/>
        </w:rPr>
      </w:pPr>
      <w:bookmarkStart w:id="10" w:name="_7n6ghfe64yjm" w:colFirst="0" w:colLast="0"/>
      <w:bookmarkEnd w:id="10"/>
      <w:r w:rsidRPr="00A654CF">
        <w:rPr>
          <w:rFonts w:asciiTheme="majorHAnsi" w:hAnsiTheme="majorHAnsi" w:cstheme="majorHAnsi"/>
          <w:sz w:val="24"/>
          <w:szCs w:val="24"/>
          <w:lang w:val="en-US"/>
        </w:rPr>
        <w:t>Laboratory notes</w:t>
      </w:r>
    </w:p>
    <w:p w14:paraId="15E529E8" w14:textId="77777777" w:rsidR="0028696C" w:rsidRPr="00A654CF" w:rsidRDefault="00AA31BD" w:rsidP="000A0FA4">
      <w:pPr>
        <w:spacing w:after="0" w:line="276" w:lineRule="auto"/>
        <w:ind w:firstLine="0"/>
        <w:jc w:val="both"/>
        <w:rPr>
          <w:rFonts w:asciiTheme="majorHAnsi" w:hAnsiTheme="majorHAnsi" w:cstheme="majorHAnsi"/>
          <w:b/>
          <w:sz w:val="24"/>
          <w:szCs w:val="24"/>
          <w:lang w:val="en-US"/>
        </w:rPr>
      </w:pPr>
      <w:r w:rsidRPr="00A654CF">
        <w:rPr>
          <w:rFonts w:asciiTheme="majorHAnsi" w:hAnsiTheme="majorHAnsi" w:cstheme="majorHAnsi"/>
          <w:b/>
          <w:sz w:val="24"/>
          <w:szCs w:val="24"/>
          <w:lang w:val="en-US"/>
        </w:rPr>
        <w:t xml:space="preserve">Serum sample preparation </w:t>
      </w:r>
    </w:p>
    <w:p w14:paraId="1385732A" w14:textId="41396329" w:rsidR="0028696C" w:rsidRDefault="00AA31BD" w:rsidP="000A0FA4">
      <w:pPr>
        <w:spacing w:after="0" w:line="276" w:lineRule="auto"/>
        <w:ind w:firstLine="0"/>
        <w:jc w:val="both"/>
        <w:rPr>
          <w:rFonts w:asciiTheme="majorHAnsi" w:hAnsiTheme="majorHAnsi" w:cstheme="majorHAnsi"/>
          <w:sz w:val="24"/>
          <w:szCs w:val="24"/>
          <w:lang w:val="en-US"/>
        </w:rPr>
      </w:pPr>
      <w:r w:rsidRPr="00A654CF">
        <w:rPr>
          <w:rFonts w:asciiTheme="majorHAnsi" w:hAnsiTheme="majorHAnsi" w:cstheme="majorHAnsi"/>
          <w:sz w:val="24"/>
          <w:szCs w:val="24"/>
          <w:lang w:val="en-US"/>
        </w:rPr>
        <w:t xml:space="preserve">Internal standards (4 µl of internal standard mixture: 500 ppb for LCA-d4 and 50 ppb for others) were added to 20 µl of serum, and 24 µl of acetonitrile was added to precipitate proteins. The samples were first vortexed, then put to the ultrasound for three minutes, and finally centrifuged </w:t>
      </w:r>
      <w:r w:rsidRPr="00A654CF">
        <w:rPr>
          <w:rFonts w:asciiTheme="majorHAnsi" w:hAnsiTheme="majorHAnsi" w:cstheme="majorHAnsi"/>
          <w:sz w:val="24"/>
          <w:szCs w:val="24"/>
          <w:lang w:val="en-US"/>
        </w:rPr>
        <w:lastRenderedPageBreak/>
        <w:t xml:space="preserve">(5 min, at 12100 G). The sample was evaporated to dryness, and reconstituted to 4 µl of methanol, and diluted with 6 µl of water. Solution was analyzed as such, and as dilution of 1 to 20 with the same solvent. </w:t>
      </w:r>
    </w:p>
    <w:p w14:paraId="519DEFE3" w14:textId="77777777" w:rsidR="007B108F" w:rsidRPr="00A654CF" w:rsidRDefault="007B108F" w:rsidP="000A0FA4">
      <w:pPr>
        <w:spacing w:after="0" w:line="276" w:lineRule="auto"/>
        <w:ind w:firstLine="0"/>
        <w:jc w:val="both"/>
        <w:rPr>
          <w:rFonts w:asciiTheme="majorHAnsi" w:hAnsiTheme="majorHAnsi" w:cstheme="majorHAnsi"/>
          <w:sz w:val="24"/>
          <w:szCs w:val="24"/>
          <w:lang w:val="en-US"/>
        </w:rPr>
      </w:pPr>
    </w:p>
    <w:p w14:paraId="019FC97C" w14:textId="77777777" w:rsidR="0028696C" w:rsidRPr="00997B40" w:rsidRDefault="00AA31BD" w:rsidP="000A0FA4">
      <w:pPr>
        <w:pStyle w:val="Heading3"/>
        <w:keepNext w:val="0"/>
        <w:keepLines w:val="0"/>
        <w:spacing w:before="0" w:after="0" w:line="276" w:lineRule="auto"/>
        <w:ind w:firstLine="0"/>
        <w:jc w:val="both"/>
        <w:rPr>
          <w:rFonts w:asciiTheme="majorHAnsi" w:hAnsiTheme="majorHAnsi" w:cstheme="majorHAnsi"/>
          <w:iCs/>
          <w:sz w:val="24"/>
          <w:szCs w:val="24"/>
          <w:lang w:val="en-US"/>
        </w:rPr>
      </w:pPr>
      <w:r w:rsidRPr="00997B40">
        <w:rPr>
          <w:rFonts w:asciiTheme="majorHAnsi" w:hAnsiTheme="majorHAnsi" w:cstheme="majorHAnsi"/>
          <w:iCs/>
          <w:sz w:val="24"/>
          <w:szCs w:val="24"/>
          <w:lang w:val="en-US"/>
        </w:rPr>
        <w:t>Ultra-performance liquid chromatography-tandem mass-spectrometry (UPLC-QqQMS) of bile acids in serum samples</w:t>
      </w:r>
    </w:p>
    <w:p w14:paraId="6A014880" w14:textId="3308C90F" w:rsidR="0028696C" w:rsidRDefault="00AA31BD" w:rsidP="000A0FA4">
      <w:pPr>
        <w:spacing w:after="0" w:line="276" w:lineRule="auto"/>
        <w:ind w:firstLine="0"/>
        <w:jc w:val="both"/>
        <w:rPr>
          <w:rFonts w:asciiTheme="majorHAnsi" w:hAnsiTheme="majorHAnsi" w:cstheme="majorHAnsi"/>
          <w:sz w:val="24"/>
          <w:szCs w:val="24"/>
          <w:lang w:val="en-US"/>
        </w:rPr>
      </w:pPr>
      <w:r w:rsidRPr="00A654CF">
        <w:rPr>
          <w:rFonts w:asciiTheme="majorHAnsi" w:hAnsiTheme="majorHAnsi" w:cstheme="majorHAnsi"/>
          <w:sz w:val="24"/>
          <w:szCs w:val="24"/>
          <w:lang w:val="en-US"/>
        </w:rPr>
        <w:t xml:space="preserve">Analysis was performed on an Acquity UHPLC system, Waters (Milford, MA, USA) and Waters Xevo TQ-S MS (Manchester, UK). Chromatography was performed using an Acquity HSS T3 (2.1 x 100 mm, 1.7 μm) column, Waters (Milford, USA), kept at 35 </w:t>
      </w:r>
      <w:r w:rsidRPr="00A654CF">
        <w:rPr>
          <w:rFonts w:asciiTheme="majorHAnsi" w:hAnsiTheme="majorHAnsi" w:cstheme="majorHAnsi"/>
          <w:sz w:val="24"/>
          <w:szCs w:val="24"/>
          <w:vertAlign w:val="superscript"/>
          <w:lang w:val="en-US"/>
        </w:rPr>
        <w:t>o</w:t>
      </w:r>
      <w:r w:rsidRPr="00A654CF">
        <w:rPr>
          <w:rFonts w:asciiTheme="majorHAnsi" w:hAnsiTheme="majorHAnsi" w:cstheme="majorHAnsi"/>
          <w:sz w:val="24"/>
          <w:szCs w:val="24"/>
          <w:lang w:val="en-US"/>
        </w:rPr>
        <w:t xml:space="preserve">C. Injection volume was 5 µL. Separation was performed using gradient elution with 0.1 % formic acid in water (v/v) (A) and 0.1% formic acid in acetonitrile: methanol (3:1, v/v) (B) at a flow rate of 0.5 mL/min. Gradient program was 0 min 15 % B, 1 min 30 % B, 16 min 70 % B, 18-20 min 100 % B. Mass spectrometry was performed in negative polarity using the capillary voltage of 2.0 kV. Desolvation temperature was 650 </w:t>
      </w:r>
      <w:r w:rsidRPr="00A654CF">
        <w:rPr>
          <w:rFonts w:asciiTheme="majorHAnsi" w:hAnsiTheme="majorHAnsi" w:cstheme="majorHAnsi"/>
          <w:sz w:val="24"/>
          <w:szCs w:val="24"/>
          <w:vertAlign w:val="superscript"/>
          <w:lang w:val="en-US"/>
        </w:rPr>
        <w:t>o</w:t>
      </w:r>
      <w:r w:rsidRPr="00A654CF">
        <w:rPr>
          <w:rFonts w:asciiTheme="majorHAnsi" w:hAnsiTheme="majorHAnsi" w:cstheme="majorHAnsi"/>
          <w:sz w:val="24"/>
          <w:szCs w:val="24"/>
          <w:lang w:val="en-US"/>
        </w:rPr>
        <w:t xml:space="preserve">C, and the source temperature was 150 </w:t>
      </w:r>
      <w:r w:rsidRPr="00A654CF">
        <w:rPr>
          <w:rFonts w:asciiTheme="majorHAnsi" w:hAnsiTheme="majorHAnsi" w:cstheme="majorHAnsi"/>
          <w:sz w:val="24"/>
          <w:szCs w:val="24"/>
          <w:vertAlign w:val="superscript"/>
          <w:lang w:val="en-US"/>
        </w:rPr>
        <w:t>o</w:t>
      </w:r>
      <w:r w:rsidRPr="00A654CF">
        <w:rPr>
          <w:rFonts w:asciiTheme="majorHAnsi" w:hAnsiTheme="majorHAnsi" w:cstheme="majorHAnsi"/>
          <w:sz w:val="24"/>
          <w:szCs w:val="24"/>
          <w:lang w:val="en-US"/>
        </w:rPr>
        <w:t xml:space="preserve">C. Analytes were detected using selected reaction monitors (SRM) using auto dwell time function (dwell time of 20-95 ms, 20 points/peak). Analytes were quantified by an internal standard method. Control samples were run as every seventh sample monitoring the quality of analyses. </w:t>
      </w:r>
    </w:p>
    <w:p w14:paraId="73160602" w14:textId="77777777" w:rsidR="007B108F" w:rsidRPr="00A654CF" w:rsidRDefault="007B108F" w:rsidP="000A0FA4">
      <w:pPr>
        <w:spacing w:after="0" w:line="276" w:lineRule="auto"/>
        <w:ind w:firstLine="0"/>
        <w:jc w:val="both"/>
        <w:rPr>
          <w:rFonts w:asciiTheme="majorHAnsi" w:hAnsiTheme="majorHAnsi" w:cstheme="majorHAnsi"/>
          <w:sz w:val="24"/>
          <w:szCs w:val="24"/>
          <w:lang w:val="en-US"/>
        </w:rPr>
      </w:pPr>
    </w:p>
    <w:p w14:paraId="4E474804" w14:textId="77777777" w:rsidR="0028696C" w:rsidRPr="00997B40" w:rsidRDefault="00AA31BD" w:rsidP="000A0FA4">
      <w:pPr>
        <w:pStyle w:val="Heading3"/>
        <w:keepNext w:val="0"/>
        <w:keepLines w:val="0"/>
        <w:spacing w:before="0" w:after="0" w:line="276" w:lineRule="auto"/>
        <w:ind w:firstLine="0"/>
        <w:jc w:val="both"/>
        <w:rPr>
          <w:rFonts w:asciiTheme="majorHAnsi" w:hAnsiTheme="majorHAnsi" w:cstheme="majorHAnsi"/>
          <w:iCs/>
          <w:sz w:val="24"/>
          <w:szCs w:val="24"/>
          <w:lang w:val="en-US"/>
        </w:rPr>
      </w:pPr>
      <w:bookmarkStart w:id="11" w:name="_5inm6lqhwqkj" w:colFirst="0" w:colLast="0"/>
      <w:bookmarkEnd w:id="11"/>
      <w:r w:rsidRPr="00997B40">
        <w:rPr>
          <w:rFonts w:asciiTheme="majorHAnsi" w:hAnsiTheme="majorHAnsi" w:cstheme="majorHAnsi"/>
          <w:iCs/>
          <w:sz w:val="24"/>
          <w:szCs w:val="24"/>
          <w:lang w:val="en-US"/>
        </w:rPr>
        <w:t>Reagents and standards used in analyses of serum bile acids</w:t>
      </w:r>
    </w:p>
    <w:p w14:paraId="7FCEF45B" w14:textId="21D3EB02" w:rsidR="00445E98" w:rsidRDefault="00AA31BD" w:rsidP="006C2B49">
      <w:pPr>
        <w:spacing w:after="0" w:line="276" w:lineRule="auto"/>
        <w:ind w:firstLine="0"/>
        <w:jc w:val="both"/>
        <w:rPr>
          <w:rFonts w:asciiTheme="majorHAnsi" w:hAnsiTheme="majorHAnsi" w:cstheme="majorHAnsi"/>
          <w:sz w:val="24"/>
          <w:szCs w:val="24"/>
          <w:lang w:val="en-US"/>
        </w:rPr>
      </w:pPr>
      <w:r w:rsidRPr="00A654CF">
        <w:rPr>
          <w:rFonts w:asciiTheme="majorHAnsi" w:hAnsiTheme="majorHAnsi" w:cstheme="majorHAnsi"/>
          <w:sz w:val="24"/>
          <w:szCs w:val="24"/>
          <w:lang w:val="en-US"/>
        </w:rPr>
        <w:t xml:space="preserve">Abbreviations of analytes are presented in </w:t>
      </w:r>
      <w:r w:rsidR="007B108F">
        <w:rPr>
          <w:rFonts w:asciiTheme="majorHAnsi" w:hAnsiTheme="majorHAnsi" w:cstheme="majorHAnsi"/>
          <w:sz w:val="24"/>
          <w:szCs w:val="24"/>
          <w:lang w:val="en-US"/>
        </w:rPr>
        <w:t>(</w:t>
      </w:r>
      <w:r w:rsidR="00884975">
        <w:rPr>
          <w:rFonts w:asciiTheme="majorHAnsi" w:hAnsiTheme="majorHAnsi" w:cstheme="majorHAnsi"/>
          <w:b/>
          <w:sz w:val="24"/>
          <w:szCs w:val="24"/>
          <w:lang w:val="en-US"/>
        </w:rPr>
        <w:t>Fig.</w:t>
      </w:r>
      <w:r w:rsidRPr="00A654CF">
        <w:rPr>
          <w:rFonts w:asciiTheme="majorHAnsi" w:hAnsiTheme="majorHAnsi" w:cstheme="majorHAnsi"/>
          <w:b/>
          <w:sz w:val="24"/>
          <w:szCs w:val="24"/>
          <w:lang w:val="en-US"/>
        </w:rPr>
        <w:t xml:space="preserve"> 2A</w:t>
      </w:r>
      <w:r w:rsidR="007B108F" w:rsidRPr="007B108F">
        <w:rPr>
          <w:rFonts w:asciiTheme="majorHAnsi" w:hAnsiTheme="majorHAnsi" w:cstheme="majorHAnsi"/>
          <w:bCs/>
          <w:sz w:val="24"/>
          <w:szCs w:val="24"/>
          <w:lang w:val="en-US"/>
        </w:rPr>
        <w:t>)</w:t>
      </w:r>
      <w:r w:rsidRPr="007B108F">
        <w:rPr>
          <w:rFonts w:asciiTheme="majorHAnsi" w:hAnsiTheme="majorHAnsi" w:cstheme="majorHAnsi"/>
          <w:bCs/>
          <w:sz w:val="24"/>
          <w:szCs w:val="24"/>
          <w:lang w:val="en-US"/>
        </w:rPr>
        <w:t>.</w:t>
      </w:r>
      <w:r w:rsidRPr="00A654CF">
        <w:rPr>
          <w:rFonts w:asciiTheme="majorHAnsi" w:hAnsiTheme="majorHAnsi" w:cstheme="majorHAnsi"/>
          <w:sz w:val="24"/>
          <w:szCs w:val="24"/>
          <w:lang w:val="en-US"/>
        </w:rPr>
        <w:t xml:space="preserve"> CA, CDCA, DCA, DHCA, GCA, GCDCA, LCA, TCA, TCDCA, TDCA, TDHCA, THCA, THDCA, TLCA, and TUDCA were obtained from Sigma-Aldrich (St. Luis, Missouri, U.S.A), HDCA, HCA, </w:t>
      </w:r>
      <w:r w:rsidR="00E37AAF">
        <w:rPr>
          <w:rFonts w:ascii="Arial" w:hAnsi="Arial" w:cs="Arial"/>
          <w:color w:val="202122"/>
          <w:sz w:val="18"/>
          <w:szCs w:val="18"/>
          <w:shd w:val="clear" w:color="auto" w:fill="F8F9FA"/>
        </w:rPr>
        <w:t>α</w:t>
      </w:r>
      <w:r w:rsidRPr="00A654CF">
        <w:rPr>
          <w:rFonts w:asciiTheme="majorHAnsi" w:hAnsiTheme="majorHAnsi" w:cstheme="majorHAnsi"/>
          <w:sz w:val="24"/>
          <w:szCs w:val="24"/>
          <w:lang w:val="en-US"/>
        </w:rPr>
        <w:t xml:space="preserve">MCA, </w:t>
      </w:r>
      <w:r w:rsidR="00E37AAF">
        <w:rPr>
          <w:rFonts w:ascii="Symbol" w:hAnsi="Symbol" w:cstheme="majorHAnsi"/>
          <w:sz w:val="24"/>
          <w:szCs w:val="24"/>
          <w:lang w:val="en-US"/>
        </w:rPr>
        <w:t></w:t>
      </w:r>
      <w:r w:rsidR="00E37AAF" w:rsidRPr="00A654CF" w:rsidDel="00E37AAF">
        <w:rPr>
          <w:rFonts w:asciiTheme="majorHAnsi" w:hAnsiTheme="majorHAnsi" w:cstheme="majorHAnsi"/>
          <w:sz w:val="24"/>
          <w:szCs w:val="24"/>
          <w:lang w:val="en-US"/>
        </w:rPr>
        <w:t xml:space="preserve"> </w:t>
      </w:r>
      <w:r w:rsidRPr="00A654CF">
        <w:rPr>
          <w:rFonts w:asciiTheme="majorHAnsi" w:hAnsiTheme="majorHAnsi" w:cstheme="majorHAnsi"/>
          <w:sz w:val="24"/>
          <w:szCs w:val="24"/>
          <w:lang w:val="en-US"/>
        </w:rPr>
        <w:t xml:space="preserve">MCA, </w:t>
      </w:r>
      <w:r w:rsidR="00E37AAF">
        <w:rPr>
          <w:rFonts w:ascii="Symbol" w:hAnsi="Symbol" w:cstheme="majorHAnsi"/>
          <w:sz w:val="24"/>
          <w:szCs w:val="24"/>
          <w:lang w:val="en-US"/>
        </w:rPr>
        <w:t></w:t>
      </w:r>
      <w:r w:rsidRPr="00A654CF">
        <w:rPr>
          <w:rFonts w:asciiTheme="majorHAnsi" w:hAnsiTheme="majorHAnsi" w:cstheme="majorHAnsi"/>
          <w:sz w:val="24"/>
          <w:szCs w:val="24"/>
          <w:lang w:val="en-US"/>
        </w:rPr>
        <w:t>MCA, 7-oxo-HDCA, 7-oxo-DCA, 12-oxo-LCA, T</w:t>
      </w:r>
      <w:r w:rsidR="00E37AAF">
        <w:rPr>
          <w:rFonts w:ascii="Arial" w:hAnsi="Arial" w:cs="Arial"/>
          <w:color w:val="202122"/>
          <w:sz w:val="18"/>
          <w:szCs w:val="18"/>
          <w:shd w:val="clear" w:color="auto" w:fill="F8F9FA"/>
        </w:rPr>
        <w:t>α</w:t>
      </w:r>
      <w:r w:rsidRPr="00A654CF">
        <w:rPr>
          <w:rFonts w:asciiTheme="majorHAnsi" w:hAnsiTheme="majorHAnsi" w:cstheme="majorHAnsi"/>
          <w:sz w:val="24"/>
          <w:szCs w:val="24"/>
          <w:lang w:val="en-US"/>
        </w:rPr>
        <w:t>MCA, T</w:t>
      </w:r>
      <w:r w:rsidR="00E37AAF" w:rsidRPr="00E37AAF">
        <w:rPr>
          <w:rFonts w:ascii="Symbol" w:hAnsi="Symbol" w:cstheme="majorHAnsi"/>
          <w:sz w:val="24"/>
          <w:szCs w:val="24"/>
          <w:lang w:val="en-US"/>
        </w:rPr>
        <w:t></w:t>
      </w:r>
      <w:r w:rsidR="00E37AAF">
        <w:rPr>
          <w:rFonts w:ascii="Symbol" w:hAnsi="Symbol" w:cstheme="majorHAnsi"/>
          <w:sz w:val="24"/>
          <w:szCs w:val="24"/>
          <w:lang w:val="en-US"/>
        </w:rPr>
        <w:t></w:t>
      </w:r>
      <w:r w:rsidR="00E37AAF" w:rsidRPr="00A654CF" w:rsidDel="00E37AAF">
        <w:rPr>
          <w:rFonts w:asciiTheme="majorHAnsi" w:hAnsiTheme="majorHAnsi" w:cstheme="majorHAnsi"/>
          <w:sz w:val="24"/>
          <w:szCs w:val="24"/>
          <w:lang w:val="en-US"/>
        </w:rPr>
        <w:t xml:space="preserve"> </w:t>
      </w:r>
      <w:r w:rsidRPr="00A654CF">
        <w:rPr>
          <w:rFonts w:asciiTheme="majorHAnsi" w:hAnsiTheme="majorHAnsi" w:cstheme="majorHAnsi"/>
          <w:sz w:val="24"/>
          <w:szCs w:val="24"/>
          <w:lang w:val="en-US"/>
        </w:rPr>
        <w:t>MCA, T</w:t>
      </w:r>
      <w:r w:rsidR="00E37AAF">
        <w:rPr>
          <w:rFonts w:ascii="Symbol" w:hAnsi="Symbol" w:cstheme="majorHAnsi"/>
          <w:sz w:val="24"/>
          <w:szCs w:val="24"/>
          <w:lang w:val="en-US"/>
        </w:rPr>
        <w:t></w:t>
      </w:r>
      <w:r w:rsidRPr="00A654CF">
        <w:rPr>
          <w:rFonts w:asciiTheme="majorHAnsi" w:hAnsiTheme="majorHAnsi" w:cstheme="majorHAnsi"/>
          <w:sz w:val="24"/>
          <w:szCs w:val="24"/>
          <w:lang w:val="en-US"/>
        </w:rPr>
        <w:t xml:space="preserve">MCA, GDHCA, GHCA, and GHDCA from Steraloids (Newport, RI, U.S.A), GLCA and GUDCA from Calbiochem (Gibbstown, NJ, U.S.A), and GDCA and UDGA from Fluka (Buchs, Switzerland). Internal standards, CA-d4, LCA-d4, UDCA-d4, CDCA-d4, DCA-d4, GCA-d4, GLCA-d4, GUDCA-d4 and GCDCA-d4 were obtained from Qmx laboratories (Essex, UK) except TCA-d4, which was synthesized in our laboratory. </w:t>
      </w:r>
    </w:p>
    <w:p w14:paraId="49464EB7" w14:textId="77777777" w:rsidR="00D12A32" w:rsidRDefault="00D12A32" w:rsidP="00D12A32">
      <w:pPr>
        <w:spacing w:after="0" w:line="276" w:lineRule="auto"/>
        <w:ind w:firstLine="0"/>
        <w:rPr>
          <w:rFonts w:asciiTheme="majorHAnsi" w:hAnsiTheme="majorHAnsi" w:cstheme="majorHAnsi"/>
          <w:sz w:val="24"/>
          <w:szCs w:val="24"/>
          <w:lang w:val="en-US"/>
        </w:rPr>
      </w:pPr>
    </w:p>
    <w:p w14:paraId="345E10E2" w14:textId="5367CC2A" w:rsidR="00445E98" w:rsidRPr="00997B40" w:rsidRDefault="00EE30C0" w:rsidP="00445E98">
      <w:pPr>
        <w:pStyle w:val="Heading3"/>
        <w:keepNext w:val="0"/>
        <w:keepLines w:val="0"/>
        <w:spacing w:before="0" w:after="0" w:line="276" w:lineRule="auto"/>
        <w:ind w:firstLine="0"/>
        <w:jc w:val="both"/>
        <w:rPr>
          <w:rFonts w:asciiTheme="majorHAnsi" w:hAnsiTheme="majorHAnsi" w:cstheme="majorHAnsi"/>
          <w:iCs/>
          <w:sz w:val="24"/>
          <w:szCs w:val="24"/>
          <w:lang w:val="en-US"/>
        </w:rPr>
      </w:pPr>
      <w:r w:rsidRPr="00997B40">
        <w:rPr>
          <w:rFonts w:asciiTheme="majorHAnsi" w:hAnsiTheme="majorHAnsi" w:cstheme="majorHAnsi"/>
          <w:iCs/>
          <w:sz w:val="24"/>
          <w:szCs w:val="24"/>
          <w:lang w:val="en-US"/>
        </w:rPr>
        <w:t>Detection</w:t>
      </w:r>
      <w:r w:rsidR="00445E98" w:rsidRPr="00997B40">
        <w:rPr>
          <w:rFonts w:asciiTheme="majorHAnsi" w:hAnsiTheme="majorHAnsi" w:cstheme="majorHAnsi"/>
          <w:iCs/>
          <w:sz w:val="24"/>
          <w:szCs w:val="24"/>
          <w:lang w:val="en-US"/>
        </w:rPr>
        <w:t xml:space="preserve"> of unknown serum bile acids</w:t>
      </w:r>
    </w:p>
    <w:p w14:paraId="5AD01D07" w14:textId="0C1CC1FE" w:rsidR="00445E98" w:rsidRPr="00D12A32" w:rsidRDefault="00445E98" w:rsidP="00D12A32">
      <w:pPr>
        <w:spacing w:line="276" w:lineRule="auto"/>
        <w:ind w:firstLine="0"/>
        <w:jc w:val="both"/>
        <w:rPr>
          <w:rFonts w:asciiTheme="majorHAnsi" w:hAnsiTheme="majorHAnsi" w:cstheme="majorHAnsi"/>
          <w:sz w:val="28"/>
          <w:szCs w:val="28"/>
          <w:lang w:val="en-US"/>
        </w:rPr>
      </w:pPr>
      <w:r w:rsidRPr="00806093">
        <w:rPr>
          <w:sz w:val="24"/>
          <w:szCs w:val="24"/>
          <w:lang w:val="en-US"/>
        </w:rPr>
        <w:t>MS conditions used for the detection of 28 unknown BAs are presented in</w:t>
      </w:r>
      <w:r w:rsidR="002D21F6" w:rsidRPr="00806093">
        <w:rPr>
          <w:sz w:val="24"/>
          <w:szCs w:val="24"/>
          <w:lang w:val="en-US"/>
        </w:rPr>
        <w:t xml:space="preserve"> </w:t>
      </w:r>
      <w:r w:rsidR="002D21F6" w:rsidRPr="00806093">
        <w:rPr>
          <w:sz w:val="24"/>
          <w:szCs w:val="24"/>
          <w:lang w:val="en-US"/>
        </w:rPr>
        <w:fldChar w:fldCharType="begin"/>
      </w:r>
      <w:r w:rsidR="002D21F6" w:rsidRPr="00806093">
        <w:rPr>
          <w:sz w:val="24"/>
          <w:szCs w:val="24"/>
          <w:lang w:val="en-US"/>
        </w:rPr>
        <w:instrText xml:space="preserve"> ADDIN EN.CITE &lt;EndNote&gt;&lt;Cite&gt;&lt;Author&gt;Jäntti&lt;/Author&gt;&lt;Year&gt;2014&lt;/Year&gt;&lt;RecNum&gt;47&lt;/RecNum&gt;&lt;DisplayText&gt;&lt;style face="superscript"&gt;22&lt;/style&gt;&lt;/DisplayText&gt;&lt;record&gt;&lt;rec-number&gt;47&lt;/rec-number&gt;&lt;foreign-keys&gt;&lt;key app="EN" db-id="wdrzpw5vgw0z07ewf27pdzf7fwpw25pf5d2w" timestamp="1571382018"&gt;47&lt;/key&gt;&lt;/foreign-keys&gt;&lt;ref-type name="Journal Article"&gt;17&lt;/ref-type&gt;&lt;contributors&gt;&lt;authors&gt;&lt;author&gt;Jäntti, Sirkku E&lt;/author&gt;&lt;author&gt;Kivilompolo, Maarit&lt;/author&gt;&lt;author&gt;Öhrnberg, Leena&lt;/author&gt;&lt;author&gt;Pietiläinen, Kirsi H&lt;/author&gt;&lt;author&gt;Nygren, Heli&lt;/author&gt;&lt;author&gt;Orešič, Matej&lt;/author&gt;&lt;author&gt;Hyötyläinen, Tuulia&lt;/author&gt;&lt;/authors&gt;&lt;/contributors&gt;&lt;titles&gt;&lt;title&gt;Quantitative profiling of bile acids in blood, adipose tissue, intestine, and gall bladder samples using ultra high performance liquid chromatography-tandem mass spectrometry&lt;/title&gt;&lt;secondary-title&gt;Analytical and bioanalytical chemistry&lt;/secondary-title&gt;&lt;/titles&gt;&lt;periodical&gt;&lt;full-title&gt;Analytical and Bioanalytical Chemistry&lt;/full-title&gt;&lt;abbr-1&gt;Anal. Bioanal. Chem.&lt;/abbr-1&gt;&lt;abbr-2&gt;Anal Bioanal Chem&lt;/abbr-2&gt;&lt;abbr-3&gt;Analytical &amp;amp; Bioanalytical Chemistry&lt;/abbr-3&gt;&lt;/periodical&gt;&lt;pages&gt;7799-7815&lt;/pages&gt;&lt;volume&gt;406&lt;/volume&gt;&lt;number&gt;30&lt;/number&gt;&lt;dates&gt;&lt;year&gt;2014&lt;/year&gt;&lt;/dates&gt;&lt;isbn&gt;1618-2642&lt;/isbn&gt;&lt;urls&gt;&lt;/urls&gt;&lt;/record&gt;&lt;/Cite&gt;&lt;/EndNote&gt;</w:instrText>
      </w:r>
      <w:r w:rsidR="002D21F6" w:rsidRPr="00806093">
        <w:rPr>
          <w:sz w:val="24"/>
          <w:szCs w:val="24"/>
          <w:lang w:val="en-US"/>
        </w:rPr>
        <w:fldChar w:fldCharType="separate"/>
      </w:r>
      <w:r w:rsidR="002D21F6" w:rsidRPr="00806093">
        <w:rPr>
          <w:noProof/>
          <w:sz w:val="24"/>
          <w:szCs w:val="24"/>
          <w:vertAlign w:val="superscript"/>
          <w:lang w:val="en-US"/>
        </w:rPr>
        <w:t>22</w:t>
      </w:r>
      <w:r w:rsidR="002D21F6" w:rsidRPr="00806093">
        <w:rPr>
          <w:sz w:val="24"/>
          <w:szCs w:val="24"/>
          <w:lang w:val="en-US"/>
        </w:rPr>
        <w:fldChar w:fldCharType="end"/>
      </w:r>
      <w:r w:rsidRPr="00806093">
        <w:rPr>
          <w:sz w:val="24"/>
          <w:szCs w:val="24"/>
          <w:lang w:val="en-US"/>
        </w:rPr>
        <w:t xml:space="preserve"> and in</w:t>
      </w:r>
      <w:r w:rsidR="00F633FD" w:rsidRPr="00806093">
        <w:rPr>
          <w:sz w:val="24"/>
          <w:szCs w:val="24"/>
          <w:lang w:val="en-US"/>
        </w:rPr>
        <w:t xml:space="preserve"> </w:t>
      </w:r>
      <w:r w:rsidR="00F633FD" w:rsidRPr="00806093">
        <w:rPr>
          <w:rFonts w:asciiTheme="majorHAnsi" w:hAnsiTheme="majorHAnsi" w:cstheme="majorHAnsi"/>
          <w:sz w:val="24"/>
          <w:szCs w:val="24"/>
          <w:lang w:val="en-US"/>
        </w:rPr>
        <w:t>(</w:t>
      </w:r>
      <w:r w:rsidR="00F633FD" w:rsidRPr="00806093">
        <w:rPr>
          <w:rFonts w:asciiTheme="majorHAnsi" w:hAnsiTheme="majorHAnsi" w:cstheme="majorHAnsi"/>
          <w:b/>
          <w:sz w:val="24"/>
          <w:szCs w:val="24"/>
          <w:lang w:val="en-US"/>
        </w:rPr>
        <w:t>Supplementary Table 5</w:t>
      </w:r>
      <w:r w:rsidR="00F633FD" w:rsidRPr="00806093">
        <w:rPr>
          <w:rFonts w:asciiTheme="majorHAnsi" w:hAnsiTheme="majorHAnsi" w:cstheme="majorHAnsi"/>
          <w:bCs/>
          <w:sz w:val="24"/>
          <w:szCs w:val="24"/>
          <w:lang w:val="en-US"/>
        </w:rPr>
        <w:t>)</w:t>
      </w:r>
      <w:r w:rsidRPr="00806093">
        <w:rPr>
          <w:sz w:val="24"/>
          <w:szCs w:val="24"/>
          <w:lang w:val="en-US"/>
        </w:rPr>
        <w:t xml:space="preserve">. Shortly, </w:t>
      </w:r>
      <w:r w:rsidR="0025611C" w:rsidRPr="00806093">
        <w:rPr>
          <w:sz w:val="24"/>
          <w:szCs w:val="24"/>
          <w:lang w:val="en-US"/>
        </w:rPr>
        <w:t>15</w:t>
      </w:r>
      <w:r w:rsidRPr="00806093">
        <w:rPr>
          <w:sz w:val="24"/>
          <w:szCs w:val="24"/>
          <w:lang w:val="en-US"/>
        </w:rPr>
        <w:t xml:space="preserve"> of these unknown BAs were detected </w:t>
      </w:r>
      <w:r w:rsidR="0025611C" w:rsidRPr="00806093">
        <w:rPr>
          <w:sz w:val="24"/>
          <w:szCs w:val="24"/>
          <w:lang w:val="en-US"/>
        </w:rPr>
        <w:t>by using</w:t>
      </w:r>
      <w:r w:rsidRPr="00806093">
        <w:rPr>
          <w:sz w:val="24"/>
          <w:szCs w:val="24"/>
          <w:lang w:val="en-US"/>
        </w:rPr>
        <w:t xml:space="preserve"> SRM transitions targeting MCAs, HCA, CA, or their conjugates, 11 using the SRM transitions of UDCA, HDCA, DCA, CDCA, or their conjugates, and two using the SRM transitions of oxo-BAs, respectively. UHPLC</w:t>
      </w:r>
      <w:r w:rsidR="0025611C" w:rsidRPr="00806093">
        <w:rPr>
          <w:sz w:val="24"/>
          <w:szCs w:val="24"/>
          <w:lang w:val="en-US"/>
        </w:rPr>
        <w:t>-</w:t>
      </w:r>
      <w:r w:rsidRPr="00806093">
        <w:rPr>
          <w:sz w:val="24"/>
          <w:szCs w:val="24"/>
          <w:lang w:val="en-US"/>
        </w:rPr>
        <w:t xml:space="preserve">MS/MS spectra and accurate mass with UHPLC-QTOFMS  were determined for all the unknowns. Accurate mass determined by UHPLC-QTOFMS  corresponded also with the structures of taurine BA, glycine BA, and intact BA. Taurine conjugates showed typical fragmentation pattern with ions at </w:t>
      </w:r>
      <w:r w:rsidRPr="00806093">
        <w:rPr>
          <w:i/>
          <w:iCs/>
          <w:sz w:val="24"/>
          <w:szCs w:val="24"/>
          <w:lang w:val="en-US"/>
        </w:rPr>
        <w:t>m/</w:t>
      </w:r>
      <w:r w:rsidR="006D0F80" w:rsidRPr="00806093">
        <w:rPr>
          <w:i/>
          <w:iCs/>
          <w:sz w:val="24"/>
          <w:szCs w:val="24"/>
          <w:lang w:val="en-US"/>
        </w:rPr>
        <w:t>z</w:t>
      </w:r>
      <w:r w:rsidR="006D0F80" w:rsidRPr="00806093">
        <w:rPr>
          <w:sz w:val="24"/>
          <w:szCs w:val="24"/>
          <w:lang w:val="en-US"/>
        </w:rPr>
        <w:t xml:space="preserve"> 80</w:t>
      </w:r>
      <w:r w:rsidRPr="00806093">
        <w:rPr>
          <w:sz w:val="24"/>
          <w:szCs w:val="24"/>
          <w:lang w:val="en-US"/>
        </w:rPr>
        <w:t xml:space="preserve">, 107, and 124, and loss of water from parent structure. </w:t>
      </w:r>
      <w:r w:rsidRPr="00806093">
        <w:rPr>
          <w:sz w:val="24"/>
          <w:szCs w:val="24"/>
          <w:lang w:val="en-US"/>
        </w:rPr>
        <w:lastRenderedPageBreak/>
        <w:t xml:space="preserve">Glycine conjugates showed glycine fragment at m/z 74, and sequential losses of H2O, </w:t>
      </w:r>
      <w:r w:rsidR="00B0434C" w:rsidRPr="00806093">
        <w:rPr>
          <w:sz w:val="24"/>
          <w:szCs w:val="24"/>
          <w:lang w:val="en-US"/>
        </w:rPr>
        <w:t>CO2, H</w:t>
      </w:r>
      <w:r w:rsidRPr="00806093">
        <w:rPr>
          <w:sz w:val="24"/>
          <w:szCs w:val="24"/>
          <w:lang w:val="en-US"/>
        </w:rPr>
        <w:t xml:space="preserve"> 2CO2, or H2 from parent BA structure</w:t>
      </w:r>
      <w:r w:rsidR="00E44F9F" w:rsidRPr="00806093">
        <w:rPr>
          <w:sz w:val="24"/>
          <w:szCs w:val="24"/>
          <w:lang w:val="en-US"/>
        </w:rPr>
        <w:fldChar w:fldCharType="begin"/>
      </w:r>
      <w:r w:rsidR="00E44F9F" w:rsidRPr="00806093">
        <w:rPr>
          <w:sz w:val="24"/>
          <w:szCs w:val="24"/>
          <w:lang w:val="en-US"/>
        </w:rPr>
        <w:instrText xml:space="preserve"> ADDIN EN.CITE &lt;EndNote&gt;&lt;Cite&gt;&lt;Author&gt;Jäntti&lt;/Author&gt;&lt;Year&gt;2014&lt;/Year&gt;&lt;RecNum&gt;47&lt;/RecNum&gt;&lt;DisplayText&gt;&lt;style face="superscript"&gt;22&lt;/style&gt;&lt;/DisplayText&gt;&lt;record&gt;&lt;rec-number&gt;47&lt;/rec-number&gt;&lt;foreign-keys&gt;&lt;key app="EN" db-id="wdrzpw5vgw0z07ewf27pdzf7fwpw25pf5d2w" timestamp="1571382018"&gt;47&lt;/key&gt;&lt;/foreign-keys&gt;&lt;ref-type name="Journal Article"&gt;17&lt;/ref-type&gt;&lt;contributors&gt;&lt;authors&gt;&lt;author&gt;Jäntti, Sirkku E&lt;/author&gt;&lt;author&gt;Kivilompolo, Maarit&lt;/author&gt;&lt;author&gt;Öhrnberg, Leena&lt;/author&gt;&lt;author&gt;Pietiläinen, Kirsi H&lt;/author&gt;&lt;author&gt;Nygren, Heli&lt;/author&gt;&lt;author&gt;Orešič, Matej&lt;/author&gt;&lt;author&gt;Hyötyläinen, Tuulia&lt;/author&gt;&lt;/authors&gt;&lt;/contributors&gt;&lt;titles&gt;&lt;title&gt;Quantitative profiling of bile acids in blood, adipose tissue, intestine, and gall bladder samples using ultra high performance liquid chromatography-tandem mass spectrometry&lt;/title&gt;&lt;secondary-title&gt;Analytical and bioanalytical chemistry&lt;/secondary-title&gt;&lt;/titles&gt;&lt;periodical&gt;&lt;full-title&gt;Analytical and Bioanalytical Chemistry&lt;/full-title&gt;&lt;abbr-1&gt;Anal. Bioanal. Chem.&lt;/abbr-1&gt;&lt;abbr-2&gt;Anal Bioanal Chem&lt;/abbr-2&gt;&lt;abbr-3&gt;Analytical &amp;amp; Bioanalytical Chemistry&lt;/abbr-3&gt;&lt;/periodical&gt;&lt;pages&gt;7799-7815&lt;/pages&gt;&lt;volume&gt;406&lt;/volume&gt;&lt;number&gt;30&lt;/number&gt;&lt;dates&gt;&lt;year&gt;2014&lt;/year&gt;&lt;/dates&gt;&lt;isbn&gt;1618-2642&lt;/isbn&gt;&lt;urls&gt;&lt;/urls&gt;&lt;/record&gt;&lt;/Cite&gt;&lt;/EndNote&gt;</w:instrText>
      </w:r>
      <w:r w:rsidR="00E44F9F" w:rsidRPr="00806093">
        <w:rPr>
          <w:sz w:val="24"/>
          <w:szCs w:val="24"/>
          <w:lang w:val="en-US"/>
        </w:rPr>
        <w:fldChar w:fldCharType="separate"/>
      </w:r>
      <w:r w:rsidR="00E44F9F" w:rsidRPr="00806093">
        <w:rPr>
          <w:noProof/>
          <w:sz w:val="24"/>
          <w:szCs w:val="24"/>
          <w:vertAlign w:val="superscript"/>
          <w:lang w:val="en-US"/>
        </w:rPr>
        <w:t>22</w:t>
      </w:r>
      <w:r w:rsidR="00E44F9F" w:rsidRPr="00806093">
        <w:rPr>
          <w:sz w:val="24"/>
          <w:szCs w:val="24"/>
          <w:lang w:val="en-US"/>
        </w:rPr>
        <w:fldChar w:fldCharType="end"/>
      </w:r>
      <w:r w:rsidRPr="00806093">
        <w:rPr>
          <w:sz w:val="24"/>
          <w:szCs w:val="24"/>
          <w:lang w:val="en-US"/>
        </w:rPr>
        <w:t>. Intact BAs had similar sequential losses.</w:t>
      </w:r>
      <w:r w:rsidRPr="00D12A32">
        <w:rPr>
          <w:sz w:val="24"/>
          <w:szCs w:val="24"/>
          <w:lang w:val="en-US"/>
        </w:rPr>
        <w:t xml:space="preserve"> </w:t>
      </w:r>
    </w:p>
    <w:p w14:paraId="7CF68196" w14:textId="77777777" w:rsidR="00445E98" w:rsidRPr="00D12A32" w:rsidRDefault="00445E98" w:rsidP="00445E98">
      <w:pPr>
        <w:ind w:firstLine="0"/>
        <w:rPr>
          <w:sz w:val="24"/>
          <w:szCs w:val="24"/>
          <w:lang w:val="en-US"/>
        </w:rPr>
      </w:pPr>
    </w:p>
    <w:p w14:paraId="579C5573" w14:textId="77777777" w:rsidR="0028696C" w:rsidRPr="00A654CF" w:rsidRDefault="0028696C" w:rsidP="000A0FA4">
      <w:pPr>
        <w:spacing w:after="0" w:line="276" w:lineRule="auto"/>
        <w:ind w:firstLine="0"/>
        <w:rPr>
          <w:rFonts w:asciiTheme="majorHAnsi" w:hAnsiTheme="majorHAnsi" w:cstheme="majorHAnsi"/>
          <w:sz w:val="24"/>
          <w:szCs w:val="24"/>
          <w:lang w:val="en-US"/>
        </w:rPr>
      </w:pPr>
    </w:p>
    <w:p w14:paraId="3EF53DD8" w14:textId="77777777" w:rsidR="0028696C" w:rsidRPr="00A654CF" w:rsidRDefault="00AA31BD" w:rsidP="000A0FA4">
      <w:pPr>
        <w:spacing w:after="0" w:line="276" w:lineRule="auto"/>
        <w:ind w:firstLine="0"/>
        <w:rPr>
          <w:rFonts w:asciiTheme="majorHAnsi" w:hAnsiTheme="majorHAnsi" w:cstheme="majorHAnsi"/>
          <w:sz w:val="24"/>
          <w:szCs w:val="24"/>
          <w:lang w:val="en-US"/>
        </w:rPr>
      </w:pPr>
      <w:r w:rsidRPr="00A654CF">
        <w:rPr>
          <w:rFonts w:asciiTheme="majorHAnsi" w:hAnsiTheme="majorHAnsi" w:cstheme="majorHAnsi"/>
          <w:sz w:val="24"/>
          <w:szCs w:val="24"/>
          <w:lang w:val="en-US"/>
        </w:rPr>
        <w:t xml:space="preserve"> </w:t>
      </w:r>
      <w:r w:rsidRPr="00A654CF">
        <w:rPr>
          <w:rFonts w:asciiTheme="majorHAnsi" w:hAnsiTheme="majorHAnsi" w:cstheme="majorHAnsi"/>
          <w:sz w:val="24"/>
          <w:szCs w:val="24"/>
          <w:lang w:val="en-US"/>
        </w:rPr>
        <w:br w:type="page"/>
      </w:r>
    </w:p>
    <w:p w14:paraId="61526EA5" w14:textId="77777777" w:rsidR="00FD7793" w:rsidRPr="00A654CF" w:rsidRDefault="00FD7793" w:rsidP="000A0FA4">
      <w:pPr>
        <w:pStyle w:val="Heading3"/>
        <w:spacing w:after="0" w:line="276" w:lineRule="auto"/>
        <w:ind w:firstLine="0"/>
        <w:rPr>
          <w:rFonts w:asciiTheme="majorHAnsi" w:hAnsiTheme="majorHAnsi" w:cstheme="majorHAnsi"/>
          <w:sz w:val="24"/>
          <w:szCs w:val="24"/>
          <w:lang w:val="en-US"/>
        </w:rPr>
      </w:pPr>
      <w:bookmarkStart w:id="12" w:name="_zgg2fo1k1mh0" w:colFirst="0" w:colLast="0"/>
      <w:bookmarkEnd w:id="12"/>
      <w:r w:rsidRPr="00A654CF">
        <w:rPr>
          <w:rFonts w:asciiTheme="majorHAnsi" w:hAnsiTheme="majorHAnsi" w:cstheme="majorHAnsi"/>
          <w:sz w:val="24"/>
          <w:szCs w:val="24"/>
          <w:lang w:val="en-US"/>
        </w:rPr>
        <w:lastRenderedPageBreak/>
        <w:t>Supplementary tables</w:t>
      </w:r>
    </w:p>
    <w:p w14:paraId="2F1671D9" w14:textId="786E633A" w:rsidR="000A0FA4" w:rsidRPr="00997B40" w:rsidRDefault="00FD7793" w:rsidP="008F179C">
      <w:pPr>
        <w:pStyle w:val="Heading2"/>
        <w:spacing w:line="276" w:lineRule="auto"/>
        <w:jc w:val="both"/>
        <w:rPr>
          <w:rFonts w:asciiTheme="majorHAnsi" w:hAnsiTheme="majorHAnsi" w:cstheme="majorHAnsi"/>
          <w:i w:val="0"/>
          <w:iCs/>
          <w:sz w:val="24"/>
          <w:szCs w:val="24"/>
          <w:lang w:val="en-US"/>
        </w:rPr>
      </w:pPr>
      <w:r w:rsidRPr="00997B40">
        <w:rPr>
          <w:rFonts w:asciiTheme="majorHAnsi" w:hAnsiTheme="majorHAnsi" w:cstheme="majorHAnsi"/>
          <w:i w:val="0"/>
          <w:iCs/>
          <w:sz w:val="24"/>
          <w:szCs w:val="24"/>
          <w:lang w:val="en-US"/>
        </w:rPr>
        <w:t>Supplementary Table 1</w:t>
      </w:r>
    </w:p>
    <w:tbl>
      <w:tblPr>
        <w:tblW w:w="5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11"/>
        <w:gridCol w:w="1091"/>
        <w:gridCol w:w="1091"/>
        <w:gridCol w:w="677"/>
      </w:tblGrid>
      <w:tr w:rsidR="00FD7793" w:rsidRPr="00A654CF" w14:paraId="32675474" w14:textId="77777777" w:rsidTr="000A0FA4">
        <w:trPr>
          <w:trHeight w:val="19"/>
          <w:jc w:val="center"/>
        </w:trPr>
        <w:tc>
          <w:tcPr>
            <w:tcW w:w="3111" w:type="dxa"/>
            <w:shd w:val="clear" w:color="auto" w:fill="auto"/>
            <w:tcMar>
              <w:top w:w="40" w:type="dxa"/>
              <w:left w:w="40" w:type="dxa"/>
              <w:bottom w:w="40" w:type="dxa"/>
              <w:right w:w="40" w:type="dxa"/>
            </w:tcMar>
            <w:vAlign w:val="bottom"/>
            <w:hideMark/>
          </w:tcPr>
          <w:p w14:paraId="6340E770"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p>
        </w:tc>
        <w:tc>
          <w:tcPr>
            <w:tcW w:w="1091" w:type="dxa"/>
            <w:shd w:val="clear" w:color="auto" w:fill="auto"/>
            <w:tcMar>
              <w:top w:w="40" w:type="dxa"/>
              <w:left w:w="40" w:type="dxa"/>
              <w:bottom w:w="40" w:type="dxa"/>
              <w:right w:w="40" w:type="dxa"/>
            </w:tcMar>
            <w:hideMark/>
          </w:tcPr>
          <w:p w14:paraId="4BFB9E3C" w14:textId="77777777" w:rsidR="00FD7793" w:rsidRPr="00A654CF" w:rsidRDefault="00FD7793" w:rsidP="000A0FA4">
            <w:pPr>
              <w:pStyle w:val="NoSpacing"/>
              <w:spacing w:line="276" w:lineRule="auto"/>
              <w:jc w:val="center"/>
              <w:rPr>
                <w:rFonts w:asciiTheme="majorHAnsi" w:hAnsiTheme="majorHAnsi" w:cstheme="majorHAnsi"/>
                <w:b/>
                <w:sz w:val="18"/>
                <w:szCs w:val="18"/>
                <w:lang w:val="en-US" w:eastAsia="fr-FR"/>
              </w:rPr>
            </w:pPr>
            <w:r w:rsidRPr="00A654CF">
              <w:rPr>
                <w:rFonts w:asciiTheme="majorHAnsi" w:hAnsiTheme="majorHAnsi" w:cstheme="majorHAnsi"/>
                <w:b/>
                <w:sz w:val="18"/>
                <w:szCs w:val="18"/>
                <w:lang w:val="en-US" w:eastAsia="fr-FR"/>
              </w:rPr>
              <w:t>Men</w:t>
            </w:r>
          </w:p>
        </w:tc>
        <w:tc>
          <w:tcPr>
            <w:tcW w:w="1091" w:type="dxa"/>
            <w:shd w:val="clear" w:color="auto" w:fill="auto"/>
            <w:tcMar>
              <w:top w:w="40" w:type="dxa"/>
              <w:left w:w="40" w:type="dxa"/>
              <w:bottom w:w="40" w:type="dxa"/>
              <w:right w:w="40" w:type="dxa"/>
            </w:tcMar>
            <w:hideMark/>
          </w:tcPr>
          <w:p w14:paraId="0EF248E1" w14:textId="77777777" w:rsidR="00FD7793" w:rsidRPr="00A654CF" w:rsidRDefault="00FD7793" w:rsidP="000A0FA4">
            <w:pPr>
              <w:pStyle w:val="NoSpacing"/>
              <w:spacing w:line="276" w:lineRule="auto"/>
              <w:jc w:val="center"/>
              <w:rPr>
                <w:rFonts w:asciiTheme="majorHAnsi" w:hAnsiTheme="majorHAnsi" w:cstheme="majorHAnsi"/>
                <w:b/>
                <w:sz w:val="18"/>
                <w:szCs w:val="18"/>
                <w:lang w:val="en-US" w:eastAsia="fr-FR"/>
              </w:rPr>
            </w:pPr>
            <w:r w:rsidRPr="00A654CF">
              <w:rPr>
                <w:rFonts w:asciiTheme="majorHAnsi" w:hAnsiTheme="majorHAnsi" w:cstheme="majorHAnsi"/>
                <w:b/>
                <w:sz w:val="18"/>
                <w:szCs w:val="18"/>
                <w:lang w:val="en-US" w:eastAsia="fr-FR"/>
              </w:rPr>
              <w:t>Women</w:t>
            </w:r>
          </w:p>
        </w:tc>
        <w:tc>
          <w:tcPr>
            <w:tcW w:w="677" w:type="dxa"/>
            <w:shd w:val="clear" w:color="auto" w:fill="auto"/>
            <w:tcMar>
              <w:top w:w="40" w:type="dxa"/>
              <w:left w:w="40" w:type="dxa"/>
              <w:bottom w:w="40" w:type="dxa"/>
              <w:right w:w="40" w:type="dxa"/>
            </w:tcMar>
            <w:hideMark/>
          </w:tcPr>
          <w:p w14:paraId="7FE2947C" w14:textId="77777777" w:rsidR="00FD7793" w:rsidRPr="00A654CF" w:rsidRDefault="00FD7793" w:rsidP="000A0FA4">
            <w:pPr>
              <w:pStyle w:val="NoSpacing"/>
              <w:spacing w:line="276" w:lineRule="auto"/>
              <w:jc w:val="center"/>
              <w:rPr>
                <w:rFonts w:asciiTheme="majorHAnsi" w:hAnsiTheme="majorHAnsi" w:cstheme="majorHAnsi"/>
                <w:b/>
                <w:sz w:val="18"/>
                <w:szCs w:val="18"/>
                <w:lang w:val="en-US" w:eastAsia="fr-FR"/>
              </w:rPr>
            </w:pPr>
            <w:r w:rsidRPr="00A654CF">
              <w:rPr>
                <w:rFonts w:asciiTheme="majorHAnsi" w:hAnsiTheme="majorHAnsi" w:cstheme="majorHAnsi"/>
                <w:b/>
                <w:sz w:val="18"/>
                <w:szCs w:val="18"/>
                <w:lang w:val="en-US" w:eastAsia="fr-FR"/>
              </w:rPr>
              <w:t>p-value</w:t>
            </w:r>
          </w:p>
        </w:tc>
      </w:tr>
      <w:tr w:rsidR="00FD7793" w:rsidRPr="00A654CF" w14:paraId="4327927B" w14:textId="77777777" w:rsidTr="000A0FA4">
        <w:trPr>
          <w:trHeight w:val="67"/>
          <w:jc w:val="center"/>
        </w:trPr>
        <w:tc>
          <w:tcPr>
            <w:tcW w:w="3111" w:type="dxa"/>
            <w:shd w:val="clear" w:color="auto" w:fill="auto"/>
            <w:tcMar>
              <w:top w:w="40" w:type="dxa"/>
              <w:left w:w="40" w:type="dxa"/>
              <w:bottom w:w="40" w:type="dxa"/>
              <w:right w:w="40" w:type="dxa"/>
            </w:tcMar>
            <w:vAlign w:val="bottom"/>
            <w:hideMark/>
          </w:tcPr>
          <w:p w14:paraId="411FC646"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p>
        </w:tc>
        <w:tc>
          <w:tcPr>
            <w:tcW w:w="1091" w:type="dxa"/>
            <w:shd w:val="clear" w:color="auto" w:fill="auto"/>
            <w:tcMar>
              <w:top w:w="40" w:type="dxa"/>
              <w:left w:w="40" w:type="dxa"/>
              <w:bottom w:w="40" w:type="dxa"/>
              <w:right w:w="40" w:type="dxa"/>
            </w:tcMar>
            <w:hideMark/>
          </w:tcPr>
          <w:p w14:paraId="7B0646FD"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N=133</w:t>
            </w:r>
          </w:p>
        </w:tc>
        <w:tc>
          <w:tcPr>
            <w:tcW w:w="1091" w:type="dxa"/>
            <w:shd w:val="clear" w:color="auto" w:fill="auto"/>
            <w:tcMar>
              <w:top w:w="40" w:type="dxa"/>
              <w:left w:w="40" w:type="dxa"/>
              <w:bottom w:w="40" w:type="dxa"/>
              <w:right w:w="40" w:type="dxa"/>
            </w:tcMar>
            <w:hideMark/>
          </w:tcPr>
          <w:p w14:paraId="3ADE56C4"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N=150</w:t>
            </w:r>
          </w:p>
        </w:tc>
        <w:tc>
          <w:tcPr>
            <w:tcW w:w="677" w:type="dxa"/>
            <w:shd w:val="clear" w:color="auto" w:fill="auto"/>
            <w:tcMar>
              <w:top w:w="40" w:type="dxa"/>
              <w:left w:w="40" w:type="dxa"/>
              <w:bottom w:w="40" w:type="dxa"/>
              <w:right w:w="40" w:type="dxa"/>
            </w:tcMar>
            <w:hideMark/>
          </w:tcPr>
          <w:p w14:paraId="7EB3649B"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p>
        </w:tc>
      </w:tr>
      <w:tr w:rsidR="00FD7793" w:rsidRPr="00A654CF" w14:paraId="32DBD232" w14:textId="77777777" w:rsidTr="000A0FA4">
        <w:trPr>
          <w:trHeight w:val="19"/>
          <w:jc w:val="center"/>
        </w:trPr>
        <w:tc>
          <w:tcPr>
            <w:tcW w:w="3111" w:type="dxa"/>
            <w:shd w:val="clear" w:color="auto" w:fill="auto"/>
            <w:tcMar>
              <w:top w:w="40" w:type="dxa"/>
              <w:left w:w="40" w:type="dxa"/>
              <w:bottom w:w="40" w:type="dxa"/>
              <w:right w:w="40" w:type="dxa"/>
            </w:tcMar>
            <w:vAlign w:val="bottom"/>
            <w:hideMark/>
          </w:tcPr>
          <w:p w14:paraId="602B6268"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Waist to hip ratio (-)</w:t>
            </w:r>
          </w:p>
        </w:tc>
        <w:tc>
          <w:tcPr>
            <w:tcW w:w="1091" w:type="dxa"/>
            <w:shd w:val="clear" w:color="auto" w:fill="auto"/>
            <w:tcMar>
              <w:top w:w="40" w:type="dxa"/>
              <w:left w:w="40" w:type="dxa"/>
              <w:bottom w:w="40" w:type="dxa"/>
              <w:right w:w="40" w:type="dxa"/>
            </w:tcMar>
            <w:hideMark/>
          </w:tcPr>
          <w:p w14:paraId="7B6B14EE"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1.0 (0.1)</w:t>
            </w:r>
          </w:p>
        </w:tc>
        <w:tc>
          <w:tcPr>
            <w:tcW w:w="1091" w:type="dxa"/>
            <w:shd w:val="clear" w:color="auto" w:fill="auto"/>
            <w:tcMar>
              <w:top w:w="40" w:type="dxa"/>
              <w:left w:w="40" w:type="dxa"/>
              <w:bottom w:w="40" w:type="dxa"/>
              <w:right w:w="40" w:type="dxa"/>
            </w:tcMar>
            <w:hideMark/>
          </w:tcPr>
          <w:p w14:paraId="560EF6E8"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0.9 (0.1)</w:t>
            </w:r>
          </w:p>
        </w:tc>
        <w:tc>
          <w:tcPr>
            <w:tcW w:w="677" w:type="dxa"/>
            <w:shd w:val="clear" w:color="auto" w:fill="auto"/>
            <w:tcMar>
              <w:top w:w="40" w:type="dxa"/>
              <w:left w:w="40" w:type="dxa"/>
              <w:bottom w:w="40" w:type="dxa"/>
              <w:right w:w="40" w:type="dxa"/>
            </w:tcMar>
            <w:hideMark/>
          </w:tcPr>
          <w:p w14:paraId="1722F348"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&lt;0.001</w:t>
            </w:r>
          </w:p>
        </w:tc>
      </w:tr>
      <w:tr w:rsidR="00FD7793" w:rsidRPr="00A654CF" w14:paraId="4FA1450C" w14:textId="77777777" w:rsidTr="000A0FA4">
        <w:trPr>
          <w:trHeight w:val="19"/>
          <w:jc w:val="center"/>
        </w:trPr>
        <w:tc>
          <w:tcPr>
            <w:tcW w:w="3111" w:type="dxa"/>
            <w:shd w:val="clear" w:color="auto" w:fill="auto"/>
            <w:tcMar>
              <w:top w:w="40" w:type="dxa"/>
              <w:left w:w="40" w:type="dxa"/>
              <w:bottom w:w="40" w:type="dxa"/>
              <w:right w:w="40" w:type="dxa"/>
            </w:tcMar>
            <w:vAlign w:val="bottom"/>
            <w:hideMark/>
          </w:tcPr>
          <w:p w14:paraId="361B951E"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BMI (kg/m²)</w:t>
            </w:r>
          </w:p>
        </w:tc>
        <w:tc>
          <w:tcPr>
            <w:tcW w:w="1091" w:type="dxa"/>
            <w:shd w:val="clear" w:color="auto" w:fill="auto"/>
            <w:tcMar>
              <w:top w:w="40" w:type="dxa"/>
              <w:left w:w="40" w:type="dxa"/>
              <w:bottom w:w="40" w:type="dxa"/>
              <w:right w:w="40" w:type="dxa"/>
            </w:tcMar>
            <w:hideMark/>
          </w:tcPr>
          <w:p w14:paraId="5B346847"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29.5 (5.5)</w:t>
            </w:r>
          </w:p>
        </w:tc>
        <w:tc>
          <w:tcPr>
            <w:tcW w:w="1091" w:type="dxa"/>
            <w:shd w:val="clear" w:color="auto" w:fill="auto"/>
            <w:tcMar>
              <w:top w:w="40" w:type="dxa"/>
              <w:left w:w="40" w:type="dxa"/>
              <w:bottom w:w="40" w:type="dxa"/>
              <w:right w:w="40" w:type="dxa"/>
            </w:tcMar>
            <w:hideMark/>
          </w:tcPr>
          <w:p w14:paraId="04915778"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29.6 (6.4)</w:t>
            </w:r>
          </w:p>
        </w:tc>
        <w:tc>
          <w:tcPr>
            <w:tcW w:w="677" w:type="dxa"/>
            <w:shd w:val="clear" w:color="auto" w:fill="auto"/>
            <w:tcMar>
              <w:top w:w="40" w:type="dxa"/>
              <w:left w:w="40" w:type="dxa"/>
              <w:bottom w:w="40" w:type="dxa"/>
              <w:right w:w="40" w:type="dxa"/>
            </w:tcMar>
            <w:hideMark/>
          </w:tcPr>
          <w:p w14:paraId="56D54ABE"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0.904</w:t>
            </w:r>
          </w:p>
        </w:tc>
      </w:tr>
      <w:tr w:rsidR="00FD7793" w:rsidRPr="00A654CF" w14:paraId="08310F4A" w14:textId="77777777" w:rsidTr="000A0FA4">
        <w:trPr>
          <w:trHeight w:val="19"/>
          <w:jc w:val="center"/>
        </w:trPr>
        <w:tc>
          <w:tcPr>
            <w:tcW w:w="3111" w:type="dxa"/>
            <w:shd w:val="clear" w:color="auto" w:fill="auto"/>
            <w:tcMar>
              <w:top w:w="40" w:type="dxa"/>
              <w:left w:w="40" w:type="dxa"/>
              <w:bottom w:w="40" w:type="dxa"/>
              <w:right w:w="40" w:type="dxa"/>
            </w:tcMar>
            <w:vAlign w:val="bottom"/>
            <w:hideMark/>
          </w:tcPr>
          <w:p w14:paraId="78E2B805"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Body fat (%)</w:t>
            </w:r>
          </w:p>
        </w:tc>
        <w:tc>
          <w:tcPr>
            <w:tcW w:w="1091" w:type="dxa"/>
            <w:shd w:val="clear" w:color="auto" w:fill="auto"/>
            <w:tcMar>
              <w:top w:w="40" w:type="dxa"/>
              <w:left w:w="40" w:type="dxa"/>
              <w:bottom w:w="40" w:type="dxa"/>
              <w:right w:w="40" w:type="dxa"/>
            </w:tcMar>
            <w:hideMark/>
          </w:tcPr>
          <w:p w14:paraId="2CBA8FC7"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26.3 (6.4)</w:t>
            </w:r>
          </w:p>
        </w:tc>
        <w:tc>
          <w:tcPr>
            <w:tcW w:w="1091" w:type="dxa"/>
            <w:shd w:val="clear" w:color="auto" w:fill="auto"/>
            <w:tcMar>
              <w:top w:w="40" w:type="dxa"/>
              <w:left w:w="40" w:type="dxa"/>
              <w:bottom w:w="40" w:type="dxa"/>
              <w:right w:w="40" w:type="dxa"/>
            </w:tcMar>
            <w:hideMark/>
          </w:tcPr>
          <w:p w14:paraId="0C2A97CB"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34.8 (7.0)</w:t>
            </w:r>
          </w:p>
        </w:tc>
        <w:tc>
          <w:tcPr>
            <w:tcW w:w="677" w:type="dxa"/>
            <w:shd w:val="clear" w:color="auto" w:fill="auto"/>
            <w:tcMar>
              <w:top w:w="40" w:type="dxa"/>
              <w:left w:w="40" w:type="dxa"/>
              <w:bottom w:w="40" w:type="dxa"/>
              <w:right w:w="40" w:type="dxa"/>
            </w:tcMar>
            <w:hideMark/>
          </w:tcPr>
          <w:p w14:paraId="590DF9B2"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&lt;0.001</w:t>
            </w:r>
          </w:p>
        </w:tc>
      </w:tr>
      <w:tr w:rsidR="00FD7793" w:rsidRPr="00A654CF" w14:paraId="478A86BB" w14:textId="77777777" w:rsidTr="000A0FA4">
        <w:trPr>
          <w:trHeight w:val="40"/>
          <w:jc w:val="center"/>
        </w:trPr>
        <w:tc>
          <w:tcPr>
            <w:tcW w:w="3111" w:type="dxa"/>
            <w:shd w:val="clear" w:color="auto" w:fill="auto"/>
            <w:tcMar>
              <w:top w:w="40" w:type="dxa"/>
              <w:left w:w="40" w:type="dxa"/>
              <w:bottom w:w="40" w:type="dxa"/>
              <w:right w:w="40" w:type="dxa"/>
            </w:tcMar>
            <w:vAlign w:val="bottom"/>
            <w:hideMark/>
          </w:tcPr>
          <w:p w14:paraId="5D243364"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zh-CN"/>
              </w:rPr>
              <w:t>S-</w:t>
            </w:r>
            <w:r w:rsidRPr="00A654CF">
              <w:rPr>
                <w:rFonts w:asciiTheme="majorHAnsi" w:hAnsiTheme="majorHAnsi" w:cstheme="majorHAnsi"/>
                <w:sz w:val="18"/>
                <w:szCs w:val="18"/>
                <w:lang w:val="en-US" w:eastAsia="fr-FR"/>
              </w:rPr>
              <w:t>Leptin (µg/l)</w:t>
            </w:r>
          </w:p>
        </w:tc>
        <w:tc>
          <w:tcPr>
            <w:tcW w:w="1091" w:type="dxa"/>
            <w:shd w:val="clear" w:color="auto" w:fill="auto"/>
            <w:tcMar>
              <w:top w:w="40" w:type="dxa"/>
              <w:left w:w="40" w:type="dxa"/>
              <w:bottom w:w="40" w:type="dxa"/>
              <w:right w:w="40" w:type="dxa"/>
            </w:tcMar>
            <w:hideMark/>
          </w:tcPr>
          <w:p w14:paraId="50D4754B"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8.4 (9.7)</w:t>
            </w:r>
          </w:p>
        </w:tc>
        <w:tc>
          <w:tcPr>
            <w:tcW w:w="1091" w:type="dxa"/>
            <w:shd w:val="clear" w:color="auto" w:fill="auto"/>
            <w:tcMar>
              <w:top w:w="40" w:type="dxa"/>
              <w:left w:w="40" w:type="dxa"/>
              <w:bottom w:w="40" w:type="dxa"/>
              <w:right w:w="40" w:type="dxa"/>
            </w:tcMar>
            <w:hideMark/>
          </w:tcPr>
          <w:p w14:paraId="01A4A2A7"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31.4 (33.4)</w:t>
            </w:r>
          </w:p>
        </w:tc>
        <w:tc>
          <w:tcPr>
            <w:tcW w:w="677" w:type="dxa"/>
            <w:shd w:val="clear" w:color="auto" w:fill="auto"/>
            <w:tcMar>
              <w:top w:w="40" w:type="dxa"/>
              <w:left w:w="40" w:type="dxa"/>
              <w:bottom w:w="40" w:type="dxa"/>
              <w:right w:w="40" w:type="dxa"/>
            </w:tcMar>
            <w:hideMark/>
          </w:tcPr>
          <w:p w14:paraId="2400A36E"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&lt;0.001</w:t>
            </w:r>
          </w:p>
        </w:tc>
      </w:tr>
      <w:tr w:rsidR="00FD7793" w:rsidRPr="00A654CF" w14:paraId="6B1BDA7B" w14:textId="77777777" w:rsidTr="000A0FA4">
        <w:trPr>
          <w:trHeight w:val="19"/>
          <w:jc w:val="center"/>
        </w:trPr>
        <w:tc>
          <w:tcPr>
            <w:tcW w:w="3111" w:type="dxa"/>
            <w:shd w:val="clear" w:color="auto" w:fill="auto"/>
            <w:tcMar>
              <w:top w:w="40" w:type="dxa"/>
              <w:left w:w="40" w:type="dxa"/>
              <w:bottom w:w="40" w:type="dxa"/>
              <w:right w:w="40" w:type="dxa"/>
            </w:tcMar>
            <w:vAlign w:val="bottom"/>
            <w:hideMark/>
          </w:tcPr>
          <w:p w14:paraId="285F9C20"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zh-CN"/>
              </w:rPr>
            </w:pPr>
            <w:r w:rsidRPr="00A654CF">
              <w:rPr>
                <w:rFonts w:asciiTheme="majorHAnsi" w:hAnsiTheme="majorHAnsi" w:cstheme="majorHAnsi"/>
                <w:sz w:val="18"/>
                <w:szCs w:val="18"/>
                <w:lang w:val="en-US" w:eastAsia="fr-FR"/>
              </w:rPr>
              <w:t>S-Adiponectin (mg/l)</w:t>
            </w:r>
          </w:p>
        </w:tc>
        <w:tc>
          <w:tcPr>
            <w:tcW w:w="1091" w:type="dxa"/>
            <w:shd w:val="clear" w:color="auto" w:fill="auto"/>
            <w:tcMar>
              <w:top w:w="40" w:type="dxa"/>
              <w:left w:w="40" w:type="dxa"/>
              <w:bottom w:w="40" w:type="dxa"/>
              <w:right w:w="40" w:type="dxa"/>
            </w:tcMar>
            <w:hideMark/>
          </w:tcPr>
          <w:p w14:paraId="76F52DDF"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8.6 (5.2)</w:t>
            </w:r>
          </w:p>
        </w:tc>
        <w:tc>
          <w:tcPr>
            <w:tcW w:w="1091" w:type="dxa"/>
            <w:shd w:val="clear" w:color="auto" w:fill="auto"/>
            <w:tcMar>
              <w:top w:w="40" w:type="dxa"/>
              <w:left w:w="40" w:type="dxa"/>
              <w:bottom w:w="40" w:type="dxa"/>
              <w:right w:w="40" w:type="dxa"/>
            </w:tcMar>
            <w:hideMark/>
          </w:tcPr>
          <w:p w14:paraId="36EDB155"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13.4 (8.0)</w:t>
            </w:r>
          </w:p>
        </w:tc>
        <w:tc>
          <w:tcPr>
            <w:tcW w:w="677" w:type="dxa"/>
            <w:shd w:val="clear" w:color="auto" w:fill="auto"/>
            <w:tcMar>
              <w:top w:w="40" w:type="dxa"/>
              <w:left w:w="40" w:type="dxa"/>
              <w:bottom w:w="40" w:type="dxa"/>
              <w:right w:w="40" w:type="dxa"/>
            </w:tcMar>
            <w:hideMark/>
          </w:tcPr>
          <w:p w14:paraId="57B8E451"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&lt;0.001</w:t>
            </w:r>
          </w:p>
        </w:tc>
      </w:tr>
      <w:tr w:rsidR="00FD7793" w:rsidRPr="00A654CF" w14:paraId="407116A7" w14:textId="77777777" w:rsidTr="000A0FA4">
        <w:trPr>
          <w:trHeight w:val="19"/>
          <w:jc w:val="center"/>
        </w:trPr>
        <w:tc>
          <w:tcPr>
            <w:tcW w:w="3111" w:type="dxa"/>
            <w:shd w:val="clear" w:color="auto" w:fill="auto"/>
            <w:tcMar>
              <w:top w:w="40" w:type="dxa"/>
              <w:left w:w="40" w:type="dxa"/>
              <w:bottom w:w="40" w:type="dxa"/>
              <w:right w:w="40" w:type="dxa"/>
            </w:tcMar>
            <w:vAlign w:val="bottom"/>
            <w:hideMark/>
          </w:tcPr>
          <w:p w14:paraId="26997F78"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P-Cholesterol (mmol/l)</w:t>
            </w:r>
          </w:p>
        </w:tc>
        <w:tc>
          <w:tcPr>
            <w:tcW w:w="1091" w:type="dxa"/>
            <w:shd w:val="clear" w:color="auto" w:fill="auto"/>
            <w:tcMar>
              <w:top w:w="40" w:type="dxa"/>
              <w:left w:w="40" w:type="dxa"/>
              <w:bottom w:w="40" w:type="dxa"/>
              <w:right w:w="40" w:type="dxa"/>
            </w:tcMar>
            <w:hideMark/>
          </w:tcPr>
          <w:p w14:paraId="69BBEFE4"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5.4 (1.0)</w:t>
            </w:r>
          </w:p>
        </w:tc>
        <w:tc>
          <w:tcPr>
            <w:tcW w:w="1091" w:type="dxa"/>
            <w:shd w:val="clear" w:color="auto" w:fill="auto"/>
            <w:tcMar>
              <w:top w:w="40" w:type="dxa"/>
              <w:left w:w="40" w:type="dxa"/>
              <w:bottom w:w="40" w:type="dxa"/>
              <w:right w:w="40" w:type="dxa"/>
            </w:tcMar>
            <w:hideMark/>
          </w:tcPr>
          <w:p w14:paraId="69EEDABD"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5.5 (0.9)</w:t>
            </w:r>
          </w:p>
        </w:tc>
        <w:tc>
          <w:tcPr>
            <w:tcW w:w="677" w:type="dxa"/>
            <w:shd w:val="clear" w:color="auto" w:fill="auto"/>
            <w:tcMar>
              <w:top w:w="40" w:type="dxa"/>
              <w:left w:w="40" w:type="dxa"/>
              <w:bottom w:w="40" w:type="dxa"/>
              <w:right w:w="40" w:type="dxa"/>
            </w:tcMar>
            <w:hideMark/>
          </w:tcPr>
          <w:p w14:paraId="0B4A677E"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0.462</w:t>
            </w:r>
          </w:p>
        </w:tc>
      </w:tr>
      <w:tr w:rsidR="00FD7793" w:rsidRPr="00A654CF" w14:paraId="7D18556D" w14:textId="77777777" w:rsidTr="000A0FA4">
        <w:trPr>
          <w:trHeight w:val="19"/>
          <w:jc w:val="center"/>
        </w:trPr>
        <w:tc>
          <w:tcPr>
            <w:tcW w:w="3111" w:type="dxa"/>
            <w:shd w:val="clear" w:color="auto" w:fill="auto"/>
            <w:tcMar>
              <w:top w:w="40" w:type="dxa"/>
              <w:left w:w="40" w:type="dxa"/>
              <w:bottom w:w="40" w:type="dxa"/>
              <w:right w:w="40" w:type="dxa"/>
            </w:tcMar>
            <w:vAlign w:val="bottom"/>
            <w:hideMark/>
          </w:tcPr>
          <w:p w14:paraId="4D7EE241"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P-HDL cholesterol (mmol/l)</w:t>
            </w:r>
          </w:p>
        </w:tc>
        <w:tc>
          <w:tcPr>
            <w:tcW w:w="1091" w:type="dxa"/>
            <w:shd w:val="clear" w:color="auto" w:fill="auto"/>
            <w:tcMar>
              <w:top w:w="40" w:type="dxa"/>
              <w:left w:w="40" w:type="dxa"/>
              <w:bottom w:w="40" w:type="dxa"/>
              <w:right w:w="40" w:type="dxa"/>
            </w:tcMar>
            <w:hideMark/>
          </w:tcPr>
          <w:p w14:paraId="17BAAC6F"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1.4 (0.5)</w:t>
            </w:r>
          </w:p>
        </w:tc>
        <w:tc>
          <w:tcPr>
            <w:tcW w:w="1091" w:type="dxa"/>
            <w:shd w:val="clear" w:color="auto" w:fill="auto"/>
            <w:tcMar>
              <w:top w:w="40" w:type="dxa"/>
              <w:left w:w="40" w:type="dxa"/>
              <w:bottom w:w="40" w:type="dxa"/>
              <w:right w:w="40" w:type="dxa"/>
            </w:tcMar>
            <w:hideMark/>
          </w:tcPr>
          <w:p w14:paraId="6F75E97A"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1.6 (0.5)</w:t>
            </w:r>
          </w:p>
        </w:tc>
        <w:tc>
          <w:tcPr>
            <w:tcW w:w="677" w:type="dxa"/>
            <w:shd w:val="clear" w:color="auto" w:fill="auto"/>
            <w:tcMar>
              <w:top w:w="40" w:type="dxa"/>
              <w:left w:w="40" w:type="dxa"/>
              <w:bottom w:w="40" w:type="dxa"/>
              <w:right w:w="40" w:type="dxa"/>
            </w:tcMar>
            <w:hideMark/>
          </w:tcPr>
          <w:p w14:paraId="198ACE48"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0.001</w:t>
            </w:r>
          </w:p>
        </w:tc>
      </w:tr>
      <w:tr w:rsidR="00FD7793" w:rsidRPr="00A654CF" w14:paraId="54974024" w14:textId="77777777" w:rsidTr="000A0FA4">
        <w:trPr>
          <w:trHeight w:val="19"/>
          <w:jc w:val="center"/>
        </w:trPr>
        <w:tc>
          <w:tcPr>
            <w:tcW w:w="3111" w:type="dxa"/>
            <w:shd w:val="clear" w:color="auto" w:fill="auto"/>
            <w:tcMar>
              <w:top w:w="40" w:type="dxa"/>
              <w:left w:w="40" w:type="dxa"/>
              <w:bottom w:w="40" w:type="dxa"/>
              <w:right w:w="40" w:type="dxa"/>
            </w:tcMar>
            <w:vAlign w:val="bottom"/>
            <w:hideMark/>
          </w:tcPr>
          <w:p w14:paraId="29923C6C"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P-LDL cholesterol (mmol/l)</w:t>
            </w:r>
          </w:p>
        </w:tc>
        <w:tc>
          <w:tcPr>
            <w:tcW w:w="1091" w:type="dxa"/>
            <w:shd w:val="clear" w:color="auto" w:fill="auto"/>
            <w:tcMar>
              <w:top w:w="40" w:type="dxa"/>
              <w:left w:w="40" w:type="dxa"/>
              <w:bottom w:w="40" w:type="dxa"/>
              <w:right w:w="40" w:type="dxa"/>
            </w:tcMar>
            <w:hideMark/>
          </w:tcPr>
          <w:p w14:paraId="6A24BE98"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3.4 (0.9)</w:t>
            </w:r>
          </w:p>
        </w:tc>
        <w:tc>
          <w:tcPr>
            <w:tcW w:w="1091" w:type="dxa"/>
            <w:shd w:val="clear" w:color="auto" w:fill="auto"/>
            <w:tcMar>
              <w:top w:w="40" w:type="dxa"/>
              <w:left w:w="40" w:type="dxa"/>
              <w:bottom w:w="40" w:type="dxa"/>
              <w:right w:w="40" w:type="dxa"/>
            </w:tcMar>
            <w:hideMark/>
          </w:tcPr>
          <w:p w14:paraId="1EB0B260"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3.3 (0.8)</w:t>
            </w:r>
          </w:p>
        </w:tc>
        <w:tc>
          <w:tcPr>
            <w:tcW w:w="677" w:type="dxa"/>
            <w:shd w:val="clear" w:color="auto" w:fill="auto"/>
            <w:tcMar>
              <w:top w:w="40" w:type="dxa"/>
              <w:left w:w="40" w:type="dxa"/>
              <w:bottom w:w="40" w:type="dxa"/>
              <w:right w:w="40" w:type="dxa"/>
            </w:tcMar>
            <w:hideMark/>
          </w:tcPr>
          <w:p w14:paraId="7BB7C897"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0.272</w:t>
            </w:r>
          </w:p>
        </w:tc>
      </w:tr>
      <w:tr w:rsidR="00FD7793" w:rsidRPr="00A654CF" w14:paraId="16BD61E6" w14:textId="77777777" w:rsidTr="000A0FA4">
        <w:trPr>
          <w:trHeight w:val="19"/>
          <w:jc w:val="center"/>
        </w:trPr>
        <w:tc>
          <w:tcPr>
            <w:tcW w:w="3111" w:type="dxa"/>
            <w:shd w:val="clear" w:color="auto" w:fill="auto"/>
            <w:tcMar>
              <w:top w:w="40" w:type="dxa"/>
              <w:left w:w="40" w:type="dxa"/>
              <w:bottom w:w="40" w:type="dxa"/>
              <w:right w:w="40" w:type="dxa"/>
            </w:tcMar>
            <w:vAlign w:val="bottom"/>
            <w:hideMark/>
          </w:tcPr>
          <w:p w14:paraId="49848583"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P-Triglyceride (mmol/l)</w:t>
            </w:r>
          </w:p>
        </w:tc>
        <w:tc>
          <w:tcPr>
            <w:tcW w:w="1091" w:type="dxa"/>
            <w:shd w:val="clear" w:color="auto" w:fill="auto"/>
            <w:tcMar>
              <w:top w:w="40" w:type="dxa"/>
              <w:left w:w="40" w:type="dxa"/>
              <w:bottom w:w="40" w:type="dxa"/>
              <w:right w:w="40" w:type="dxa"/>
            </w:tcMar>
            <w:hideMark/>
          </w:tcPr>
          <w:p w14:paraId="7C02C3A9"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1.3 (0.7)</w:t>
            </w:r>
          </w:p>
        </w:tc>
        <w:tc>
          <w:tcPr>
            <w:tcW w:w="1091" w:type="dxa"/>
            <w:shd w:val="clear" w:color="auto" w:fill="auto"/>
            <w:tcMar>
              <w:top w:w="40" w:type="dxa"/>
              <w:left w:w="40" w:type="dxa"/>
              <w:bottom w:w="40" w:type="dxa"/>
              <w:right w:w="40" w:type="dxa"/>
            </w:tcMar>
            <w:hideMark/>
          </w:tcPr>
          <w:p w14:paraId="111918C4"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1.3 (0.7)</w:t>
            </w:r>
          </w:p>
        </w:tc>
        <w:tc>
          <w:tcPr>
            <w:tcW w:w="677" w:type="dxa"/>
            <w:shd w:val="clear" w:color="auto" w:fill="auto"/>
            <w:tcMar>
              <w:top w:w="40" w:type="dxa"/>
              <w:left w:w="40" w:type="dxa"/>
              <w:bottom w:w="40" w:type="dxa"/>
              <w:right w:w="40" w:type="dxa"/>
            </w:tcMar>
            <w:hideMark/>
          </w:tcPr>
          <w:p w14:paraId="0AD7E01D"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0.942</w:t>
            </w:r>
          </w:p>
        </w:tc>
      </w:tr>
      <w:tr w:rsidR="00FD7793" w:rsidRPr="00A654CF" w14:paraId="61B4B331" w14:textId="77777777" w:rsidTr="000A0FA4">
        <w:trPr>
          <w:trHeight w:val="19"/>
          <w:jc w:val="center"/>
        </w:trPr>
        <w:tc>
          <w:tcPr>
            <w:tcW w:w="3111" w:type="dxa"/>
            <w:shd w:val="clear" w:color="auto" w:fill="auto"/>
            <w:tcMar>
              <w:top w:w="40" w:type="dxa"/>
              <w:left w:w="40" w:type="dxa"/>
              <w:bottom w:w="40" w:type="dxa"/>
              <w:right w:w="40" w:type="dxa"/>
            </w:tcMar>
            <w:vAlign w:val="bottom"/>
            <w:hideMark/>
          </w:tcPr>
          <w:p w14:paraId="7A617238"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P-Glucose (mmol/l)</w:t>
            </w:r>
          </w:p>
        </w:tc>
        <w:tc>
          <w:tcPr>
            <w:tcW w:w="1091" w:type="dxa"/>
            <w:shd w:val="clear" w:color="auto" w:fill="auto"/>
            <w:tcMar>
              <w:top w:w="40" w:type="dxa"/>
              <w:left w:w="40" w:type="dxa"/>
              <w:bottom w:w="40" w:type="dxa"/>
              <w:right w:w="40" w:type="dxa"/>
            </w:tcMar>
            <w:hideMark/>
          </w:tcPr>
          <w:p w14:paraId="0767BAFE"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5.8 (0.5)</w:t>
            </w:r>
          </w:p>
        </w:tc>
        <w:tc>
          <w:tcPr>
            <w:tcW w:w="1091" w:type="dxa"/>
            <w:shd w:val="clear" w:color="auto" w:fill="auto"/>
            <w:tcMar>
              <w:top w:w="40" w:type="dxa"/>
              <w:left w:w="40" w:type="dxa"/>
              <w:bottom w:w="40" w:type="dxa"/>
              <w:right w:w="40" w:type="dxa"/>
            </w:tcMar>
            <w:hideMark/>
          </w:tcPr>
          <w:p w14:paraId="317D6470"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5.7 (0.6)</w:t>
            </w:r>
          </w:p>
        </w:tc>
        <w:tc>
          <w:tcPr>
            <w:tcW w:w="677" w:type="dxa"/>
            <w:shd w:val="clear" w:color="auto" w:fill="auto"/>
            <w:tcMar>
              <w:top w:w="40" w:type="dxa"/>
              <w:left w:w="40" w:type="dxa"/>
              <w:bottom w:w="40" w:type="dxa"/>
              <w:right w:w="40" w:type="dxa"/>
            </w:tcMar>
            <w:hideMark/>
          </w:tcPr>
          <w:p w14:paraId="3282DF13"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0.078</w:t>
            </w:r>
          </w:p>
        </w:tc>
      </w:tr>
      <w:tr w:rsidR="00FD7793" w:rsidRPr="00A654CF" w14:paraId="1CF544FA" w14:textId="77777777" w:rsidTr="000A0FA4">
        <w:trPr>
          <w:trHeight w:val="19"/>
          <w:jc w:val="center"/>
        </w:trPr>
        <w:tc>
          <w:tcPr>
            <w:tcW w:w="3111" w:type="dxa"/>
            <w:shd w:val="clear" w:color="auto" w:fill="auto"/>
            <w:tcMar>
              <w:top w:w="40" w:type="dxa"/>
              <w:left w:w="40" w:type="dxa"/>
              <w:bottom w:w="40" w:type="dxa"/>
              <w:right w:w="40" w:type="dxa"/>
            </w:tcMar>
            <w:vAlign w:val="bottom"/>
            <w:hideMark/>
          </w:tcPr>
          <w:p w14:paraId="6C4B5017"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C-peptide (pmol/l)</w:t>
            </w:r>
          </w:p>
        </w:tc>
        <w:tc>
          <w:tcPr>
            <w:tcW w:w="1091" w:type="dxa"/>
            <w:shd w:val="clear" w:color="auto" w:fill="auto"/>
            <w:tcMar>
              <w:top w:w="40" w:type="dxa"/>
              <w:left w:w="40" w:type="dxa"/>
              <w:bottom w:w="40" w:type="dxa"/>
              <w:right w:w="40" w:type="dxa"/>
            </w:tcMar>
            <w:hideMark/>
          </w:tcPr>
          <w:p w14:paraId="204C74C6"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809.0 (366.0)</w:t>
            </w:r>
          </w:p>
        </w:tc>
        <w:tc>
          <w:tcPr>
            <w:tcW w:w="1091" w:type="dxa"/>
            <w:shd w:val="clear" w:color="auto" w:fill="auto"/>
            <w:tcMar>
              <w:top w:w="40" w:type="dxa"/>
              <w:left w:w="40" w:type="dxa"/>
              <w:bottom w:w="40" w:type="dxa"/>
              <w:right w:w="40" w:type="dxa"/>
            </w:tcMar>
            <w:hideMark/>
          </w:tcPr>
          <w:p w14:paraId="3028917E"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786.0 (394.0)</w:t>
            </w:r>
          </w:p>
        </w:tc>
        <w:tc>
          <w:tcPr>
            <w:tcW w:w="677" w:type="dxa"/>
            <w:shd w:val="clear" w:color="auto" w:fill="auto"/>
            <w:tcMar>
              <w:top w:w="40" w:type="dxa"/>
              <w:left w:w="40" w:type="dxa"/>
              <w:bottom w:w="40" w:type="dxa"/>
              <w:right w:w="40" w:type="dxa"/>
            </w:tcMar>
            <w:hideMark/>
          </w:tcPr>
          <w:p w14:paraId="1F626624"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0.616</w:t>
            </w:r>
          </w:p>
        </w:tc>
      </w:tr>
      <w:tr w:rsidR="00FD7793" w:rsidRPr="00A654CF" w14:paraId="4958CA39" w14:textId="77777777" w:rsidTr="000A0FA4">
        <w:trPr>
          <w:trHeight w:val="19"/>
          <w:jc w:val="center"/>
        </w:trPr>
        <w:tc>
          <w:tcPr>
            <w:tcW w:w="3111" w:type="dxa"/>
            <w:shd w:val="clear" w:color="auto" w:fill="auto"/>
            <w:tcMar>
              <w:top w:w="40" w:type="dxa"/>
              <w:left w:w="40" w:type="dxa"/>
              <w:bottom w:w="40" w:type="dxa"/>
              <w:right w:w="40" w:type="dxa"/>
            </w:tcMar>
            <w:vAlign w:val="bottom"/>
            <w:hideMark/>
          </w:tcPr>
          <w:p w14:paraId="0863F2C1"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S-Insulin (pmol/l)</w:t>
            </w:r>
          </w:p>
        </w:tc>
        <w:tc>
          <w:tcPr>
            <w:tcW w:w="1091" w:type="dxa"/>
            <w:shd w:val="clear" w:color="auto" w:fill="auto"/>
            <w:tcMar>
              <w:top w:w="40" w:type="dxa"/>
              <w:left w:w="40" w:type="dxa"/>
              <w:bottom w:w="40" w:type="dxa"/>
              <w:right w:w="40" w:type="dxa"/>
            </w:tcMar>
            <w:hideMark/>
          </w:tcPr>
          <w:p w14:paraId="7D6497F9"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53.7 (34.9)</w:t>
            </w:r>
          </w:p>
        </w:tc>
        <w:tc>
          <w:tcPr>
            <w:tcW w:w="1091" w:type="dxa"/>
            <w:shd w:val="clear" w:color="auto" w:fill="auto"/>
            <w:tcMar>
              <w:top w:w="40" w:type="dxa"/>
              <w:left w:w="40" w:type="dxa"/>
              <w:bottom w:w="40" w:type="dxa"/>
              <w:right w:w="40" w:type="dxa"/>
            </w:tcMar>
            <w:hideMark/>
          </w:tcPr>
          <w:p w14:paraId="17271EB3"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52.5 (34.7)</w:t>
            </w:r>
          </w:p>
        </w:tc>
        <w:tc>
          <w:tcPr>
            <w:tcW w:w="677" w:type="dxa"/>
            <w:shd w:val="clear" w:color="auto" w:fill="auto"/>
            <w:tcMar>
              <w:top w:w="40" w:type="dxa"/>
              <w:left w:w="40" w:type="dxa"/>
              <w:bottom w:w="40" w:type="dxa"/>
              <w:right w:w="40" w:type="dxa"/>
            </w:tcMar>
            <w:hideMark/>
          </w:tcPr>
          <w:p w14:paraId="52D17A97"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0.781</w:t>
            </w:r>
          </w:p>
        </w:tc>
      </w:tr>
      <w:tr w:rsidR="00FD7793" w:rsidRPr="00A654CF" w14:paraId="78B46DC0" w14:textId="77777777" w:rsidTr="000A0FA4">
        <w:trPr>
          <w:trHeight w:val="19"/>
          <w:jc w:val="center"/>
        </w:trPr>
        <w:tc>
          <w:tcPr>
            <w:tcW w:w="3111" w:type="dxa"/>
            <w:shd w:val="clear" w:color="auto" w:fill="auto"/>
            <w:tcMar>
              <w:top w:w="40" w:type="dxa"/>
              <w:left w:w="40" w:type="dxa"/>
              <w:bottom w:w="40" w:type="dxa"/>
              <w:right w:w="40" w:type="dxa"/>
            </w:tcMar>
            <w:vAlign w:val="bottom"/>
            <w:hideMark/>
          </w:tcPr>
          <w:p w14:paraId="6E52BE9A"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HOMA-IR adjusted for BMI</w:t>
            </w:r>
          </w:p>
        </w:tc>
        <w:tc>
          <w:tcPr>
            <w:tcW w:w="1091" w:type="dxa"/>
            <w:shd w:val="clear" w:color="auto" w:fill="auto"/>
            <w:tcMar>
              <w:top w:w="40" w:type="dxa"/>
              <w:left w:w="40" w:type="dxa"/>
              <w:bottom w:w="40" w:type="dxa"/>
              <w:right w:w="40" w:type="dxa"/>
            </w:tcMar>
            <w:hideMark/>
          </w:tcPr>
          <w:p w14:paraId="7767083D"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-0.1 (1.0)</w:t>
            </w:r>
          </w:p>
        </w:tc>
        <w:tc>
          <w:tcPr>
            <w:tcW w:w="1091" w:type="dxa"/>
            <w:shd w:val="clear" w:color="auto" w:fill="auto"/>
            <w:tcMar>
              <w:top w:w="40" w:type="dxa"/>
              <w:left w:w="40" w:type="dxa"/>
              <w:bottom w:w="40" w:type="dxa"/>
              <w:right w:w="40" w:type="dxa"/>
            </w:tcMar>
            <w:hideMark/>
          </w:tcPr>
          <w:p w14:paraId="46B3F463"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0.1 (1.3)</w:t>
            </w:r>
          </w:p>
        </w:tc>
        <w:tc>
          <w:tcPr>
            <w:tcW w:w="677" w:type="dxa"/>
            <w:shd w:val="clear" w:color="auto" w:fill="auto"/>
            <w:tcMar>
              <w:top w:w="40" w:type="dxa"/>
              <w:left w:w="40" w:type="dxa"/>
              <w:bottom w:w="40" w:type="dxa"/>
              <w:right w:w="40" w:type="dxa"/>
            </w:tcMar>
            <w:hideMark/>
          </w:tcPr>
          <w:p w14:paraId="00B346EC"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0.207</w:t>
            </w:r>
          </w:p>
        </w:tc>
      </w:tr>
      <w:tr w:rsidR="00FD7793" w:rsidRPr="00A654CF" w14:paraId="70BCCBF7" w14:textId="77777777" w:rsidTr="000A0FA4">
        <w:trPr>
          <w:trHeight w:val="19"/>
          <w:jc w:val="center"/>
        </w:trPr>
        <w:tc>
          <w:tcPr>
            <w:tcW w:w="3111" w:type="dxa"/>
            <w:shd w:val="clear" w:color="auto" w:fill="auto"/>
            <w:tcMar>
              <w:top w:w="40" w:type="dxa"/>
              <w:left w:w="40" w:type="dxa"/>
              <w:bottom w:w="40" w:type="dxa"/>
              <w:right w:w="40" w:type="dxa"/>
            </w:tcMar>
            <w:vAlign w:val="bottom"/>
            <w:hideMark/>
          </w:tcPr>
          <w:p w14:paraId="3CE34A6C" w14:textId="77777777" w:rsidR="00FD7793" w:rsidRPr="003330EC" w:rsidRDefault="00FD7793" w:rsidP="000A0FA4">
            <w:pPr>
              <w:pStyle w:val="NoSpacing"/>
              <w:spacing w:line="276" w:lineRule="auto"/>
              <w:jc w:val="center"/>
              <w:rPr>
                <w:rFonts w:asciiTheme="majorHAnsi" w:hAnsiTheme="majorHAnsi" w:cstheme="majorHAnsi"/>
                <w:sz w:val="18"/>
                <w:szCs w:val="18"/>
                <w:lang w:val="fi-FI" w:eastAsia="fr-FR"/>
              </w:rPr>
            </w:pPr>
            <w:r w:rsidRPr="003330EC">
              <w:rPr>
                <w:rFonts w:asciiTheme="majorHAnsi" w:hAnsiTheme="majorHAnsi" w:cstheme="majorHAnsi"/>
                <w:sz w:val="18"/>
                <w:szCs w:val="18"/>
                <w:lang w:val="fi-FI" w:eastAsia="fr-FR"/>
              </w:rPr>
              <w:t>HOMA-IR (mU/l * mM)</w:t>
            </w:r>
          </w:p>
        </w:tc>
        <w:tc>
          <w:tcPr>
            <w:tcW w:w="1091" w:type="dxa"/>
            <w:shd w:val="clear" w:color="auto" w:fill="auto"/>
            <w:tcMar>
              <w:top w:w="40" w:type="dxa"/>
              <w:left w:w="40" w:type="dxa"/>
              <w:bottom w:w="40" w:type="dxa"/>
              <w:right w:w="40" w:type="dxa"/>
            </w:tcMar>
            <w:hideMark/>
          </w:tcPr>
          <w:p w14:paraId="76AAF75C"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2.0 (1.4)</w:t>
            </w:r>
          </w:p>
        </w:tc>
        <w:tc>
          <w:tcPr>
            <w:tcW w:w="1091" w:type="dxa"/>
            <w:shd w:val="clear" w:color="auto" w:fill="auto"/>
            <w:tcMar>
              <w:top w:w="40" w:type="dxa"/>
              <w:left w:w="40" w:type="dxa"/>
              <w:bottom w:w="40" w:type="dxa"/>
              <w:right w:w="40" w:type="dxa"/>
            </w:tcMar>
            <w:hideMark/>
          </w:tcPr>
          <w:p w14:paraId="17E0745E"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2.0 (1.4)</w:t>
            </w:r>
          </w:p>
        </w:tc>
        <w:tc>
          <w:tcPr>
            <w:tcW w:w="677" w:type="dxa"/>
            <w:shd w:val="clear" w:color="auto" w:fill="auto"/>
            <w:tcMar>
              <w:top w:w="40" w:type="dxa"/>
              <w:left w:w="40" w:type="dxa"/>
              <w:bottom w:w="40" w:type="dxa"/>
              <w:right w:w="40" w:type="dxa"/>
            </w:tcMar>
            <w:hideMark/>
          </w:tcPr>
          <w:p w14:paraId="18DCFC03"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0.692</w:t>
            </w:r>
          </w:p>
        </w:tc>
      </w:tr>
      <w:tr w:rsidR="00FD7793" w:rsidRPr="00A654CF" w14:paraId="6174AABA" w14:textId="77777777" w:rsidTr="000A0FA4">
        <w:trPr>
          <w:trHeight w:val="19"/>
          <w:jc w:val="center"/>
        </w:trPr>
        <w:tc>
          <w:tcPr>
            <w:tcW w:w="3111" w:type="dxa"/>
            <w:shd w:val="clear" w:color="auto" w:fill="auto"/>
            <w:tcMar>
              <w:top w:w="40" w:type="dxa"/>
              <w:left w:w="40" w:type="dxa"/>
              <w:bottom w:w="40" w:type="dxa"/>
              <w:right w:w="40" w:type="dxa"/>
            </w:tcMar>
            <w:vAlign w:val="bottom"/>
            <w:hideMark/>
          </w:tcPr>
          <w:p w14:paraId="15E9AA82"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P-C-reactive protein (mg/l)</w:t>
            </w:r>
          </w:p>
        </w:tc>
        <w:tc>
          <w:tcPr>
            <w:tcW w:w="1091" w:type="dxa"/>
            <w:shd w:val="clear" w:color="auto" w:fill="auto"/>
            <w:tcMar>
              <w:top w:w="40" w:type="dxa"/>
              <w:left w:w="40" w:type="dxa"/>
              <w:bottom w:w="40" w:type="dxa"/>
              <w:right w:w="40" w:type="dxa"/>
            </w:tcMar>
            <w:hideMark/>
          </w:tcPr>
          <w:p w14:paraId="403F06BB"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2.0 (1.9)</w:t>
            </w:r>
          </w:p>
        </w:tc>
        <w:tc>
          <w:tcPr>
            <w:tcW w:w="1091" w:type="dxa"/>
            <w:shd w:val="clear" w:color="auto" w:fill="auto"/>
            <w:tcMar>
              <w:top w:w="40" w:type="dxa"/>
              <w:left w:w="40" w:type="dxa"/>
              <w:bottom w:w="40" w:type="dxa"/>
              <w:right w:w="40" w:type="dxa"/>
            </w:tcMar>
            <w:hideMark/>
          </w:tcPr>
          <w:p w14:paraId="4CF2150A"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3.1 (3.2)</w:t>
            </w:r>
          </w:p>
        </w:tc>
        <w:tc>
          <w:tcPr>
            <w:tcW w:w="677" w:type="dxa"/>
            <w:shd w:val="clear" w:color="auto" w:fill="auto"/>
            <w:tcMar>
              <w:top w:w="40" w:type="dxa"/>
              <w:left w:w="40" w:type="dxa"/>
              <w:bottom w:w="40" w:type="dxa"/>
              <w:right w:w="40" w:type="dxa"/>
            </w:tcMar>
            <w:hideMark/>
          </w:tcPr>
          <w:p w14:paraId="7E1E0A0E"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&lt;0.001</w:t>
            </w:r>
          </w:p>
        </w:tc>
      </w:tr>
      <w:tr w:rsidR="00FD7793" w:rsidRPr="00A654CF" w14:paraId="733D9CED" w14:textId="77777777" w:rsidTr="000A0FA4">
        <w:trPr>
          <w:trHeight w:val="58"/>
          <w:jc w:val="center"/>
        </w:trPr>
        <w:tc>
          <w:tcPr>
            <w:tcW w:w="3111" w:type="dxa"/>
            <w:shd w:val="clear" w:color="auto" w:fill="auto"/>
            <w:tcMar>
              <w:top w:w="40" w:type="dxa"/>
              <w:left w:w="40" w:type="dxa"/>
              <w:bottom w:w="40" w:type="dxa"/>
              <w:right w:w="40" w:type="dxa"/>
            </w:tcMar>
            <w:vAlign w:val="bottom"/>
            <w:hideMark/>
          </w:tcPr>
          <w:p w14:paraId="53C69449"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S-Interleukin 1 receptor antagonist (ng/l)</w:t>
            </w:r>
          </w:p>
        </w:tc>
        <w:tc>
          <w:tcPr>
            <w:tcW w:w="1091" w:type="dxa"/>
            <w:shd w:val="clear" w:color="auto" w:fill="auto"/>
            <w:tcMar>
              <w:top w:w="40" w:type="dxa"/>
              <w:left w:w="40" w:type="dxa"/>
              <w:bottom w:w="40" w:type="dxa"/>
              <w:right w:w="40" w:type="dxa"/>
            </w:tcMar>
            <w:hideMark/>
          </w:tcPr>
          <w:p w14:paraId="043391E2"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418.0 (366.0)</w:t>
            </w:r>
          </w:p>
        </w:tc>
        <w:tc>
          <w:tcPr>
            <w:tcW w:w="1091" w:type="dxa"/>
            <w:shd w:val="clear" w:color="auto" w:fill="auto"/>
            <w:tcMar>
              <w:top w:w="40" w:type="dxa"/>
              <w:left w:w="40" w:type="dxa"/>
              <w:bottom w:w="40" w:type="dxa"/>
              <w:right w:w="40" w:type="dxa"/>
            </w:tcMar>
            <w:hideMark/>
          </w:tcPr>
          <w:p w14:paraId="49704B04"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535.0 (454.0)</w:t>
            </w:r>
          </w:p>
        </w:tc>
        <w:tc>
          <w:tcPr>
            <w:tcW w:w="677" w:type="dxa"/>
            <w:shd w:val="clear" w:color="auto" w:fill="auto"/>
            <w:tcMar>
              <w:top w:w="40" w:type="dxa"/>
              <w:left w:w="40" w:type="dxa"/>
              <w:bottom w:w="40" w:type="dxa"/>
              <w:right w:w="40" w:type="dxa"/>
            </w:tcMar>
            <w:hideMark/>
          </w:tcPr>
          <w:p w14:paraId="73FAAFF7"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0.017</w:t>
            </w:r>
          </w:p>
        </w:tc>
      </w:tr>
      <w:tr w:rsidR="00FD7793" w:rsidRPr="00A654CF" w14:paraId="378C445B" w14:textId="77777777" w:rsidTr="000A0FA4">
        <w:trPr>
          <w:trHeight w:val="19"/>
          <w:jc w:val="center"/>
        </w:trPr>
        <w:tc>
          <w:tcPr>
            <w:tcW w:w="3111" w:type="dxa"/>
            <w:shd w:val="clear" w:color="auto" w:fill="auto"/>
            <w:tcMar>
              <w:top w:w="40" w:type="dxa"/>
              <w:left w:w="40" w:type="dxa"/>
              <w:bottom w:w="40" w:type="dxa"/>
              <w:right w:w="40" w:type="dxa"/>
            </w:tcMar>
            <w:vAlign w:val="bottom"/>
            <w:hideMark/>
          </w:tcPr>
          <w:p w14:paraId="1DBA163A"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S-Interleukin 6 (ng/l)</w:t>
            </w:r>
          </w:p>
        </w:tc>
        <w:tc>
          <w:tcPr>
            <w:tcW w:w="1091" w:type="dxa"/>
            <w:shd w:val="clear" w:color="auto" w:fill="auto"/>
            <w:tcMar>
              <w:top w:w="40" w:type="dxa"/>
              <w:left w:w="40" w:type="dxa"/>
              <w:bottom w:w="40" w:type="dxa"/>
              <w:right w:w="40" w:type="dxa"/>
            </w:tcMar>
            <w:hideMark/>
          </w:tcPr>
          <w:p w14:paraId="06F378BB"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17.8 (21.3)</w:t>
            </w:r>
          </w:p>
        </w:tc>
        <w:tc>
          <w:tcPr>
            <w:tcW w:w="1091" w:type="dxa"/>
            <w:shd w:val="clear" w:color="auto" w:fill="auto"/>
            <w:tcMar>
              <w:top w:w="40" w:type="dxa"/>
              <w:left w:w="40" w:type="dxa"/>
              <w:bottom w:w="40" w:type="dxa"/>
              <w:right w:w="40" w:type="dxa"/>
            </w:tcMar>
            <w:hideMark/>
          </w:tcPr>
          <w:p w14:paraId="456B4040"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21.3 (21.4)</w:t>
            </w:r>
          </w:p>
        </w:tc>
        <w:tc>
          <w:tcPr>
            <w:tcW w:w="677" w:type="dxa"/>
            <w:shd w:val="clear" w:color="auto" w:fill="auto"/>
            <w:tcMar>
              <w:top w:w="40" w:type="dxa"/>
              <w:left w:w="40" w:type="dxa"/>
              <w:bottom w:w="40" w:type="dxa"/>
              <w:right w:w="40" w:type="dxa"/>
            </w:tcMar>
            <w:hideMark/>
          </w:tcPr>
          <w:p w14:paraId="3E8CB86F"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0.169</w:t>
            </w:r>
          </w:p>
        </w:tc>
      </w:tr>
      <w:tr w:rsidR="00FD7793" w:rsidRPr="00A654CF" w14:paraId="0A5792A2" w14:textId="77777777" w:rsidTr="000A0FA4">
        <w:trPr>
          <w:trHeight w:val="76"/>
          <w:jc w:val="center"/>
        </w:trPr>
        <w:tc>
          <w:tcPr>
            <w:tcW w:w="3111" w:type="dxa"/>
            <w:shd w:val="clear" w:color="auto" w:fill="auto"/>
            <w:tcMar>
              <w:top w:w="40" w:type="dxa"/>
              <w:left w:w="40" w:type="dxa"/>
              <w:bottom w:w="40" w:type="dxa"/>
              <w:right w:w="40" w:type="dxa"/>
            </w:tcMar>
            <w:vAlign w:val="bottom"/>
            <w:hideMark/>
          </w:tcPr>
          <w:p w14:paraId="1B271C38"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S-Tumor necrosis factor alfa (ng/l)</w:t>
            </w:r>
          </w:p>
        </w:tc>
        <w:tc>
          <w:tcPr>
            <w:tcW w:w="1091" w:type="dxa"/>
            <w:shd w:val="clear" w:color="auto" w:fill="auto"/>
            <w:tcMar>
              <w:top w:w="40" w:type="dxa"/>
              <w:left w:w="40" w:type="dxa"/>
              <w:bottom w:w="40" w:type="dxa"/>
              <w:right w:w="40" w:type="dxa"/>
            </w:tcMar>
            <w:hideMark/>
          </w:tcPr>
          <w:p w14:paraId="46725CEC"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21.9 (32.2)</w:t>
            </w:r>
          </w:p>
        </w:tc>
        <w:tc>
          <w:tcPr>
            <w:tcW w:w="1091" w:type="dxa"/>
            <w:shd w:val="clear" w:color="auto" w:fill="auto"/>
            <w:tcMar>
              <w:top w:w="40" w:type="dxa"/>
              <w:left w:w="40" w:type="dxa"/>
              <w:bottom w:w="40" w:type="dxa"/>
              <w:right w:w="40" w:type="dxa"/>
            </w:tcMar>
            <w:hideMark/>
          </w:tcPr>
          <w:p w14:paraId="2C6395A3"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28.6 (56.4)</w:t>
            </w:r>
          </w:p>
        </w:tc>
        <w:tc>
          <w:tcPr>
            <w:tcW w:w="677" w:type="dxa"/>
            <w:shd w:val="clear" w:color="auto" w:fill="auto"/>
            <w:tcMar>
              <w:top w:w="40" w:type="dxa"/>
              <w:left w:w="40" w:type="dxa"/>
              <w:bottom w:w="40" w:type="dxa"/>
              <w:right w:w="40" w:type="dxa"/>
            </w:tcMar>
            <w:hideMark/>
          </w:tcPr>
          <w:p w14:paraId="03706822"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0.216</w:t>
            </w:r>
          </w:p>
        </w:tc>
      </w:tr>
      <w:tr w:rsidR="00FD7793" w:rsidRPr="00A654CF" w14:paraId="08B351C5" w14:textId="77777777" w:rsidTr="000A0FA4">
        <w:trPr>
          <w:trHeight w:val="19"/>
          <w:jc w:val="center"/>
        </w:trPr>
        <w:tc>
          <w:tcPr>
            <w:tcW w:w="3111" w:type="dxa"/>
            <w:shd w:val="clear" w:color="auto" w:fill="auto"/>
            <w:tcMar>
              <w:top w:w="40" w:type="dxa"/>
              <w:left w:w="40" w:type="dxa"/>
              <w:bottom w:w="40" w:type="dxa"/>
              <w:right w:w="40" w:type="dxa"/>
            </w:tcMar>
            <w:vAlign w:val="bottom"/>
            <w:hideMark/>
          </w:tcPr>
          <w:p w14:paraId="5CA0FFC1"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B-Lymphocytes (count/l * 10E9)</w:t>
            </w:r>
          </w:p>
        </w:tc>
        <w:tc>
          <w:tcPr>
            <w:tcW w:w="1091" w:type="dxa"/>
            <w:shd w:val="clear" w:color="auto" w:fill="auto"/>
            <w:tcMar>
              <w:top w:w="40" w:type="dxa"/>
              <w:left w:w="40" w:type="dxa"/>
              <w:bottom w:w="40" w:type="dxa"/>
              <w:right w:w="40" w:type="dxa"/>
            </w:tcMar>
            <w:hideMark/>
          </w:tcPr>
          <w:p w14:paraId="27808414"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1.8 (0.5)</w:t>
            </w:r>
          </w:p>
        </w:tc>
        <w:tc>
          <w:tcPr>
            <w:tcW w:w="1091" w:type="dxa"/>
            <w:shd w:val="clear" w:color="auto" w:fill="auto"/>
            <w:tcMar>
              <w:top w:w="40" w:type="dxa"/>
              <w:left w:w="40" w:type="dxa"/>
              <w:bottom w:w="40" w:type="dxa"/>
              <w:right w:w="40" w:type="dxa"/>
            </w:tcMar>
            <w:hideMark/>
          </w:tcPr>
          <w:p w14:paraId="0857BB80"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1.9 (0.5)</w:t>
            </w:r>
          </w:p>
        </w:tc>
        <w:tc>
          <w:tcPr>
            <w:tcW w:w="677" w:type="dxa"/>
            <w:shd w:val="clear" w:color="auto" w:fill="auto"/>
            <w:tcMar>
              <w:top w:w="40" w:type="dxa"/>
              <w:left w:w="40" w:type="dxa"/>
              <w:bottom w:w="40" w:type="dxa"/>
              <w:right w:w="40" w:type="dxa"/>
            </w:tcMar>
            <w:hideMark/>
          </w:tcPr>
          <w:p w14:paraId="28C0D4E0"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0.225</w:t>
            </w:r>
          </w:p>
        </w:tc>
      </w:tr>
      <w:tr w:rsidR="00FD7793" w:rsidRPr="00A654CF" w14:paraId="1A8B98B2" w14:textId="77777777" w:rsidTr="000A0FA4">
        <w:trPr>
          <w:trHeight w:val="19"/>
          <w:jc w:val="center"/>
        </w:trPr>
        <w:tc>
          <w:tcPr>
            <w:tcW w:w="3111" w:type="dxa"/>
            <w:shd w:val="clear" w:color="auto" w:fill="auto"/>
            <w:tcMar>
              <w:top w:w="40" w:type="dxa"/>
              <w:left w:w="40" w:type="dxa"/>
              <w:bottom w:w="40" w:type="dxa"/>
              <w:right w:w="40" w:type="dxa"/>
            </w:tcMar>
            <w:vAlign w:val="bottom"/>
            <w:hideMark/>
          </w:tcPr>
          <w:p w14:paraId="6254B57A"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B-Leucocytes (count/l * 10E9)</w:t>
            </w:r>
          </w:p>
        </w:tc>
        <w:tc>
          <w:tcPr>
            <w:tcW w:w="1091" w:type="dxa"/>
            <w:shd w:val="clear" w:color="auto" w:fill="auto"/>
            <w:tcMar>
              <w:top w:w="40" w:type="dxa"/>
              <w:left w:w="40" w:type="dxa"/>
              <w:bottom w:w="40" w:type="dxa"/>
              <w:right w:w="40" w:type="dxa"/>
            </w:tcMar>
            <w:hideMark/>
          </w:tcPr>
          <w:p w14:paraId="66C2EB06"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6.2 (1.7)</w:t>
            </w:r>
          </w:p>
        </w:tc>
        <w:tc>
          <w:tcPr>
            <w:tcW w:w="1091" w:type="dxa"/>
            <w:shd w:val="clear" w:color="auto" w:fill="auto"/>
            <w:tcMar>
              <w:top w:w="40" w:type="dxa"/>
              <w:left w:w="40" w:type="dxa"/>
              <w:bottom w:w="40" w:type="dxa"/>
              <w:right w:w="40" w:type="dxa"/>
            </w:tcMar>
            <w:hideMark/>
          </w:tcPr>
          <w:p w14:paraId="5EBF3FFC"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6.0 (1.6)</w:t>
            </w:r>
          </w:p>
        </w:tc>
        <w:tc>
          <w:tcPr>
            <w:tcW w:w="677" w:type="dxa"/>
            <w:shd w:val="clear" w:color="auto" w:fill="auto"/>
            <w:tcMar>
              <w:top w:w="40" w:type="dxa"/>
              <w:left w:w="40" w:type="dxa"/>
              <w:bottom w:w="40" w:type="dxa"/>
              <w:right w:w="40" w:type="dxa"/>
            </w:tcMar>
            <w:hideMark/>
          </w:tcPr>
          <w:p w14:paraId="6A069B95"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0.245</w:t>
            </w:r>
          </w:p>
        </w:tc>
      </w:tr>
      <w:tr w:rsidR="00FD7793" w:rsidRPr="00A654CF" w14:paraId="5AE7E3DF" w14:textId="77777777" w:rsidTr="000A0FA4">
        <w:trPr>
          <w:trHeight w:val="19"/>
          <w:jc w:val="center"/>
        </w:trPr>
        <w:tc>
          <w:tcPr>
            <w:tcW w:w="3111" w:type="dxa"/>
            <w:shd w:val="clear" w:color="auto" w:fill="auto"/>
            <w:tcMar>
              <w:top w:w="40" w:type="dxa"/>
              <w:left w:w="40" w:type="dxa"/>
              <w:bottom w:w="40" w:type="dxa"/>
              <w:right w:w="40" w:type="dxa"/>
            </w:tcMar>
            <w:vAlign w:val="bottom"/>
            <w:hideMark/>
          </w:tcPr>
          <w:p w14:paraId="786D97E9"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S-TCA (ng/mL)</w:t>
            </w:r>
          </w:p>
        </w:tc>
        <w:tc>
          <w:tcPr>
            <w:tcW w:w="1091" w:type="dxa"/>
            <w:shd w:val="clear" w:color="auto" w:fill="auto"/>
            <w:tcMar>
              <w:top w:w="40" w:type="dxa"/>
              <w:left w:w="40" w:type="dxa"/>
              <w:bottom w:w="40" w:type="dxa"/>
              <w:right w:w="40" w:type="dxa"/>
            </w:tcMar>
            <w:hideMark/>
          </w:tcPr>
          <w:p w14:paraId="1F69CF24"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12.9 (16.4)</w:t>
            </w:r>
          </w:p>
        </w:tc>
        <w:tc>
          <w:tcPr>
            <w:tcW w:w="1091" w:type="dxa"/>
            <w:shd w:val="clear" w:color="auto" w:fill="auto"/>
            <w:tcMar>
              <w:top w:w="40" w:type="dxa"/>
              <w:left w:w="40" w:type="dxa"/>
              <w:bottom w:w="40" w:type="dxa"/>
              <w:right w:w="40" w:type="dxa"/>
            </w:tcMar>
            <w:hideMark/>
          </w:tcPr>
          <w:p w14:paraId="393C578B"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14.4 (38.2)</w:t>
            </w:r>
          </w:p>
        </w:tc>
        <w:tc>
          <w:tcPr>
            <w:tcW w:w="677" w:type="dxa"/>
            <w:shd w:val="clear" w:color="auto" w:fill="auto"/>
            <w:tcMar>
              <w:top w:w="40" w:type="dxa"/>
              <w:left w:w="40" w:type="dxa"/>
              <w:bottom w:w="40" w:type="dxa"/>
              <w:right w:w="40" w:type="dxa"/>
            </w:tcMar>
            <w:hideMark/>
          </w:tcPr>
          <w:p w14:paraId="5AF74390"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0.654</w:t>
            </w:r>
          </w:p>
        </w:tc>
      </w:tr>
      <w:tr w:rsidR="00FD7793" w:rsidRPr="00A654CF" w14:paraId="15FF45C1" w14:textId="77777777" w:rsidTr="000A0FA4">
        <w:trPr>
          <w:trHeight w:val="40"/>
          <w:jc w:val="center"/>
        </w:trPr>
        <w:tc>
          <w:tcPr>
            <w:tcW w:w="3111" w:type="dxa"/>
            <w:shd w:val="clear" w:color="auto" w:fill="auto"/>
            <w:tcMar>
              <w:top w:w="40" w:type="dxa"/>
              <w:left w:w="40" w:type="dxa"/>
              <w:bottom w:w="40" w:type="dxa"/>
              <w:right w:w="40" w:type="dxa"/>
            </w:tcMar>
            <w:vAlign w:val="bottom"/>
            <w:hideMark/>
          </w:tcPr>
          <w:p w14:paraId="0D1DC5D2"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S-TaMCA (ng/mL)</w:t>
            </w:r>
          </w:p>
        </w:tc>
        <w:tc>
          <w:tcPr>
            <w:tcW w:w="1091" w:type="dxa"/>
            <w:shd w:val="clear" w:color="auto" w:fill="auto"/>
            <w:tcMar>
              <w:top w:w="40" w:type="dxa"/>
              <w:left w:w="40" w:type="dxa"/>
              <w:bottom w:w="40" w:type="dxa"/>
              <w:right w:w="40" w:type="dxa"/>
            </w:tcMar>
            <w:hideMark/>
          </w:tcPr>
          <w:p w14:paraId="4A3ABAAB"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3.6 (3.5)</w:t>
            </w:r>
          </w:p>
        </w:tc>
        <w:tc>
          <w:tcPr>
            <w:tcW w:w="1091" w:type="dxa"/>
            <w:shd w:val="clear" w:color="auto" w:fill="auto"/>
            <w:tcMar>
              <w:top w:w="40" w:type="dxa"/>
              <w:left w:w="40" w:type="dxa"/>
              <w:bottom w:w="40" w:type="dxa"/>
              <w:right w:w="40" w:type="dxa"/>
            </w:tcMar>
            <w:hideMark/>
          </w:tcPr>
          <w:p w14:paraId="4A18007F"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4.2 (5.1)</w:t>
            </w:r>
          </w:p>
        </w:tc>
        <w:tc>
          <w:tcPr>
            <w:tcW w:w="677" w:type="dxa"/>
            <w:shd w:val="clear" w:color="auto" w:fill="auto"/>
            <w:tcMar>
              <w:top w:w="40" w:type="dxa"/>
              <w:left w:w="40" w:type="dxa"/>
              <w:bottom w:w="40" w:type="dxa"/>
              <w:right w:w="40" w:type="dxa"/>
            </w:tcMar>
            <w:hideMark/>
          </w:tcPr>
          <w:p w14:paraId="15D7E1D4"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0.271</w:t>
            </w:r>
          </w:p>
        </w:tc>
      </w:tr>
      <w:tr w:rsidR="00FD7793" w:rsidRPr="00A654CF" w14:paraId="3AC88D48" w14:textId="77777777" w:rsidTr="000A0FA4">
        <w:trPr>
          <w:trHeight w:val="19"/>
          <w:jc w:val="center"/>
        </w:trPr>
        <w:tc>
          <w:tcPr>
            <w:tcW w:w="3111" w:type="dxa"/>
            <w:shd w:val="clear" w:color="auto" w:fill="auto"/>
            <w:tcMar>
              <w:top w:w="40" w:type="dxa"/>
              <w:left w:w="40" w:type="dxa"/>
              <w:bottom w:w="40" w:type="dxa"/>
              <w:right w:w="40" w:type="dxa"/>
            </w:tcMar>
            <w:vAlign w:val="bottom"/>
            <w:hideMark/>
          </w:tcPr>
          <w:p w14:paraId="7D23B861"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S-THCA (ng/mL)</w:t>
            </w:r>
          </w:p>
        </w:tc>
        <w:tc>
          <w:tcPr>
            <w:tcW w:w="1091" w:type="dxa"/>
            <w:shd w:val="clear" w:color="auto" w:fill="auto"/>
            <w:tcMar>
              <w:top w:w="40" w:type="dxa"/>
              <w:left w:w="40" w:type="dxa"/>
              <w:bottom w:w="40" w:type="dxa"/>
              <w:right w:w="40" w:type="dxa"/>
            </w:tcMar>
            <w:hideMark/>
          </w:tcPr>
          <w:p w14:paraId="5E655513"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1.3 (1.3)</w:t>
            </w:r>
          </w:p>
        </w:tc>
        <w:tc>
          <w:tcPr>
            <w:tcW w:w="1091" w:type="dxa"/>
            <w:shd w:val="clear" w:color="auto" w:fill="auto"/>
            <w:tcMar>
              <w:top w:w="40" w:type="dxa"/>
              <w:left w:w="40" w:type="dxa"/>
              <w:bottom w:w="40" w:type="dxa"/>
              <w:right w:w="40" w:type="dxa"/>
            </w:tcMar>
            <w:hideMark/>
          </w:tcPr>
          <w:p w14:paraId="707DB335"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1.1 (0.9)</w:t>
            </w:r>
          </w:p>
        </w:tc>
        <w:tc>
          <w:tcPr>
            <w:tcW w:w="677" w:type="dxa"/>
            <w:shd w:val="clear" w:color="auto" w:fill="auto"/>
            <w:tcMar>
              <w:top w:w="40" w:type="dxa"/>
              <w:left w:w="40" w:type="dxa"/>
              <w:bottom w:w="40" w:type="dxa"/>
              <w:right w:w="40" w:type="dxa"/>
            </w:tcMar>
            <w:hideMark/>
          </w:tcPr>
          <w:p w14:paraId="2150FB61"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0.148</w:t>
            </w:r>
          </w:p>
        </w:tc>
      </w:tr>
      <w:tr w:rsidR="00FD7793" w:rsidRPr="00A654CF" w14:paraId="58592782" w14:textId="77777777" w:rsidTr="000A0FA4">
        <w:trPr>
          <w:trHeight w:val="58"/>
          <w:jc w:val="center"/>
        </w:trPr>
        <w:tc>
          <w:tcPr>
            <w:tcW w:w="3111" w:type="dxa"/>
            <w:shd w:val="clear" w:color="auto" w:fill="auto"/>
            <w:tcMar>
              <w:top w:w="40" w:type="dxa"/>
              <w:left w:w="40" w:type="dxa"/>
              <w:bottom w:w="40" w:type="dxa"/>
              <w:right w:w="40" w:type="dxa"/>
            </w:tcMar>
            <w:vAlign w:val="bottom"/>
            <w:hideMark/>
          </w:tcPr>
          <w:p w14:paraId="3AE0E337"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S-TCDCA (ng/mL)</w:t>
            </w:r>
          </w:p>
        </w:tc>
        <w:tc>
          <w:tcPr>
            <w:tcW w:w="1091" w:type="dxa"/>
            <w:shd w:val="clear" w:color="auto" w:fill="auto"/>
            <w:tcMar>
              <w:top w:w="40" w:type="dxa"/>
              <w:left w:w="40" w:type="dxa"/>
              <w:bottom w:w="40" w:type="dxa"/>
              <w:right w:w="40" w:type="dxa"/>
            </w:tcMar>
            <w:hideMark/>
          </w:tcPr>
          <w:p w14:paraId="60798993"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24.5 (28.3)</w:t>
            </w:r>
          </w:p>
        </w:tc>
        <w:tc>
          <w:tcPr>
            <w:tcW w:w="1091" w:type="dxa"/>
            <w:shd w:val="clear" w:color="auto" w:fill="auto"/>
            <w:tcMar>
              <w:top w:w="40" w:type="dxa"/>
              <w:left w:w="40" w:type="dxa"/>
              <w:bottom w:w="40" w:type="dxa"/>
              <w:right w:w="40" w:type="dxa"/>
            </w:tcMar>
            <w:hideMark/>
          </w:tcPr>
          <w:p w14:paraId="319FA904"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24.2 (46.8)</w:t>
            </w:r>
          </w:p>
        </w:tc>
        <w:tc>
          <w:tcPr>
            <w:tcW w:w="677" w:type="dxa"/>
            <w:shd w:val="clear" w:color="auto" w:fill="auto"/>
            <w:tcMar>
              <w:top w:w="40" w:type="dxa"/>
              <w:left w:w="40" w:type="dxa"/>
              <w:bottom w:w="40" w:type="dxa"/>
              <w:right w:w="40" w:type="dxa"/>
            </w:tcMar>
            <w:hideMark/>
          </w:tcPr>
          <w:p w14:paraId="5523C569"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0.935</w:t>
            </w:r>
          </w:p>
        </w:tc>
      </w:tr>
      <w:tr w:rsidR="00FD7793" w:rsidRPr="00A654CF" w14:paraId="1699F0A6" w14:textId="77777777" w:rsidTr="000A0FA4">
        <w:trPr>
          <w:trHeight w:val="22"/>
          <w:jc w:val="center"/>
        </w:trPr>
        <w:tc>
          <w:tcPr>
            <w:tcW w:w="3111" w:type="dxa"/>
            <w:shd w:val="clear" w:color="auto" w:fill="auto"/>
            <w:tcMar>
              <w:top w:w="40" w:type="dxa"/>
              <w:left w:w="40" w:type="dxa"/>
              <w:bottom w:w="40" w:type="dxa"/>
              <w:right w:w="40" w:type="dxa"/>
            </w:tcMar>
            <w:vAlign w:val="bottom"/>
            <w:hideMark/>
          </w:tcPr>
          <w:p w14:paraId="6F4D8250"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S-TDCA (ng/mL)</w:t>
            </w:r>
          </w:p>
        </w:tc>
        <w:tc>
          <w:tcPr>
            <w:tcW w:w="1091" w:type="dxa"/>
            <w:shd w:val="clear" w:color="auto" w:fill="auto"/>
            <w:tcMar>
              <w:top w:w="40" w:type="dxa"/>
              <w:left w:w="40" w:type="dxa"/>
              <w:bottom w:w="40" w:type="dxa"/>
              <w:right w:w="40" w:type="dxa"/>
            </w:tcMar>
            <w:hideMark/>
          </w:tcPr>
          <w:p w14:paraId="0B8D19F9"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22.8 (37.8)</w:t>
            </w:r>
          </w:p>
        </w:tc>
        <w:tc>
          <w:tcPr>
            <w:tcW w:w="1091" w:type="dxa"/>
            <w:shd w:val="clear" w:color="auto" w:fill="auto"/>
            <w:tcMar>
              <w:top w:w="40" w:type="dxa"/>
              <w:left w:w="40" w:type="dxa"/>
              <w:bottom w:w="40" w:type="dxa"/>
              <w:right w:w="40" w:type="dxa"/>
            </w:tcMar>
            <w:hideMark/>
          </w:tcPr>
          <w:p w14:paraId="3F2A0FF1"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20.4 (31.0)</w:t>
            </w:r>
          </w:p>
        </w:tc>
        <w:tc>
          <w:tcPr>
            <w:tcW w:w="677" w:type="dxa"/>
            <w:shd w:val="clear" w:color="auto" w:fill="auto"/>
            <w:tcMar>
              <w:top w:w="40" w:type="dxa"/>
              <w:left w:w="40" w:type="dxa"/>
              <w:bottom w:w="40" w:type="dxa"/>
              <w:right w:w="40" w:type="dxa"/>
            </w:tcMar>
            <w:hideMark/>
          </w:tcPr>
          <w:p w14:paraId="4BB26A04"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0.572</w:t>
            </w:r>
          </w:p>
        </w:tc>
      </w:tr>
      <w:tr w:rsidR="00FD7793" w:rsidRPr="00A654CF" w14:paraId="153CEB51" w14:textId="77777777" w:rsidTr="000A0FA4">
        <w:trPr>
          <w:trHeight w:val="19"/>
          <w:jc w:val="center"/>
        </w:trPr>
        <w:tc>
          <w:tcPr>
            <w:tcW w:w="3111" w:type="dxa"/>
            <w:shd w:val="clear" w:color="auto" w:fill="auto"/>
            <w:tcMar>
              <w:top w:w="40" w:type="dxa"/>
              <w:left w:w="40" w:type="dxa"/>
              <w:bottom w:w="40" w:type="dxa"/>
              <w:right w:w="40" w:type="dxa"/>
            </w:tcMar>
            <w:vAlign w:val="bottom"/>
            <w:hideMark/>
          </w:tcPr>
          <w:p w14:paraId="2AB1D7F0"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S-TUDCA (ng/mL)</w:t>
            </w:r>
          </w:p>
        </w:tc>
        <w:tc>
          <w:tcPr>
            <w:tcW w:w="1091" w:type="dxa"/>
            <w:shd w:val="clear" w:color="auto" w:fill="auto"/>
            <w:tcMar>
              <w:top w:w="40" w:type="dxa"/>
              <w:left w:w="40" w:type="dxa"/>
              <w:bottom w:w="40" w:type="dxa"/>
              <w:right w:w="40" w:type="dxa"/>
            </w:tcMar>
            <w:hideMark/>
          </w:tcPr>
          <w:p w14:paraId="03B5DE8B"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3.1 (3.0)</w:t>
            </w:r>
          </w:p>
        </w:tc>
        <w:tc>
          <w:tcPr>
            <w:tcW w:w="1091" w:type="dxa"/>
            <w:shd w:val="clear" w:color="auto" w:fill="auto"/>
            <w:tcMar>
              <w:top w:w="40" w:type="dxa"/>
              <w:left w:w="40" w:type="dxa"/>
              <w:bottom w:w="40" w:type="dxa"/>
              <w:right w:w="40" w:type="dxa"/>
            </w:tcMar>
            <w:hideMark/>
          </w:tcPr>
          <w:p w14:paraId="7327317E"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2.7 (2.7)</w:t>
            </w:r>
          </w:p>
        </w:tc>
        <w:tc>
          <w:tcPr>
            <w:tcW w:w="677" w:type="dxa"/>
            <w:shd w:val="clear" w:color="auto" w:fill="auto"/>
            <w:tcMar>
              <w:top w:w="40" w:type="dxa"/>
              <w:left w:w="40" w:type="dxa"/>
              <w:bottom w:w="40" w:type="dxa"/>
              <w:right w:w="40" w:type="dxa"/>
            </w:tcMar>
            <w:hideMark/>
          </w:tcPr>
          <w:p w14:paraId="41A2950D"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0.218</w:t>
            </w:r>
          </w:p>
        </w:tc>
      </w:tr>
      <w:tr w:rsidR="00FD7793" w:rsidRPr="00A654CF" w14:paraId="511DCC20" w14:textId="77777777" w:rsidTr="000A0FA4">
        <w:trPr>
          <w:trHeight w:val="130"/>
          <w:jc w:val="center"/>
        </w:trPr>
        <w:tc>
          <w:tcPr>
            <w:tcW w:w="3111" w:type="dxa"/>
            <w:shd w:val="clear" w:color="auto" w:fill="auto"/>
            <w:tcMar>
              <w:top w:w="40" w:type="dxa"/>
              <w:left w:w="40" w:type="dxa"/>
              <w:bottom w:w="40" w:type="dxa"/>
              <w:right w:w="40" w:type="dxa"/>
            </w:tcMar>
            <w:vAlign w:val="bottom"/>
            <w:hideMark/>
          </w:tcPr>
          <w:p w14:paraId="5D1C42DD"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S-GCA (ng/mL)</w:t>
            </w:r>
          </w:p>
        </w:tc>
        <w:tc>
          <w:tcPr>
            <w:tcW w:w="1091" w:type="dxa"/>
            <w:shd w:val="clear" w:color="auto" w:fill="auto"/>
            <w:tcMar>
              <w:top w:w="40" w:type="dxa"/>
              <w:left w:w="40" w:type="dxa"/>
              <w:bottom w:w="40" w:type="dxa"/>
              <w:right w:w="40" w:type="dxa"/>
            </w:tcMar>
            <w:hideMark/>
          </w:tcPr>
          <w:p w14:paraId="203DFA38"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77.8 (85.7)</w:t>
            </w:r>
          </w:p>
        </w:tc>
        <w:tc>
          <w:tcPr>
            <w:tcW w:w="1091" w:type="dxa"/>
            <w:shd w:val="clear" w:color="auto" w:fill="auto"/>
            <w:tcMar>
              <w:top w:w="40" w:type="dxa"/>
              <w:left w:w="40" w:type="dxa"/>
              <w:bottom w:w="40" w:type="dxa"/>
              <w:right w:w="40" w:type="dxa"/>
            </w:tcMar>
            <w:hideMark/>
          </w:tcPr>
          <w:p w14:paraId="04B4F955"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68.6 (136.0)</w:t>
            </w:r>
          </w:p>
        </w:tc>
        <w:tc>
          <w:tcPr>
            <w:tcW w:w="677" w:type="dxa"/>
            <w:shd w:val="clear" w:color="auto" w:fill="auto"/>
            <w:tcMar>
              <w:top w:w="40" w:type="dxa"/>
              <w:left w:w="40" w:type="dxa"/>
              <w:bottom w:w="40" w:type="dxa"/>
              <w:right w:w="40" w:type="dxa"/>
            </w:tcMar>
            <w:hideMark/>
          </w:tcPr>
          <w:p w14:paraId="2DCDF431"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0.491</w:t>
            </w:r>
          </w:p>
        </w:tc>
      </w:tr>
      <w:tr w:rsidR="00FD7793" w:rsidRPr="00A654CF" w14:paraId="2A2BB05E" w14:textId="77777777" w:rsidTr="000A0FA4">
        <w:trPr>
          <w:trHeight w:val="19"/>
          <w:jc w:val="center"/>
        </w:trPr>
        <w:tc>
          <w:tcPr>
            <w:tcW w:w="3111" w:type="dxa"/>
            <w:shd w:val="clear" w:color="auto" w:fill="auto"/>
            <w:tcMar>
              <w:top w:w="40" w:type="dxa"/>
              <w:left w:w="40" w:type="dxa"/>
              <w:bottom w:w="40" w:type="dxa"/>
              <w:right w:w="40" w:type="dxa"/>
            </w:tcMar>
            <w:vAlign w:val="bottom"/>
            <w:hideMark/>
          </w:tcPr>
          <w:p w14:paraId="7F2CB6AC"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S-GHCA (ng/mL)</w:t>
            </w:r>
          </w:p>
        </w:tc>
        <w:tc>
          <w:tcPr>
            <w:tcW w:w="1091" w:type="dxa"/>
            <w:shd w:val="clear" w:color="auto" w:fill="auto"/>
            <w:tcMar>
              <w:top w:w="40" w:type="dxa"/>
              <w:left w:w="40" w:type="dxa"/>
              <w:bottom w:w="40" w:type="dxa"/>
              <w:right w:w="40" w:type="dxa"/>
            </w:tcMar>
            <w:hideMark/>
          </w:tcPr>
          <w:p w14:paraId="7168D686"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5.6 (6.3)</w:t>
            </w:r>
          </w:p>
        </w:tc>
        <w:tc>
          <w:tcPr>
            <w:tcW w:w="1091" w:type="dxa"/>
            <w:shd w:val="clear" w:color="auto" w:fill="auto"/>
            <w:tcMar>
              <w:top w:w="40" w:type="dxa"/>
              <w:left w:w="40" w:type="dxa"/>
              <w:bottom w:w="40" w:type="dxa"/>
              <w:right w:w="40" w:type="dxa"/>
            </w:tcMar>
            <w:hideMark/>
          </w:tcPr>
          <w:p w14:paraId="5DFABE33"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4.1 (3.9)</w:t>
            </w:r>
          </w:p>
        </w:tc>
        <w:tc>
          <w:tcPr>
            <w:tcW w:w="677" w:type="dxa"/>
            <w:shd w:val="clear" w:color="auto" w:fill="auto"/>
            <w:tcMar>
              <w:top w:w="40" w:type="dxa"/>
              <w:left w:w="40" w:type="dxa"/>
              <w:bottom w:w="40" w:type="dxa"/>
              <w:right w:w="40" w:type="dxa"/>
            </w:tcMar>
            <w:hideMark/>
          </w:tcPr>
          <w:p w14:paraId="775F9D8A"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0.018</w:t>
            </w:r>
          </w:p>
        </w:tc>
      </w:tr>
      <w:tr w:rsidR="00FD7793" w:rsidRPr="00A654CF" w14:paraId="35073810" w14:textId="77777777" w:rsidTr="000A0FA4">
        <w:trPr>
          <w:trHeight w:val="19"/>
          <w:jc w:val="center"/>
        </w:trPr>
        <w:tc>
          <w:tcPr>
            <w:tcW w:w="3111" w:type="dxa"/>
            <w:shd w:val="clear" w:color="auto" w:fill="auto"/>
            <w:tcMar>
              <w:top w:w="40" w:type="dxa"/>
              <w:left w:w="40" w:type="dxa"/>
              <w:bottom w:w="40" w:type="dxa"/>
              <w:right w:w="40" w:type="dxa"/>
            </w:tcMar>
            <w:vAlign w:val="bottom"/>
            <w:hideMark/>
          </w:tcPr>
          <w:p w14:paraId="6919DC17"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S-GUDCA (ng/mL)</w:t>
            </w:r>
          </w:p>
        </w:tc>
        <w:tc>
          <w:tcPr>
            <w:tcW w:w="1091" w:type="dxa"/>
            <w:shd w:val="clear" w:color="auto" w:fill="auto"/>
            <w:tcMar>
              <w:top w:w="40" w:type="dxa"/>
              <w:left w:w="40" w:type="dxa"/>
              <w:bottom w:w="40" w:type="dxa"/>
              <w:right w:w="40" w:type="dxa"/>
            </w:tcMar>
            <w:hideMark/>
          </w:tcPr>
          <w:p w14:paraId="201D454F"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21.0 (23.9)</w:t>
            </w:r>
          </w:p>
        </w:tc>
        <w:tc>
          <w:tcPr>
            <w:tcW w:w="1091" w:type="dxa"/>
            <w:shd w:val="clear" w:color="auto" w:fill="auto"/>
            <w:tcMar>
              <w:top w:w="40" w:type="dxa"/>
              <w:left w:w="40" w:type="dxa"/>
              <w:bottom w:w="40" w:type="dxa"/>
              <w:right w:w="40" w:type="dxa"/>
            </w:tcMar>
            <w:hideMark/>
          </w:tcPr>
          <w:p w14:paraId="1DF8B135"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20.1 (39.3)</w:t>
            </w:r>
          </w:p>
        </w:tc>
        <w:tc>
          <w:tcPr>
            <w:tcW w:w="677" w:type="dxa"/>
            <w:shd w:val="clear" w:color="auto" w:fill="auto"/>
            <w:tcMar>
              <w:top w:w="40" w:type="dxa"/>
              <w:left w:w="40" w:type="dxa"/>
              <w:bottom w:w="40" w:type="dxa"/>
              <w:right w:w="40" w:type="dxa"/>
            </w:tcMar>
            <w:hideMark/>
          </w:tcPr>
          <w:p w14:paraId="68B2F8FF"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0.817</w:t>
            </w:r>
          </w:p>
        </w:tc>
      </w:tr>
      <w:tr w:rsidR="00FD7793" w:rsidRPr="00A654CF" w14:paraId="7501AC3F" w14:textId="77777777" w:rsidTr="000A0FA4">
        <w:trPr>
          <w:trHeight w:val="19"/>
          <w:jc w:val="center"/>
        </w:trPr>
        <w:tc>
          <w:tcPr>
            <w:tcW w:w="3111" w:type="dxa"/>
            <w:shd w:val="clear" w:color="auto" w:fill="auto"/>
            <w:tcMar>
              <w:top w:w="40" w:type="dxa"/>
              <w:left w:w="40" w:type="dxa"/>
              <w:bottom w:w="40" w:type="dxa"/>
              <w:right w:w="40" w:type="dxa"/>
            </w:tcMar>
            <w:vAlign w:val="bottom"/>
            <w:hideMark/>
          </w:tcPr>
          <w:p w14:paraId="70FE8717"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S-GCDCA (ng/mL)</w:t>
            </w:r>
          </w:p>
        </w:tc>
        <w:tc>
          <w:tcPr>
            <w:tcW w:w="1091" w:type="dxa"/>
            <w:shd w:val="clear" w:color="auto" w:fill="auto"/>
            <w:tcMar>
              <w:top w:w="40" w:type="dxa"/>
              <w:left w:w="40" w:type="dxa"/>
              <w:bottom w:w="40" w:type="dxa"/>
              <w:right w:w="40" w:type="dxa"/>
            </w:tcMar>
            <w:hideMark/>
          </w:tcPr>
          <w:p w14:paraId="6F916FEB"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179.0 (153.0)</w:t>
            </w:r>
          </w:p>
        </w:tc>
        <w:tc>
          <w:tcPr>
            <w:tcW w:w="1091" w:type="dxa"/>
            <w:shd w:val="clear" w:color="auto" w:fill="auto"/>
            <w:tcMar>
              <w:top w:w="40" w:type="dxa"/>
              <w:left w:w="40" w:type="dxa"/>
              <w:bottom w:w="40" w:type="dxa"/>
              <w:right w:w="40" w:type="dxa"/>
            </w:tcMar>
            <w:hideMark/>
          </w:tcPr>
          <w:p w14:paraId="397F803C"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156.0 (165.0)</w:t>
            </w:r>
          </w:p>
        </w:tc>
        <w:tc>
          <w:tcPr>
            <w:tcW w:w="677" w:type="dxa"/>
            <w:shd w:val="clear" w:color="auto" w:fill="auto"/>
            <w:tcMar>
              <w:top w:w="40" w:type="dxa"/>
              <w:left w:w="40" w:type="dxa"/>
              <w:bottom w:w="40" w:type="dxa"/>
              <w:right w:w="40" w:type="dxa"/>
            </w:tcMar>
            <w:hideMark/>
          </w:tcPr>
          <w:p w14:paraId="6B674CFE"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0.233</w:t>
            </w:r>
          </w:p>
        </w:tc>
      </w:tr>
      <w:tr w:rsidR="00FD7793" w:rsidRPr="00A654CF" w14:paraId="4997C16F" w14:textId="77777777" w:rsidTr="000A0FA4">
        <w:trPr>
          <w:trHeight w:val="19"/>
          <w:jc w:val="center"/>
        </w:trPr>
        <w:tc>
          <w:tcPr>
            <w:tcW w:w="3111" w:type="dxa"/>
            <w:shd w:val="clear" w:color="auto" w:fill="auto"/>
            <w:tcMar>
              <w:top w:w="40" w:type="dxa"/>
              <w:left w:w="40" w:type="dxa"/>
              <w:bottom w:w="40" w:type="dxa"/>
              <w:right w:w="40" w:type="dxa"/>
            </w:tcMar>
            <w:vAlign w:val="bottom"/>
            <w:hideMark/>
          </w:tcPr>
          <w:p w14:paraId="5C39F661"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S-GDCA (ng/mL)</w:t>
            </w:r>
          </w:p>
        </w:tc>
        <w:tc>
          <w:tcPr>
            <w:tcW w:w="1091" w:type="dxa"/>
            <w:shd w:val="clear" w:color="auto" w:fill="auto"/>
            <w:tcMar>
              <w:top w:w="40" w:type="dxa"/>
              <w:left w:w="40" w:type="dxa"/>
              <w:bottom w:w="40" w:type="dxa"/>
              <w:right w:w="40" w:type="dxa"/>
            </w:tcMar>
            <w:hideMark/>
          </w:tcPr>
          <w:p w14:paraId="36ADCD11"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86.2 (114.0)</w:t>
            </w:r>
          </w:p>
        </w:tc>
        <w:tc>
          <w:tcPr>
            <w:tcW w:w="1091" w:type="dxa"/>
            <w:shd w:val="clear" w:color="auto" w:fill="auto"/>
            <w:tcMar>
              <w:top w:w="40" w:type="dxa"/>
              <w:left w:w="40" w:type="dxa"/>
              <w:bottom w:w="40" w:type="dxa"/>
              <w:right w:w="40" w:type="dxa"/>
            </w:tcMar>
            <w:hideMark/>
          </w:tcPr>
          <w:p w14:paraId="44A0D93F"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68.2 (82.3)</w:t>
            </w:r>
          </w:p>
        </w:tc>
        <w:tc>
          <w:tcPr>
            <w:tcW w:w="677" w:type="dxa"/>
            <w:shd w:val="clear" w:color="auto" w:fill="auto"/>
            <w:tcMar>
              <w:top w:w="40" w:type="dxa"/>
              <w:left w:w="40" w:type="dxa"/>
              <w:bottom w:w="40" w:type="dxa"/>
              <w:right w:w="40" w:type="dxa"/>
            </w:tcMar>
            <w:hideMark/>
          </w:tcPr>
          <w:p w14:paraId="69BB1815"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0.131</w:t>
            </w:r>
          </w:p>
        </w:tc>
      </w:tr>
      <w:tr w:rsidR="00FD7793" w:rsidRPr="00A654CF" w14:paraId="323DB1A8" w14:textId="77777777" w:rsidTr="000A0FA4">
        <w:trPr>
          <w:trHeight w:val="19"/>
          <w:jc w:val="center"/>
        </w:trPr>
        <w:tc>
          <w:tcPr>
            <w:tcW w:w="3111" w:type="dxa"/>
            <w:shd w:val="clear" w:color="auto" w:fill="auto"/>
            <w:tcMar>
              <w:top w:w="40" w:type="dxa"/>
              <w:left w:w="40" w:type="dxa"/>
              <w:bottom w:w="40" w:type="dxa"/>
              <w:right w:w="40" w:type="dxa"/>
            </w:tcMar>
            <w:vAlign w:val="bottom"/>
            <w:hideMark/>
          </w:tcPr>
          <w:p w14:paraId="5DE49710"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S-GHDCA (ng/mL)</w:t>
            </w:r>
          </w:p>
        </w:tc>
        <w:tc>
          <w:tcPr>
            <w:tcW w:w="1091" w:type="dxa"/>
            <w:shd w:val="clear" w:color="auto" w:fill="auto"/>
            <w:tcMar>
              <w:top w:w="40" w:type="dxa"/>
              <w:left w:w="40" w:type="dxa"/>
              <w:bottom w:w="40" w:type="dxa"/>
              <w:right w:w="40" w:type="dxa"/>
            </w:tcMar>
            <w:hideMark/>
          </w:tcPr>
          <w:p w14:paraId="2584358D"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1.7 (1.5)</w:t>
            </w:r>
          </w:p>
        </w:tc>
        <w:tc>
          <w:tcPr>
            <w:tcW w:w="1091" w:type="dxa"/>
            <w:shd w:val="clear" w:color="auto" w:fill="auto"/>
            <w:tcMar>
              <w:top w:w="40" w:type="dxa"/>
              <w:left w:w="40" w:type="dxa"/>
              <w:bottom w:w="40" w:type="dxa"/>
              <w:right w:w="40" w:type="dxa"/>
            </w:tcMar>
            <w:hideMark/>
          </w:tcPr>
          <w:p w14:paraId="5C073BE9"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1.5 (1.0)</w:t>
            </w:r>
          </w:p>
        </w:tc>
        <w:tc>
          <w:tcPr>
            <w:tcW w:w="677" w:type="dxa"/>
            <w:shd w:val="clear" w:color="auto" w:fill="auto"/>
            <w:tcMar>
              <w:top w:w="40" w:type="dxa"/>
              <w:left w:w="40" w:type="dxa"/>
              <w:bottom w:w="40" w:type="dxa"/>
              <w:right w:w="40" w:type="dxa"/>
            </w:tcMar>
            <w:hideMark/>
          </w:tcPr>
          <w:p w14:paraId="1C9243BF"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0.215</w:t>
            </w:r>
          </w:p>
        </w:tc>
      </w:tr>
      <w:tr w:rsidR="00FD7793" w:rsidRPr="00A654CF" w14:paraId="23F1B0E0" w14:textId="77777777" w:rsidTr="000A0FA4">
        <w:trPr>
          <w:trHeight w:val="19"/>
          <w:jc w:val="center"/>
        </w:trPr>
        <w:tc>
          <w:tcPr>
            <w:tcW w:w="3111" w:type="dxa"/>
            <w:shd w:val="clear" w:color="auto" w:fill="auto"/>
            <w:tcMar>
              <w:top w:w="40" w:type="dxa"/>
              <w:left w:w="40" w:type="dxa"/>
              <w:bottom w:w="40" w:type="dxa"/>
              <w:right w:w="40" w:type="dxa"/>
            </w:tcMar>
            <w:vAlign w:val="bottom"/>
            <w:hideMark/>
          </w:tcPr>
          <w:p w14:paraId="03D54783"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lastRenderedPageBreak/>
              <w:t>S-GLCA (ng/mL)</w:t>
            </w:r>
          </w:p>
        </w:tc>
        <w:tc>
          <w:tcPr>
            <w:tcW w:w="1091" w:type="dxa"/>
            <w:shd w:val="clear" w:color="auto" w:fill="auto"/>
            <w:tcMar>
              <w:top w:w="40" w:type="dxa"/>
              <w:left w:w="40" w:type="dxa"/>
              <w:bottom w:w="40" w:type="dxa"/>
              <w:right w:w="40" w:type="dxa"/>
            </w:tcMar>
            <w:hideMark/>
          </w:tcPr>
          <w:p w14:paraId="28251906"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4.5 (5.6)</w:t>
            </w:r>
          </w:p>
        </w:tc>
        <w:tc>
          <w:tcPr>
            <w:tcW w:w="1091" w:type="dxa"/>
            <w:shd w:val="clear" w:color="auto" w:fill="auto"/>
            <w:tcMar>
              <w:top w:w="40" w:type="dxa"/>
              <w:left w:w="40" w:type="dxa"/>
              <w:bottom w:w="40" w:type="dxa"/>
              <w:right w:w="40" w:type="dxa"/>
            </w:tcMar>
            <w:hideMark/>
          </w:tcPr>
          <w:p w14:paraId="323DCA01"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4.8 (6.5)</w:t>
            </w:r>
          </w:p>
        </w:tc>
        <w:tc>
          <w:tcPr>
            <w:tcW w:w="677" w:type="dxa"/>
            <w:shd w:val="clear" w:color="auto" w:fill="auto"/>
            <w:tcMar>
              <w:top w:w="40" w:type="dxa"/>
              <w:left w:w="40" w:type="dxa"/>
              <w:bottom w:w="40" w:type="dxa"/>
              <w:right w:w="40" w:type="dxa"/>
            </w:tcMar>
            <w:hideMark/>
          </w:tcPr>
          <w:p w14:paraId="077B6581"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0.693</w:t>
            </w:r>
          </w:p>
        </w:tc>
      </w:tr>
      <w:tr w:rsidR="00FD7793" w:rsidRPr="00A654CF" w14:paraId="433EE61F" w14:textId="77777777" w:rsidTr="000A0FA4">
        <w:trPr>
          <w:trHeight w:val="22"/>
          <w:jc w:val="center"/>
        </w:trPr>
        <w:tc>
          <w:tcPr>
            <w:tcW w:w="3111" w:type="dxa"/>
            <w:shd w:val="clear" w:color="auto" w:fill="auto"/>
            <w:tcMar>
              <w:top w:w="40" w:type="dxa"/>
              <w:left w:w="40" w:type="dxa"/>
              <w:bottom w:w="40" w:type="dxa"/>
              <w:right w:w="40" w:type="dxa"/>
            </w:tcMar>
            <w:vAlign w:val="bottom"/>
            <w:hideMark/>
          </w:tcPr>
          <w:p w14:paraId="0A1B3EE5"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S-CA (ng/mL)</w:t>
            </w:r>
          </w:p>
        </w:tc>
        <w:tc>
          <w:tcPr>
            <w:tcW w:w="1091" w:type="dxa"/>
            <w:shd w:val="clear" w:color="auto" w:fill="auto"/>
            <w:tcMar>
              <w:top w:w="40" w:type="dxa"/>
              <w:left w:w="40" w:type="dxa"/>
              <w:bottom w:w="40" w:type="dxa"/>
              <w:right w:w="40" w:type="dxa"/>
            </w:tcMar>
            <w:hideMark/>
          </w:tcPr>
          <w:p w14:paraId="52488F89"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92.5 (176.0)</w:t>
            </w:r>
          </w:p>
        </w:tc>
        <w:tc>
          <w:tcPr>
            <w:tcW w:w="1091" w:type="dxa"/>
            <w:shd w:val="clear" w:color="auto" w:fill="auto"/>
            <w:tcMar>
              <w:top w:w="40" w:type="dxa"/>
              <w:left w:w="40" w:type="dxa"/>
              <w:bottom w:w="40" w:type="dxa"/>
              <w:right w:w="40" w:type="dxa"/>
            </w:tcMar>
            <w:hideMark/>
          </w:tcPr>
          <w:p w14:paraId="44B76B63"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91.1 (176.0)</w:t>
            </w:r>
          </w:p>
        </w:tc>
        <w:tc>
          <w:tcPr>
            <w:tcW w:w="677" w:type="dxa"/>
            <w:shd w:val="clear" w:color="auto" w:fill="auto"/>
            <w:tcMar>
              <w:top w:w="40" w:type="dxa"/>
              <w:left w:w="40" w:type="dxa"/>
              <w:bottom w:w="40" w:type="dxa"/>
              <w:right w:w="40" w:type="dxa"/>
            </w:tcMar>
            <w:hideMark/>
          </w:tcPr>
          <w:p w14:paraId="4B9F8F07"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0.944</w:t>
            </w:r>
          </w:p>
        </w:tc>
      </w:tr>
      <w:tr w:rsidR="00FD7793" w:rsidRPr="00A654CF" w14:paraId="7CB39AD3" w14:textId="77777777" w:rsidTr="000A0FA4">
        <w:trPr>
          <w:trHeight w:val="19"/>
          <w:jc w:val="center"/>
        </w:trPr>
        <w:tc>
          <w:tcPr>
            <w:tcW w:w="3111" w:type="dxa"/>
            <w:shd w:val="clear" w:color="auto" w:fill="auto"/>
            <w:tcMar>
              <w:top w:w="40" w:type="dxa"/>
              <w:left w:w="40" w:type="dxa"/>
              <w:bottom w:w="40" w:type="dxa"/>
              <w:right w:w="40" w:type="dxa"/>
            </w:tcMar>
            <w:vAlign w:val="bottom"/>
            <w:hideMark/>
          </w:tcPr>
          <w:p w14:paraId="5F0F0049"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S-HCA (ng/mL)</w:t>
            </w:r>
          </w:p>
        </w:tc>
        <w:tc>
          <w:tcPr>
            <w:tcW w:w="1091" w:type="dxa"/>
            <w:shd w:val="clear" w:color="auto" w:fill="auto"/>
            <w:tcMar>
              <w:top w:w="40" w:type="dxa"/>
              <w:left w:w="40" w:type="dxa"/>
              <w:bottom w:w="40" w:type="dxa"/>
              <w:right w:w="40" w:type="dxa"/>
            </w:tcMar>
            <w:hideMark/>
          </w:tcPr>
          <w:p w14:paraId="5D8AE63B"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5.6 (4.4)</w:t>
            </w:r>
          </w:p>
        </w:tc>
        <w:tc>
          <w:tcPr>
            <w:tcW w:w="1091" w:type="dxa"/>
            <w:shd w:val="clear" w:color="auto" w:fill="auto"/>
            <w:tcMar>
              <w:top w:w="40" w:type="dxa"/>
              <w:left w:w="40" w:type="dxa"/>
              <w:bottom w:w="40" w:type="dxa"/>
              <w:right w:w="40" w:type="dxa"/>
            </w:tcMar>
            <w:hideMark/>
          </w:tcPr>
          <w:p w14:paraId="34AF4CFC"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4.5 (4.4)</w:t>
            </w:r>
          </w:p>
        </w:tc>
        <w:tc>
          <w:tcPr>
            <w:tcW w:w="677" w:type="dxa"/>
            <w:shd w:val="clear" w:color="auto" w:fill="auto"/>
            <w:tcMar>
              <w:top w:w="40" w:type="dxa"/>
              <w:left w:w="40" w:type="dxa"/>
              <w:bottom w:w="40" w:type="dxa"/>
              <w:right w:w="40" w:type="dxa"/>
            </w:tcMar>
            <w:hideMark/>
          </w:tcPr>
          <w:p w14:paraId="44293A6F"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0.046</w:t>
            </w:r>
          </w:p>
        </w:tc>
      </w:tr>
      <w:tr w:rsidR="00FD7793" w:rsidRPr="00A654CF" w14:paraId="455DA505" w14:textId="77777777" w:rsidTr="000A0FA4">
        <w:trPr>
          <w:trHeight w:val="19"/>
          <w:jc w:val="center"/>
        </w:trPr>
        <w:tc>
          <w:tcPr>
            <w:tcW w:w="3111" w:type="dxa"/>
            <w:shd w:val="clear" w:color="auto" w:fill="auto"/>
            <w:tcMar>
              <w:top w:w="40" w:type="dxa"/>
              <w:left w:w="40" w:type="dxa"/>
              <w:bottom w:w="40" w:type="dxa"/>
              <w:right w:w="40" w:type="dxa"/>
            </w:tcMar>
            <w:vAlign w:val="bottom"/>
            <w:hideMark/>
          </w:tcPr>
          <w:p w14:paraId="11477D14"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S-7oxo-DCA (ng/mL)</w:t>
            </w:r>
          </w:p>
        </w:tc>
        <w:tc>
          <w:tcPr>
            <w:tcW w:w="1091" w:type="dxa"/>
            <w:shd w:val="clear" w:color="auto" w:fill="auto"/>
            <w:tcMar>
              <w:top w:w="40" w:type="dxa"/>
              <w:left w:w="40" w:type="dxa"/>
              <w:bottom w:w="40" w:type="dxa"/>
              <w:right w:w="40" w:type="dxa"/>
            </w:tcMar>
            <w:hideMark/>
          </w:tcPr>
          <w:p w14:paraId="7E961572"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2.7 (7.4)</w:t>
            </w:r>
          </w:p>
        </w:tc>
        <w:tc>
          <w:tcPr>
            <w:tcW w:w="1091" w:type="dxa"/>
            <w:shd w:val="clear" w:color="auto" w:fill="auto"/>
            <w:tcMar>
              <w:top w:w="40" w:type="dxa"/>
              <w:left w:w="40" w:type="dxa"/>
              <w:bottom w:w="40" w:type="dxa"/>
              <w:right w:w="40" w:type="dxa"/>
            </w:tcMar>
            <w:hideMark/>
          </w:tcPr>
          <w:p w14:paraId="5EC1A48F"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2.0 (4.8)</w:t>
            </w:r>
          </w:p>
        </w:tc>
        <w:tc>
          <w:tcPr>
            <w:tcW w:w="677" w:type="dxa"/>
            <w:shd w:val="clear" w:color="auto" w:fill="auto"/>
            <w:tcMar>
              <w:top w:w="40" w:type="dxa"/>
              <w:left w:w="40" w:type="dxa"/>
              <w:bottom w:w="40" w:type="dxa"/>
              <w:right w:w="40" w:type="dxa"/>
            </w:tcMar>
            <w:hideMark/>
          </w:tcPr>
          <w:p w14:paraId="45D2DC63"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0.368</w:t>
            </w:r>
          </w:p>
        </w:tc>
      </w:tr>
      <w:tr w:rsidR="00FD7793" w:rsidRPr="00A654CF" w14:paraId="5096A05B" w14:textId="77777777" w:rsidTr="000A0FA4">
        <w:trPr>
          <w:trHeight w:val="19"/>
          <w:jc w:val="center"/>
        </w:trPr>
        <w:tc>
          <w:tcPr>
            <w:tcW w:w="3111" w:type="dxa"/>
            <w:shd w:val="clear" w:color="auto" w:fill="auto"/>
            <w:tcMar>
              <w:top w:w="40" w:type="dxa"/>
              <w:left w:w="40" w:type="dxa"/>
              <w:bottom w:w="40" w:type="dxa"/>
              <w:right w:w="40" w:type="dxa"/>
            </w:tcMar>
            <w:vAlign w:val="bottom"/>
            <w:hideMark/>
          </w:tcPr>
          <w:p w14:paraId="34908F9A"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S-UDCA (ng/mL)</w:t>
            </w:r>
          </w:p>
        </w:tc>
        <w:tc>
          <w:tcPr>
            <w:tcW w:w="1091" w:type="dxa"/>
            <w:shd w:val="clear" w:color="auto" w:fill="auto"/>
            <w:tcMar>
              <w:top w:w="40" w:type="dxa"/>
              <w:left w:w="40" w:type="dxa"/>
              <w:bottom w:w="40" w:type="dxa"/>
              <w:right w:w="40" w:type="dxa"/>
            </w:tcMar>
            <w:hideMark/>
          </w:tcPr>
          <w:p w14:paraId="28E1D82B"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11.2 (12.8)</w:t>
            </w:r>
          </w:p>
        </w:tc>
        <w:tc>
          <w:tcPr>
            <w:tcW w:w="1091" w:type="dxa"/>
            <w:shd w:val="clear" w:color="auto" w:fill="auto"/>
            <w:tcMar>
              <w:top w:w="40" w:type="dxa"/>
              <w:left w:w="40" w:type="dxa"/>
              <w:bottom w:w="40" w:type="dxa"/>
              <w:right w:w="40" w:type="dxa"/>
            </w:tcMar>
            <w:hideMark/>
          </w:tcPr>
          <w:p w14:paraId="7B2EBF90"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13.8 (28.8)</w:t>
            </w:r>
          </w:p>
        </w:tc>
        <w:tc>
          <w:tcPr>
            <w:tcW w:w="677" w:type="dxa"/>
            <w:shd w:val="clear" w:color="auto" w:fill="auto"/>
            <w:tcMar>
              <w:top w:w="40" w:type="dxa"/>
              <w:left w:w="40" w:type="dxa"/>
              <w:bottom w:w="40" w:type="dxa"/>
              <w:right w:w="40" w:type="dxa"/>
            </w:tcMar>
            <w:hideMark/>
          </w:tcPr>
          <w:p w14:paraId="4B77DE43"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0.311</w:t>
            </w:r>
          </w:p>
        </w:tc>
      </w:tr>
      <w:tr w:rsidR="00FD7793" w:rsidRPr="00A654CF" w14:paraId="55B505E5" w14:textId="77777777" w:rsidTr="000A0FA4">
        <w:trPr>
          <w:trHeight w:val="19"/>
          <w:jc w:val="center"/>
        </w:trPr>
        <w:tc>
          <w:tcPr>
            <w:tcW w:w="3111" w:type="dxa"/>
            <w:shd w:val="clear" w:color="auto" w:fill="auto"/>
            <w:tcMar>
              <w:top w:w="40" w:type="dxa"/>
              <w:left w:w="40" w:type="dxa"/>
              <w:bottom w:w="40" w:type="dxa"/>
              <w:right w:w="40" w:type="dxa"/>
            </w:tcMar>
            <w:vAlign w:val="bottom"/>
            <w:hideMark/>
          </w:tcPr>
          <w:p w14:paraId="3D92B21A"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S-CDCA (ng/mL)</w:t>
            </w:r>
          </w:p>
        </w:tc>
        <w:tc>
          <w:tcPr>
            <w:tcW w:w="1091" w:type="dxa"/>
            <w:shd w:val="clear" w:color="auto" w:fill="auto"/>
            <w:tcMar>
              <w:top w:w="40" w:type="dxa"/>
              <w:left w:w="40" w:type="dxa"/>
              <w:bottom w:w="40" w:type="dxa"/>
              <w:right w:w="40" w:type="dxa"/>
            </w:tcMar>
            <w:hideMark/>
          </w:tcPr>
          <w:p w14:paraId="3FC770A1"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66.5 (113.0)</w:t>
            </w:r>
          </w:p>
        </w:tc>
        <w:tc>
          <w:tcPr>
            <w:tcW w:w="1091" w:type="dxa"/>
            <w:shd w:val="clear" w:color="auto" w:fill="auto"/>
            <w:tcMar>
              <w:top w:w="40" w:type="dxa"/>
              <w:left w:w="40" w:type="dxa"/>
              <w:bottom w:w="40" w:type="dxa"/>
              <w:right w:w="40" w:type="dxa"/>
            </w:tcMar>
            <w:hideMark/>
          </w:tcPr>
          <w:p w14:paraId="61389A84"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85.7 (165.0)</w:t>
            </w:r>
          </w:p>
        </w:tc>
        <w:tc>
          <w:tcPr>
            <w:tcW w:w="677" w:type="dxa"/>
            <w:shd w:val="clear" w:color="auto" w:fill="auto"/>
            <w:tcMar>
              <w:top w:w="40" w:type="dxa"/>
              <w:left w:w="40" w:type="dxa"/>
              <w:bottom w:w="40" w:type="dxa"/>
              <w:right w:w="40" w:type="dxa"/>
            </w:tcMar>
            <w:hideMark/>
          </w:tcPr>
          <w:p w14:paraId="538CA579"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0.251</w:t>
            </w:r>
          </w:p>
        </w:tc>
      </w:tr>
      <w:tr w:rsidR="00FD7793" w:rsidRPr="00A654CF" w14:paraId="103A8B86" w14:textId="77777777" w:rsidTr="000A0FA4">
        <w:trPr>
          <w:trHeight w:val="19"/>
          <w:jc w:val="center"/>
        </w:trPr>
        <w:tc>
          <w:tcPr>
            <w:tcW w:w="3111" w:type="dxa"/>
            <w:shd w:val="clear" w:color="auto" w:fill="auto"/>
            <w:tcMar>
              <w:top w:w="40" w:type="dxa"/>
              <w:left w:w="40" w:type="dxa"/>
              <w:bottom w:w="40" w:type="dxa"/>
              <w:right w:w="40" w:type="dxa"/>
            </w:tcMar>
            <w:vAlign w:val="bottom"/>
            <w:hideMark/>
          </w:tcPr>
          <w:p w14:paraId="1CB01476"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S-DCA (ng/mL)</w:t>
            </w:r>
          </w:p>
        </w:tc>
        <w:tc>
          <w:tcPr>
            <w:tcW w:w="1091" w:type="dxa"/>
            <w:shd w:val="clear" w:color="auto" w:fill="auto"/>
            <w:tcMar>
              <w:top w:w="40" w:type="dxa"/>
              <w:left w:w="40" w:type="dxa"/>
              <w:bottom w:w="40" w:type="dxa"/>
              <w:right w:w="40" w:type="dxa"/>
            </w:tcMar>
            <w:hideMark/>
          </w:tcPr>
          <w:p w14:paraId="2A0DA66B"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108.0 (87.2)</w:t>
            </w:r>
          </w:p>
        </w:tc>
        <w:tc>
          <w:tcPr>
            <w:tcW w:w="1091" w:type="dxa"/>
            <w:shd w:val="clear" w:color="auto" w:fill="auto"/>
            <w:tcMar>
              <w:top w:w="40" w:type="dxa"/>
              <w:left w:w="40" w:type="dxa"/>
              <w:bottom w:w="40" w:type="dxa"/>
              <w:right w:w="40" w:type="dxa"/>
            </w:tcMar>
            <w:hideMark/>
          </w:tcPr>
          <w:p w14:paraId="68B62F82"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105.0 (96.4)</w:t>
            </w:r>
          </w:p>
        </w:tc>
        <w:tc>
          <w:tcPr>
            <w:tcW w:w="677" w:type="dxa"/>
            <w:shd w:val="clear" w:color="auto" w:fill="auto"/>
            <w:tcMar>
              <w:top w:w="40" w:type="dxa"/>
              <w:left w:w="40" w:type="dxa"/>
              <w:bottom w:w="40" w:type="dxa"/>
              <w:right w:w="40" w:type="dxa"/>
            </w:tcMar>
            <w:hideMark/>
          </w:tcPr>
          <w:p w14:paraId="304989DC"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0.765</w:t>
            </w:r>
          </w:p>
        </w:tc>
      </w:tr>
      <w:tr w:rsidR="00FD7793" w:rsidRPr="00A654CF" w14:paraId="79EF9E91" w14:textId="77777777" w:rsidTr="000A0FA4">
        <w:trPr>
          <w:trHeight w:val="19"/>
          <w:jc w:val="center"/>
        </w:trPr>
        <w:tc>
          <w:tcPr>
            <w:tcW w:w="3111" w:type="dxa"/>
            <w:shd w:val="clear" w:color="auto" w:fill="auto"/>
            <w:tcMar>
              <w:top w:w="40" w:type="dxa"/>
              <w:left w:w="40" w:type="dxa"/>
              <w:bottom w:w="40" w:type="dxa"/>
              <w:right w:w="40" w:type="dxa"/>
            </w:tcMar>
            <w:vAlign w:val="bottom"/>
            <w:hideMark/>
          </w:tcPr>
          <w:p w14:paraId="31075BE9"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S-LCA (ng/mL)</w:t>
            </w:r>
          </w:p>
        </w:tc>
        <w:tc>
          <w:tcPr>
            <w:tcW w:w="1091" w:type="dxa"/>
            <w:shd w:val="clear" w:color="auto" w:fill="auto"/>
            <w:tcMar>
              <w:top w:w="40" w:type="dxa"/>
              <w:left w:w="40" w:type="dxa"/>
              <w:bottom w:w="40" w:type="dxa"/>
              <w:right w:w="40" w:type="dxa"/>
            </w:tcMar>
            <w:hideMark/>
          </w:tcPr>
          <w:p w14:paraId="025DD762"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7.4 (4.4)</w:t>
            </w:r>
          </w:p>
        </w:tc>
        <w:tc>
          <w:tcPr>
            <w:tcW w:w="1091" w:type="dxa"/>
            <w:shd w:val="clear" w:color="auto" w:fill="auto"/>
            <w:tcMar>
              <w:top w:w="40" w:type="dxa"/>
              <w:left w:w="40" w:type="dxa"/>
              <w:bottom w:w="40" w:type="dxa"/>
              <w:right w:w="40" w:type="dxa"/>
            </w:tcMar>
            <w:hideMark/>
          </w:tcPr>
          <w:p w14:paraId="651C86FE"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7.1 (6.3)</w:t>
            </w:r>
          </w:p>
        </w:tc>
        <w:tc>
          <w:tcPr>
            <w:tcW w:w="677" w:type="dxa"/>
            <w:shd w:val="clear" w:color="auto" w:fill="auto"/>
            <w:tcMar>
              <w:top w:w="40" w:type="dxa"/>
              <w:left w:w="40" w:type="dxa"/>
              <w:bottom w:w="40" w:type="dxa"/>
              <w:right w:w="40" w:type="dxa"/>
            </w:tcMar>
            <w:hideMark/>
          </w:tcPr>
          <w:p w14:paraId="1273A78E"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fr-FR"/>
              </w:rPr>
            </w:pPr>
            <w:r w:rsidRPr="00A654CF">
              <w:rPr>
                <w:rFonts w:asciiTheme="majorHAnsi" w:hAnsiTheme="majorHAnsi" w:cstheme="majorHAnsi"/>
                <w:sz w:val="18"/>
                <w:szCs w:val="18"/>
                <w:lang w:val="en-US" w:eastAsia="fr-FR"/>
              </w:rPr>
              <w:t>0.667</w:t>
            </w:r>
          </w:p>
        </w:tc>
      </w:tr>
      <w:tr w:rsidR="00BD5D3D" w:rsidRPr="00A654CF" w14:paraId="59F95978" w14:textId="77777777" w:rsidTr="000A0FA4">
        <w:trPr>
          <w:trHeight w:val="19"/>
          <w:jc w:val="center"/>
        </w:trPr>
        <w:tc>
          <w:tcPr>
            <w:tcW w:w="3111" w:type="dxa"/>
            <w:shd w:val="clear" w:color="auto" w:fill="auto"/>
            <w:tcMar>
              <w:top w:w="40" w:type="dxa"/>
              <w:left w:w="40" w:type="dxa"/>
              <w:bottom w:w="40" w:type="dxa"/>
              <w:right w:w="40" w:type="dxa"/>
            </w:tcMar>
            <w:vAlign w:val="bottom"/>
          </w:tcPr>
          <w:p w14:paraId="78A3126A" w14:textId="77777777" w:rsidR="00BD5D3D" w:rsidRPr="00A654CF" w:rsidRDefault="00BD5D3D" w:rsidP="000A0FA4">
            <w:pPr>
              <w:pStyle w:val="NoSpacing"/>
              <w:spacing w:line="276" w:lineRule="auto"/>
              <w:jc w:val="center"/>
              <w:rPr>
                <w:rFonts w:asciiTheme="majorHAnsi" w:hAnsiTheme="majorHAnsi" w:cstheme="majorHAnsi"/>
                <w:sz w:val="18"/>
                <w:szCs w:val="18"/>
                <w:lang w:val="en-US" w:eastAsia="fr-FR"/>
              </w:rPr>
            </w:pPr>
          </w:p>
        </w:tc>
        <w:tc>
          <w:tcPr>
            <w:tcW w:w="1091" w:type="dxa"/>
            <w:shd w:val="clear" w:color="auto" w:fill="auto"/>
            <w:tcMar>
              <w:top w:w="40" w:type="dxa"/>
              <w:left w:w="40" w:type="dxa"/>
              <w:bottom w:w="40" w:type="dxa"/>
              <w:right w:w="40" w:type="dxa"/>
            </w:tcMar>
          </w:tcPr>
          <w:p w14:paraId="23066286" w14:textId="77777777" w:rsidR="00BD5D3D" w:rsidRPr="00A654CF" w:rsidRDefault="00BD5D3D" w:rsidP="000A0FA4">
            <w:pPr>
              <w:pStyle w:val="NoSpacing"/>
              <w:spacing w:line="276" w:lineRule="auto"/>
              <w:jc w:val="center"/>
              <w:rPr>
                <w:rFonts w:asciiTheme="majorHAnsi" w:hAnsiTheme="majorHAnsi" w:cstheme="majorHAnsi"/>
                <w:sz w:val="18"/>
                <w:szCs w:val="18"/>
                <w:lang w:val="en-US" w:eastAsia="fr-FR"/>
              </w:rPr>
            </w:pPr>
          </w:p>
        </w:tc>
        <w:tc>
          <w:tcPr>
            <w:tcW w:w="1091" w:type="dxa"/>
            <w:shd w:val="clear" w:color="auto" w:fill="auto"/>
            <w:tcMar>
              <w:top w:w="40" w:type="dxa"/>
              <w:left w:w="40" w:type="dxa"/>
              <w:bottom w:w="40" w:type="dxa"/>
              <w:right w:w="40" w:type="dxa"/>
            </w:tcMar>
          </w:tcPr>
          <w:p w14:paraId="46FE6574" w14:textId="77777777" w:rsidR="00BD5D3D" w:rsidRPr="00A654CF" w:rsidRDefault="00BD5D3D" w:rsidP="000A0FA4">
            <w:pPr>
              <w:pStyle w:val="NoSpacing"/>
              <w:spacing w:line="276" w:lineRule="auto"/>
              <w:jc w:val="center"/>
              <w:rPr>
                <w:rFonts w:asciiTheme="majorHAnsi" w:hAnsiTheme="majorHAnsi" w:cstheme="majorHAnsi"/>
                <w:sz w:val="18"/>
                <w:szCs w:val="18"/>
                <w:lang w:val="en-US" w:eastAsia="fr-FR"/>
              </w:rPr>
            </w:pPr>
          </w:p>
        </w:tc>
        <w:tc>
          <w:tcPr>
            <w:tcW w:w="677" w:type="dxa"/>
            <w:shd w:val="clear" w:color="auto" w:fill="auto"/>
            <w:tcMar>
              <w:top w:w="40" w:type="dxa"/>
              <w:left w:w="40" w:type="dxa"/>
              <w:bottom w:w="40" w:type="dxa"/>
              <w:right w:w="40" w:type="dxa"/>
            </w:tcMar>
          </w:tcPr>
          <w:p w14:paraId="2886E484" w14:textId="77777777" w:rsidR="00BD5D3D" w:rsidRPr="00A654CF" w:rsidRDefault="00BD5D3D" w:rsidP="000A0FA4">
            <w:pPr>
              <w:pStyle w:val="NoSpacing"/>
              <w:spacing w:line="276" w:lineRule="auto"/>
              <w:jc w:val="center"/>
              <w:rPr>
                <w:rFonts w:asciiTheme="majorHAnsi" w:hAnsiTheme="majorHAnsi" w:cstheme="majorHAnsi"/>
                <w:sz w:val="18"/>
                <w:szCs w:val="18"/>
                <w:lang w:val="en-US" w:eastAsia="fr-FR"/>
              </w:rPr>
            </w:pPr>
          </w:p>
        </w:tc>
      </w:tr>
    </w:tbl>
    <w:p w14:paraId="0ABD9FC0" w14:textId="77777777" w:rsidR="000A0FA4" w:rsidRPr="00A654CF" w:rsidRDefault="000A0FA4" w:rsidP="000A0FA4">
      <w:pPr>
        <w:spacing w:line="276" w:lineRule="auto"/>
        <w:ind w:firstLine="0"/>
        <w:jc w:val="both"/>
        <w:rPr>
          <w:rFonts w:asciiTheme="majorHAnsi" w:hAnsiTheme="majorHAnsi" w:cstheme="majorHAnsi"/>
          <w:b/>
          <w:sz w:val="24"/>
          <w:szCs w:val="24"/>
          <w:lang w:val="en-US" w:eastAsia="fr-FR"/>
        </w:rPr>
      </w:pPr>
    </w:p>
    <w:p w14:paraId="4DEA2F4D" w14:textId="3653F831" w:rsidR="00FD7793" w:rsidRPr="00A654CF" w:rsidRDefault="00FD7793" w:rsidP="000A0FA4">
      <w:pPr>
        <w:spacing w:line="276" w:lineRule="auto"/>
        <w:ind w:firstLine="0"/>
        <w:jc w:val="both"/>
        <w:rPr>
          <w:rFonts w:asciiTheme="majorHAnsi" w:hAnsiTheme="majorHAnsi" w:cstheme="majorHAnsi"/>
          <w:sz w:val="24"/>
          <w:szCs w:val="24"/>
          <w:lang w:val="en-US"/>
        </w:rPr>
      </w:pPr>
      <w:r w:rsidRPr="00A654CF">
        <w:rPr>
          <w:rFonts w:asciiTheme="majorHAnsi" w:hAnsiTheme="majorHAnsi" w:cstheme="majorHAnsi"/>
          <w:b/>
          <w:sz w:val="24"/>
          <w:szCs w:val="24"/>
          <w:lang w:val="en-US" w:eastAsia="fr-FR"/>
        </w:rPr>
        <w:t>Supplementary Table 1: Summary statistics stratified by sex of bio-clinical variables including fasting serum concentrations of bile acids in 283 individuals</w:t>
      </w:r>
      <w:r w:rsidRPr="00A654CF">
        <w:rPr>
          <w:rFonts w:asciiTheme="majorHAnsi" w:hAnsiTheme="majorHAnsi" w:cstheme="majorHAnsi"/>
          <w:sz w:val="24"/>
          <w:szCs w:val="24"/>
          <w:lang w:val="en-US" w:eastAsia="fr-FR"/>
        </w:rPr>
        <w:t>. Values indicate mean and standard deviation (</w:t>
      </w:r>
      <w:r w:rsidR="008F179C">
        <w:rPr>
          <w:rFonts w:asciiTheme="majorHAnsi" w:hAnsiTheme="majorHAnsi" w:cstheme="majorHAnsi"/>
          <w:sz w:val="24"/>
          <w:szCs w:val="24"/>
          <w:lang w:val="en-US" w:eastAsia="fr-FR"/>
        </w:rPr>
        <w:t>SD</w:t>
      </w:r>
      <w:r w:rsidRPr="00A654CF">
        <w:rPr>
          <w:rFonts w:asciiTheme="majorHAnsi" w:hAnsiTheme="majorHAnsi" w:cstheme="majorHAnsi"/>
          <w:sz w:val="24"/>
          <w:szCs w:val="24"/>
          <w:lang w:val="en-US" w:eastAsia="fr-FR"/>
        </w:rPr>
        <w:t>) for metabolic and infla</w:t>
      </w:r>
      <w:r w:rsidR="002D209A" w:rsidRPr="00A654CF">
        <w:rPr>
          <w:rFonts w:asciiTheme="majorHAnsi" w:hAnsiTheme="majorHAnsi" w:cstheme="majorHAnsi"/>
          <w:sz w:val="24"/>
          <w:szCs w:val="24"/>
          <w:lang w:val="en-US" w:eastAsia="fr-FR"/>
        </w:rPr>
        <w:t>mmatory related clinical traits;</w:t>
      </w:r>
      <w:r w:rsidRPr="00A654CF">
        <w:rPr>
          <w:rFonts w:asciiTheme="majorHAnsi" w:hAnsiTheme="majorHAnsi" w:cstheme="majorHAnsi"/>
          <w:sz w:val="24"/>
          <w:szCs w:val="24"/>
          <w:lang w:val="en-US" w:eastAsia="fr-FR"/>
        </w:rPr>
        <w:t xml:space="preserve"> p-value is obtained by performing a t-test. </w:t>
      </w:r>
      <w:r w:rsidR="002D209A" w:rsidRPr="00A654CF">
        <w:rPr>
          <w:rFonts w:asciiTheme="majorHAnsi" w:hAnsiTheme="majorHAnsi" w:cstheme="majorHAnsi"/>
          <w:sz w:val="24"/>
          <w:szCs w:val="24"/>
          <w:lang w:val="en-US" w:eastAsia="fr-FR"/>
        </w:rPr>
        <w:t>BMI is</w:t>
      </w:r>
      <w:r w:rsidRPr="00A654CF">
        <w:rPr>
          <w:rFonts w:asciiTheme="majorHAnsi" w:hAnsiTheme="majorHAnsi" w:cstheme="majorHAnsi"/>
          <w:sz w:val="24"/>
          <w:szCs w:val="24"/>
          <w:lang w:val="en-US" w:eastAsia="fr-FR"/>
        </w:rPr>
        <w:t xml:space="preserve"> body mass index. Prefix P</w:t>
      </w:r>
      <w:r w:rsidR="008F179C">
        <w:rPr>
          <w:rFonts w:asciiTheme="majorHAnsi" w:hAnsiTheme="majorHAnsi" w:cstheme="majorHAnsi"/>
          <w:sz w:val="24"/>
          <w:szCs w:val="24"/>
          <w:lang w:val="en-US" w:eastAsia="fr-FR"/>
        </w:rPr>
        <w:t>-</w:t>
      </w:r>
      <w:r w:rsidRPr="00A654CF">
        <w:rPr>
          <w:rFonts w:asciiTheme="majorHAnsi" w:hAnsiTheme="majorHAnsi" w:cstheme="majorHAnsi"/>
          <w:sz w:val="24"/>
          <w:szCs w:val="24"/>
          <w:lang w:val="en-US" w:eastAsia="fr-FR"/>
        </w:rPr>
        <w:t xml:space="preserve"> and S</w:t>
      </w:r>
      <w:r w:rsidR="008F179C">
        <w:rPr>
          <w:rFonts w:asciiTheme="majorHAnsi" w:hAnsiTheme="majorHAnsi" w:cstheme="majorHAnsi"/>
          <w:sz w:val="24"/>
          <w:szCs w:val="24"/>
          <w:lang w:val="en-US" w:eastAsia="fr-FR"/>
        </w:rPr>
        <w:t>-</w:t>
      </w:r>
      <w:r w:rsidRPr="00A654CF">
        <w:rPr>
          <w:rFonts w:asciiTheme="majorHAnsi" w:hAnsiTheme="majorHAnsi" w:cstheme="majorHAnsi"/>
          <w:sz w:val="24"/>
          <w:szCs w:val="24"/>
          <w:lang w:val="en-US" w:eastAsia="fr-FR"/>
        </w:rPr>
        <w:t xml:space="preserve"> indicate plasma and serum, respectively.  </w:t>
      </w:r>
      <w:r w:rsidRPr="00A654CF">
        <w:rPr>
          <w:rFonts w:asciiTheme="majorHAnsi" w:hAnsiTheme="majorHAnsi" w:cstheme="majorHAnsi"/>
          <w:sz w:val="24"/>
          <w:szCs w:val="24"/>
          <w:lang w:val="en-US"/>
        </w:rPr>
        <w:t xml:space="preserve">BA abbreviations and complete compound name are: HCA - Hyocholic acid, HDCA - Hyodeoxycholic acid, </w:t>
      </w:r>
      <w:r w:rsidR="00E37AAF">
        <w:rPr>
          <w:rFonts w:ascii="Arial" w:hAnsi="Arial" w:cs="Arial"/>
          <w:color w:val="202122"/>
          <w:sz w:val="18"/>
          <w:szCs w:val="18"/>
          <w:shd w:val="clear" w:color="auto" w:fill="F8F9FA"/>
        </w:rPr>
        <w:t>α</w:t>
      </w:r>
      <w:r w:rsidRPr="00A654CF">
        <w:rPr>
          <w:rFonts w:asciiTheme="majorHAnsi" w:hAnsiTheme="majorHAnsi" w:cstheme="majorHAnsi"/>
          <w:sz w:val="24"/>
          <w:szCs w:val="24"/>
          <w:lang w:val="en-US"/>
        </w:rPr>
        <w:t xml:space="preserve">MCA - </w:t>
      </w:r>
      <w:r w:rsidR="00E37AAF">
        <w:rPr>
          <w:rFonts w:ascii="Arial" w:hAnsi="Arial" w:cs="Arial"/>
          <w:color w:val="202122"/>
          <w:sz w:val="18"/>
          <w:szCs w:val="18"/>
          <w:shd w:val="clear" w:color="auto" w:fill="F8F9FA"/>
        </w:rPr>
        <w:t>α</w:t>
      </w:r>
      <w:r w:rsidRPr="00A654CF">
        <w:rPr>
          <w:rFonts w:asciiTheme="majorHAnsi" w:hAnsiTheme="majorHAnsi" w:cstheme="majorHAnsi"/>
          <w:sz w:val="24"/>
          <w:szCs w:val="24"/>
          <w:lang w:val="en-US"/>
        </w:rPr>
        <w:t>-muricholic acid, 7oxo-DCA - 7-oxo-deoxycholic acid, DCA - Deoxycholic acid, CA - Cholic acid, LCA - Lithocholic acid, CDCA - Chenodeoxycholic acid, UDCA - Ursodeoxycholic acid). Abbreviated names preceded with G or T indicate that the BA is conjugated with a glycine or a taurine, respectively.</w:t>
      </w:r>
    </w:p>
    <w:p w14:paraId="2C258D97" w14:textId="77777777" w:rsidR="00FD7793" w:rsidRPr="00A654CF" w:rsidRDefault="00FD7793" w:rsidP="000A0FA4">
      <w:pPr>
        <w:spacing w:after="0" w:line="276" w:lineRule="auto"/>
        <w:ind w:firstLine="0"/>
        <w:rPr>
          <w:rFonts w:asciiTheme="majorHAnsi" w:hAnsiTheme="majorHAnsi" w:cstheme="majorHAnsi"/>
          <w:sz w:val="24"/>
          <w:szCs w:val="24"/>
          <w:lang w:val="en-US"/>
        </w:rPr>
      </w:pPr>
      <w:r w:rsidRPr="00A654CF">
        <w:rPr>
          <w:rFonts w:asciiTheme="majorHAnsi" w:hAnsiTheme="majorHAnsi" w:cstheme="majorHAnsi"/>
          <w:sz w:val="24"/>
          <w:szCs w:val="24"/>
          <w:lang w:val="en-US"/>
        </w:rPr>
        <w:br w:type="page"/>
      </w:r>
    </w:p>
    <w:p w14:paraId="67FBF616" w14:textId="750CD150" w:rsidR="000A0FA4" w:rsidRPr="00997B40" w:rsidRDefault="00FD7793" w:rsidP="00A97284">
      <w:pPr>
        <w:pStyle w:val="Heading2"/>
        <w:spacing w:line="276" w:lineRule="auto"/>
        <w:jc w:val="both"/>
        <w:rPr>
          <w:rFonts w:asciiTheme="majorHAnsi" w:hAnsiTheme="majorHAnsi" w:cstheme="majorHAnsi"/>
          <w:i w:val="0"/>
          <w:iCs/>
          <w:sz w:val="24"/>
          <w:szCs w:val="24"/>
          <w:lang w:val="en-US"/>
        </w:rPr>
      </w:pPr>
      <w:r w:rsidRPr="00997B40">
        <w:rPr>
          <w:rFonts w:asciiTheme="majorHAnsi" w:hAnsiTheme="majorHAnsi" w:cstheme="majorHAnsi"/>
          <w:i w:val="0"/>
          <w:iCs/>
          <w:sz w:val="24"/>
          <w:szCs w:val="24"/>
          <w:lang w:val="en-US"/>
        </w:rPr>
        <w:lastRenderedPageBreak/>
        <w:t>Supplementary Table 2</w:t>
      </w:r>
    </w:p>
    <w:tbl>
      <w:tblPr>
        <w:tblW w:w="52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5"/>
        <w:gridCol w:w="1080"/>
        <w:gridCol w:w="1080"/>
        <w:gridCol w:w="1080"/>
        <w:gridCol w:w="1080"/>
      </w:tblGrid>
      <w:tr w:rsidR="00FD7793" w:rsidRPr="00A654CF" w14:paraId="634A7517" w14:textId="77777777" w:rsidTr="0009110C">
        <w:trPr>
          <w:trHeight w:val="24"/>
          <w:jc w:val="center"/>
        </w:trPr>
        <w:tc>
          <w:tcPr>
            <w:tcW w:w="895" w:type="dxa"/>
            <w:tcMar>
              <w:top w:w="100" w:type="dxa"/>
              <w:left w:w="100" w:type="dxa"/>
              <w:bottom w:w="100" w:type="dxa"/>
              <w:right w:w="100" w:type="dxa"/>
            </w:tcMar>
            <w:vAlign w:val="center"/>
          </w:tcPr>
          <w:p w14:paraId="50C424F2" w14:textId="77777777" w:rsidR="00FD7793" w:rsidRPr="00A654CF" w:rsidRDefault="00FD7793" w:rsidP="000A0FA4">
            <w:pPr>
              <w:adjustRightInd w:val="0"/>
              <w:snapToGrid w:val="0"/>
              <w:spacing w:after="0" w:line="276" w:lineRule="auto"/>
              <w:ind w:firstLine="0"/>
              <w:jc w:val="both"/>
              <w:rPr>
                <w:rFonts w:asciiTheme="majorHAnsi" w:eastAsia="SimSun" w:hAnsiTheme="majorHAnsi" w:cstheme="majorHAnsi"/>
                <w:b/>
                <w:sz w:val="18"/>
                <w:szCs w:val="18"/>
                <w:lang w:val="en-US" w:eastAsia="zh-CN"/>
              </w:rPr>
            </w:pPr>
          </w:p>
        </w:tc>
        <w:tc>
          <w:tcPr>
            <w:tcW w:w="1080" w:type="dxa"/>
            <w:tcMar>
              <w:top w:w="100" w:type="dxa"/>
              <w:left w:w="100" w:type="dxa"/>
              <w:bottom w:w="100" w:type="dxa"/>
              <w:right w:w="100" w:type="dxa"/>
            </w:tcMar>
            <w:vAlign w:val="center"/>
          </w:tcPr>
          <w:p w14:paraId="0FCA4B4F" w14:textId="77777777" w:rsidR="00FD7793" w:rsidRPr="00A654CF" w:rsidRDefault="00FD7793" w:rsidP="000A0FA4">
            <w:pPr>
              <w:adjustRightInd w:val="0"/>
              <w:snapToGrid w:val="0"/>
              <w:spacing w:after="0" w:line="276" w:lineRule="auto"/>
              <w:ind w:firstLine="0"/>
              <w:jc w:val="both"/>
              <w:rPr>
                <w:rFonts w:asciiTheme="majorHAnsi" w:eastAsia="SimSun" w:hAnsiTheme="majorHAnsi" w:cstheme="majorHAnsi"/>
                <w:b/>
                <w:sz w:val="18"/>
                <w:szCs w:val="18"/>
                <w:lang w:val="en-US" w:eastAsia="zh-CN"/>
              </w:rPr>
            </w:pPr>
          </w:p>
        </w:tc>
        <w:tc>
          <w:tcPr>
            <w:tcW w:w="1080" w:type="dxa"/>
            <w:tcMar>
              <w:top w:w="100" w:type="dxa"/>
              <w:left w:w="100" w:type="dxa"/>
              <w:bottom w:w="100" w:type="dxa"/>
              <w:right w:w="100" w:type="dxa"/>
            </w:tcMar>
            <w:vAlign w:val="center"/>
          </w:tcPr>
          <w:p w14:paraId="5EB7BEAF" w14:textId="77777777" w:rsidR="00FD7793" w:rsidRPr="00A654CF" w:rsidRDefault="00FD7793" w:rsidP="000A0FA4">
            <w:pPr>
              <w:pBdr>
                <w:top w:val="nil"/>
                <w:left w:val="nil"/>
                <w:bottom w:val="nil"/>
                <w:right w:val="nil"/>
                <w:between w:val="nil"/>
              </w:pBdr>
              <w:adjustRightInd w:val="0"/>
              <w:snapToGrid w:val="0"/>
              <w:spacing w:after="0" w:line="276" w:lineRule="auto"/>
              <w:ind w:firstLine="0"/>
              <w:jc w:val="both"/>
              <w:rPr>
                <w:rFonts w:asciiTheme="majorHAnsi" w:eastAsia="SimSun" w:hAnsiTheme="majorHAnsi" w:cstheme="majorHAnsi"/>
                <w:b/>
                <w:color w:val="000000"/>
                <w:sz w:val="18"/>
                <w:szCs w:val="18"/>
                <w:lang w:val="en-US" w:eastAsia="zh-CN"/>
              </w:rPr>
            </w:pPr>
            <w:r w:rsidRPr="00A654CF">
              <w:rPr>
                <w:rFonts w:asciiTheme="majorHAnsi" w:eastAsia="SimSun" w:hAnsiTheme="majorHAnsi" w:cstheme="majorHAnsi"/>
                <w:b/>
                <w:color w:val="000000"/>
                <w:sz w:val="18"/>
                <w:szCs w:val="18"/>
                <w:lang w:val="en-US" w:eastAsia="zh-CN"/>
              </w:rPr>
              <w:t>BMI</w:t>
            </w:r>
          </w:p>
        </w:tc>
        <w:tc>
          <w:tcPr>
            <w:tcW w:w="1080" w:type="dxa"/>
            <w:tcMar>
              <w:top w:w="100" w:type="dxa"/>
              <w:left w:w="100" w:type="dxa"/>
              <w:bottom w:w="100" w:type="dxa"/>
              <w:right w:w="100" w:type="dxa"/>
            </w:tcMar>
            <w:vAlign w:val="center"/>
          </w:tcPr>
          <w:p w14:paraId="4A1B2720" w14:textId="77777777" w:rsidR="00FD7793" w:rsidRPr="00A654CF" w:rsidRDefault="00FD7793" w:rsidP="000A0FA4">
            <w:pPr>
              <w:pBdr>
                <w:top w:val="nil"/>
                <w:left w:val="nil"/>
                <w:bottom w:val="nil"/>
                <w:right w:val="nil"/>
                <w:between w:val="nil"/>
              </w:pBdr>
              <w:adjustRightInd w:val="0"/>
              <w:snapToGrid w:val="0"/>
              <w:spacing w:after="0" w:line="276" w:lineRule="auto"/>
              <w:ind w:firstLine="0"/>
              <w:jc w:val="both"/>
              <w:rPr>
                <w:rFonts w:asciiTheme="majorHAnsi" w:eastAsia="SimSun" w:hAnsiTheme="majorHAnsi" w:cstheme="majorHAnsi"/>
                <w:b/>
                <w:color w:val="000000"/>
                <w:sz w:val="18"/>
                <w:szCs w:val="18"/>
                <w:lang w:val="en-US" w:eastAsia="zh-CN"/>
              </w:rPr>
            </w:pPr>
            <w:r w:rsidRPr="00A654CF">
              <w:rPr>
                <w:rFonts w:asciiTheme="majorHAnsi" w:eastAsia="SimSun" w:hAnsiTheme="majorHAnsi" w:cstheme="majorHAnsi"/>
                <w:b/>
                <w:color w:val="000000"/>
                <w:sz w:val="18"/>
                <w:szCs w:val="18"/>
                <w:lang w:val="en-US" w:eastAsia="zh-CN"/>
              </w:rPr>
              <w:t>Leptin</w:t>
            </w:r>
          </w:p>
        </w:tc>
        <w:tc>
          <w:tcPr>
            <w:tcW w:w="1080" w:type="dxa"/>
            <w:tcMar>
              <w:top w:w="100" w:type="dxa"/>
              <w:left w:w="100" w:type="dxa"/>
              <w:bottom w:w="100" w:type="dxa"/>
              <w:right w:w="100" w:type="dxa"/>
            </w:tcMar>
            <w:vAlign w:val="center"/>
          </w:tcPr>
          <w:p w14:paraId="0EB8D184" w14:textId="77777777" w:rsidR="00FD7793" w:rsidRPr="00A654CF" w:rsidRDefault="00FD7793" w:rsidP="000A0FA4">
            <w:pPr>
              <w:pBdr>
                <w:top w:val="nil"/>
                <w:left w:val="nil"/>
                <w:bottom w:val="nil"/>
                <w:right w:val="nil"/>
                <w:between w:val="nil"/>
              </w:pBdr>
              <w:adjustRightInd w:val="0"/>
              <w:snapToGrid w:val="0"/>
              <w:spacing w:after="0" w:line="276" w:lineRule="auto"/>
              <w:ind w:firstLine="0"/>
              <w:jc w:val="both"/>
              <w:rPr>
                <w:rFonts w:asciiTheme="majorHAnsi" w:eastAsia="SimSun" w:hAnsiTheme="majorHAnsi" w:cstheme="majorHAnsi"/>
                <w:b/>
                <w:color w:val="000000"/>
                <w:sz w:val="18"/>
                <w:szCs w:val="18"/>
                <w:lang w:val="en-US" w:eastAsia="zh-CN"/>
              </w:rPr>
            </w:pPr>
            <w:r w:rsidRPr="00A654CF">
              <w:rPr>
                <w:rFonts w:asciiTheme="majorHAnsi" w:eastAsia="SimSun" w:hAnsiTheme="majorHAnsi" w:cstheme="majorHAnsi"/>
                <w:b/>
                <w:color w:val="000000"/>
                <w:sz w:val="18"/>
                <w:szCs w:val="18"/>
                <w:lang w:val="en-US" w:eastAsia="zh-CN"/>
              </w:rPr>
              <w:t>HOMA-IR</w:t>
            </w:r>
          </w:p>
        </w:tc>
      </w:tr>
      <w:tr w:rsidR="00FD7793" w:rsidRPr="00A654CF" w14:paraId="7CC97516" w14:textId="77777777" w:rsidTr="0009110C">
        <w:trPr>
          <w:trHeight w:val="88"/>
          <w:jc w:val="center"/>
        </w:trPr>
        <w:tc>
          <w:tcPr>
            <w:tcW w:w="895" w:type="dxa"/>
            <w:vMerge w:val="restart"/>
            <w:tcMar>
              <w:top w:w="100" w:type="dxa"/>
              <w:left w:w="100" w:type="dxa"/>
              <w:bottom w:w="100" w:type="dxa"/>
              <w:right w:w="100" w:type="dxa"/>
            </w:tcMar>
            <w:vAlign w:val="center"/>
          </w:tcPr>
          <w:p w14:paraId="3A7ADFC7" w14:textId="77777777" w:rsidR="00FD7793" w:rsidRPr="00A654CF" w:rsidRDefault="00FD7793" w:rsidP="000A0FA4">
            <w:pPr>
              <w:pBdr>
                <w:top w:val="nil"/>
                <w:left w:val="nil"/>
                <w:bottom w:val="nil"/>
                <w:right w:val="nil"/>
                <w:between w:val="nil"/>
              </w:pBdr>
              <w:adjustRightInd w:val="0"/>
              <w:snapToGrid w:val="0"/>
              <w:spacing w:after="0" w:line="276" w:lineRule="auto"/>
              <w:ind w:firstLine="0"/>
              <w:jc w:val="both"/>
              <w:rPr>
                <w:rFonts w:asciiTheme="majorHAnsi" w:eastAsia="SimSun" w:hAnsiTheme="majorHAnsi" w:cstheme="majorHAnsi"/>
                <w:b/>
                <w:color w:val="000000"/>
                <w:sz w:val="18"/>
                <w:szCs w:val="18"/>
                <w:lang w:val="en-US" w:eastAsia="zh-CN"/>
              </w:rPr>
            </w:pPr>
            <w:r w:rsidRPr="00A654CF">
              <w:rPr>
                <w:rFonts w:asciiTheme="majorHAnsi" w:eastAsia="SimSun" w:hAnsiTheme="majorHAnsi" w:cstheme="majorHAnsi"/>
                <w:b/>
                <w:color w:val="000000"/>
                <w:sz w:val="18"/>
                <w:szCs w:val="18"/>
                <w:lang w:val="en-US" w:eastAsia="zh-CN"/>
              </w:rPr>
              <w:t>Men</w:t>
            </w:r>
          </w:p>
        </w:tc>
        <w:tc>
          <w:tcPr>
            <w:tcW w:w="1080" w:type="dxa"/>
            <w:tcMar>
              <w:top w:w="100" w:type="dxa"/>
              <w:left w:w="100" w:type="dxa"/>
              <w:bottom w:w="100" w:type="dxa"/>
              <w:right w:w="100" w:type="dxa"/>
            </w:tcMar>
            <w:vAlign w:val="center"/>
          </w:tcPr>
          <w:p w14:paraId="16E7A8C4" w14:textId="77777777" w:rsidR="00FD7793" w:rsidRPr="00A654CF" w:rsidRDefault="00FD7793" w:rsidP="000A0FA4">
            <w:pPr>
              <w:pBdr>
                <w:top w:val="nil"/>
                <w:left w:val="nil"/>
                <w:bottom w:val="nil"/>
                <w:right w:val="nil"/>
                <w:between w:val="nil"/>
              </w:pBdr>
              <w:adjustRightInd w:val="0"/>
              <w:snapToGrid w:val="0"/>
              <w:spacing w:after="0" w:line="276" w:lineRule="auto"/>
              <w:ind w:firstLine="0"/>
              <w:jc w:val="both"/>
              <w:rPr>
                <w:rFonts w:asciiTheme="majorHAnsi" w:eastAsia="SimSun" w:hAnsiTheme="majorHAnsi" w:cstheme="majorHAnsi"/>
                <w:b/>
                <w:color w:val="000000"/>
                <w:sz w:val="18"/>
                <w:szCs w:val="18"/>
                <w:lang w:val="en-US" w:eastAsia="zh-CN"/>
              </w:rPr>
            </w:pPr>
            <w:r w:rsidRPr="00A654CF">
              <w:rPr>
                <w:rFonts w:asciiTheme="majorHAnsi" w:eastAsia="SimSun" w:hAnsiTheme="majorHAnsi" w:cstheme="majorHAnsi"/>
                <w:b/>
                <w:color w:val="000000"/>
                <w:sz w:val="18"/>
                <w:szCs w:val="18"/>
                <w:lang w:val="en-US" w:eastAsia="zh-CN"/>
              </w:rPr>
              <w:t>AUC</w:t>
            </w:r>
          </w:p>
        </w:tc>
        <w:tc>
          <w:tcPr>
            <w:tcW w:w="1080" w:type="dxa"/>
            <w:tcMar>
              <w:top w:w="100" w:type="dxa"/>
              <w:left w:w="100" w:type="dxa"/>
              <w:bottom w:w="100" w:type="dxa"/>
              <w:right w:w="100" w:type="dxa"/>
            </w:tcMar>
            <w:vAlign w:val="center"/>
          </w:tcPr>
          <w:p w14:paraId="50422804" w14:textId="77777777" w:rsidR="00FD7793" w:rsidRPr="00A654CF" w:rsidRDefault="00FD7793" w:rsidP="000A0FA4">
            <w:pPr>
              <w:pBdr>
                <w:top w:val="nil"/>
                <w:left w:val="nil"/>
                <w:bottom w:val="nil"/>
                <w:right w:val="nil"/>
                <w:between w:val="nil"/>
              </w:pBdr>
              <w:adjustRightInd w:val="0"/>
              <w:snapToGrid w:val="0"/>
              <w:spacing w:after="0" w:line="276" w:lineRule="auto"/>
              <w:ind w:firstLine="50"/>
              <w:jc w:val="both"/>
              <w:rPr>
                <w:rFonts w:asciiTheme="majorHAnsi" w:eastAsia="SimSun" w:hAnsiTheme="majorHAnsi" w:cstheme="majorHAnsi"/>
                <w:color w:val="000000"/>
                <w:sz w:val="18"/>
                <w:szCs w:val="18"/>
                <w:lang w:val="en-US" w:eastAsia="zh-CN"/>
              </w:rPr>
            </w:pPr>
            <w:r w:rsidRPr="00A654CF">
              <w:rPr>
                <w:rFonts w:asciiTheme="majorHAnsi" w:eastAsia="SimSun" w:hAnsiTheme="majorHAnsi" w:cstheme="majorHAnsi"/>
                <w:color w:val="000000"/>
                <w:sz w:val="18"/>
                <w:szCs w:val="18"/>
                <w:lang w:val="en-US" w:eastAsia="zh-CN"/>
              </w:rPr>
              <w:t>0.71</w:t>
            </w:r>
            <w:r w:rsidRPr="00A654CF">
              <w:rPr>
                <w:rFonts w:asciiTheme="majorHAnsi" w:eastAsia="SimSun" w:hAnsiTheme="majorHAnsi" w:cstheme="majorHAnsi"/>
                <w:color w:val="222222"/>
                <w:sz w:val="18"/>
                <w:szCs w:val="18"/>
                <w:highlight w:val="white"/>
                <w:lang w:val="en-US" w:eastAsia="zh-CN"/>
              </w:rPr>
              <w:t>±</w:t>
            </w:r>
            <w:r w:rsidRPr="00A654CF">
              <w:rPr>
                <w:rFonts w:asciiTheme="majorHAnsi" w:eastAsia="SimSun" w:hAnsiTheme="majorHAnsi" w:cstheme="majorHAnsi"/>
                <w:color w:val="000000"/>
                <w:sz w:val="18"/>
                <w:szCs w:val="18"/>
                <w:lang w:val="en-US" w:eastAsia="zh-CN"/>
              </w:rPr>
              <w:t>0.1</w:t>
            </w:r>
          </w:p>
        </w:tc>
        <w:tc>
          <w:tcPr>
            <w:tcW w:w="1080" w:type="dxa"/>
            <w:tcMar>
              <w:top w:w="100" w:type="dxa"/>
              <w:left w:w="100" w:type="dxa"/>
              <w:bottom w:w="100" w:type="dxa"/>
              <w:right w:w="100" w:type="dxa"/>
            </w:tcMar>
            <w:vAlign w:val="center"/>
          </w:tcPr>
          <w:p w14:paraId="1505FFDE" w14:textId="77777777" w:rsidR="00FD7793" w:rsidRPr="00A654CF" w:rsidRDefault="00FD7793" w:rsidP="000A0FA4">
            <w:pPr>
              <w:pBdr>
                <w:top w:val="nil"/>
                <w:left w:val="nil"/>
                <w:bottom w:val="nil"/>
                <w:right w:val="nil"/>
                <w:between w:val="nil"/>
              </w:pBdr>
              <w:adjustRightInd w:val="0"/>
              <w:snapToGrid w:val="0"/>
              <w:spacing w:after="0" w:line="276" w:lineRule="auto"/>
              <w:ind w:firstLine="0"/>
              <w:jc w:val="both"/>
              <w:rPr>
                <w:rFonts w:asciiTheme="majorHAnsi" w:eastAsia="SimSun" w:hAnsiTheme="majorHAnsi" w:cstheme="majorHAnsi"/>
                <w:color w:val="000000"/>
                <w:sz w:val="18"/>
                <w:szCs w:val="18"/>
                <w:lang w:val="en-US" w:eastAsia="zh-CN"/>
              </w:rPr>
            </w:pPr>
            <w:r w:rsidRPr="00A654CF">
              <w:rPr>
                <w:rFonts w:asciiTheme="majorHAnsi" w:eastAsia="SimSun" w:hAnsiTheme="majorHAnsi" w:cstheme="majorHAnsi"/>
                <w:color w:val="000000"/>
                <w:sz w:val="18"/>
                <w:szCs w:val="18"/>
                <w:lang w:val="en-US" w:eastAsia="zh-CN"/>
              </w:rPr>
              <w:t>0.47</w:t>
            </w:r>
            <w:r w:rsidRPr="00A654CF">
              <w:rPr>
                <w:rFonts w:asciiTheme="majorHAnsi" w:eastAsia="SimSun" w:hAnsiTheme="majorHAnsi" w:cstheme="majorHAnsi"/>
                <w:color w:val="222222"/>
                <w:sz w:val="18"/>
                <w:szCs w:val="18"/>
                <w:highlight w:val="white"/>
                <w:lang w:val="en-US" w:eastAsia="zh-CN"/>
              </w:rPr>
              <w:t>±</w:t>
            </w:r>
            <w:r w:rsidRPr="00A654CF">
              <w:rPr>
                <w:rFonts w:asciiTheme="majorHAnsi" w:eastAsia="SimSun" w:hAnsiTheme="majorHAnsi" w:cstheme="majorHAnsi"/>
                <w:color w:val="000000"/>
                <w:sz w:val="18"/>
                <w:szCs w:val="18"/>
                <w:lang w:val="en-US" w:eastAsia="zh-CN"/>
              </w:rPr>
              <w:t>0.12</w:t>
            </w:r>
          </w:p>
        </w:tc>
        <w:tc>
          <w:tcPr>
            <w:tcW w:w="1080" w:type="dxa"/>
            <w:tcMar>
              <w:top w:w="100" w:type="dxa"/>
              <w:left w:w="100" w:type="dxa"/>
              <w:bottom w:w="100" w:type="dxa"/>
              <w:right w:w="100" w:type="dxa"/>
            </w:tcMar>
            <w:vAlign w:val="center"/>
          </w:tcPr>
          <w:p w14:paraId="22359608" w14:textId="77777777" w:rsidR="00FD7793" w:rsidRPr="00A654CF" w:rsidRDefault="00FD7793" w:rsidP="000A0FA4">
            <w:pPr>
              <w:pBdr>
                <w:top w:val="nil"/>
                <w:left w:val="nil"/>
                <w:bottom w:val="nil"/>
                <w:right w:val="nil"/>
                <w:between w:val="nil"/>
              </w:pBdr>
              <w:adjustRightInd w:val="0"/>
              <w:snapToGrid w:val="0"/>
              <w:spacing w:after="0" w:line="276" w:lineRule="auto"/>
              <w:ind w:firstLine="0"/>
              <w:jc w:val="both"/>
              <w:rPr>
                <w:rFonts w:asciiTheme="majorHAnsi" w:eastAsia="SimSun" w:hAnsiTheme="majorHAnsi" w:cstheme="majorHAnsi"/>
                <w:color w:val="000000"/>
                <w:sz w:val="18"/>
                <w:szCs w:val="18"/>
                <w:lang w:val="en-US" w:eastAsia="zh-CN"/>
              </w:rPr>
            </w:pPr>
            <w:r w:rsidRPr="00A654CF">
              <w:rPr>
                <w:rFonts w:asciiTheme="majorHAnsi" w:eastAsia="SimSun" w:hAnsiTheme="majorHAnsi" w:cstheme="majorHAnsi"/>
                <w:color w:val="000000"/>
                <w:sz w:val="18"/>
                <w:szCs w:val="18"/>
                <w:lang w:val="en-US" w:eastAsia="zh-CN"/>
              </w:rPr>
              <w:t>0.69</w:t>
            </w:r>
            <w:r w:rsidRPr="00A654CF">
              <w:rPr>
                <w:rFonts w:asciiTheme="majorHAnsi" w:eastAsia="SimSun" w:hAnsiTheme="majorHAnsi" w:cstheme="majorHAnsi"/>
                <w:color w:val="222222"/>
                <w:sz w:val="18"/>
                <w:szCs w:val="18"/>
                <w:highlight w:val="white"/>
                <w:lang w:val="en-US" w:eastAsia="zh-CN"/>
              </w:rPr>
              <w:t>±</w:t>
            </w:r>
            <w:r w:rsidRPr="00A654CF">
              <w:rPr>
                <w:rFonts w:asciiTheme="majorHAnsi" w:eastAsia="SimSun" w:hAnsiTheme="majorHAnsi" w:cstheme="majorHAnsi"/>
                <w:color w:val="000000"/>
                <w:sz w:val="18"/>
                <w:szCs w:val="18"/>
                <w:lang w:val="en-US" w:eastAsia="zh-CN"/>
              </w:rPr>
              <w:t>0.1</w:t>
            </w:r>
          </w:p>
        </w:tc>
      </w:tr>
      <w:tr w:rsidR="00FD7793" w:rsidRPr="00A654CF" w14:paraId="79ABAFA0" w14:textId="77777777" w:rsidTr="0009110C">
        <w:trPr>
          <w:trHeight w:val="88"/>
          <w:jc w:val="center"/>
        </w:trPr>
        <w:tc>
          <w:tcPr>
            <w:tcW w:w="895" w:type="dxa"/>
            <w:vMerge/>
            <w:tcMar>
              <w:top w:w="100" w:type="dxa"/>
              <w:left w:w="100" w:type="dxa"/>
              <w:bottom w:w="100" w:type="dxa"/>
              <w:right w:w="100" w:type="dxa"/>
            </w:tcMar>
            <w:vAlign w:val="center"/>
          </w:tcPr>
          <w:p w14:paraId="579DD86F" w14:textId="77777777" w:rsidR="00FD7793" w:rsidRPr="00A654CF" w:rsidRDefault="00FD7793" w:rsidP="000A0FA4">
            <w:pPr>
              <w:widowControl w:val="0"/>
              <w:pBdr>
                <w:top w:val="nil"/>
                <w:left w:val="nil"/>
                <w:bottom w:val="nil"/>
                <w:right w:val="nil"/>
                <w:between w:val="nil"/>
              </w:pBdr>
              <w:adjustRightInd w:val="0"/>
              <w:snapToGrid w:val="0"/>
              <w:spacing w:after="0" w:line="276" w:lineRule="auto"/>
              <w:ind w:firstLine="0"/>
              <w:jc w:val="both"/>
              <w:rPr>
                <w:rFonts w:asciiTheme="majorHAnsi" w:eastAsia="SimSun" w:hAnsiTheme="majorHAnsi" w:cstheme="majorHAnsi"/>
                <w:color w:val="000000"/>
                <w:sz w:val="18"/>
                <w:szCs w:val="18"/>
                <w:lang w:val="en-US" w:eastAsia="zh-CN"/>
              </w:rPr>
            </w:pPr>
          </w:p>
        </w:tc>
        <w:tc>
          <w:tcPr>
            <w:tcW w:w="1080" w:type="dxa"/>
            <w:tcMar>
              <w:top w:w="100" w:type="dxa"/>
              <w:left w:w="100" w:type="dxa"/>
              <w:bottom w:w="100" w:type="dxa"/>
              <w:right w:w="100" w:type="dxa"/>
            </w:tcMar>
            <w:vAlign w:val="center"/>
          </w:tcPr>
          <w:p w14:paraId="5D84F583" w14:textId="77777777" w:rsidR="00FD7793" w:rsidRPr="00A654CF" w:rsidRDefault="00FD7793" w:rsidP="000A0FA4">
            <w:pPr>
              <w:pBdr>
                <w:top w:val="nil"/>
                <w:left w:val="nil"/>
                <w:bottom w:val="nil"/>
                <w:right w:val="nil"/>
                <w:between w:val="nil"/>
              </w:pBdr>
              <w:adjustRightInd w:val="0"/>
              <w:snapToGrid w:val="0"/>
              <w:spacing w:after="0" w:line="276" w:lineRule="auto"/>
              <w:ind w:hanging="17"/>
              <w:jc w:val="both"/>
              <w:rPr>
                <w:rFonts w:asciiTheme="majorHAnsi" w:eastAsia="SimSun" w:hAnsiTheme="majorHAnsi" w:cstheme="majorHAnsi"/>
                <w:b/>
                <w:color w:val="000000"/>
                <w:sz w:val="18"/>
                <w:szCs w:val="18"/>
                <w:lang w:val="en-US" w:eastAsia="zh-CN"/>
              </w:rPr>
            </w:pPr>
            <w:r w:rsidRPr="00A654CF">
              <w:rPr>
                <w:rFonts w:asciiTheme="majorHAnsi" w:eastAsia="SimSun" w:hAnsiTheme="majorHAnsi" w:cstheme="majorHAnsi"/>
                <w:b/>
                <w:color w:val="000000"/>
                <w:sz w:val="18"/>
                <w:szCs w:val="18"/>
                <w:lang w:val="en-US" w:eastAsia="zh-CN"/>
              </w:rPr>
              <w:t>p-value</w:t>
            </w:r>
          </w:p>
        </w:tc>
        <w:tc>
          <w:tcPr>
            <w:tcW w:w="1080" w:type="dxa"/>
            <w:tcMar>
              <w:top w:w="100" w:type="dxa"/>
              <w:left w:w="100" w:type="dxa"/>
              <w:bottom w:w="100" w:type="dxa"/>
              <w:right w:w="100" w:type="dxa"/>
            </w:tcMar>
            <w:vAlign w:val="center"/>
          </w:tcPr>
          <w:p w14:paraId="50CB7E9A" w14:textId="77777777" w:rsidR="00FD7793" w:rsidRPr="00A654CF" w:rsidRDefault="00FD7793" w:rsidP="000A0FA4">
            <w:pPr>
              <w:pBdr>
                <w:top w:val="nil"/>
                <w:left w:val="nil"/>
                <w:bottom w:val="nil"/>
                <w:right w:val="nil"/>
                <w:between w:val="nil"/>
              </w:pBdr>
              <w:adjustRightInd w:val="0"/>
              <w:snapToGrid w:val="0"/>
              <w:spacing w:after="0" w:line="276" w:lineRule="auto"/>
              <w:ind w:firstLine="50"/>
              <w:jc w:val="both"/>
              <w:rPr>
                <w:rFonts w:asciiTheme="majorHAnsi" w:eastAsia="SimSun" w:hAnsiTheme="majorHAnsi" w:cstheme="majorHAnsi"/>
                <w:color w:val="000000"/>
                <w:sz w:val="18"/>
                <w:szCs w:val="18"/>
                <w:lang w:val="en-US" w:eastAsia="zh-CN"/>
              </w:rPr>
            </w:pPr>
            <w:r w:rsidRPr="00A654CF">
              <w:rPr>
                <w:rFonts w:asciiTheme="majorHAnsi" w:eastAsia="SimSun" w:hAnsiTheme="majorHAnsi" w:cstheme="majorHAnsi"/>
                <w:color w:val="000000"/>
                <w:sz w:val="18"/>
                <w:szCs w:val="18"/>
                <w:lang w:val="en-US" w:eastAsia="zh-CN"/>
              </w:rPr>
              <w:t>0.017</w:t>
            </w:r>
          </w:p>
        </w:tc>
        <w:tc>
          <w:tcPr>
            <w:tcW w:w="1080" w:type="dxa"/>
            <w:tcMar>
              <w:top w:w="100" w:type="dxa"/>
              <w:left w:w="100" w:type="dxa"/>
              <w:bottom w:w="100" w:type="dxa"/>
              <w:right w:w="100" w:type="dxa"/>
            </w:tcMar>
            <w:vAlign w:val="center"/>
          </w:tcPr>
          <w:p w14:paraId="29C4B5E2" w14:textId="77777777" w:rsidR="00FD7793" w:rsidRPr="00A654CF" w:rsidRDefault="00FD7793" w:rsidP="000A0FA4">
            <w:pPr>
              <w:pBdr>
                <w:top w:val="nil"/>
                <w:left w:val="nil"/>
                <w:bottom w:val="nil"/>
                <w:right w:val="nil"/>
                <w:between w:val="nil"/>
              </w:pBdr>
              <w:adjustRightInd w:val="0"/>
              <w:snapToGrid w:val="0"/>
              <w:spacing w:after="0" w:line="276" w:lineRule="auto"/>
              <w:ind w:firstLine="0"/>
              <w:jc w:val="both"/>
              <w:rPr>
                <w:rFonts w:asciiTheme="majorHAnsi" w:eastAsia="SimSun" w:hAnsiTheme="majorHAnsi" w:cstheme="majorHAnsi"/>
                <w:color w:val="000000"/>
                <w:sz w:val="18"/>
                <w:szCs w:val="18"/>
                <w:lang w:val="en-US" w:eastAsia="zh-CN"/>
              </w:rPr>
            </w:pPr>
            <w:r w:rsidRPr="00A654CF">
              <w:rPr>
                <w:rFonts w:asciiTheme="majorHAnsi" w:eastAsia="SimSun" w:hAnsiTheme="majorHAnsi" w:cstheme="majorHAnsi"/>
                <w:color w:val="000000"/>
                <w:sz w:val="18"/>
                <w:szCs w:val="18"/>
                <w:lang w:val="en-US" w:eastAsia="zh-CN"/>
              </w:rPr>
              <w:t>0.58</w:t>
            </w:r>
          </w:p>
        </w:tc>
        <w:tc>
          <w:tcPr>
            <w:tcW w:w="1080" w:type="dxa"/>
            <w:tcMar>
              <w:top w:w="100" w:type="dxa"/>
              <w:left w:w="100" w:type="dxa"/>
              <w:bottom w:w="100" w:type="dxa"/>
              <w:right w:w="100" w:type="dxa"/>
            </w:tcMar>
            <w:vAlign w:val="center"/>
          </w:tcPr>
          <w:p w14:paraId="7A827411" w14:textId="77777777" w:rsidR="00FD7793" w:rsidRPr="00A654CF" w:rsidRDefault="00FD7793" w:rsidP="000A0FA4">
            <w:pPr>
              <w:pBdr>
                <w:top w:val="nil"/>
                <w:left w:val="nil"/>
                <w:bottom w:val="nil"/>
                <w:right w:val="nil"/>
                <w:between w:val="nil"/>
              </w:pBdr>
              <w:adjustRightInd w:val="0"/>
              <w:snapToGrid w:val="0"/>
              <w:spacing w:after="0" w:line="276" w:lineRule="auto"/>
              <w:ind w:firstLine="0"/>
              <w:jc w:val="both"/>
              <w:rPr>
                <w:rFonts w:asciiTheme="majorHAnsi" w:eastAsia="SimSun" w:hAnsiTheme="majorHAnsi" w:cstheme="majorHAnsi"/>
                <w:color w:val="000000"/>
                <w:sz w:val="18"/>
                <w:szCs w:val="18"/>
                <w:lang w:val="en-US" w:eastAsia="zh-CN"/>
              </w:rPr>
            </w:pPr>
            <w:r w:rsidRPr="00A654CF">
              <w:rPr>
                <w:rFonts w:asciiTheme="majorHAnsi" w:eastAsia="SimSun" w:hAnsiTheme="majorHAnsi" w:cstheme="majorHAnsi"/>
                <w:color w:val="000000"/>
                <w:sz w:val="18"/>
                <w:szCs w:val="18"/>
                <w:lang w:val="en-US" w:eastAsia="zh-CN"/>
              </w:rPr>
              <w:t>0.03</w:t>
            </w:r>
          </w:p>
        </w:tc>
      </w:tr>
      <w:tr w:rsidR="00FD7793" w:rsidRPr="00A654CF" w14:paraId="7B82AA72" w14:textId="77777777" w:rsidTr="0009110C">
        <w:trPr>
          <w:trHeight w:val="79"/>
          <w:jc w:val="center"/>
        </w:trPr>
        <w:tc>
          <w:tcPr>
            <w:tcW w:w="895" w:type="dxa"/>
            <w:vMerge w:val="restart"/>
            <w:tcMar>
              <w:top w:w="100" w:type="dxa"/>
              <w:left w:w="100" w:type="dxa"/>
              <w:bottom w:w="100" w:type="dxa"/>
              <w:right w:w="100" w:type="dxa"/>
            </w:tcMar>
            <w:vAlign w:val="center"/>
          </w:tcPr>
          <w:p w14:paraId="4A7D8C47" w14:textId="77777777" w:rsidR="00FD7793" w:rsidRPr="00A654CF" w:rsidRDefault="00FD7793" w:rsidP="000A0FA4">
            <w:pPr>
              <w:pBdr>
                <w:top w:val="nil"/>
                <w:left w:val="nil"/>
                <w:bottom w:val="nil"/>
                <w:right w:val="nil"/>
                <w:between w:val="nil"/>
              </w:pBdr>
              <w:adjustRightInd w:val="0"/>
              <w:snapToGrid w:val="0"/>
              <w:spacing w:after="0" w:line="276" w:lineRule="auto"/>
              <w:ind w:firstLine="0"/>
              <w:jc w:val="both"/>
              <w:rPr>
                <w:rFonts w:asciiTheme="majorHAnsi" w:eastAsia="SimSun" w:hAnsiTheme="majorHAnsi" w:cstheme="majorHAnsi"/>
                <w:b/>
                <w:color w:val="000000"/>
                <w:sz w:val="18"/>
                <w:szCs w:val="18"/>
                <w:lang w:val="en-US" w:eastAsia="zh-CN"/>
              </w:rPr>
            </w:pPr>
            <w:r w:rsidRPr="00A654CF">
              <w:rPr>
                <w:rFonts w:asciiTheme="majorHAnsi" w:eastAsia="SimSun" w:hAnsiTheme="majorHAnsi" w:cstheme="majorHAnsi"/>
                <w:b/>
                <w:color w:val="000000"/>
                <w:sz w:val="18"/>
                <w:szCs w:val="18"/>
                <w:lang w:val="en-US" w:eastAsia="zh-CN"/>
              </w:rPr>
              <w:t>Women</w:t>
            </w:r>
          </w:p>
        </w:tc>
        <w:tc>
          <w:tcPr>
            <w:tcW w:w="1080" w:type="dxa"/>
            <w:tcMar>
              <w:top w:w="100" w:type="dxa"/>
              <w:left w:w="100" w:type="dxa"/>
              <w:bottom w:w="100" w:type="dxa"/>
              <w:right w:w="100" w:type="dxa"/>
            </w:tcMar>
            <w:vAlign w:val="center"/>
          </w:tcPr>
          <w:p w14:paraId="4D7B6313" w14:textId="77777777" w:rsidR="00FD7793" w:rsidRPr="00A654CF" w:rsidRDefault="00FD7793" w:rsidP="000A0FA4">
            <w:pPr>
              <w:pBdr>
                <w:top w:val="nil"/>
                <w:left w:val="nil"/>
                <w:bottom w:val="nil"/>
                <w:right w:val="nil"/>
                <w:between w:val="nil"/>
              </w:pBdr>
              <w:adjustRightInd w:val="0"/>
              <w:snapToGrid w:val="0"/>
              <w:spacing w:after="0" w:line="276" w:lineRule="auto"/>
              <w:ind w:firstLine="0"/>
              <w:jc w:val="both"/>
              <w:rPr>
                <w:rFonts w:asciiTheme="majorHAnsi" w:eastAsia="SimSun" w:hAnsiTheme="majorHAnsi" w:cstheme="majorHAnsi"/>
                <w:b/>
                <w:color w:val="000000"/>
                <w:sz w:val="18"/>
                <w:szCs w:val="18"/>
                <w:lang w:val="en-US" w:eastAsia="zh-CN"/>
              </w:rPr>
            </w:pPr>
            <w:r w:rsidRPr="00A654CF">
              <w:rPr>
                <w:rFonts w:asciiTheme="majorHAnsi" w:eastAsia="SimSun" w:hAnsiTheme="majorHAnsi" w:cstheme="majorHAnsi"/>
                <w:b/>
                <w:color w:val="000000"/>
                <w:sz w:val="18"/>
                <w:szCs w:val="18"/>
                <w:lang w:val="en-US" w:eastAsia="zh-CN"/>
              </w:rPr>
              <w:t>AUC</w:t>
            </w:r>
          </w:p>
        </w:tc>
        <w:tc>
          <w:tcPr>
            <w:tcW w:w="1080" w:type="dxa"/>
            <w:tcMar>
              <w:top w:w="100" w:type="dxa"/>
              <w:left w:w="100" w:type="dxa"/>
              <w:bottom w:w="100" w:type="dxa"/>
              <w:right w:w="100" w:type="dxa"/>
            </w:tcMar>
            <w:vAlign w:val="center"/>
          </w:tcPr>
          <w:p w14:paraId="11949D3B" w14:textId="77777777" w:rsidR="00FD7793" w:rsidRPr="00A654CF" w:rsidRDefault="00FD7793" w:rsidP="000A0FA4">
            <w:pPr>
              <w:pBdr>
                <w:top w:val="nil"/>
                <w:left w:val="nil"/>
                <w:bottom w:val="nil"/>
                <w:right w:val="nil"/>
                <w:between w:val="nil"/>
              </w:pBdr>
              <w:adjustRightInd w:val="0"/>
              <w:snapToGrid w:val="0"/>
              <w:spacing w:after="0" w:line="276" w:lineRule="auto"/>
              <w:ind w:firstLine="50"/>
              <w:jc w:val="both"/>
              <w:rPr>
                <w:rFonts w:asciiTheme="majorHAnsi" w:eastAsia="SimSun" w:hAnsiTheme="majorHAnsi" w:cstheme="majorHAnsi"/>
                <w:color w:val="000000"/>
                <w:sz w:val="18"/>
                <w:szCs w:val="18"/>
                <w:lang w:val="en-US" w:eastAsia="zh-CN"/>
              </w:rPr>
            </w:pPr>
            <w:r w:rsidRPr="00A654CF">
              <w:rPr>
                <w:rFonts w:asciiTheme="majorHAnsi" w:eastAsia="SimSun" w:hAnsiTheme="majorHAnsi" w:cstheme="majorHAnsi"/>
                <w:color w:val="000000"/>
                <w:sz w:val="18"/>
                <w:szCs w:val="18"/>
                <w:lang w:val="en-US" w:eastAsia="zh-CN"/>
              </w:rPr>
              <w:t>0.70</w:t>
            </w:r>
            <w:r w:rsidRPr="00A654CF">
              <w:rPr>
                <w:rFonts w:asciiTheme="majorHAnsi" w:eastAsia="SimSun" w:hAnsiTheme="majorHAnsi" w:cstheme="majorHAnsi"/>
                <w:color w:val="222222"/>
                <w:sz w:val="18"/>
                <w:szCs w:val="18"/>
                <w:highlight w:val="white"/>
                <w:lang w:val="en-US" w:eastAsia="zh-CN"/>
              </w:rPr>
              <w:t>±</w:t>
            </w:r>
            <w:r w:rsidRPr="00A654CF">
              <w:rPr>
                <w:rFonts w:asciiTheme="majorHAnsi" w:eastAsia="SimSun" w:hAnsiTheme="majorHAnsi" w:cstheme="majorHAnsi"/>
                <w:color w:val="000000"/>
                <w:sz w:val="18"/>
                <w:szCs w:val="18"/>
                <w:lang w:val="en-US" w:eastAsia="zh-CN"/>
              </w:rPr>
              <w:t>0.09</w:t>
            </w:r>
          </w:p>
        </w:tc>
        <w:tc>
          <w:tcPr>
            <w:tcW w:w="1080" w:type="dxa"/>
            <w:tcMar>
              <w:top w:w="100" w:type="dxa"/>
              <w:left w:w="100" w:type="dxa"/>
              <w:bottom w:w="100" w:type="dxa"/>
              <w:right w:w="100" w:type="dxa"/>
            </w:tcMar>
            <w:vAlign w:val="center"/>
          </w:tcPr>
          <w:p w14:paraId="0D60A54C" w14:textId="77777777" w:rsidR="00FD7793" w:rsidRPr="00A654CF" w:rsidRDefault="00FD7793" w:rsidP="000A0FA4">
            <w:pPr>
              <w:pBdr>
                <w:top w:val="nil"/>
                <w:left w:val="nil"/>
                <w:bottom w:val="nil"/>
                <w:right w:val="nil"/>
                <w:between w:val="nil"/>
              </w:pBdr>
              <w:adjustRightInd w:val="0"/>
              <w:snapToGrid w:val="0"/>
              <w:spacing w:after="0" w:line="276" w:lineRule="auto"/>
              <w:ind w:firstLine="0"/>
              <w:jc w:val="both"/>
              <w:rPr>
                <w:rFonts w:asciiTheme="majorHAnsi" w:eastAsia="SimSun" w:hAnsiTheme="majorHAnsi" w:cstheme="majorHAnsi"/>
                <w:color w:val="000000"/>
                <w:sz w:val="18"/>
                <w:szCs w:val="18"/>
                <w:lang w:val="en-US" w:eastAsia="zh-CN"/>
              </w:rPr>
            </w:pPr>
            <w:r w:rsidRPr="00A654CF">
              <w:rPr>
                <w:rFonts w:asciiTheme="majorHAnsi" w:eastAsia="SimSun" w:hAnsiTheme="majorHAnsi" w:cstheme="majorHAnsi"/>
                <w:color w:val="000000"/>
                <w:sz w:val="18"/>
                <w:szCs w:val="18"/>
                <w:lang w:val="en-US" w:eastAsia="zh-CN"/>
              </w:rPr>
              <w:t>0.63</w:t>
            </w:r>
            <w:r w:rsidRPr="00A654CF">
              <w:rPr>
                <w:rFonts w:asciiTheme="majorHAnsi" w:eastAsia="SimSun" w:hAnsiTheme="majorHAnsi" w:cstheme="majorHAnsi"/>
                <w:color w:val="222222"/>
                <w:sz w:val="18"/>
                <w:szCs w:val="18"/>
                <w:highlight w:val="white"/>
                <w:lang w:val="en-US" w:eastAsia="zh-CN"/>
              </w:rPr>
              <w:t>±</w:t>
            </w:r>
            <w:r w:rsidRPr="00A654CF">
              <w:rPr>
                <w:rFonts w:asciiTheme="majorHAnsi" w:eastAsia="SimSun" w:hAnsiTheme="majorHAnsi" w:cstheme="majorHAnsi"/>
                <w:color w:val="000000"/>
                <w:sz w:val="18"/>
                <w:szCs w:val="18"/>
                <w:lang w:val="en-US" w:eastAsia="zh-CN"/>
              </w:rPr>
              <w:t>0.1</w:t>
            </w:r>
          </w:p>
        </w:tc>
        <w:tc>
          <w:tcPr>
            <w:tcW w:w="1080" w:type="dxa"/>
            <w:tcMar>
              <w:top w:w="100" w:type="dxa"/>
              <w:left w:w="100" w:type="dxa"/>
              <w:bottom w:w="100" w:type="dxa"/>
              <w:right w:w="100" w:type="dxa"/>
            </w:tcMar>
            <w:vAlign w:val="center"/>
          </w:tcPr>
          <w:p w14:paraId="4FB20550" w14:textId="77777777" w:rsidR="00FD7793" w:rsidRPr="00A654CF" w:rsidRDefault="00FD7793" w:rsidP="000A0FA4">
            <w:pPr>
              <w:pBdr>
                <w:top w:val="nil"/>
                <w:left w:val="nil"/>
                <w:bottom w:val="nil"/>
                <w:right w:val="nil"/>
                <w:between w:val="nil"/>
              </w:pBdr>
              <w:adjustRightInd w:val="0"/>
              <w:snapToGrid w:val="0"/>
              <w:spacing w:after="0" w:line="276" w:lineRule="auto"/>
              <w:ind w:firstLine="0"/>
              <w:jc w:val="both"/>
              <w:rPr>
                <w:rFonts w:asciiTheme="majorHAnsi" w:eastAsia="SimSun" w:hAnsiTheme="majorHAnsi" w:cstheme="majorHAnsi"/>
                <w:color w:val="000000"/>
                <w:sz w:val="18"/>
                <w:szCs w:val="18"/>
                <w:lang w:val="en-US" w:eastAsia="zh-CN"/>
              </w:rPr>
            </w:pPr>
            <w:r w:rsidRPr="00A654CF">
              <w:rPr>
                <w:rFonts w:asciiTheme="majorHAnsi" w:eastAsia="SimSun" w:hAnsiTheme="majorHAnsi" w:cstheme="majorHAnsi"/>
                <w:color w:val="000000"/>
                <w:sz w:val="18"/>
                <w:szCs w:val="18"/>
                <w:lang w:val="en-US" w:eastAsia="zh-CN"/>
              </w:rPr>
              <w:t>0.70</w:t>
            </w:r>
            <w:r w:rsidRPr="00A654CF">
              <w:rPr>
                <w:rFonts w:asciiTheme="majorHAnsi" w:eastAsia="SimSun" w:hAnsiTheme="majorHAnsi" w:cstheme="majorHAnsi"/>
                <w:color w:val="222222"/>
                <w:sz w:val="18"/>
                <w:szCs w:val="18"/>
                <w:highlight w:val="white"/>
                <w:lang w:val="en-US" w:eastAsia="zh-CN"/>
              </w:rPr>
              <w:t>±</w:t>
            </w:r>
            <w:r w:rsidRPr="00A654CF">
              <w:rPr>
                <w:rFonts w:asciiTheme="majorHAnsi" w:eastAsia="SimSun" w:hAnsiTheme="majorHAnsi" w:cstheme="majorHAnsi"/>
                <w:color w:val="000000"/>
                <w:sz w:val="18"/>
                <w:szCs w:val="18"/>
                <w:lang w:val="en-US" w:eastAsia="zh-CN"/>
              </w:rPr>
              <w:t>0.9</w:t>
            </w:r>
          </w:p>
        </w:tc>
      </w:tr>
      <w:tr w:rsidR="00FD7793" w:rsidRPr="00A654CF" w14:paraId="0BC882EE" w14:textId="77777777" w:rsidTr="0009110C">
        <w:trPr>
          <w:trHeight w:val="79"/>
          <w:jc w:val="center"/>
        </w:trPr>
        <w:tc>
          <w:tcPr>
            <w:tcW w:w="895" w:type="dxa"/>
            <w:vMerge/>
            <w:tcMar>
              <w:top w:w="100" w:type="dxa"/>
              <w:left w:w="100" w:type="dxa"/>
              <w:bottom w:w="100" w:type="dxa"/>
              <w:right w:w="100" w:type="dxa"/>
            </w:tcMar>
            <w:vAlign w:val="center"/>
          </w:tcPr>
          <w:p w14:paraId="5ED1D631" w14:textId="77777777" w:rsidR="00FD7793" w:rsidRPr="00A654CF" w:rsidRDefault="00FD7793" w:rsidP="000A0FA4">
            <w:pPr>
              <w:widowControl w:val="0"/>
              <w:pBdr>
                <w:top w:val="nil"/>
                <w:left w:val="nil"/>
                <w:bottom w:val="nil"/>
                <w:right w:val="nil"/>
                <w:between w:val="nil"/>
              </w:pBdr>
              <w:adjustRightInd w:val="0"/>
              <w:snapToGrid w:val="0"/>
              <w:spacing w:after="0" w:line="276" w:lineRule="auto"/>
              <w:ind w:firstLine="0"/>
              <w:jc w:val="both"/>
              <w:rPr>
                <w:rFonts w:asciiTheme="majorHAnsi" w:eastAsia="SimSun" w:hAnsiTheme="majorHAnsi" w:cstheme="majorHAnsi"/>
                <w:color w:val="000000"/>
                <w:sz w:val="18"/>
                <w:szCs w:val="18"/>
                <w:lang w:val="en-US" w:eastAsia="zh-CN"/>
              </w:rPr>
            </w:pPr>
          </w:p>
        </w:tc>
        <w:tc>
          <w:tcPr>
            <w:tcW w:w="1080" w:type="dxa"/>
            <w:tcMar>
              <w:top w:w="100" w:type="dxa"/>
              <w:left w:w="100" w:type="dxa"/>
              <w:bottom w:w="100" w:type="dxa"/>
              <w:right w:w="100" w:type="dxa"/>
            </w:tcMar>
            <w:vAlign w:val="center"/>
          </w:tcPr>
          <w:p w14:paraId="3312FC87" w14:textId="77777777" w:rsidR="00FD7793" w:rsidRPr="00A654CF" w:rsidRDefault="00FD7793" w:rsidP="000A0FA4">
            <w:pPr>
              <w:pBdr>
                <w:top w:val="nil"/>
                <w:left w:val="nil"/>
                <w:bottom w:val="nil"/>
                <w:right w:val="nil"/>
                <w:between w:val="nil"/>
              </w:pBdr>
              <w:adjustRightInd w:val="0"/>
              <w:snapToGrid w:val="0"/>
              <w:spacing w:after="0" w:line="276" w:lineRule="auto"/>
              <w:ind w:hanging="17"/>
              <w:jc w:val="both"/>
              <w:rPr>
                <w:rFonts w:asciiTheme="majorHAnsi" w:eastAsia="SimSun" w:hAnsiTheme="majorHAnsi" w:cstheme="majorHAnsi"/>
                <w:b/>
                <w:color w:val="000000"/>
                <w:sz w:val="18"/>
                <w:szCs w:val="18"/>
                <w:lang w:val="en-US" w:eastAsia="zh-CN"/>
              </w:rPr>
            </w:pPr>
            <w:r w:rsidRPr="00A654CF">
              <w:rPr>
                <w:rFonts w:asciiTheme="majorHAnsi" w:eastAsia="SimSun" w:hAnsiTheme="majorHAnsi" w:cstheme="majorHAnsi"/>
                <w:b/>
                <w:color w:val="000000"/>
                <w:sz w:val="18"/>
                <w:szCs w:val="18"/>
                <w:lang w:val="en-US" w:eastAsia="zh-CN"/>
              </w:rPr>
              <w:t>p-value</w:t>
            </w:r>
          </w:p>
        </w:tc>
        <w:tc>
          <w:tcPr>
            <w:tcW w:w="1080" w:type="dxa"/>
            <w:tcMar>
              <w:top w:w="100" w:type="dxa"/>
              <w:left w:w="100" w:type="dxa"/>
              <w:bottom w:w="100" w:type="dxa"/>
              <w:right w:w="100" w:type="dxa"/>
            </w:tcMar>
            <w:vAlign w:val="center"/>
          </w:tcPr>
          <w:p w14:paraId="7A6EA201" w14:textId="77777777" w:rsidR="00FD7793" w:rsidRPr="00A654CF" w:rsidRDefault="00FD7793" w:rsidP="000A0FA4">
            <w:pPr>
              <w:pBdr>
                <w:top w:val="nil"/>
                <w:left w:val="nil"/>
                <w:bottom w:val="nil"/>
                <w:right w:val="nil"/>
                <w:between w:val="nil"/>
              </w:pBdr>
              <w:adjustRightInd w:val="0"/>
              <w:snapToGrid w:val="0"/>
              <w:spacing w:after="0" w:line="276" w:lineRule="auto"/>
              <w:ind w:firstLine="50"/>
              <w:jc w:val="both"/>
              <w:rPr>
                <w:rFonts w:asciiTheme="majorHAnsi" w:eastAsia="SimSun" w:hAnsiTheme="majorHAnsi" w:cstheme="majorHAnsi"/>
                <w:color w:val="000000"/>
                <w:sz w:val="18"/>
                <w:szCs w:val="18"/>
                <w:lang w:val="en-US" w:eastAsia="zh-CN"/>
              </w:rPr>
            </w:pPr>
            <w:r w:rsidRPr="00A654CF">
              <w:rPr>
                <w:rFonts w:asciiTheme="majorHAnsi" w:eastAsia="SimSun" w:hAnsiTheme="majorHAnsi" w:cstheme="majorHAnsi"/>
                <w:color w:val="000000"/>
                <w:sz w:val="18"/>
                <w:szCs w:val="18"/>
                <w:lang w:val="en-US" w:eastAsia="zh-CN"/>
              </w:rPr>
              <w:t>0.024</w:t>
            </w:r>
          </w:p>
        </w:tc>
        <w:tc>
          <w:tcPr>
            <w:tcW w:w="1080" w:type="dxa"/>
            <w:tcMar>
              <w:top w:w="100" w:type="dxa"/>
              <w:left w:w="100" w:type="dxa"/>
              <w:bottom w:w="100" w:type="dxa"/>
              <w:right w:w="100" w:type="dxa"/>
            </w:tcMar>
            <w:vAlign w:val="center"/>
          </w:tcPr>
          <w:p w14:paraId="0149EDD6" w14:textId="77777777" w:rsidR="00FD7793" w:rsidRPr="00A654CF" w:rsidRDefault="00FD7793" w:rsidP="000A0FA4">
            <w:pPr>
              <w:pBdr>
                <w:top w:val="nil"/>
                <w:left w:val="nil"/>
                <w:bottom w:val="nil"/>
                <w:right w:val="nil"/>
                <w:between w:val="nil"/>
              </w:pBdr>
              <w:adjustRightInd w:val="0"/>
              <w:snapToGrid w:val="0"/>
              <w:spacing w:after="0" w:line="276" w:lineRule="auto"/>
              <w:ind w:firstLine="0"/>
              <w:jc w:val="both"/>
              <w:rPr>
                <w:rFonts w:asciiTheme="majorHAnsi" w:eastAsia="SimSun" w:hAnsiTheme="majorHAnsi" w:cstheme="majorHAnsi"/>
                <w:color w:val="000000"/>
                <w:sz w:val="18"/>
                <w:szCs w:val="18"/>
                <w:lang w:val="en-US" w:eastAsia="zh-CN"/>
              </w:rPr>
            </w:pPr>
            <w:r w:rsidRPr="00A654CF">
              <w:rPr>
                <w:rFonts w:asciiTheme="majorHAnsi" w:eastAsia="SimSun" w:hAnsiTheme="majorHAnsi" w:cstheme="majorHAnsi"/>
                <w:color w:val="000000"/>
                <w:sz w:val="18"/>
                <w:szCs w:val="18"/>
                <w:lang w:val="en-US" w:eastAsia="zh-CN"/>
              </w:rPr>
              <w:t>0.09</w:t>
            </w:r>
          </w:p>
        </w:tc>
        <w:tc>
          <w:tcPr>
            <w:tcW w:w="1080" w:type="dxa"/>
            <w:tcMar>
              <w:top w:w="100" w:type="dxa"/>
              <w:left w:w="100" w:type="dxa"/>
              <w:bottom w:w="100" w:type="dxa"/>
              <w:right w:w="100" w:type="dxa"/>
            </w:tcMar>
            <w:vAlign w:val="center"/>
          </w:tcPr>
          <w:p w14:paraId="0C35ECC2" w14:textId="77777777" w:rsidR="00FD7793" w:rsidRPr="00A654CF" w:rsidRDefault="00FD7793" w:rsidP="000A0FA4">
            <w:pPr>
              <w:pBdr>
                <w:top w:val="nil"/>
                <w:left w:val="nil"/>
                <w:bottom w:val="nil"/>
                <w:right w:val="nil"/>
                <w:between w:val="nil"/>
              </w:pBdr>
              <w:adjustRightInd w:val="0"/>
              <w:snapToGrid w:val="0"/>
              <w:spacing w:after="0" w:line="276" w:lineRule="auto"/>
              <w:ind w:firstLine="0"/>
              <w:jc w:val="both"/>
              <w:rPr>
                <w:rFonts w:asciiTheme="majorHAnsi" w:eastAsia="SimSun" w:hAnsiTheme="majorHAnsi" w:cstheme="majorHAnsi"/>
                <w:color w:val="000000"/>
                <w:sz w:val="18"/>
                <w:szCs w:val="18"/>
                <w:lang w:val="en-US" w:eastAsia="zh-CN"/>
              </w:rPr>
            </w:pPr>
            <w:r w:rsidRPr="00A654CF">
              <w:rPr>
                <w:rFonts w:asciiTheme="majorHAnsi" w:eastAsia="SimSun" w:hAnsiTheme="majorHAnsi" w:cstheme="majorHAnsi"/>
                <w:color w:val="000000"/>
                <w:sz w:val="18"/>
                <w:szCs w:val="18"/>
                <w:lang w:val="en-US" w:eastAsia="zh-CN"/>
              </w:rPr>
              <w:t>0.017</w:t>
            </w:r>
          </w:p>
        </w:tc>
      </w:tr>
    </w:tbl>
    <w:p w14:paraId="4C6EEA9F" w14:textId="77777777" w:rsidR="000A0FA4" w:rsidRPr="00A654CF" w:rsidRDefault="000A0FA4" w:rsidP="000A0FA4">
      <w:pPr>
        <w:spacing w:after="0" w:line="276" w:lineRule="auto"/>
        <w:ind w:firstLine="0"/>
        <w:jc w:val="both"/>
        <w:rPr>
          <w:rFonts w:asciiTheme="majorHAnsi" w:eastAsia="SimSun" w:hAnsiTheme="majorHAnsi" w:cstheme="majorHAnsi"/>
          <w:b/>
          <w:sz w:val="24"/>
          <w:szCs w:val="24"/>
          <w:lang w:val="en-US" w:eastAsia="zh-CN"/>
        </w:rPr>
      </w:pPr>
    </w:p>
    <w:p w14:paraId="728C562D" w14:textId="07C6E613" w:rsidR="00FD7793" w:rsidRPr="00A654CF" w:rsidRDefault="00FD7793" w:rsidP="000A0FA4">
      <w:pPr>
        <w:spacing w:after="0" w:line="276" w:lineRule="auto"/>
        <w:ind w:firstLine="0"/>
        <w:jc w:val="both"/>
        <w:rPr>
          <w:rFonts w:asciiTheme="majorHAnsi" w:eastAsia="SimSun" w:hAnsiTheme="majorHAnsi" w:cstheme="majorHAnsi"/>
          <w:sz w:val="24"/>
          <w:szCs w:val="24"/>
          <w:lang w:val="en-US" w:eastAsia="zh-CN"/>
        </w:rPr>
      </w:pPr>
      <w:r w:rsidRPr="00A654CF">
        <w:rPr>
          <w:rFonts w:asciiTheme="majorHAnsi" w:eastAsia="SimSun" w:hAnsiTheme="majorHAnsi" w:cstheme="majorHAnsi"/>
          <w:b/>
          <w:sz w:val="24"/>
          <w:szCs w:val="24"/>
          <w:lang w:val="en-US" w:eastAsia="zh-CN"/>
        </w:rPr>
        <w:t>Supplementary Table 2:</w:t>
      </w:r>
      <w:r w:rsidRPr="00A654CF">
        <w:rPr>
          <w:rFonts w:asciiTheme="majorHAnsi" w:eastAsia="SimSun" w:hAnsiTheme="majorHAnsi" w:cstheme="majorHAnsi"/>
          <w:sz w:val="24"/>
          <w:szCs w:val="24"/>
          <w:lang w:val="en-US" w:eastAsia="zh-CN"/>
        </w:rPr>
        <w:t xml:space="preserve"> </w:t>
      </w:r>
      <w:r w:rsidRPr="00A654CF">
        <w:rPr>
          <w:rFonts w:asciiTheme="majorHAnsi" w:eastAsia="SimSun" w:hAnsiTheme="majorHAnsi" w:cstheme="majorHAnsi"/>
          <w:b/>
          <w:sz w:val="24"/>
          <w:szCs w:val="24"/>
          <w:lang w:val="en-US" w:eastAsia="zh-CN"/>
        </w:rPr>
        <w:t xml:space="preserve"> Outcome of </w:t>
      </w:r>
      <w:r w:rsidRPr="00A654CF">
        <w:rPr>
          <w:rFonts w:asciiTheme="majorHAnsi" w:hAnsiTheme="majorHAnsi" w:cstheme="majorHAnsi"/>
          <w:b/>
          <w:sz w:val="24"/>
          <w:szCs w:val="24"/>
          <w:lang w:val="en-US"/>
        </w:rPr>
        <w:t xml:space="preserve">Logistic Ridge Regression (LR) modeling of </w:t>
      </w:r>
      <w:r w:rsidRPr="00A654CF">
        <w:rPr>
          <w:rFonts w:asciiTheme="majorHAnsi" w:eastAsia="SimSun" w:hAnsiTheme="majorHAnsi" w:cstheme="majorHAnsi"/>
          <w:b/>
          <w:sz w:val="24"/>
          <w:szCs w:val="24"/>
          <w:lang w:val="en-US" w:eastAsia="zh-CN"/>
        </w:rPr>
        <w:t>bile acids-driven classification by the targets of body mass index (BMI), fasting serum leptin concentration and the insulin resistance measure, HOMA-IR, in 150 women and 133 men.  </w:t>
      </w:r>
      <w:r w:rsidRPr="00A654CF">
        <w:rPr>
          <w:rFonts w:asciiTheme="majorHAnsi" w:eastAsia="SimSun" w:hAnsiTheme="majorHAnsi" w:cstheme="majorHAnsi"/>
          <w:sz w:val="24"/>
          <w:szCs w:val="24"/>
          <w:lang w:val="en-US" w:eastAsia="zh-CN"/>
        </w:rPr>
        <w:t>Mean area under the curve (AUC) and AUC standard deviation of Ridge classification models on the 10,000 different validation sets. The empirical p-value is reported if the AUC was higher than 0.50 (the empirical p-value consists of the fraction of subsets with an AUC inferior to 0.50).</w:t>
      </w:r>
    </w:p>
    <w:p w14:paraId="0CD2F639" w14:textId="77777777" w:rsidR="00FD7793" w:rsidRPr="00A654CF" w:rsidRDefault="00FD7793" w:rsidP="000A0FA4">
      <w:pPr>
        <w:spacing w:after="0" w:line="276" w:lineRule="auto"/>
        <w:ind w:firstLine="0"/>
        <w:rPr>
          <w:rFonts w:asciiTheme="majorHAnsi" w:eastAsia="SimSun" w:hAnsiTheme="majorHAnsi" w:cstheme="majorHAnsi"/>
          <w:sz w:val="24"/>
          <w:szCs w:val="24"/>
          <w:lang w:val="en-US" w:eastAsia="zh-CN"/>
        </w:rPr>
      </w:pPr>
      <w:r w:rsidRPr="00A654CF">
        <w:rPr>
          <w:rFonts w:asciiTheme="majorHAnsi" w:eastAsia="SimSun" w:hAnsiTheme="majorHAnsi" w:cstheme="majorHAnsi"/>
          <w:sz w:val="24"/>
          <w:szCs w:val="24"/>
          <w:lang w:val="en-US" w:eastAsia="zh-CN"/>
        </w:rPr>
        <w:br w:type="page"/>
      </w:r>
    </w:p>
    <w:p w14:paraId="30166699" w14:textId="666AB786" w:rsidR="000A0FA4" w:rsidRPr="00997B40" w:rsidRDefault="00FD7793" w:rsidP="000A0FA4">
      <w:pPr>
        <w:pStyle w:val="Heading2"/>
        <w:spacing w:line="276" w:lineRule="auto"/>
        <w:jc w:val="both"/>
        <w:rPr>
          <w:rFonts w:asciiTheme="majorHAnsi" w:hAnsiTheme="majorHAnsi" w:cstheme="majorHAnsi"/>
          <w:i w:val="0"/>
          <w:iCs/>
          <w:sz w:val="24"/>
          <w:szCs w:val="24"/>
          <w:lang w:val="en-US"/>
        </w:rPr>
      </w:pPr>
      <w:r w:rsidRPr="00997B40">
        <w:rPr>
          <w:rFonts w:asciiTheme="majorHAnsi" w:hAnsiTheme="majorHAnsi" w:cstheme="majorHAnsi"/>
          <w:i w:val="0"/>
          <w:iCs/>
          <w:sz w:val="24"/>
          <w:szCs w:val="24"/>
          <w:lang w:val="en-US"/>
        </w:rPr>
        <w:lastRenderedPageBreak/>
        <w:t>Supplementary Table 3</w:t>
      </w:r>
    </w:p>
    <w:tbl>
      <w:tblPr>
        <w:tblStyle w:val="TableGrid"/>
        <w:tblW w:w="0" w:type="auto"/>
        <w:jc w:val="center"/>
        <w:tblLook w:val="04A0" w:firstRow="1" w:lastRow="0" w:firstColumn="1" w:lastColumn="0" w:noHBand="0" w:noVBand="1"/>
      </w:tblPr>
      <w:tblGrid>
        <w:gridCol w:w="3297"/>
        <w:gridCol w:w="1932"/>
        <w:gridCol w:w="1590"/>
        <w:gridCol w:w="863"/>
      </w:tblGrid>
      <w:tr w:rsidR="00FD7793" w:rsidRPr="00A654CF" w14:paraId="256A8316" w14:textId="77777777" w:rsidTr="000A0FA4">
        <w:trPr>
          <w:trHeight w:val="43"/>
          <w:jc w:val="center"/>
        </w:trPr>
        <w:tc>
          <w:tcPr>
            <w:tcW w:w="3297" w:type="dxa"/>
            <w:noWrap/>
            <w:hideMark/>
          </w:tcPr>
          <w:p w14:paraId="73EA4C9F" w14:textId="77777777" w:rsidR="00FD7793" w:rsidRPr="00A654CF" w:rsidRDefault="00FD7793" w:rsidP="000A0FA4">
            <w:pPr>
              <w:pStyle w:val="NoSpacing"/>
              <w:spacing w:line="276" w:lineRule="auto"/>
              <w:jc w:val="center"/>
              <w:rPr>
                <w:rFonts w:asciiTheme="majorHAnsi" w:hAnsiTheme="majorHAnsi" w:cstheme="majorHAnsi"/>
                <w:sz w:val="18"/>
                <w:szCs w:val="18"/>
                <w:lang w:val="en-US" w:eastAsia="ja-JP"/>
              </w:rPr>
            </w:pPr>
          </w:p>
        </w:tc>
        <w:tc>
          <w:tcPr>
            <w:tcW w:w="1932" w:type="dxa"/>
            <w:noWrap/>
            <w:hideMark/>
          </w:tcPr>
          <w:p w14:paraId="7E8A780E" w14:textId="77777777" w:rsidR="00FD7793" w:rsidRPr="00A654CF" w:rsidRDefault="00FD7793" w:rsidP="000A0FA4">
            <w:pPr>
              <w:pStyle w:val="NoSpacing"/>
              <w:spacing w:line="276" w:lineRule="auto"/>
              <w:jc w:val="center"/>
              <w:rPr>
                <w:rFonts w:asciiTheme="majorHAnsi" w:hAnsiTheme="majorHAnsi" w:cstheme="majorHAnsi"/>
                <w:b/>
                <w:color w:val="000000"/>
                <w:sz w:val="18"/>
                <w:szCs w:val="18"/>
                <w:lang w:val="en-US" w:eastAsia="ja-JP"/>
              </w:rPr>
            </w:pPr>
            <w:r w:rsidRPr="00A654CF">
              <w:rPr>
                <w:rFonts w:asciiTheme="majorHAnsi" w:hAnsiTheme="majorHAnsi" w:cstheme="majorHAnsi"/>
                <w:b/>
                <w:color w:val="000000"/>
                <w:sz w:val="18"/>
                <w:szCs w:val="18"/>
                <w:lang w:val="en-US" w:eastAsia="ja-JP"/>
              </w:rPr>
              <w:t>Non-obese (BMI &lt; 27)</w:t>
            </w:r>
          </w:p>
        </w:tc>
        <w:tc>
          <w:tcPr>
            <w:tcW w:w="1590" w:type="dxa"/>
            <w:noWrap/>
            <w:hideMark/>
          </w:tcPr>
          <w:p w14:paraId="212C9A83" w14:textId="77777777" w:rsidR="00FD7793" w:rsidRPr="00A654CF" w:rsidRDefault="00FD7793" w:rsidP="000A0FA4">
            <w:pPr>
              <w:pStyle w:val="NoSpacing"/>
              <w:spacing w:line="276" w:lineRule="auto"/>
              <w:jc w:val="center"/>
              <w:rPr>
                <w:rFonts w:asciiTheme="majorHAnsi" w:hAnsiTheme="majorHAnsi" w:cstheme="majorHAnsi"/>
                <w:b/>
                <w:color w:val="000000"/>
                <w:sz w:val="18"/>
                <w:szCs w:val="18"/>
                <w:lang w:val="en-US" w:eastAsia="ja-JP"/>
              </w:rPr>
            </w:pPr>
            <w:r w:rsidRPr="00A654CF">
              <w:rPr>
                <w:rFonts w:asciiTheme="majorHAnsi" w:hAnsiTheme="majorHAnsi" w:cstheme="majorHAnsi"/>
                <w:b/>
                <w:color w:val="000000"/>
                <w:sz w:val="18"/>
                <w:szCs w:val="18"/>
                <w:lang w:val="en-US" w:eastAsia="ja-JP"/>
              </w:rPr>
              <w:t>Obese (BMI &gt; 27)</w:t>
            </w:r>
          </w:p>
        </w:tc>
        <w:tc>
          <w:tcPr>
            <w:tcW w:w="863" w:type="dxa"/>
            <w:noWrap/>
            <w:hideMark/>
          </w:tcPr>
          <w:p w14:paraId="47305CF2" w14:textId="77777777" w:rsidR="00FD7793" w:rsidRPr="00A654CF" w:rsidRDefault="00FD7793" w:rsidP="000A0FA4">
            <w:pPr>
              <w:pStyle w:val="NoSpacing"/>
              <w:spacing w:line="276" w:lineRule="auto"/>
              <w:jc w:val="center"/>
              <w:rPr>
                <w:rFonts w:asciiTheme="majorHAnsi" w:hAnsiTheme="majorHAnsi" w:cstheme="majorHAnsi"/>
                <w:b/>
                <w:color w:val="000000"/>
                <w:sz w:val="18"/>
                <w:szCs w:val="18"/>
                <w:lang w:val="en-US" w:eastAsia="ja-JP"/>
              </w:rPr>
            </w:pPr>
            <w:r w:rsidRPr="00A654CF">
              <w:rPr>
                <w:rFonts w:asciiTheme="majorHAnsi" w:hAnsiTheme="majorHAnsi" w:cstheme="majorHAnsi"/>
                <w:b/>
                <w:color w:val="000000"/>
                <w:sz w:val="18"/>
                <w:szCs w:val="18"/>
                <w:lang w:val="en-US" w:eastAsia="ja-JP"/>
              </w:rPr>
              <w:t>p-value</w:t>
            </w:r>
          </w:p>
        </w:tc>
      </w:tr>
      <w:tr w:rsidR="00FD7793" w:rsidRPr="00A654CF" w14:paraId="383A6E4E" w14:textId="77777777" w:rsidTr="000A0FA4">
        <w:trPr>
          <w:trHeight w:val="89"/>
          <w:jc w:val="center"/>
        </w:trPr>
        <w:tc>
          <w:tcPr>
            <w:tcW w:w="3297" w:type="dxa"/>
            <w:noWrap/>
            <w:hideMark/>
          </w:tcPr>
          <w:p w14:paraId="0233AE4D"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p>
        </w:tc>
        <w:tc>
          <w:tcPr>
            <w:tcW w:w="1932" w:type="dxa"/>
            <w:noWrap/>
            <w:hideMark/>
          </w:tcPr>
          <w:p w14:paraId="13B26225"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N=106</w:t>
            </w:r>
          </w:p>
        </w:tc>
        <w:tc>
          <w:tcPr>
            <w:tcW w:w="1590" w:type="dxa"/>
            <w:noWrap/>
            <w:hideMark/>
          </w:tcPr>
          <w:p w14:paraId="3D6BD254"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N=177</w:t>
            </w:r>
          </w:p>
        </w:tc>
        <w:tc>
          <w:tcPr>
            <w:tcW w:w="863" w:type="dxa"/>
            <w:noWrap/>
            <w:hideMark/>
          </w:tcPr>
          <w:p w14:paraId="6C70A36D"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p>
        </w:tc>
      </w:tr>
      <w:tr w:rsidR="00FD7793" w:rsidRPr="00A654CF" w14:paraId="10BB5BBE" w14:textId="77777777" w:rsidTr="000A0FA4">
        <w:trPr>
          <w:trHeight w:val="152"/>
          <w:jc w:val="center"/>
        </w:trPr>
        <w:tc>
          <w:tcPr>
            <w:tcW w:w="3297" w:type="dxa"/>
            <w:noWrap/>
            <w:hideMark/>
          </w:tcPr>
          <w:p w14:paraId="34A67AC8"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Waist to hip ratio (-)</w:t>
            </w:r>
          </w:p>
        </w:tc>
        <w:tc>
          <w:tcPr>
            <w:tcW w:w="1932" w:type="dxa"/>
            <w:noWrap/>
            <w:hideMark/>
          </w:tcPr>
          <w:p w14:paraId="71C11954"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0.8 (0.1)</w:t>
            </w:r>
          </w:p>
        </w:tc>
        <w:tc>
          <w:tcPr>
            <w:tcW w:w="1590" w:type="dxa"/>
            <w:noWrap/>
            <w:hideMark/>
          </w:tcPr>
          <w:p w14:paraId="17F5A115"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0.9 (0.1)</w:t>
            </w:r>
          </w:p>
        </w:tc>
        <w:tc>
          <w:tcPr>
            <w:tcW w:w="863" w:type="dxa"/>
            <w:noWrap/>
            <w:hideMark/>
          </w:tcPr>
          <w:p w14:paraId="453155F4"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&lt;0.001</w:t>
            </w:r>
          </w:p>
        </w:tc>
      </w:tr>
      <w:tr w:rsidR="00FD7793" w:rsidRPr="00A654CF" w14:paraId="2A07943A" w14:textId="77777777" w:rsidTr="000A0FA4">
        <w:trPr>
          <w:trHeight w:val="44"/>
          <w:jc w:val="center"/>
        </w:trPr>
        <w:tc>
          <w:tcPr>
            <w:tcW w:w="3297" w:type="dxa"/>
            <w:noWrap/>
            <w:hideMark/>
          </w:tcPr>
          <w:p w14:paraId="7EBB434A"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BMI (kg/m²)</w:t>
            </w:r>
          </w:p>
        </w:tc>
        <w:tc>
          <w:tcPr>
            <w:tcW w:w="1932" w:type="dxa"/>
            <w:noWrap/>
            <w:hideMark/>
          </w:tcPr>
          <w:p w14:paraId="711161B8"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22.9 (1.8)</w:t>
            </w:r>
          </w:p>
        </w:tc>
        <w:tc>
          <w:tcPr>
            <w:tcW w:w="1590" w:type="dxa"/>
            <w:noWrap/>
            <w:hideMark/>
          </w:tcPr>
          <w:p w14:paraId="42DEC927"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33.5 (3.5)</w:t>
            </w:r>
          </w:p>
        </w:tc>
        <w:tc>
          <w:tcPr>
            <w:tcW w:w="863" w:type="dxa"/>
            <w:noWrap/>
            <w:hideMark/>
          </w:tcPr>
          <w:p w14:paraId="77D7BA00"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&lt;0.001</w:t>
            </w:r>
          </w:p>
        </w:tc>
      </w:tr>
      <w:tr w:rsidR="00FD7793" w:rsidRPr="00A654CF" w14:paraId="75AC1023" w14:textId="77777777" w:rsidTr="000A0FA4">
        <w:trPr>
          <w:trHeight w:val="80"/>
          <w:jc w:val="center"/>
        </w:trPr>
        <w:tc>
          <w:tcPr>
            <w:tcW w:w="3297" w:type="dxa"/>
            <w:noWrap/>
            <w:hideMark/>
          </w:tcPr>
          <w:p w14:paraId="7FCE4338"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Body Fat (%)</w:t>
            </w:r>
          </w:p>
        </w:tc>
        <w:tc>
          <w:tcPr>
            <w:tcW w:w="1932" w:type="dxa"/>
            <w:noWrap/>
            <w:hideMark/>
          </w:tcPr>
          <w:p w14:paraId="26F5A67E"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24.0 (5.9)</w:t>
            </w:r>
          </w:p>
        </w:tc>
        <w:tc>
          <w:tcPr>
            <w:tcW w:w="1590" w:type="dxa"/>
            <w:noWrap/>
            <w:hideMark/>
          </w:tcPr>
          <w:p w14:paraId="39010006"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34.8 (6.1)</w:t>
            </w:r>
          </w:p>
        </w:tc>
        <w:tc>
          <w:tcPr>
            <w:tcW w:w="863" w:type="dxa"/>
            <w:noWrap/>
            <w:hideMark/>
          </w:tcPr>
          <w:p w14:paraId="766AAE42"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&lt;0.001</w:t>
            </w:r>
          </w:p>
        </w:tc>
      </w:tr>
      <w:tr w:rsidR="00FD7793" w:rsidRPr="00A654CF" w14:paraId="4E941BB3" w14:textId="77777777" w:rsidTr="000A0FA4">
        <w:trPr>
          <w:trHeight w:val="98"/>
          <w:jc w:val="center"/>
        </w:trPr>
        <w:tc>
          <w:tcPr>
            <w:tcW w:w="3297" w:type="dxa"/>
            <w:noWrap/>
            <w:vAlign w:val="bottom"/>
            <w:hideMark/>
          </w:tcPr>
          <w:p w14:paraId="64F3F9C9"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sz w:val="18"/>
                <w:szCs w:val="18"/>
                <w:lang w:val="en-US" w:eastAsia="zh-CN"/>
              </w:rPr>
              <w:t>S-</w:t>
            </w:r>
            <w:r w:rsidRPr="00A654CF">
              <w:rPr>
                <w:rFonts w:asciiTheme="majorHAnsi" w:hAnsiTheme="majorHAnsi" w:cstheme="majorHAnsi"/>
                <w:sz w:val="18"/>
                <w:szCs w:val="18"/>
                <w:lang w:val="en-US" w:eastAsia="fr-FR"/>
              </w:rPr>
              <w:t>Leptin (µg/l)</w:t>
            </w:r>
          </w:p>
        </w:tc>
        <w:tc>
          <w:tcPr>
            <w:tcW w:w="1932" w:type="dxa"/>
            <w:noWrap/>
            <w:hideMark/>
          </w:tcPr>
          <w:p w14:paraId="7EC28396"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6.7 (8.5)</w:t>
            </w:r>
          </w:p>
        </w:tc>
        <w:tc>
          <w:tcPr>
            <w:tcW w:w="1590" w:type="dxa"/>
            <w:noWrap/>
            <w:hideMark/>
          </w:tcPr>
          <w:p w14:paraId="073EFD18"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28.9 (31.6)</w:t>
            </w:r>
          </w:p>
        </w:tc>
        <w:tc>
          <w:tcPr>
            <w:tcW w:w="863" w:type="dxa"/>
            <w:noWrap/>
            <w:hideMark/>
          </w:tcPr>
          <w:p w14:paraId="16802EE7"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&lt;0.001</w:t>
            </w:r>
          </w:p>
        </w:tc>
      </w:tr>
      <w:tr w:rsidR="00FD7793" w:rsidRPr="00A654CF" w14:paraId="21BBCD28" w14:textId="77777777" w:rsidTr="000A0FA4">
        <w:trPr>
          <w:trHeight w:val="71"/>
          <w:jc w:val="center"/>
        </w:trPr>
        <w:tc>
          <w:tcPr>
            <w:tcW w:w="3297" w:type="dxa"/>
            <w:noWrap/>
            <w:vAlign w:val="bottom"/>
            <w:hideMark/>
          </w:tcPr>
          <w:p w14:paraId="22F77C51"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sz w:val="18"/>
                <w:szCs w:val="18"/>
                <w:lang w:val="en-US" w:eastAsia="fr-FR"/>
              </w:rPr>
              <w:t>S-Adiponectin (mg/l)</w:t>
            </w:r>
          </w:p>
        </w:tc>
        <w:tc>
          <w:tcPr>
            <w:tcW w:w="1932" w:type="dxa"/>
            <w:noWrap/>
            <w:hideMark/>
          </w:tcPr>
          <w:p w14:paraId="0B69048C"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14.0 (7.7)</w:t>
            </w:r>
          </w:p>
        </w:tc>
        <w:tc>
          <w:tcPr>
            <w:tcW w:w="1590" w:type="dxa"/>
            <w:noWrap/>
            <w:hideMark/>
          </w:tcPr>
          <w:p w14:paraId="56E02F85"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9.4 (6.4)</w:t>
            </w:r>
          </w:p>
        </w:tc>
        <w:tc>
          <w:tcPr>
            <w:tcW w:w="863" w:type="dxa"/>
            <w:noWrap/>
            <w:hideMark/>
          </w:tcPr>
          <w:p w14:paraId="718BF826"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&lt;0.001</w:t>
            </w:r>
          </w:p>
        </w:tc>
      </w:tr>
      <w:tr w:rsidR="00FD7793" w:rsidRPr="00A654CF" w14:paraId="3753424C" w14:textId="77777777" w:rsidTr="000A0FA4">
        <w:trPr>
          <w:trHeight w:val="143"/>
          <w:jc w:val="center"/>
        </w:trPr>
        <w:tc>
          <w:tcPr>
            <w:tcW w:w="3297" w:type="dxa"/>
            <w:noWrap/>
            <w:vAlign w:val="bottom"/>
            <w:hideMark/>
          </w:tcPr>
          <w:p w14:paraId="3CBA3B0B"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sz w:val="18"/>
                <w:szCs w:val="18"/>
                <w:lang w:val="en-US" w:eastAsia="fr-FR"/>
              </w:rPr>
              <w:t>P-Cholesterol (mmol/l)</w:t>
            </w:r>
          </w:p>
        </w:tc>
        <w:tc>
          <w:tcPr>
            <w:tcW w:w="1932" w:type="dxa"/>
            <w:noWrap/>
            <w:hideMark/>
          </w:tcPr>
          <w:p w14:paraId="4F77E1B9"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5.5 (1.0)</w:t>
            </w:r>
          </w:p>
        </w:tc>
        <w:tc>
          <w:tcPr>
            <w:tcW w:w="1590" w:type="dxa"/>
            <w:noWrap/>
            <w:hideMark/>
          </w:tcPr>
          <w:p w14:paraId="451B500C"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5.5 (1.0)</w:t>
            </w:r>
          </w:p>
        </w:tc>
        <w:tc>
          <w:tcPr>
            <w:tcW w:w="863" w:type="dxa"/>
            <w:noWrap/>
            <w:hideMark/>
          </w:tcPr>
          <w:p w14:paraId="43DAAE08"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0.956</w:t>
            </w:r>
          </w:p>
        </w:tc>
      </w:tr>
      <w:tr w:rsidR="00FD7793" w:rsidRPr="00A654CF" w14:paraId="64E17263" w14:textId="77777777" w:rsidTr="000A0FA4">
        <w:trPr>
          <w:trHeight w:val="125"/>
          <w:jc w:val="center"/>
        </w:trPr>
        <w:tc>
          <w:tcPr>
            <w:tcW w:w="3297" w:type="dxa"/>
            <w:noWrap/>
            <w:vAlign w:val="bottom"/>
            <w:hideMark/>
          </w:tcPr>
          <w:p w14:paraId="10232BD6"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sz w:val="18"/>
                <w:szCs w:val="18"/>
                <w:lang w:val="en-US" w:eastAsia="fr-FR"/>
              </w:rPr>
              <w:t>P-HDL cholesterol (mmol/l)</w:t>
            </w:r>
          </w:p>
        </w:tc>
        <w:tc>
          <w:tcPr>
            <w:tcW w:w="1932" w:type="dxa"/>
            <w:noWrap/>
            <w:hideMark/>
          </w:tcPr>
          <w:p w14:paraId="30557C7F"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1.9 (0.6)</w:t>
            </w:r>
          </w:p>
        </w:tc>
        <w:tc>
          <w:tcPr>
            <w:tcW w:w="1590" w:type="dxa"/>
            <w:noWrap/>
            <w:hideMark/>
          </w:tcPr>
          <w:p w14:paraId="5A95E01D"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1.4 (0.4)</w:t>
            </w:r>
          </w:p>
        </w:tc>
        <w:tc>
          <w:tcPr>
            <w:tcW w:w="863" w:type="dxa"/>
            <w:noWrap/>
            <w:hideMark/>
          </w:tcPr>
          <w:p w14:paraId="42C3996B"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&lt;0.001</w:t>
            </w:r>
          </w:p>
        </w:tc>
      </w:tr>
      <w:tr w:rsidR="00FD7793" w:rsidRPr="00A654CF" w14:paraId="5558E223" w14:textId="77777777" w:rsidTr="000A0FA4">
        <w:trPr>
          <w:trHeight w:val="107"/>
          <w:jc w:val="center"/>
        </w:trPr>
        <w:tc>
          <w:tcPr>
            <w:tcW w:w="3297" w:type="dxa"/>
            <w:noWrap/>
            <w:vAlign w:val="bottom"/>
            <w:hideMark/>
          </w:tcPr>
          <w:p w14:paraId="37EE3BF9"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sz w:val="18"/>
                <w:szCs w:val="18"/>
                <w:lang w:val="en-US" w:eastAsia="fr-FR"/>
              </w:rPr>
              <w:t>P-LDL cholesterol (mmol/l)</w:t>
            </w:r>
          </w:p>
        </w:tc>
        <w:tc>
          <w:tcPr>
            <w:tcW w:w="1932" w:type="dxa"/>
            <w:noWrap/>
            <w:hideMark/>
          </w:tcPr>
          <w:p w14:paraId="497F8A89"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3.2 (0.8)</w:t>
            </w:r>
          </w:p>
        </w:tc>
        <w:tc>
          <w:tcPr>
            <w:tcW w:w="1590" w:type="dxa"/>
            <w:noWrap/>
            <w:hideMark/>
          </w:tcPr>
          <w:p w14:paraId="3CF283C2"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3.4 (0.8)</w:t>
            </w:r>
          </w:p>
        </w:tc>
        <w:tc>
          <w:tcPr>
            <w:tcW w:w="863" w:type="dxa"/>
            <w:noWrap/>
            <w:hideMark/>
          </w:tcPr>
          <w:p w14:paraId="3EB58916"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0.012</w:t>
            </w:r>
          </w:p>
        </w:tc>
      </w:tr>
      <w:tr w:rsidR="00FD7793" w:rsidRPr="00A654CF" w14:paraId="1091770D" w14:textId="77777777" w:rsidTr="000A0FA4">
        <w:trPr>
          <w:trHeight w:val="89"/>
          <w:jc w:val="center"/>
        </w:trPr>
        <w:tc>
          <w:tcPr>
            <w:tcW w:w="3297" w:type="dxa"/>
            <w:noWrap/>
            <w:vAlign w:val="bottom"/>
            <w:hideMark/>
          </w:tcPr>
          <w:p w14:paraId="4DE84E0D"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sz w:val="18"/>
                <w:szCs w:val="18"/>
                <w:lang w:val="en-US" w:eastAsia="fr-FR"/>
              </w:rPr>
              <w:t>P-Triglyceride (mmol/l)</w:t>
            </w:r>
          </w:p>
        </w:tc>
        <w:tc>
          <w:tcPr>
            <w:tcW w:w="1932" w:type="dxa"/>
            <w:noWrap/>
            <w:hideMark/>
          </w:tcPr>
          <w:p w14:paraId="640733CB"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1.0 (0.4)</w:t>
            </w:r>
          </w:p>
        </w:tc>
        <w:tc>
          <w:tcPr>
            <w:tcW w:w="1590" w:type="dxa"/>
            <w:noWrap/>
            <w:hideMark/>
          </w:tcPr>
          <w:p w14:paraId="035AE23E"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1.5 (0.8)</w:t>
            </w:r>
          </w:p>
        </w:tc>
        <w:tc>
          <w:tcPr>
            <w:tcW w:w="863" w:type="dxa"/>
            <w:noWrap/>
            <w:hideMark/>
          </w:tcPr>
          <w:p w14:paraId="50A622CA"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&lt;0.001</w:t>
            </w:r>
          </w:p>
        </w:tc>
      </w:tr>
      <w:tr w:rsidR="00FD7793" w:rsidRPr="00A654CF" w14:paraId="3337767D" w14:textId="77777777" w:rsidTr="000A0FA4">
        <w:trPr>
          <w:trHeight w:val="62"/>
          <w:jc w:val="center"/>
        </w:trPr>
        <w:tc>
          <w:tcPr>
            <w:tcW w:w="3297" w:type="dxa"/>
            <w:noWrap/>
            <w:vAlign w:val="bottom"/>
            <w:hideMark/>
          </w:tcPr>
          <w:p w14:paraId="3790F521"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sz w:val="18"/>
                <w:szCs w:val="18"/>
                <w:lang w:val="en-US" w:eastAsia="fr-FR"/>
              </w:rPr>
              <w:t>P-Glucose (mmol/l)</w:t>
            </w:r>
          </w:p>
        </w:tc>
        <w:tc>
          <w:tcPr>
            <w:tcW w:w="1932" w:type="dxa"/>
            <w:noWrap/>
            <w:hideMark/>
          </w:tcPr>
          <w:p w14:paraId="4F18D0CC"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5.5 (0.5)</w:t>
            </w:r>
          </w:p>
        </w:tc>
        <w:tc>
          <w:tcPr>
            <w:tcW w:w="1590" w:type="dxa"/>
            <w:noWrap/>
            <w:hideMark/>
          </w:tcPr>
          <w:p w14:paraId="060F0BD6"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5.9 (0.5)</w:t>
            </w:r>
          </w:p>
        </w:tc>
        <w:tc>
          <w:tcPr>
            <w:tcW w:w="863" w:type="dxa"/>
            <w:noWrap/>
            <w:hideMark/>
          </w:tcPr>
          <w:p w14:paraId="0A45CF89"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&lt;0.001</w:t>
            </w:r>
          </w:p>
        </w:tc>
      </w:tr>
      <w:tr w:rsidR="00FD7793" w:rsidRPr="00A654CF" w14:paraId="74AC72ED" w14:textId="77777777" w:rsidTr="000A0FA4">
        <w:trPr>
          <w:trHeight w:val="44"/>
          <w:jc w:val="center"/>
        </w:trPr>
        <w:tc>
          <w:tcPr>
            <w:tcW w:w="3297" w:type="dxa"/>
            <w:noWrap/>
            <w:vAlign w:val="bottom"/>
            <w:hideMark/>
          </w:tcPr>
          <w:p w14:paraId="71C96A54"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sz w:val="18"/>
                <w:szCs w:val="18"/>
                <w:lang w:val="en-US" w:eastAsia="fr-FR"/>
              </w:rPr>
              <w:t>C-peptide (pmol/l)</w:t>
            </w:r>
          </w:p>
        </w:tc>
        <w:tc>
          <w:tcPr>
            <w:tcW w:w="1932" w:type="dxa"/>
            <w:noWrap/>
            <w:hideMark/>
          </w:tcPr>
          <w:p w14:paraId="57011F4F"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508.0 (177.0)</w:t>
            </w:r>
          </w:p>
        </w:tc>
        <w:tc>
          <w:tcPr>
            <w:tcW w:w="1590" w:type="dxa"/>
            <w:noWrap/>
            <w:hideMark/>
          </w:tcPr>
          <w:p w14:paraId="611B1135"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971.0 (364.0)</w:t>
            </w:r>
          </w:p>
        </w:tc>
        <w:tc>
          <w:tcPr>
            <w:tcW w:w="863" w:type="dxa"/>
            <w:noWrap/>
            <w:hideMark/>
          </w:tcPr>
          <w:p w14:paraId="66701397"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&lt;0.001</w:t>
            </w:r>
          </w:p>
        </w:tc>
      </w:tr>
      <w:tr w:rsidR="00FD7793" w:rsidRPr="00A654CF" w14:paraId="1D8D3B47" w14:textId="77777777" w:rsidTr="000A0FA4">
        <w:trPr>
          <w:trHeight w:val="116"/>
          <w:jc w:val="center"/>
        </w:trPr>
        <w:tc>
          <w:tcPr>
            <w:tcW w:w="3297" w:type="dxa"/>
            <w:noWrap/>
            <w:vAlign w:val="bottom"/>
            <w:hideMark/>
          </w:tcPr>
          <w:p w14:paraId="16C1DD98"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sz w:val="18"/>
                <w:szCs w:val="18"/>
                <w:lang w:val="en-US" w:eastAsia="fr-FR"/>
              </w:rPr>
              <w:t>S-Insulin (pmol/l)</w:t>
            </w:r>
          </w:p>
        </w:tc>
        <w:tc>
          <w:tcPr>
            <w:tcW w:w="1932" w:type="dxa"/>
            <w:noWrap/>
            <w:hideMark/>
          </w:tcPr>
          <w:p w14:paraId="265ECE7C"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28.4 (13.6)</w:t>
            </w:r>
          </w:p>
        </w:tc>
        <w:tc>
          <w:tcPr>
            <w:tcW w:w="1590" w:type="dxa"/>
            <w:noWrap/>
            <w:hideMark/>
          </w:tcPr>
          <w:p w14:paraId="1E2442B7"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68.0 (35.1)</w:t>
            </w:r>
          </w:p>
        </w:tc>
        <w:tc>
          <w:tcPr>
            <w:tcW w:w="863" w:type="dxa"/>
            <w:noWrap/>
            <w:hideMark/>
          </w:tcPr>
          <w:p w14:paraId="70202DE2"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&lt;0.001</w:t>
            </w:r>
          </w:p>
        </w:tc>
      </w:tr>
      <w:tr w:rsidR="00FD7793" w:rsidRPr="00A654CF" w14:paraId="4FE54A42" w14:textId="77777777" w:rsidTr="000A0FA4">
        <w:trPr>
          <w:trHeight w:val="98"/>
          <w:jc w:val="center"/>
        </w:trPr>
        <w:tc>
          <w:tcPr>
            <w:tcW w:w="3297" w:type="dxa"/>
            <w:noWrap/>
            <w:vAlign w:val="bottom"/>
            <w:hideMark/>
          </w:tcPr>
          <w:p w14:paraId="4E27D627"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sz w:val="18"/>
                <w:szCs w:val="18"/>
                <w:lang w:val="en-US" w:eastAsia="fr-FR"/>
              </w:rPr>
              <w:t>HOMA-IR adjusted for BMI</w:t>
            </w:r>
          </w:p>
        </w:tc>
        <w:tc>
          <w:tcPr>
            <w:tcW w:w="1932" w:type="dxa"/>
            <w:noWrap/>
            <w:hideMark/>
          </w:tcPr>
          <w:p w14:paraId="694F7B52"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-0.1 (0.8)</w:t>
            </w:r>
          </w:p>
        </w:tc>
        <w:tc>
          <w:tcPr>
            <w:tcW w:w="1590" w:type="dxa"/>
            <w:noWrap/>
            <w:hideMark/>
          </w:tcPr>
          <w:p w14:paraId="293ADADF"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0.03 (1.4)</w:t>
            </w:r>
          </w:p>
        </w:tc>
        <w:tc>
          <w:tcPr>
            <w:tcW w:w="863" w:type="dxa"/>
            <w:noWrap/>
            <w:hideMark/>
          </w:tcPr>
          <w:p w14:paraId="51EB6DEF"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0.348</w:t>
            </w:r>
          </w:p>
        </w:tc>
      </w:tr>
      <w:tr w:rsidR="00FD7793" w:rsidRPr="00A654CF" w14:paraId="3CFF7128" w14:textId="77777777" w:rsidTr="000A0FA4">
        <w:trPr>
          <w:trHeight w:val="71"/>
          <w:jc w:val="center"/>
        </w:trPr>
        <w:tc>
          <w:tcPr>
            <w:tcW w:w="3297" w:type="dxa"/>
            <w:noWrap/>
            <w:vAlign w:val="bottom"/>
            <w:hideMark/>
          </w:tcPr>
          <w:p w14:paraId="2A5E970D" w14:textId="77777777" w:rsidR="00FD7793" w:rsidRPr="003330EC" w:rsidRDefault="00FD7793" w:rsidP="000A0FA4">
            <w:pPr>
              <w:pStyle w:val="NoSpacing"/>
              <w:spacing w:line="276" w:lineRule="auto"/>
              <w:jc w:val="center"/>
              <w:rPr>
                <w:rFonts w:asciiTheme="majorHAnsi" w:hAnsiTheme="majorHAnsi" w:cstheme="majorHAnsi"/>
                <w:color w:val="000000"/>
                <w:sz w:val="18"/>
                <w:szCs w:val="18"/>
                <w:lang w:val="fi-FI" w:eastAsia="ja-JP"/>
              </w:rPr>
            </w:pPr>
            <w:r w:rsidRPr="003330EC">
              <w:rPr>
                <w:rFonts w:asciiTheme="majorHAnsi" w:hAnsiTheme="majorHAnsi" w:cstheme="majorHAnsi"/>
                <w:sz w:val="18"/>
                <w:szCs w:val="18"/>
                <w:lang w:val="fi-FI" w:eastAsia="fr-FR"/>
              </w:rPr>
              <w:t>HOMA-IR (mU/l * mM)</w:t>
            </w:r>
          </w:p>
        </w:tc>
        <w:tc>
          <w:tcPr>
            <w:tcW w:w="1932" w:type="dxa"/>
            <w:noWrap/>
            <w:hideMark/>
          </w:tcPr>
          <w:p w14:paraId="09D595BB"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1.0 (0.5)</w:t>
            </w:r>
          </w:p>
        </w:tc>
        <w:tc>
          <w:tcPr>
            <w:tcW w:w="1590" w:type="dxa"/>
            <w:noWrap/>
            <w:hideMark/>
          </w:tcPr>
          <w:p w14:paraId="61DDEFC3"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2.6 (1.5)</w:t>
            </w:r>
          </w:p>
        </w:tc>
        <w:tc>
          <w:tcPr>
            <w:tcW w:w="863" w:type="dxa"/>
            <w:noWrap/>
            <w:hideMark/>
          </w:tcPr>
          <w:p w14:paraId="1A43FAF6"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&lt;0.001</w:t>
            </w:r>
          </w:p>
        </w:tc>
      </w:tr>
      <w:tr w:rsidR="00FD7793" w:rsidRPr="00A654CF" w14:paraId="6D7D021A" w14:textId="77777777" w:rsidTr="000A0FA4">
        <w:trPr>
          <w:trHeight w:val="143"/>
          <w:jc w:val="center"/>
        </w:trPr>
        <w:tc>
          <w:tcPr>
            <w:tcW w:w="3297" w:type="dxa"/>
            <w:noWrap/>
            <w:vAlign w:val="bottom"/>
            <w:hideMark/>
          </w:tcPr>
          <w:p w14:paraId="2EA4D171"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sz w:val="18"/>
                <w:szCs w:val="18"/>
                <w:lang w:val="en-US" w:eastAsia="fr-FR"/>
              </w:rPr>
              <w:t>P-C-reactive protein (mg/l)</w:t>
            </w:r>
          </w:p>
        </w:tc>
        <w:tc>
          <w:tcPr>
            <w:tcW w:w="1932" w:type="dxa"/>
            <w:noWrap/>
            <w:hideMark/>
          </w:tcPr>
          <w:p w14:paraId="0403A197"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1.2 (1.1)</w:t>
            </w:r>
          </w:p>
        </w:tc>
        <w:tc>
          <w:tcPr>
            <w:tcW w:w="1590" w:type="dxa"/>
            <w:noWrap/>
            <w:hideMark/>
          </w:tcPr>
          <w:p w14:paraId="1A5AC08D"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3.4 (3.0)</w:t>
            </w:r>
          </w:p>
        </w:tc>
        <w:tc>
          <w:tcPr>
            <w:tcW w:w="863" w:type="dxa"/>
            <w:noWrap/>
            <w:hideMark/>
          </w:tcPr>
          <w:p w14:paraId="26999886"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&lt;0.001</w:t>
            </w:r>
          </w:p>
        </w:tc>
      </w:tr>
      <w:tr w:rsidR="00FD7793" w:rsidRPr="00A654CF" w14:paraId="120BAFA6" w14:textId="77777777" w:rsidTr="000A0FA4">
        <w:trPr>
          <w:trHeight w:val="125"/>
          <w:jc w:val="center"/>
        </w:trPr>
        <w:tc>
          <w:tcPr>
            <w:tcW w:w="3297" w:type="dxa"/>
            <w:noWrap/>
            <w:vAlign w:val="bottom"/>
            <w:hideMark/>
          </w:tcPr>
          <w:p w14:paraId="6FC68CD7"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sz w:val="18"/>
                <w:szCs w:val="18"/>
                <w:lang w:val="en-US" w:eastAsia="fr-FR"/>
              </w:rPr>
              <w:t>S-Interleukin 1 receptor antagonist (ng/l)</w:t>
            </w:r>
          </w:p>
        </w:tc>
        <w:tc>
          <w:tcPr>
            <w:tcW w:w="1932" w:type="dxa"/>
            <w:noWrap/>
            <w:hideMark/>
          </w:tcPr>
          <w:p w14:paraId="2F15F570"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348.0 (382.0)</w:t>
            </w:r>
          </w:p>
        </w:tc>
        <w:tc>
          <w:tcPr>
            <w:tcW w:w="1590" w:type="dxa"/>
            <w:noWrap/>
            <w:hideMark/>
          </w:tcPr>
          <w:p w14:paraId="7875A1BA"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559.0 (420.0)</w:t>
            </w:r>
          </w:p>
        </w:tc>
        <w:tc>
          <w:tcPr>
            <w:tcW w:w="863" w:type="dxa"/>
            <w:noWrap/>
            <w:hideMark/>
          </w:tcPr>
          <w:p w14:paraId="53CA46D1"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&lt;0.001</w:t>
            </w:r>
          </w:p>
        </w:tc>
      </w:tr>
      <w:tr w:rsidR="00FD7793" w:rsidRPr="00A654CF" w14:paraId="72E19036" w14:textId="77777777" w:rsidTr="000A0FA4">
        <w:trPr>
          <w:trHeight w:val="107"/>
          <w:jc w:val="center"/>
        </w:trPr>
        <w:tc>
          <w:tcPr>
            <w:tcW w:w="3297" w:type="dxa"/>
            <w:noWrap/>
            <w:vAlign w:val="bottom"/>
            <w:hideMark/>
          </w:tcPr>
          <w:p w14:paraId="655E201C"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sz w:val="18"/>
                <w:szCs w:val="18"/>
                <w:lang w:val="en-US" w:eastAsia="fr-FR"/>
              </w:rPr>
              <w:t>S-Interleukin 6 (ng/l)</w:t>
            </w:r>
          </w:p>
        </w:tc>
        <w:tc>
          <w:tcPr>
            <w:tcW w:w="1932" w:type="dxa"/>
            <w:noWrap/>
            <w:hideMark/>
          </w:tcPr>
          <w:p w14:paraId="6702C3D6"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15.7 (18.6)</w:t>
            </w:r>
          </w:p>
        </w:tc>
        <w:tc>
          <w:tcPr>
            <w:tcW w:w="1590" w:type="dxa"/>
            <w:noWrap/>
            <w:hideMark/>
          </w:tcPr>
          <w:p w14:paraId="701FD7A2"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22.1 (22.6)</w:t>
            </w:r>
          </w:p>
        </w:tc>
        <w:tc>
          <w:tcPr>
            <w:tcW w:w="863" w:type="dxa"/>
            <w:noWrap/>
            <w:hideMark/>
          </w:tcPr>
          <w:p w14:paraId="10A05B77"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0.010</w:t>
            </w:r>
          </w:p>
        </w:tc>
      </w:tr>
      <w:tr w:rsidR="00FD7793" w:rsidRPr="00A654CF" w14:paraId="344AD155" w14:textId="77777777" w:rsidTr="000A0FA4">
        <w:trPr>
          <w:trHeight w:val="43"/>
          <w:jc w:val="center"/>
        </w:trPr>
        <w:tc>
          <w:tcPr>
            <w:tcW w:w="3297" w:type="dxa"/>
            <w:noWrap/>
            <w:vAlign w:val="bottom"/>
            <w:hideMark/>
          </w:tcPr>
          <w:p w14:paraId="5266595C"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sz w:val="18"/>
                <w:szCs w:val="18"/>
                <w:lang w:val="en-US" w:eastAsia="fr-FR"/>
              </w:rPr>
              <w:t>S-Tumor necrosis factor alfa (ng/l)</w:t>
            </w:r>
          </w:p>
        </w:tc>
        <w:tc>
          <w:tcPr>
            <w:tcW w:w="1932" w:type="dxa"/>
            <w:noWrap/>
            <w:hideMark/>
          </w:tcPr>
          <w:p w14:paraId="3B7EEE12"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20.5 (37.0)</w:t>
            </w:r>
          </w:p>
        </w:tc>
        <w:tc>
          <w:tcPr>
            <w:tcW w:w="1590" w:type="dxa"/>
            <w:noWrap/>
            <w:hideMark/>
          </w:tcPr>
          <w:p w14:paraId="0F80059A"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28.3 (51.4)</w:t>
            </w:r>
          </w:p>
        </w:tc>
        <w:tc>
          <w:tcPr>
            <w:tcW w:w="863" w:type="dxa"/>
            <w:noWrap/>
            <w:hideMark/>
          </w:tcPr>
          <w:p w14:paraId="3D63AF59"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0.145</w:t>
            </w:r>
          </w:p>
        </w:tc>
      </w:tr>
      <w:tr w:rsidR="00FD7793" w:rsidRPr="00A654CF" w14:paraId="755139ED" w14:textId="77777777" w:rsidTr="000A0FA4">
        <w:trPr>
          <w:trHeight w:val="152"/>
          <w:jc w:val="center"/>
        </w:trPr>
        <w:tc>
          <w:tcPr>
            <w:tcW w:w="3297" w:type="dxa"/>
            <w:noWrap/>
            <w:vAlign w:val="bottom"/>
            <w:hideMark/>
          </w:tcPr>
          <w:p w14:paraId="354D8837"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sz w:val="18"/>
                <w:szCs w:val="18"/>
                <w:lang w:val="en-US" w:eastAsia="fr-FR"/>
              </w:rPr>
              <w:t>B-Lymphocytes (count/l * 10E9)</w:t>
            </w:r>
          </w:p>
        </w:tc>
        <w:tc>
          <w:tcPr>
            <w:tcW w:w="1932" w:type="dxa"/>
            <w:noWrap/>
            <w:hideMark/>
          </w:tcPr>
          <w:p w14:paraId="7A6F73C1"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1.8 (0.5)</w:t>
            </w:r>
          </w:p>
        </w:tc>
        <w:tc>
          <w:tcPr>
            <w:tcW w:w="1590" w:type="dxa"/>
            <w:noWrap/>
            <w:hideMark/>
          </w:tcPr>
          <w:p w14:paraId="20B8A1C9"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1.9 (0.5)</w:t>
            </w:r>
          </w:p>
        </w:tc>
        <w:tc>
          <w:tcPr>
            <w:tcW w:w="863" w:type="dxa"/>
            <w:noWrap/>
            <w:hideMark/>
          </w:tcPr>
          <w:p w14:paraId="66235A6F"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0.012</w:t>
            </w:r>
          </w:p>
        </w:tc>
      </w:tr>
      <w:tr w:rsidR="00FD7793" w:rsidRPr="00A654CF" w14:paraId="0BF9E268" w14:textId="77777777" w:rsidTr="000A0FA4">
        <w:trPr>
          <w:trHeight w:val="44"/>
          <w:jc w:val="center"/>
        </w:trPr>
        <w:tc>
          <w:tcPr>
            <w:tcW w:w="3297" w:type="dxa"/>
            <w:noWrap/>
            <w:vAlign w:val="bottom"/>
            <w:hideMark/>
          </w:tcPr>
          <w:p w14:paraId="48281EA0"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sz w:val="18"/>
                <w:szCs w:val="18"/>
                <w:lang w:val="en-US" w:eastAsia="fr-FR"/>
              </w:rPr>
              <w:t>B-Leucocytes (count/l * 10E9)</w:t>
            </w:r>
          </w:p>
        </w:tc>
        <w:tc>
          <w:tcPr>
            <w:tcW w:w="1932" w:type="dxa"/>
            <w:noWrap/>
            <w:hideMark/>
          </w:tcPr>
          <w:p w14:paraId="462BBEC2"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5.7 (1.8)</w:t>
            </w:r>
          </w:p>
        </w:tc>
        <w:tc>
          <w:tcPr>
            <w:tcW w:w="1590" w:type="dxa"/>
            <w:noWrap/>
            <w:hideMark/>
          </w:tcPr>
          <w:p w14:paraId="17420221"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6.3 (1.5)</w:t>
            </w:r>
          </w:p>
        </w:tc>
        <w:tc>
          <w:tcPr>
            <w:tcW w:w="863" w:type="dxa"/>
            <w:noWrap/>
            <w:hideMark/>
          </w:tcPr>
          <w:p w14:paraId="5A5863CF"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0.001</w:t>
            </w:r>
          </w:p>
        </w:tc>
      </w:tr>
      <w:tr w:rsidR="00FD7793" w:rsidRPr="00A654CF" w14:paraId="1B8B93D4" w14:textId="77777777" w:rsidTr="000A0FA4">
        <w:trPr>
          <w:trHeight w:val="116"/>
          <w:jc w:val="center"/>
        </w:trPr>
        <w:tc>
          <w:tcPr>
            <w:tcW w:w="3297" w:type="dxa"/>
            <w:noWrap/>
            <w:vAlign w:val="bottom"/>
            <w:hideMark/>
          </w:tcPr>
          <w:p w14:paraId="0C6F59F8"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sz w:val="18"/>
                <w:szCs w:val="18"/>
                <w:lang w:val="en-US" w:eastAsia="fr-FR"/>
              </w:rPr>
              <w:t>S-TCA (ng/mL)</w:t>
            </w:r>
          </w:p>
        </w:tc>
        <w:tc>
          <w:tcPr>
            <w:tcW w:w="1932" w:type="dxa"/>
            <w:noWrap/>
            <w:hideMark/>
          </w:tcPr>
          <w:p w14:paraId="26DB3CB0"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12.5 (17.4)</w:t>
            </w:r>
          </w:p>
        </w:tc>
        <w:tc>
          <w:tcPr>
            <w:tcW w:w="1590" w:type="dxa"/>
            <w:noWrap/>
            <w:hideMark/>
          </w:tcPr>
          <w:p w14:paraId="43B3EB41"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14.4 (35.4)</w:t>
            </w:r>
          </w:p>
        </w:tc>
        <w:tc>
          <w:tcPr>
            <w:tcW w:w="863" w:type="dxa"/>
            <w:noWrap/>
            <w:hideMark/>
          </w:tcPr>
          <w:p w14:paraId="6854E2BE"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0.541</w:t>
            </w:r>
          </w:p>
        </w:tc>
      </w:tr>
      <w:tr w:rsidR="00FD7793" w:rsidRPr="00A654CF" w14:paraId="6C4FF0F3" w14:textId="77777777" w:rsidTr="000A0FA4">
        <w:trPr>
          <w:trHeight w:val="98"/>
          <w:jc w:val="center"/>
        </w:trPr>
        <w:tc>
          <w:tcPr>
            <w:tcW w:w="3297" w:type="dxa"/>
            <w:noWrap/>
            <w:vAlign w:val="bottom"/>
            <w:hideMark/>
          </w:tcPr>
          <w:p w14:paraId="54B2E8B5"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sz w:val="18"/>
                <w:szCs w:val="18"/>
                <w:lang w:val="en-US" w:eastAsia="fr-FR"/>
              </w:rPr>
              <w:t>S-TaMCA (ng/mL)</w:t>
            </w:r>
          </w:p>
        </w:tc>
        <w:tc>
          <w:tcPr>
            <w:tcW w:w="1932" w:type="dxa"/>
            <w:noWrap/>
            <w:hideMark/>
          </w:tcPr>
          <w:p w14:paraId="6E964689"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4.8 (4.9)</w:t>
            </w:r>
          </w:p>
        </w:tc>
        <w:tc>
          <w:tcPr>
            <w:tcW w:w="1590" w:type="dxa"/>
            <w:noWrap/>
            <w:hideMark/>
          </w:tcPr>
          <w:p w14:paraId="161CED5C"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3.4 (4.1)</w:t>
            </w:r>
          </w:p>
        </w:tc>
        <w:tc>
          <w:tcPr>
            <w:tcW w:w="863" w:type="dxa"/>
            <w:noWrap/>
            <w:hideMark/>
          </w:tcPr>
          <w:p w14:paraId="6ECA9200"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0.014</w:t>
            </w:r>
          </w:p>
        </w:tc>
      </w:tr>
      <w:tr w:rsidR="00FD7793" w:rsidRPr="00A654CF" w14:paraId="5041425B" w14:textId="77777777" w:rsidTr="000A0FA4">
        <w:trPr>
          <w:trHeight w:val="71"/>
          <w:jc w:val="center"/>
        </w:trPr>
        <w:tc>
          <w:tcPr>
            <w:tcW w:w="3297" w:type="dxa"/>
            <w:noWrap/>
            <w:vAlign w:val="bottom"/>
            <w:hideMark/>
          </w:tcPr>
          <w:p w14:paraId="51DB8A4B"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sz w:val="18"/>
                <w:szCs w:val="18"/>
                <w:lang w:val="en-US" w:eastAsia="fr-FR"/>
              </w:rPr>
              <w:t>S-THCA (ng/mL)</w:t>
            </w:r>
          </w:p>
        </w:tc>
        <w:tc>
          <w:tcPr>
            <w:tcW w:w="1932" w:type="dxa"/>
            <w:noWrap/>
            <w:hideMark/>
          </w:tcPr>
          <w:p w14:paraId="6E554E5D"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1.6 (1.3)</w:t>
            </w:r>
          </w:p>
        </w:tc>
        <w:tc>
          <w:tcPr>
            <w:tcW w:w="1590" w:type="dxa"/>
            <w:noWrap/>
            <w:hideMark/>
          </w:tcPr>
          <w:p w14:paraId="59AC2DEF"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1.0 (0.8)</w:t>
            </w:r>
          </w:p>
        </w:tc>
        <w:tc>
          <w:tcPr>
            <w:tcW w:w="863" w:type="dxa"/>
            <w:noWrap/>
            <w:hideMark/>
          </w:tcPr>
          <w:p w14:paraId="3D6B163F"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&lt;0.001</w:t>
            </w:r>
          </w:p>
        </w:tc>
      </w:tr>
      <w:tr w:rsidR="00FD7793" w:rsidRPr="00A654CF" w14:paraId="39ACAA4E" w14:textId="77777777" w:rsidTr="000A0FA4">
        <w:trPr>
          <w:trHeight w:val="143"/>
          <w:jc w:val="center"/>
        </w:trPr>
        <w:tc>
          <w:tcPr>
            <w:tcW w:w="3297" w:type="dxa"/>
            <w:noWrap/>
            <w:vAlign w:val="bottom"/>
            <w:hideMark/>
          </w:tcPr>
          <w:p w14:paraId="729B843B"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sz w:val="18"/>
                <w:szCs w:val="18"/>
                <w:lang w:val="en-US" w:eastAsia="fr-FR"/>
              </w:rPr>
              <w:t>S-TCDCA (ng/mL)</w:t>
            </w:r>
          </w:p>
        </w:tc>
        <w:tc>
          <w:tcPr>
            <w:tcW w:w="1932" w:type="dxa"/>
            <w:noWrap/>
            <w:hideMark/>
          </w:tcPr>
          <w:p w14:paraId="532CD035"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23.9 (26.9)</w:t>
            </w:r>
          </w:p>
        </w:tc>
        <w:tc>
          <w:tcPr>
            <w:tcW w:w="1590" w:type="dxa"/>
            <w:noWrap/>
            <w:hideMark/>
          </w:tcPr>
          <w:p w14:paraId="793C55FF"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24.6 (44.9)</w:t>
            </w:r>
          </w:p>
        </w:tc>
        <w:tc>
          <w:tcPr>
            <w:tcW w:w="863" w:type="dxa"/>
            <w:noWrap/>
            <w:hideMark/>
          </w:tcPr>
          <w:p w14:paraId="1ABC0230"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0.867</w:t>
            </w:r>
          </w:p>
        </w:tc>
      </w:tr>
      <w:tr w:rsidR="00FD7793" w:rsidRPr="00A654CF" w14:paraId="70A2A56A" w14:textId="77777777" w:rsidTr="000A0FA4">
        <w:trPr>
          <w:trHeight w:val="125"/>
          <w:jc w:val="center"/>
        </w:trPr>
        <w:tc>
          <w:tcPr>
            <w:tcW w:w="3297" w:type="dxa"/>
            <w:noWrap/>
            <w:vAlign w:val="bottom"/>
            <w:hideMark/>
          </w:tcPr>
          <w:p w14:paraId="300E3506"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sz w:val="18"/>
                <w:szCs w:val="18"/>
                <w:lang w:val="en-US" w:eastAsia="fr-FR"/>
              </w:rPr>
              <w:t>S-TDCA (ng/mL)</w:t>
            </w:r>
          </w:p>
        </w:tc>
        <w:tc>
          <w:tcPr>
            <w:tcW w:w="1932" w:type="dxa"/>
            <w:noWrap/>
            <w:hideMark/>
          </w:tcPr>
          <w:p w14:paraId="2C14F3FC"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22.8 (41.1)</w:t>
            </w:r>
          </w:p>
        </w:tc>
        <w:tc>
          <w:tcPr>
            <w:tcW w:w="1590" w:type="dxa"/>
            <w:noWrap/>
            <w:hideMark/>
          </w:tcPr>
          <w:p w14:paraId="3AE0C4FE"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20.8 (29.6)</w:t>
            </w:r>
          </w:p>
        </w:tc>
        <w:tc>
          <w:tcPr>
            <w:tcW w:w="863" w:type="dxa"/>
            <w:noWrap/>
            <w:hideMark/>
          </w:tcPr>
          <w:p w14:paraId="5BF211D3"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0.651</w:t>
            </w:r>
          </w:p>
        </w:tc>
      </w:tr>
      <w:tr w:rsidR="00FD7793" w:rsidRPr="00A654CF" w14:paraId="4A01BFF3" w14:textId="77777777" w:rsidTr="000A0FA4">
        <w:trPr>
          <w:trHeight w:val="107"/>
          <w:jc w:val="center"/>
        </w:trPr>
        <w:tc>
          <w:tcPr>
            <w:tcW w:w="3297" w:type="dxa"/>
            <w:noWrap/>
            <w:vAlign w:val="bottom"/>
            <w:hideMark/>
          </w:tcPr>
          <w:p w14:paraId="2AB0C494"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sz w:val="18"/>
                <w:szCs w:val="18"/>
                <w:lang w:val="en-US" w:eastAsia="fr-FR"/>
              </w:rPr>
              <w:t>S-TUDCA (ng/mL)</w:t>
            </w:r>
          </w:p>
        </w:tc>
        <w:tc>
          <w:tcPr>
            <w:tcW w:w="1932" w:type="dxa"/>
            <w:noWrap/>
            <w:hideMark/>
          </w:tcPr>
          <w:p w14:paraId="5A7218FD"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2.7 (2.8)</w:t>
            </w:r>
          </w:p>
        </w:tc>
        <w:tc>
          <w:tcPr>
            <w:tcW w:w="1590" w:type="dxa"/>
            <w:noWrap/>
            <w:hideMark/>
          </w:tcPr>
          <w:p w14:paraId="663576BA"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3.0 (2.9)</w:t>
            </w:r>
          </w:p>
        </w:tc>
        <w:tc>
          <w:tcPr>
            <w:tcW w:w="863" w:type="dxa"/>
            <w:noWrap/>
            <w:hideMark/>
          </w:tcPr>
          <w:p w14:paraId="2C18AF17"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0.347</w:t>
            </w:r>
          </w:p>
        </w:tc>
      </w:tr>
      <w:tr w:rsidR="00FD7793" w:rsidRPr="00A654CF" w14:paraId="3869524F" w14:textId="77777777" w:rsidTr="000A0FA4">
        <w:trPr>
          <w:trHeight w:val="89"/>
          <w:jc w:val="center"/>
        </w:trPr>
        <w:tc>
          <w:tcPr>
            <w:tcW w:w="3297" w:type="dxa"/>
            <w:noWrap/>
            <w:vAlign w:val="bottom"/>
            <w:hideMark/>
          </w:tcPr>
          <w:p w14:paraId="402DA8C4"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sz w:val="18"/>
                <w:szCs w:val="18"/>
                <w:lang w:val="en-US" w:eastAsia="fr-FR"/>
              </w:rPr>
              <w:t>S-GCA (ng/mL)</w:t>
            </w:r>
          </w:p>
        </w:tc>
        <w:tc>
          <w:tcPr>
            <w:tcW w:w="1932" w:type="dxa"/>
            <w:noWrap/>
            <w:hideMark/>
          </w:tcPr>
          <w:p w14:paraId="32B038BA"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66.5 (64.5)</w:t>
            </w:r>
          </w:p>
        </w:tc>
        <w:tc>
          <w:tcPr>
            <w:tcW w:w="1590" w:type="dxa"/>
            <w:noWrap/>
            <w:hideMark/>
          </w:tcPr>
          <w:p w14:paraId="2D7D0306"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76.7 (136.0)</w:t>
            </w:r>
          </w:p>
        </w:tc>
        <w:tc>
          <w:tcPr>
            <w:tcW w:w="863" w:type="dxa"/>
            <w:noWrap/>
            <w:hideMark/>
          </w:tcPr>
          <w:p w14:paraId="2FE9D3A6"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0.397</w:t>
            </w:r>
          </w:p>
        </w:tc>
      </w:tr>
      <w:tr w:rsidR="00FD7793" w:rsidRPr="00A654CF" w14:paraId="675050C8" w14:textId="77777777" w:rsidTr="000A0FA4">
        <w:trPr>
          <w:trHeight w:val="62"/>
          <w:jc w:val="center"/>
        </w:trPr>
        <w:tc>
          <w:tcPr>
            <w:tcW w:w="3297" w:type="dxa"/>
            <w:noWrap/>
            <w:vAlign w:val="bottom"/>
            <w:hideMark/>
          </w:tcPr>
          <w:p w14:paraId="3B8773B8"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sz w:val="18"/>
                <w:szCs w:val="18"/>
                <w:lang w:val="en-US" w:eastAsia="fr-FR"/>
              </w:rPr>
              <w:t>S-GHCA (ng/mL)</w:t>
            </w:r>
          </w:p>
        </w:tc>
        <w:tc>
          <w:tcPr>
            <w:tcW w:w="1932" w:type="dxa"/>
            <w:noWrap/>
            <w:hideMark/>
          </w:tcPr>
          <w:p w14:paraId="566F3D92"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6.3 (6.2)</w:t>
            </w:r>
          </w:p>
        </w:tc>
        <w:tc>
          <w:tcPr>
            <w:tcW w:w="1590" w:type="dxa"/>
            <w:noWrap/>
            <w:hideMark/>
          </w:tcPr>
          <w:p w14:paraId="049A012E"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3.9 (4.3)</w:t>
            </w:r>
          </w:p>
        </w:tc>
        <w:tc>
          <w:tcPr>
            <w:tcW w:w="863" w:type="dxa"/>
            <w:noWrap/>
            <w:hideMark/>
          </w:tcPr>
          <w:p w14:paraId="232BEDD9"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0.001</w:t>
            </w:r>
          </w:p>
        </w:tc>
      </w:tr>
      <w:tr w:rsidR="00FD7793" w:rsidRPr="00A654CF" w14:paraId="56564AAA" w14:textId="77777777" w:rsidTr="000A0FA4">
        <w:trPr>
          <w:trHeight w:val="44"/>
          <w:jc w:val="center"/>
        </w:trPr>
        <w:tc>
          <w:tcPr>
            <w:tcW w:w="3297" w:type="dxa"/>
            <w:noWrap/>
            <w:vAlign w:val="bottom"/>
            <w:hideMark/>
          </w:tcPr>
          <w:p w14:paraId="0F37F648"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sz w:val="18"/>
                <w:szCs w:val="18"/>
                <w:lang w:val="en-US" w:eastAsia="fr-FR"/>
              </w:rPr>
              <w:t>S-GUDCA (ng/mL)</w:t>
            </w:r>
          </w:p>
        </w:tc>
        <w:tc>
          <w:tcPr>
            <w:tcW w:w="1932" w:type="dxa"/>
            <w:noWrap/>
            <w:hideMark/>
          </w:tcPr>
          <w:p w14:paraId="70EFD1AA"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17.7 (21.1)</w:t>
            </w:r>
          </w:p>
        </w:tc>
        <w:tc>
          <w:tcPr>
            <w:tcW w:w="1590" w:type="dxa"/>
            <w:noWrap/>
            <w:hideMark/>
          </w:tcPr>
          <w:p w14:paraId="3B4B58B9"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22.2 (38.2)</w:t>
            </w:r>
          </w:p>
        </w:tc>
        <w:tc>
          <w:tcPr>
            <w:tcW w:w="863" w:type="dxa"/>
            <w:noWrap/>
            <w:hideMark/>
          </w:tcPr>
          <w:p w14:paraId="549795AF"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0.212</w:t>
            </w:r>
          </w:p>
        </w:tc>
      </w:tr>
      <w:tr w:rsidR="00FD7793" w:rsidRPr="00A654CF" w14:paraId="2257F25A" w14:textId="77777777" w:rsidTr="000A0FA4">
        <w:trPr>
          <w:trHeight w:val="116"/>
          <w:jc w:val="center"/>
        </w:trPr>
        <w:tc>
          <w:tcPr>
            <w:tcW w:w="3297" w:type="dxa"/>
            <w:noWrap/>
            <w:vAlign w:val="bottom"/>
            <w:hideMark/>
          </w:tcPr>
          <w:p w14:paraId="477B51C5"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sz w:val="18"/>
                <w:szCs w:val="18"/>
                <w:lang w:val="en-US" w:eastAsia="fr-FR"/>
              </w:rPr>
              <w:t>S-GCDCA (ng/mL)</w:t>
            </w:r>
          </w:p>
        </w:tc>
        <w:tc>
          <w:tcPr>
            <w:tcW w:w="1932" w:type="dxa"/>
            <w:noWrap/>
            <w:hideMark/>
          </w:tcPr>
          <w:p w14:paraId="60FCCFA0"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165.0 (130.0)</w:t>
            </w:r>
          </w:p>
        </w:tc>
        <w:tc>
          <w:tcPr>
            <w:tcW w:w="1590" w:type="dxa"/>
            <w:noWrap/>
            <w:hideMark/>
          </w:tcPr>
          <w:p w14:paraId="5DB61DE4"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167.0 (175.0)</w:t>
            </w:r>
          </w:p>
        </w:tc>
        <w:tc>
          <w:tcPr>
            <w:tcW w:w="863" w:type="dxa"/>
            <w:noWrap/>
            <w:hideMark/>
          </w:tcPr>
          <w:p w14:paraId="2EA59BD4"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0.904</w:t>
            </w:r>
          </w:p>
        </w:tc>
      </w:tr>
      <w:tr w:rsidR="00FD7793" w:rsidRPr="00A654CF" w14:paraId="7941AB22" w14:textId="77777777" w:rsidTr="000A0FA4">
        <w:trPr>
          <w:trHeight w:val="98"/>
          <w:jc w:val="center"/>
        </w:trPr>
        <w:tc>
          <w:tcPr>
            <w:tcW w:w="3297" w:type="dxa"/>
            <w:noWrap/>
            <w:vAlign w:val="bottom"/>
            <w:hideMark/>
          </w:tcPr>
          <w:p w14:paraId="22F93479"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sz w:val="18"/>
                <w:szCs w:val="18"/>
                <w:lang w:val="en-US" w:eastAsia="fr-FR"/>
              </w:rPr>
              <w:t>S-GDCA (ng/mL)</w:t>
            </w:r>
          </w:p>
        </w:tc>
        <w:tc>
          <w:tcPr>
            <w:tcW w:w="1932" w:type="dxa"/>
            <w:noWrap/>
            <w:hideMark/>
          </w:tcPr>
          <w:p w14:paraId="4D5ECE43"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78.9 (117.0)</w:t>
            </w:r>
          </w:p>
        </w:tc>
        <w:tc>
          <w:tcPr>
            <w:tcW w:w="1590" w:type="dxa"/>
            <w:noWrap/>
            <w:hideMark/>
          </w:tcPr>
          <w:p w14:paraId="491BC50B"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75.4 (86.2)</w:t>
            </w:r>
          </w:p>
        </w:tc>
        <w:tc>
          <w:tcPr>
            <w:tcW w:w="863" w:type="dxa"/>
            <w:noWrap/>
            <w:hideMark/>
          </w:tcPr>
          <w:p w14:paraId="496315A1"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0.788</w:t>
            </w:r>
          </w:p>
        </w:tc>
      </w:tr>
      <w:tr w:rsidR="00FD7793" w:rsidRPr="00A654CF" w14:paraId="63D7E73B" w14:textId="77777777" w:rsidTr="000A0FA4">
        <w:trPr>
          <w:trHeight w:val="71"/>
          <w:jc w:val="center"/>
        </w:trPr>
        <w:tc>
          <w:tcPr>
            <w:tcW w:w="3297" w:type="dxa"/>
            <w:noWrap/>
            <w:vAlign w:val="bottom"/>
            <w:hideMark/>
          </w:tcPr>
          <w:p w14:paraId="674F3BE6"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sz w:val="18"/>
                <w:szCs w:val="18"/>
                <w:lang w:val="en-US" w:eastAsia="fr-FR"/>
              </w:rPr>
              <w:t>S-GHDCA (ng/mL)</w:t>
            </w:r>
          </w:p>
        </w:tc>
        <w:tc>
          <w:tcPr>
            <w:tcW w:w="1932" w:type="dxa"/>
            <w:noWrap/>
            <w:hideMark/>
          </w:tcPr>
          <w:p w14:paraId="65B9CCD4"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1.6 (0.9)</w:t>
            </w:r>
          </w:p>
        </w:tc>
        <w:tc>
          <w:tcPr>
            <w:tcW w:w="1590" w:type="dxa"/>
            <w:noWrap/>
            <w:hideMark/>
          </w:tcPr>
          <w:p w14:paraId="23F3DEE6"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1.6 (1.5)</w:t>
            </w:r>
          </w:p>
        </w:tc>
        <w:tc>
          <w:tcPr>
            <w:tcW w:w="863" w:type="dxa"/>
            <w:noWrap/>
            <w:hideMark/>
          </w:tcPr>
          <w:p w14:paraId="5DBAD706"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0.801</w:t>
            </w:r>
          </w:p>
        </w:tc>
      </w:tr>
      <w:tr w:rsidR="00FD7793" w:rsidRPr="00A654CF" w14:paraId="0C8BFE63" w14:textId="77777777" w:rsidTr="000A0FA4">
        <w:trPr>
          <w:trHeight w:val="143"/>
          <w:jc w:val="center"/>
        </w:trPr>
        <w:tc>
          <w:tcPr>
            <w:tcW w:w="3297" w:type="dxa"/>
            <w:noWrap/>
            <w:vAlign w:val="bottom"/>
            <w:hideMark/>
          </w:tcPr>
          <w:p w14:paraId="6CCEAB68"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sz w:val="18"/>
                <w:szCs w:val="18"/>
                <w:lang w:val="en-US" w:eastAsia="fr-FR"/>
              </w:rPr>
              <w:t>S-GLCA (ng/mL)</w:t>
            </w:r>
          </w:p>
        </w:tc>
        <w:tc>
          <w:tcPr>
            <w:tcW w:w="1932" w:type="dxa"/>
            <w:noWrap/>
            <w:hideMark/>
          </w:tcPr>
          <w:p w14:paraId="4F92A0FA"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4.8 (7.2)</w:t>
            </w:r>
          </w:p>
        </w:tc>
        <w:tc>
          <w:tcPr>
            <w:tcW w:w="1590" w:type="dxa"/>
            <w:noWrap/>
            <w:hideMark/>
          </w:tcPr>
          <w:p w14:paraId="47367BC0"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4.6 (5.3)</w:t>
            </w:r>
          </w:p>
        </w:tc>
        <w:tc>
          <w:tcPr>
            <w:tcW w:w="863" w:type="dxa"/>
            <w:noWrap/>
            <w:hideMark/>
          </w:tcPr>
          <w:p w14:paraId="103641EE"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0.811</w:t>
            </w:r>
          </w:p>
        </w:tc>
      </w:tr>
      <w:tr w:rsidR="00FD7793" w:rsidRPr="00A654CF" w14:paraId="3701F4C8" w14:textId="77777777" w:rsidTr="000A0FA4">
        <w:trPr>
          <w:trHeight w:val="43"/>
          <w:jc w:val="center"/>
        </w:trPr>
        <w:tc>
          <w:tcPr>
            <w:tcW w:w="3297" w:type="dxa"/>
            <w:noWrap/>
            <w:vAlign w:val="bottom"/>
            <w:hideMark/>
          </w:tcPr>
          <w:p w14:paraId="71AAD4E8"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sz w:val="18"/>
                <w:szCs w:val="18"/>
                <w:lang w:val="en-US" w:eastAsia="fr-FR"/>
              </w:rPr>
              <w:t>S-CA (ng/mL)</w:t>
            </w:r>
          </w:p>
        </w:tc>
        <w:tc>
          <w:tcPr>
            <w:tcW w:w="1932" w:type="dxa"/>
            <w:noWrap/>
            <w:hideMark/>
          </w:tcPr>
          <w:p w14:paraId="41B6CA48"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83.4 (163.0)</w:t>
            </w:r>
          </w:p>
        </w:tc>
        <w:tc>
          <w:tcPr>
            <w:tcW w:w="1590" w:type="dxa"/>
            <w:noWrap/>
            <w:hideMark/>
          </w:tcPr>
          <w:p w14:paraId="1C7B0BB1"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96.8 (182.0)</w:t>
            </w:r>
          </w:p>
        </w:tc>
        <w:tc>
          <w:tcPr>
            <w:tcW w:w="863" w:type="dxa"/>
            <w:noWrap/>
            <w:hideMark/>
          </w:tcPr>
          <w:p w14:paraId="377C4F7B"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0.524</w:t>
            </w:r>
          </w:p>
        </w:tc>
      </w:tr>
      <w:tr w:rsidR="00FD7793" w:rsidRPr="00A654CF" w14:paraId="460E7239" w14:textId="77777777" w:rsidTr="000A0FA4">
        <w:trPr>
          <w:trHeight w:val="43"/>
          <w:jc w:val="center"/>
        </w:trPr>
        <w:tc>
          <w:tcPr>
            <w:tcW w:w="3297" w:type="dxa"/>
            <w:noWrap/>
            <w:vAlign w:val="bottom"/>
            <w:hideMark/>
          </w:tcPr>
          <w:p w14:paraId="611860FD"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sz w:val="18"/>
                <w:szCs w:val="18"/>
                <w:lang w:val="en-US" w:eastAsia="fr-FR"/>
              </w:rPr>
              <w:t>S-HCA (ng/mL)</w:t>
            </w:r>
          </w:p>
        </w:tc>
        <w:tc>
          <w:tcPr>
            <w:tcW w:w="1932" w:type="dxa"/>
            <w:noWrap/>
            <w:hideMark/>
          </w:tcPr>
          <w:p w14:paraId="7F4DBCEC"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5.1 (4.2)</w:t>
            </w:r>
          </w:p>
        </w:tc>
        <w:tc>
          <w:tcPr>
            <w:tcW w:w="1590" w:type="dxa"/>
            <w:noWrap/>
            <w:hideMark/>
          </w:tcPr>
          <w:p w14:paraId="6455A2F7"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5.0 (4.6)</w:t>
            </w:r>
          </w:p>
        </w:tc>
        <w:tc>
          <w:tcPr>
            <w:tcW w:w="863" w:type="dxa"/>
            <w:noWrap/>
            <w:hideMark/>
          </w:tcPr>
          <w:p w14:paraId="4459DA09"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0.947</w:t>
            </w:r>
          </w:p>
        </w:tc>
      </w:tr>
      <w:tr w:rsidR="00FD7793" w:rsidRPr="00A654CF" w14:paraId="1DDFDC8E" w14:textId="77777777" w:rsidTr="000A0FA4">
        <w:trPr>
          <w:trHeight w:val="89"/>
          <w:jc w:val="center"/>
        </w:trPr>
        <w:tc>
          <w:tcPr>
            <w:tcW w:w="3297" w:type="dxa"/>
            <w:noWrap/>
            <w:vAlign w:val="bottom"/>
            <w:hideMark/>
          </w:tcPr>
          <w:p w14:paraId="3340BE36"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sz w:val="18"/>
                <w:szCs w:val="18"/>
                <w:lang w:val="en-US" w:eastAsia="fr-FR"/>
              </w:rPr>
              <w:t>S-7oxo-DCA (ng/mL)</w:t>
            </w:r>
          </w:p>
        </w:tc>
        <w:tc>
          <w:tcPr>
            <w:tcW w:w="1932" w:type="dxa"/>
            <w:noWrap/>
            <w:hideMark/>
          </w:tcPr>
          <w:p w14:paraId="55CDFEB9"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1.5 (4.4)</w:t>
            </w:r>
          </w:p>
        </w:tc>
        <w:tc>
          <w:tcPr>
            <w:tcW w:w="1590" w:type="dxa"/>
            <w:noWrap/>
            <w:hideMark/>
          </w:tcPr>
          <w:p w14:paraId="5AB1E8A1"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2.8 (7.0)</w:t>
            </w:r>
          </w:p>
        </w:tc>
        <w:tc>
          <w:tcPr>
            <w:tcW w:w="863" w:type="dxa"/>
            <w:noWrap/>
            <w:hideMark/>
          </w:tcPr>
          <w:p w14:paraId="76365821"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0.060</w:t>
            </w:r>
          </w:p>
        </w:tc>
      </w:tr>
      <w:tr w:rsidR="00FD7793" w:rsidRPr="00A654CF" w14:paraId="21DF06C4" w14:textId="77777777" w:rsidTr="000A0FA4">
        <w:trPr>
          <w:trHeight w:val="62"/>
          <w:jc w:val="center"/>
        </w:trPr>
        <w:tc>
          <w:tcPr>
            <w:tcW w:w="3297" w:type="dxa"/>
            <w:noWrap/>
            <w:vAlign w:val="bottom"/>
            <w:hideMark/>
          </w:tcPr>
          <w:p w14:paraId="301D0316"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sz w:val="18"/>
                <w:szCs w:val="18"/>
                <w:lang w:val="en-US" w:eastAsia="fr-FR"/>
              </w:rPr>
              <w:t>S-UDCA (ng/mL)</w:t>
            </w:r>
          </w:p>
        </w:tc>
        <w:tc>
          <w:tcPr>
            <w:tcW w:w="1932" w:type="dxa"/>
            <w:noWrap/>
            <w:hideMark/>
          </w:tcPr>
          <w:p w14:paraId="640C321D"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8.5 (11.3)</w:t>
            </w:r>
          </w:p>
        </w:tc>
        <w:tc>
          <w:tcPr>
            <w:tcW w:w="1590" w:type="dxa"/>
            <w:noWrap/>
            <w:hideMark/>
          </w:tcPr>
          <w:p w14:paraId="42EB7B8B"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15.0 (27.2)</w:t>
            </w:r>
          </w:p>
        </w:tc>
        <w:tc>
          <w:tcPr>
            <w:tcW w:w="863" w:type="dxa"/>
            <w:noWrap/>
            <w:hideMark/>
          </w:tcPr>
          <w:p w14:paraId="5EEF6ABF"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0.006</w:t>
            </w:r>
          </w:p>
        </w:tc>
      </w:tr>
      <w:tr w:rsidR="00FD7793" w:rsidRPr="00A654CF" w14:paraId="023F211D" w14:textId="77777777" w:rsidTr="000A0FA4">
        <w:trPr>
          <w:trHeight w:val="44"/>
          <w:jc w:val="center"/>
        </w:trPr>
        <w:tc>
          <w:tcPr>
            <w:tcW w:w="3297" w:type="dxa"/>
            <w:noWrap/>
            <w:vAlign w:val="bottom"/>
            <w:hideMark/>
          </w:tcPr>
          <w:p w14:paraId="04135DD4"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sz w:val="18"/>
                <w:szCs w:val="18"/>
                <w:lang w:val="en-US" w:eastAsia="fr-FR"/>
              </w:rPr>
              <w:t>S-CDCA (ng/mL)</w:t>
            </w:r>
          </w:p>
        </w:tc>
        <w:tc>
          <w:tcPr>
            <w:tcW w:w="1932" w:type="dxa"/>
            <w:noWrap/>
            <w:hideMark/>
          </w:tcPr>
          <w:p w14:paraId="76035292"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63.5 (124.0)</w:t>
            </w:r>
          </w:p>
        </w:tc>
        <w:tc>
          <w:tcPr>
            <w:tcW w:w="1590" w:type="dxa"/>
            <w:noWrap/>
            <w:hideMark/>
          </w:tcPr>
          <w:p w14:paraId="7883B2F5"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84.6 (153.0)</w:t>
            </w:r>
          </w:p>
        </w:tc>
        <w:tc>
          <w:tcPr>
            <w:tcW w:w="863" w:type="dxa"/>
            <w:noWrap/>
            <w:hideMark/>
          </w:tcPr>
          <w:p w14:paraId="6F754E06"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0.208</w:t>
            </w:r>
          </w:p>
        </w:tc>
      </w:tr>
      <w:tr w:rsidR="00FD7793" w:rsidRPr="00A654CF" w14:paraId="22858597" w14:textId="77777777" w:rsidTr="000A0FA4">
        <w:trPr>
          <w:trHeight w:val="43"/>
          <w:jc w:val="center"/>
        </w:trPr>
        <w:tc>
          <w:tcPr>
            <w:tcW w:w="3297" w:type="dxa"/>
            <w:noWrap/>
            <w:vAlign w:val="bottom"/>
            <w:hideMark/>
          </w:tcPr>
          <w:p w14:paraId="4AE5FC6C"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sz w:val="18"/>
                <w:szCs w:val="18"/>
                <w:lang w:val="en-US" w:eastAsia="fr-FR"/>
              </w:rPr>
              <w:t>S-DCA (ng/mL)</w:t>
            </w:r>
          </w:p>
        </w:tc>
        <w:tc>
          <w:tcPr>
            <w:tcW w:w="1932" w:type="dxa"/>
            <w:noWrap/>
            <w:hideMark/>
          </w:tcPr>
          <w:p w14:paraId="74119F7D"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87.0 (80.1)</w:t>
            </w:r>
          </w:p>
        </w:tc>
        <w:tc>
          <w:tcPr>
            <w:tcW w:w="1590" w:type="dxa"/>
            <w:noWrap/>
            <w:hideMark/>
          </w:tcPr>
          <w:p w14:paraId="63207099"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118.0 (96.8)</w:t>
            </w:r>
          </w:p>
        </w:tc>
        <w:tc>
          <w:tcPr>
            <w:tcW w:w="863" w:type="dxa"/>
            <w:noWrap/>
            <w:hideMark/>
          </w:tcPr>
          <w:p w14:paraId="6E8C96E3"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0.004</w:t>
            </w:r>
          </w:p>
        </w:tc>
      </w:tr>
      <w:tr w:rsidR="00FD7793" w:rsidRPr="00A654CF" w14:paraId="0B883530" w14:textId="77777777" w:rsidTr="000A0FA4">
        <w:trPr>
          <w:trHeight w:val="62"/>
          <w:jc w:val="center"/>
        </w:trPr>
        <w:tc>
          <w:tcPr>
            <w:tcW w:w="3297" w:type="dxa"/>
            <w:noWrap/>
            <w:vAlign w:val="bottom"/>
            <w:hideMark/>
          </w:tcPr>
          <w:p w14:paraId="7762C6E5"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sz w:val="18"/>
                <w:szCs w:val="18"/>
                <w:lang w:val="en-US" w:eastAsia="fr-FR"/>
              </w:rPr>
              <w:t>S-LCA (ng/mL)</w:t>
            </w:r>
          </w:p>
        </w:tc>
        <w:tc>
          <w:tcPr>
            <w:tcW w:w="1932" w:type="dxa"/>
            <w:noWrap/>
            <w:hideMark/>
          </w:tcPr>
          <w:p w14:paraId="2375459D"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7.7 (5.2)</w:t>
            </w:r>
          </w:p>
        </w:tc>
        <w:tc>
          <w:tcPr>
            <w:tcW w:w="1590" w:type="dxa"/>
            <w:noWrap/>
            <w:hideMark/>
          </w:tcPr>
          <w:p w14:paraId="64FC6CC7"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6.9 (5.7)</w:t>
            </w:r>
          </w:p>
        </w:tc>
        <w:tc>
          <w:tcPr>
            <w:tcW w:w="863" w:type="dxa"/>
            <w:noWrap/>
            <w:hideMark/>
          </w:tcPr>
          <w:p w14:paraId="42E5F8D7" w14:textId="77777777" w:rsidR="00FD7793" w:rsidRPr="00A654CF" w:rsidRDefault="00FD7793" w:rsidP="000A0FA4">
            <w:pPr>
              <w:pStyle w:val="NoSpacing"/>
              <w:spacing w:line="276" w:lineRule="auto"/>
              <w:jc w:val="center"/>
              <w:rPr>
                <w:rFonts w:asciiTheme="majorHAnsi" w:hAnsiTheme="majorHAnsi" w:cstheme="majorHAnsi"/>
                <w:color w:val="000000"/>
                <w:sz w:val="18"/>
                <w:szCs w:val="18"/>
                <w:lang w:val="en-US" w:eastAsia="ja-JP"/>
              </w:rPr>
            </w:pPr>
            <w:r w:rsidRPr="00A654CF">
              <w:rPr>
                <w:rFonts w:asciiTheme="majorHAnsi" w:hAnsiTheme="majorHAnsi" w:cstheme="majorHAnsi"/>
                <w:color w:val="000000"/>
                <w:sz w:val="18"/>
                <w:szCs w:val="18"/>
                <w:lang w:val="en-US" w:eastAsia="ja-JP"/>
              </w:rPr>
              <w:t>0.250</w:t>
            </w:r>
          </w:p>
        </w:tc>
      </w:tr>
    </w:tbl>
    <w:p w14:paraId="036D2731" w14:textId="77777777" w:rsidR="00FD7793" w:rsidRPr="00A654CF" w:rsidRDefault="00FD7793" w:rsidP="000A0FA4">
      <w:pPr>
        <w:spacing w:line="276" w:lineRule="auto"/>
        <w:ind w:firstLine="0"/>
        <w:jc w:val="both"/>
        <w:rPr>
          <w:rFonts w:asciiTheme="majorHAnsi" w:hAnsiTheme="majorHAnsi" w:cstheme="majorHAnsi"/>
          <w:b/>
          <w:sz w:val="24"/>
          <w:szCs w:val="24"/>
          <w:lang w:val="en-US" w:eastAsia="fr-FR"/>
        </w:rPr>
      </w:pPr>
    </w:p>
    <w:p w14:paraId="0D85317C" w14:textId="1E00932D" w:rsidR="00FD7793" w:rsidRPr="00A654CF" w:rsidRDefault="00FD7793" w:rsidP="000A0FA4">
      <w:pPr>
        <w:spacing w:line="276" w:lineRule="auto"/>
        <w:ind w:firstLine="0"/>
        <w:jc w:val="both"/>
        <w:rPr>
          <w:rFonts w:asciiTheme="majorHAnsi" w:hAnsiTheme="majorHAnsi" w:cstheme="majorHAnsi"/>
          <w:sz w:val="24"/>
          <w:szCs w:val="24"/>
          <w:lang w:val="en-US"/>
        </w:rPr>
      </w:pPr>
      <w:r w:rsidRPr="00A654CF">
        <w:rPr>
          <w:rFonts w:asciiTheme="majorHAnsi" w:hAnsiTheme="majorHAnsi" w:cstheme="majorHAnsi"/>
          <w:b/>
          <w:sz w:val="24"/>
          <w:szCs w:val="24"/>
          <w:lang w:val="en-US" w:eastAsia="fr-FR"/>
        </w:rPr>
        <w:t>Supplementary Table 3: Summary statistics stratified by body mass index (BMI) of bio-clinical variables including serum bile acids in 106 non-obese and 177 obese individuals.</w:t>
      </w:r>
      <w:r w:rsidRPr="00A654CF">
        <w:rPr>
          <w:rFonts w:asciiTheme="majorHAnsi" w:hAnsiTheme="majorHAnsi" w:cstheme="majorHAnsi"/>
          <w:sz w:val="24"/>
          <w:szCs w:val="24"/>
          <w:lang w:val="en-US" w:eastAsia="fr-FR"/>
        </w:rPr>
        <w:t xml:space="preserve"> Values indicate </w:t>
      </w:r>
      <w:r w:rsidRPr="00A654CF">
        <w:rPr>
          <w:rFonts w:asciiTheme="majorHAnsi" w:hAnsiTheme="majorHAnsi" w:cstheme="majorHAnsi"/>
          <w:sz w:val="24"/>
          <w:szCs w:val="24"/>
          <w:lang w:val="en-US" w:eastAsia="fr-FR"/>
        </w:rPr>
        <w:lastRenderedPageBreak/>
        <w:t xml:space="preserve">mean and </w:t>
      </w:r>
      <w:r w:rsidRPr="00A654CF">
        <w:rPr>
          <w:rFonts w:asciiTheme="majorHAnsi" w:hAnsiTheme="majorHAnsi" w:cstheme="majorHAnsi"/>
          <w:sz w:val="24"/>
          <w:szCs w:val="24"/>
          <w:lang w:val="en-US"/>
        </w:rPr>
        <w:t>standard deviation</w:t>
      </w:r>
      <w:r w:rsidRPr="00A654CF">
        <w:rPr>
          <w:rFonts w:asciiTheme="majorHAnsi" w:hAnsiTheme="majorHAnsi" w:cstheme="majorHAnsi"/>
          <w:sz w:val="24"/>
          <w:szCs w:val="24"/>
          <w:lang w:val="en-US" w:eastAsia="fr-FR"/>
        </w:rPr>
        <w:t xml:space="preserve"> (</w:t>
      </w:r>
      <w:r w:rsidR="00216F6A">
        <w:rPr>
          <w:rFonts w:asciiTheme="majorHAnsi" w:hAnsiTheme="majorHAnsi" w:cstheme="majorHAnsi"/>
          <w:sz w:val="24"/>
          <w:szCs w:val="24"/>
          <w:lang w:val="en-US" w:eastAsia="fr-FR"/>
        </w:rPr>
        <w:t>SD</w:t>
      </w:r>
      <w:r w:rsidRPr="00A654CF">
        <w:rPr>
          <w:rFonts w:asciiTheme="majorHAnsi" w:hAnsiTheme="majorHAnsi" w:cstheme="majorHAnsi"/>
          <w:sz w:val="24"/>
          <w:szCs w:val="24"/>
          <w:lang w:val="en-US" w:eastAsia="fr-FR"/>
        </w:rPr>
        <w:t>) for metabolic and infla</w:t>
      </w:r>
      <w:r w:rsidR="00EC0FBD" w:rsidRPr="00A654CF">
        <w:rPr>
          <w:rFonts w:asciiTheme="majorHAnsi" w:hAnsiTheme="majorHAnsi" w:cstheme="majorHAnsi"/>
          <w:sz w:val="24"/>
          <w:szCs w:val="24"/>
          <w:lang w:val="en-US" w:eastAsia="fr-FR"/>
        </w:rPr>
        <w:t>mmatory related clinical traits;</w:t>
      </w:r>
      <w:r w:rsidRPr="00A654CF">
        <w:rPr>
          <w:rFonts w:asciiTheme="majorHAnsi" w:hAnsiTheme="majorHAnsi" w:cstheme="majorHAnsi"/>
          <w:sz w:val="24"/>
          <w:szCs w:val="24"/>
          <w:lang w:val="en-US" w:eastAsia="fr-FR"/>
        </w:rPr>
        <w:t xml:space="preserve"> p-value is obtained by performing a t-test. Prefix P and S indicate plasma and serum, respectively. </w:t>
      </w:r>
      <w:r w:rsidRPr="00A654CF">
        <w:rPr>
          <w:rFonts w:asciiTheme="majorHAnsi" w:hAnsiTheme="majorHAnsi" w:cstheme="majorHAnsi"/>
          <w:sz w:val="24"/>
          <w:szCs w:val="24"/>
          <w:lang w:val="en-US"/>
        </w:rPr>
        <w:t>BA abbreviations and complete compound name</w:t>
      </w:r>
      <w:r w:rsidR="000A0FA4" w:rsidRPr="00A654CF">
        <w:rPr>
          <w:rFonts w:asciiTheme="majorHAnsi" w:hAnsiTheme="majorHAnsi" w:cstheme="majorHAnsi"/>
          <w:sz w:val="24"/>
          <w:szCs w:val="24"/>
          <w:lang w:val="en-US"/>
        </w:rPr>
        <w:t xml:space="preserve">s </w:t>
      </w:r>
      <w:r w:rsidRPr="00A654CF">
        <w:rPr>
          <w:rFonts w:asciiTheme="majorHAnsi" w:hAnsiTheme="majorHAnsi" w:cstheme="majorHAnsi"/>
          <w:sz w:val="24"/>
          <w:szCs w:val="24"/>
          <w:lang w:val="en-US"/>
        </w:rPr>
        <w:t xml:space="preserve">are : HCA - Hyocholic acid, HDCA - Hyodeoxycholic acid, </w:t>
      </w:r>
      <w:r w:rsidR="00E37AAF">
        <w:rPr>
          <w:rFonts w:ascii="Arial" w:hAnsi="Arial" w:cs="Arial"/>
          <w:color w:val="202122"/>
          <w:sz w:val="18"/>
          <w:szCs w:val="18"/>
          <w:shd w:val="clear" w:color="auto" w:fill="F8F9FA"/>
        </w:rPr>
        <w:t>α</w:t>
      </w:r>
      <w:r w:rsidRPr="00A654CF">
        <w:rPr>
          <w:rFonts w:asciiTheme="majorHAnsi" w:hAnsiTheme="majorHAnsi" w:cstheme="majorHAnsi"/>
          <w:sz w:val="24"/>
          <w:szCs w:val="24"/>
          <w:lang w:val="en-US"/>
        </w:rPr>
        <w:t xml:space="preserve">MCA - </w:t>
      </w:r>
      <w:r w:rsidR="00E37AAF">
        <w:rPr>
          <w:rFonts w:ascii="Arial" w:hAnsi="Arial" w:cs="Arial"/>
          <w:color w:val="202122"/>
          <w:sz w:val="18"/>
          <w:szCs w:val="18"/>
          <w:shd w:val="clear" w:color="auto" w:fill="F8F9FA"/>
        </w:rPr>
        <w:t>α</w:t>
      </w:r>
      <w:r w:rsidRPr="00A654CF">
        <w:rPr>
          <w:rFonts w:asciiTheme="majorHAnsi" w:hAnsiTheme="majorHAnsi" w:cstheme="majorHAnsi"/>
          <w:sz w:val="24"/>
          <w:szCs w:val="24"/>
          <w:lang w:val="en-US"/>
        </w:rPr>
        <w:t xml:space="preserve">-muricholic acid, 7oxo-DCA - 7-oxo-deoxycholic acid, DCA - Deoxycholic acid, CA - Cholic acid, LCA - Lithocholic acid, CDCA - Chenodeoxycholic acid, UDCA - Ursodeoxycholic acid. Abbreviated names preceded with G or T indicate that the BA is conjugated with a glycine or a taurine, respectively. </w:t>
      </w:r>
    </w:p>
    <w:p w14:paraId="49C81BBE" w14:textId="77777777" w:rsidR="00FD7793" w:rsidRPr="00A654CF" w:rsidRDefault="00FD7793" w:rsidP="000A0FA4">
      <w:pPr>
        <w:spacing w:after="0" w:line="276" w:lineRule="auto"/>
        <w:ind w:firstLine="0"/>
        <w:rPr>
          <w:rFonts w:asciiTheme="majorHAnsi" w:eastAsiaTheme="majorEastAsia" w:hAnsiTheme="majorHAnsi" w:cstheme="majorHAnsi"/>
          <w:b/>
          <w:bCs/>
          <w:i/>
          <w:iCs/>
          <w:sz w:val="24"/>
          <w:szCs w:val="24"/>
          <w:lang w:val="en-US"/>
        </w:rPr>
      </w:pPr>
      <w:r w:rsidRPr="00A654CF">
        <w:rPr>
          <w:rFonts w:asciiTheme="majorHAnsi" w:hAnsiTheme="majorHAnsi" w:cstheme="majorHAnsi"/>
          <w:sz w:val="24"/>
          <w:szCs w:val="24"/>
          <w:lang w:val="en-US"/>
        </w:rPr>
        <w:br w:type="page"/>
      </w:r>
    </w:p>
    <w:p w14:paraId="1CDD1C9F" w14:textId="77777777" w:rsidR="00FD7793" w:rsidRPr="00997B40" w:rsidRDefault="00FD7793" w:rsidP="000A0FA4">
      <w:pPr>
        <w:pStyle w:val="Heading2"/>
        <w:spacing w:line="276" w:lineRule="auto"/>
        <w:jc w:val="both"/>
        <w:rPr>
          <w:rFonts w:asciiTheme="majorHAnsi" w:hAnsiTheme="majorHAnsi" w:cstheme="majorHAnsi"/>
          <w:i w:val="0"/>
          <w:iCs/>
          <w:sz w:val="24"/>
          <w:szCs w:val="24"/>
          <w:lang w:val="en-US"/>
        </w:rPr>
      </w:pPr>
      <w:r w:rsidRPr="00997B40">
        <w:rPr>
          <w:rFonts w:asciiTheme="majorHAnsi" w:hAnsiTheme="majorHAnsi" w:cstheme="majorHAnsi"/>
          <w:i w:val="0"/>
          <w:iCs/>
          <w:sz w:val="24"/>
          <w:szCs w:val="24"/>
          <w:lang w:val="en-US"/>
        </w:rPr>
        <w:lastRenderedPageBreak/>
        <w:t>Supplementary Table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57"/>
        <w:gridCol w:w="1775"/>
        <w:gridCol w:w="4829"/>
      </w:tblGrid>
      <w:tr w:rsidR="00FD7793" w:rsidRPr="00A654CF" w14:paraId="3BA1FB4B" w14:textId="77777777" w:rsidTr="000A0FA4">
        <w:trPr>
          <w:trHeight w:val="20"/>
          <w:jc w:val="center"/>
        </w:trPr>
        <w:tc>
          <w:tcPr>
            <w:tcW w:w="0" w:type="auto"/>
            <w:tcMar>
              <w:top w:w="100" w:type="dxa"/>
              <w:left w:w="100" w:type="dxa"/>
              <w:bottom w:w="100" w:type="dxa"/>
              <w:right w:w="100" w:type="dxa"/>
            </w:tcMar>
            <w:vAlign w:val="center"/>
            <w:hideMark/>
          </w:tcPr>
          <w:p w14:paraId="699FB602" w14:textId="77777777" w:rsidR="00FD7793" w:rsidRPr="00A654CF" w:rsidRDefault="00FD7793" w:rsidP="000A0FA4">
            <w:pPr>
              <w:adjustRightInd w:val="0"/>
              <w:snapToGrid w:val="0"/>
              <w:spacing w:after="0" w:line="276" w:lineRule="auto"/>
              <w:ind w:firstLine="0"/>
              <w:jc w:val="center"/>
              <w:rPr>
                <w:rFonts w:asciiTheme="majorHAnsi" w:eastAsia="Times New Roman" w:hAnsiTheme="majorHAnsi" w:cstheme="majorHAnsi"/>
                <w:b/>
                <w:sz w:val="18"/>
                <w:szCs w:val="18"/>
                <w:lang w:val="en-US" w:eastAsia="zh-CN"/>
              </w:rPr>
            </w:pPr>
            <w:r w:rsidRPr="00A654CF">
              <w:rPr>
                <w:rFonts w:asciiTheme="majorHAnsi" w:eastAsia="Times New Roman" w:hAnsiTheme="majorHAnsi" w:cstheme="majorHAnsi"/>
                <w:b/>
                <w:color w:val="000000"/>
                <w:sz w:val="18"/>
                <w:szCs w:val="18"/>
                <w:lang w:val="en-US" w:eastAsia="zh-CN"/>
              </w:rPr>
              <w:t>Category</w:t>
            </w:r>
          </w:p>
        </w:tc>
        <w:tc>
          <w:tcPr>
            <w:tcW w:w="0" w:type="auto"/>
            <w:tcMar>
              <w:top w:w="100" w:type="dxa"/>
              <w:left w:w="100" w:type="dxa"/>
              <w:bottom w:w="100" w:type="dxa"/>
              <w:right w:w="100" w:type="dxa"/>
            </w:tcMar>
            <w:hideMark/>
          </w:tcPr>
          <w:p w14:paraId="2F16580C" w14:textId="77777777" w:rsidR="00FD7793" w:rsidRPr="00A654CF" w:rsidRDefault="00FD7793" w:rsidP="000A0FA4">
            <w:pPr>
              <w:adjustRightInd w:val="0"/>
              <w:snapToGrid w:val="0"/>
              <w:spacing w:after="0" w:line="276" w:lineRule="auto"/>
              <w:ind w:firstLine="0"/>
              <w:jc w:val="center"/>
              <w:rPr>
                <w:rFonts w:asciiTheme="majorHAnsi" w:eastAsia="Times New Roman" w:hAnsiTheme="majorHAnsi" w:cstheme="majorHAnsi"/>
                <w:b/>
                <w:sz w:val="18"/>
                <w:szCs w:val="18"/>
                <w:lang w:val="en-US" w:eastAsia="zh-CN"/>
              </w:rPr>
            </w:pPr>
            <w:r w:rsidRPr="00A654CF">
              <w:rPr>
                <w:rFonts w:asciiTheme="majorHAnsi" w:eastAsia="Times New Roman" w:hAnsiTheme="majorHAnsi" w:cstheme="majorHAnsi"/>
                <w:b/>
                <w:color w:val="000000"/>
                <w:sz w:val="18"/>
                <w:szCs w:val="18"/>
                <w:lang w:val="en-US" w:eastAsia="zh-CN"/>
              </w:rPr>
              <w:t>Bile acids group ratio</w:t>
            </w:r>
          </w:p>
        </w:tc>
        <w:tc>
          <w:tcPr>
            <w:tcW w:w="0" w:type="auto"/>
            <w:tcMar>
              <w:top w:w="100" w:type="dxa"/>
              <w:left w:w="100" w:type="dxa"/>
              <w:bottom w:w="100" w:type="dxa"/>
              <w:right w:w="100" w:type="dxa"/>
            </w:tcMar>
            <w:hideMark/>
          </w:tcPr>
          <w:p w14:paraId="073C9EBA" w14:textId="77777777" w:rsidR="00FD7793" w:rsidRPr="00A654CF" w:rsidRDefault="00FD7793" w:rsidP="000A0FA4">
            <w:pPr>
              <w:adjustRightInd w:val="0"/>
              <w:snapToGrid w:val="0"/>
              <w:spacing w:after="0" w:line="276" w:lineRule="auto"/>
              <w:ind w:firstLine="0"/>
              <w:jc w:val="center"/>
              <w:rPr>
                <w:rFonts w:asciiTheme="majorHAnsi" w:eastAsia="Times New Roman" w:hAnsiTheme="majorHAnsi" w:cstheme="majorHAnsi"/>
                <w:b/>
                <w:sz w:val="18"/>
                <w:szCs w:val="18"/>
                <w:lang w:val="en-US" w:eastAsia="zh-CN"/>
              </w:rPr>
            </w:pPr>
            <w:r w:rsidRPr="00A654CF">
              <w:rPr>
                <w:rFonts w:asciiTheme="majorHAnsi" w:eastAsia="Times New Roman" w:hAnsiTheme="majorHAnsi" w:cstheme="majorHAnsi"/>
                <w:b/>
                <w:color w:val="000000"/>
                <w:sz w:val="18"/>
                <w:szCs w:val="18"/>
                <w:lang w:val="en-US" w:eastAsia="zh-CN"/>
              </w:rPr>
              <w:t>Number of significant (p&lt;0.05)</w:t>
            </w:r>
            <w:r w:rsidR="00EC0FBD" w:rsidRPr="00A654CF">
              <w:rPr>
                <w:rFonts w:asciiTheme="majorHAnsi" w:eastAsia="Times New Roman" w:hAnsiTheme="majorHAnsi" w:cstheme="majorHAnsi"/>
                <w:b/>
                <w:color w:val="000000"/>
                <w:sz w:val="18"/>
                <w:szCs w:val="18"/>
                <w:lang w:val="en-US" w:eastAsia="zh-CN"/>
              </w:rPr>
              <w:t xml:space="preserve"> clusters of orthologous groups</w:t>
            </w:r>
            <w:r w:rsidRPr="00A654CF">
              <w:rPr>
                <w:rFonts w:asciiTheme="majorHAnsi" w:eastAsia="Times New Roman" w:hAnsiTheme="majorHAnsi" w:cstheme="majorHAnsi"/>
                <w:b/>
                <w:color w:val="000000"/>
                <w:sz w:val="18"/>
                <w:szCs w:val="18"/>
                <w:lang w:val="en-US" w:eastAsia="zh-CN"/>
              </w:rPr>
              <w:t> </w:t>
            </w:r>
          </w:p>
        </w:tc>
      </w:tr>
      <w:tr w:rsidR="00FD7793" w:rsidRPr="00A654CF" w14:paraId="091DB291" w14:textId="77777777" w:rsidTr="000A0FA4">
        <w:trPr>
          <w:trHeight w:val="20"/>
          <w:jc w:val="center"/>
        </w:trPr>
        <w:tc>
          <w:tcPr>
            <w:tcW w:w="0" w:type="auto"/>
            <w:vMerge w:val="restart"/>
            <w:tcMar>
              <w:top w:w="100" w:type="dxa"/>
              <w:left w:w="100" w:type="dxa"/>
              <w:bottom w:w="100" w:type="dxa"/>
              <w:right w:w="100" w:type="dxa"/>
            </w:tcMar>
            <w:vAlign w:val="center"/>
            <w:hideMark/>
          </w:tcPr>
          <w:p w14:paraId="50324F27"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b/>
                <w:sz w:val="18"/>
                <w:szCs w:val="18"/>
                <w:lang w:val="en-US" w:eastAsia="zh-CN"/>
              </w:rPr>
            </w:pPr>
            <w:r w:rsidRPr="00A654CF">
              <w:rPr>
                <w:rFonts w:asciiTheme="majorHAnsi" w:eastAsia="Times New Roman" w:hAnsiTheme="majorHAnsi" w:cstheme="majorHAnsi"/>
                <w:b/>
                <w:color w:val="000000"/>
                <w:sz w:val="18"/>
                <w:szCs w:val="18"/>
                <w:lang w:val="en-US" w:eastAsia="zh-CN"/>
              </w:rPr>
              <w:t>Known</w:t>
            </w:r>
          </w:p>
        </w:tc>
        <w:tc>
          <w:tcPr>
            <w:tcW w:w="0" w:type="auto"/>
            <w:tcMar>
              <w:top w:w="100" w:type="dxa"/>
              <w:left w:w="100" w:type="dxa"/>
              <w:bottom w:w="100" w:type="dxa"/>
              <w:right w:w="100" w:type="dxa"/>
            </w:tcMar>
            <w:hideMark/>
          </w:tcPr>
          <w:p w14:paraId="35135C04"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r w:rsidRPr="00A654CF">
              <w:rPr>
                <w:rFonts w:asciiTheme="majorHAnsi" w:eastAsia="Times New Roman" w:hAnsiTheme="majorHAnsi" w:cstheme="majorHAnsi"/>
                <w:color w:val="000000"/>
                <w:sz w:val="18"/>
                <w:szCs w:val="18"/>
                <w:lang w:val="en-US" w:eastAsia="zh-CN"/>
              </w:rPr>
              <w:t>CAs / DCAs</w:t>
            </w:r>
          </w:p>
        </w:tc>
        <w:tc>
          <w:tcPr>
            <w:tcW w:w="0" w:type="auto"/>
            <w:tcMar>
              <w:top w:w="100" w:type="dxa"/>
              <w:left w:w="100" w:type="dxa"/>
              <w:bottom w:w="100" w:type="dxa"/>
              <w:right w:w="100" w:type="dxa"/>
            </w:tcMar>
            <w:hideMark/>
          </w:tcPr>
          <w:p w14:paraId="42BDDEEB"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r w:rsidRPr="00A654CF">
              <w:rPr>
                <w:rFonts w:asciiTheme="majorHAnsi" w:eastAsia="Times New Roman" w:hAnsiTheme="majorHAnsi" w:cstheme="majorHAnsi"/>
                <w:color w:val="000000"/>
                <w:sz w:val="18"/>
                <w:szCs w:val="18"/>
                <w:lang w:val="en-US" w:eastAsia="zh-CN"/>
              </w:rPr>
              <w:t>88</w:t>
            </w:r>
          </w:p>
        </w:tc>
      </w:tr>
      <w:tr w:rsidR="00FD7793" w:rsidRPr="00A654CF" w14:paraId="7D19730D" w14:textId="77777777" w:rsidTr="000A0FA4">
        <w:trPr>
          <w:trHeight w:val="20"/>
          <w:jc w:val="center"/>
        </w:trPr>
        <w:tc>
          <w:tcPr>
            <w:tcW w:w="0" w:type="auto"/>
            <w:vMerge/>
            <w:vAlign w:val="center"/>
            <w:hideMark/>
          </w:tcPr>
          <w:p w14:paraId="53582C4E"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p>
        </w:tc>
        <w:tc>
          <w:tcPr>
            <w:tcW w:w="0" w:type="auto"/>
            <w:tcMar>
              <w:top w:w="100" w:type="dxa"/>
              <w:left w:w="100" w:type="dxa"/>
              <w:bottom w:w="100" w:type="dxa"/>
              <w:right w:w="100" w:type="dxa"/>
            </w:tcMar>
            <w:hideMark/>
          </w:tcPr>
          <w:p w14:paraId="78A89F0C"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r w:rsidRPr="00A654CF">
              <w:rPr>
                <w:rFonts w:asciiTheme="majorHAnsi" w:eastAsia="Times New Roman" w:hAnsiTheme="majorHAnsi" w:cstheme="majorHAnsi"/>
                <w:color w:val="000000"/>
                <w:sz w:val="18"/>
                <w:szCs w:val="18"/>
                <w:lang w:val="en-US" w:eastAsia="zh-CN"/>
              </w:rPr>
              <w:t>CAs / CDCAs</w:t>
            </w:r>
          </w:p>
        </w:tc>
        <w:tc>
          <w:tcPr>
            <w:tcW w:w="0" w:type="auto"/>
            <w:tcMar>
              <w:top w:w="100" w:type="dxa"/>
              <w:left w:w="100" w:type="dxa"/>
              <w:bottom w:w="100" w:type="dxa"/>
              <w:right w:w="100" w:type="dxa"/>
            </w:tcMar>
            <w:hideMark/>
          </w:tcPr>
          <w:p w14:paraId="77EA9315"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r w:rsidRPr="00A654CF">
              <w:rPr>
                <w:rFonts w:asciiTheme="majorHAnsi" w:eastAsia="Times New Roman" w:hAnsiTheme="majorHAnsi" w:cstheme="majorHAnsi"/>
                <w:color w:val="000000"/>
                <w:sz w:val="18"/>
                <w:szCs w:val="18"/>
                <w:lang w:val="en-US" w:eastAsia="zh-CN"/>
              </w:rPr>
              <w:t>62</w:t>
            </w:r>
          </w:p>
        </w:tc>
      </w:tr>
      <w:tr w:rsidR="00FD7793" w:rsidRPr="00A654CF" w14:paraId="106B4EE8" w14:textId="77777777" w:rsidTr="000A0FA4">
        <w:trPr>
          <w:trHeight w:val="20"/>
          <w:jc w:val="center"/>
        </w:trPr>
        <w:tc>
          <w:tcPr>
            <w:tcW w:w="0" w:type="auto"/>
            <w:vMerge/>
            <w:vAlign w:val="center"/>
            <w:hideMark/>
          </w:tcPr>
          <w:p w14:paraId="545FC59D"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p>
        </w:tc>
        <w:tc>
          <w:tcPr>
            <w:tcW w:w="0" w:type="auto"/>
            <w:tcMar>
              <w:top w:w="100" w:type="dxa"/>
              <w:left w:w="100" w:type="dxa"/>
              <w:bottom w:w="100" w:type="dxa"/>
              <w:right w:w="100" w:type="dxa"/>
            </w:tcMar>
            <w:hideMark/>
          </w:tcPr>
          <w:p w14:paraId="792CF6AB"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r w:rsidRPr="00A654CF">
              <w:rPr>
                <w:rFonts w:asciiTheme="majorHAnsi" w:eastAsia="Times New Roman" w:hAnsiTheme="majorHAnsi" w:cstheme="majorHAnsi"/>
                <w:color w:val="000000"/>
                <w:sz w:val="18"/>
                <w:szCs w:val="18"/>
                <w:lang w:val="en-US" w:eastAsia="zh-CN"/>
              </w:rPr>
              <w:t>CAs / 7-oxo-DCAs</w:t>
            </w:r>
          </w:p>
        </w:tc>
        <w:tc>
          <w:tcPr>
            <w:tcW w:w="0" w:type="auto"/>
            <w:tcMar>
              <w:top w:w="100" w:type="dxa"/>
              <w:left w:w="100" w:type="dxa"/>
              <w:bottom w:w="100" w:type="dxa"/>
              <w:right w:w="100" w:type="dxa"/>
            </w:tcMar>
            <w:hideMark/>
          </w:tcPr>
          <w:p w14:paraId="4CFFE7C5"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r w:rsidRPr="00A654CF">
              <w:rPr>
                <w:rFonts w:asciiTheme="majorHAnsi" w:eastAsia="Times New Roman" w:hAnsiTheme="majorHAnsi" w:cstheme="majorHAnsi"/>
                <w:color w:val="000000"/>
                <w:sz w:val="18"/>
                <w:szCs w:val="18"/>
                <w:lang w:val="en-US" w:eastAsia="zh-CN"/>
              </w:rPr>
              <w:t>0</w:t>
            </w:r>
          </w:p>
        </w:tc>
      </w:tr>
      <w:tr w:rsidR="00FD7793" w:rsidRPr="00A654CF" w14:paraId="01913F9E" w14:textId="77777777" w:rsidTr="000A0FA4">
        <w:trPr>
          <w:trHeight w:val="20"/>
          <w:jc w:val="center"/>
        </w:trPr>
        <w:tc>
          <w:tcPr>
            <w:tcW w:w="0" w:type="auto"/>
            <w:vMerge/>
            <w:vAlign w:val="center"/>
            <w:hideMark/>
          </w:tcPr>
          <w:p w14:paraId="7FBEC1B1"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p>
        </w:tc>
        <w:tc>
          <w:tcPr>
            <w:tcW w:w="0" w:type="auto"/>
            <w:tcMar>
              <w:top w:w="100" w:type="dxa"/>
              <w:left w:w="100" w:type="dxa"/>
              <w:bottom w:w="100" w:type="dxa"/>
              <w:right w:w="100" w:type="dxa"/>
            </w:tcMar>
            <w:hideMark/>
          </w:tcPr>
          <w:p w14:paraId="541991F8"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r w:rsidRPr="00A654CF">
              <w:rPr>
                <w:rFonts w:asciiTheme="majorHAnsi" w:eastAsia="Times New Roman" w:hAnsiTheme="majorHAnsi" w:cstheme="majorHAnsi"/>
                <w:color w:val="000000"/>
                <w:sz w:val="18"/>
                <w:szCs w:val="18"/>
                <w:lang w:val="en-US" w:eastAsia="zh-CN"/>
              </w:rPr>
              <w:t>DCAs / LCAs</w:t>
            </w:r>
          </w:p>
        </w:tc>
        <w:tc>
          <w:tcPr>
            <w:tcW w:w="0" w:type="auto"/>
            <w:tcMar>
              <w:top w:w="100" w:type="dxa"/>
              <w:left w:w="100" w:type="dxa"/>
              <w:bottom w:w="100" w:type="dxa"/>
              <w:right w:w="100" w:type="dxa"/>
            </w:tcMar>
            <w:hideMark/>
          </w:tcPr>
          <w:p w14:paraId="7401BBDF"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r w:rsidRPr="00A654CF">
              <w:rPr>
                <w:rFonts w:asciiTheme="majorHAnsi" w:eastAsia="Times New Roman" w:hAnsiTheme="majorHAnsi" w:cstheme="majorHAnsi"/>
                <w:color w:val="000000"/>
                <w:sz w:val="18"/>
                <w:szCs w:val="18"/>
                <w:lang w:val="en-US" w:eastAsia="zh-CN"/>
              </w:rPr>
              <w:t>122</w:t>
            </w:r>
          </w:p>
        </w:tc>
      </w:tr>
      <w:tr w:rsidR="00FD7793" w:rsidRPr="00A654CF" w14:paraId="3E583AD2" w14:textId="77777777" w:rsidTr="000A0FA4">
        <w:trPr>
          <w:trHeight w:val="20"/>
          <w:jc w:val="center"/>
        </w:trPr>
        <w:tc>
          <w:tcPr>
            <w:tcW w:w="0" w:type="auto"/>
            <w:vMerge/>
            <w:vAlign w:val="center"/>
            <w:hideMark/>
          </w:tcPr>
          <w:p w14:paraId="3C424F90"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p>
        </w:tc>
        <w:tc>
          <w:tcPr>
            <w:tcW w:w="0" w:type="auto"/>
            <w:tcMar>
              <w:top w:w="100" w:type="dxa"/>
              <w:left w:w="100" w:type="dxa"/>
              <w:bottom w:w="100" w:type="dxa"/>
              <w:right w:w="100" w:type="dxa"/>
            </w:tcMar>
            <w:hideMark/>
          </w:tcPr>
          <w:p w14:paraId="56F325DF"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r w:rsidRPr="00A654CF">
              <w:rPr>
                <w:rFonts w:asciiTheme="majorHAnsi" w:eastAsia="Times New Roman" w:hAnsiTheme="majorHAnsi" w:cstheme="majorHAnsi"/>
                <w:color w:val="000000"/>
                <w:sz w:val="18"/>
                <w:szCs w:val="18"/>
                <w:lang w:val="en-US" w:eastAsia="zh-CN"/>
              </w:rPr>
              <w:t>7oxos / DCAs</w:t>
            </w:r>
          </w:p>
        </w:tc>
        <w:tc>
          <w:tcPr>
            <w:tcW w:w="0" w:type="auto"/>
            <w:tcMar>
              <w:top w:w="100" w:type="dxa"/>
              <w:left w:w="100" w:type="dxa"/>
              <w:bottom w:w="100" w:type="dxa"/>
              <w:right w:w="100" w:type="dxa"/>
            </w:tcMar>
            <w:hideMark/>
          </w:tcPr>
          <w:p w14:paraId="4900CA28"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r w:rsidRPr="00A654CF">
              <w:rPr>
                <w:rFonts w:asciiTheme="majorHAnsi" w:eastAsia="Times New Roman" w:hAnsiTheme="majorHAnsi" w:cstheme="majorHAnsi"/>
                <w:color w:val="000000"/>
                <w:sz w:val="18"/>
                <w:szCs w:val="18"/>
                <w:lang w:val="en-US" w:eastAsia="zh-CN"/>
              </w:rPr>
              <w:t>64</w:t>
            </w:r>
          </w:p>
        </w:tc>
      </w:tr>
      <w:tr w:rsidR="00FD7793" w:rsidRPr="00A654CF" w14:paraId="10FD3B79" w14:textId="77777777" w:rsidTr="000A0FA4">
        <w:trPr>
          <w:trHeight w:val="20"/>
          <w:jc w:val="center"/>
        </w:trPr>
        <w:tc>
          <w:tcPr>
            <w:tcW w:w="0" w:type="auto"/>
            <w:vMerge/>
            <w:vAlign w:val="center"/>
            <w:hideMark/>
          </w:tcPr>
          <w:p w14:paraId="59D55F68"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p>
        </w:tc>
        <w:tc>
          <w:tcPr>
            <w:tcW w:w="0" w:type="auto"/>
            <w:tcMar>
              <w:top w:w="100" w:type="dxa"/>
              <w:left w:w="100" w:type="dxa"/>
              <w:bottom w:w="100" w:type="dxa"/>
              <w:right w:w="100" w:type="dxa"/>
            </w:tcMar>
            <w:hideMark/>
          </w:tcPr>
          <w:p w14:paraId="69B9FFCE"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r w:rsidRPr="00A654CF">
              <w:rPr>
                <w:rFonts w:asciiTheme="majorHAnsi" w:eastAsia="Times New Roman" w:hAnsiTheme="majorHAnsi" w:cstheme="majorHAnsi"/>
                <w:color w:val="000000"/>
                <w:sz w:val="18"/>
                <w:szCs w:val="18"/>
                <w:lang w:val="en-US" w:eastAsia="zh-CN"/>
              </w:rPr>
              <w:t>CDCAs / UDCAs</w:t>
            </w:r>
          </w:p>
        </w:tc>
        <w:tc>
          <w:tcPr>
            <w:tcW w:w="0" w:type="auto"/>
            <w:tcMar>
              <w:top w:w="100" w:type="dxa"/>
              <w:left w:w="100" w:type="dxa"/>
              <w:bottom w:w="100" w:type="dxa"/>
              <w:right w:w="100" w:type="dxa"/>
            </w:tcMar>
            <w:hideMark/>
          </w:tcPr>
          <w:p w14:paraId="1F9778AD"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r w:rsidRPr="00A654CF">
              <w:rPr>
                <w:rFonts w:asciiTheme="majorHAnsi" w:eastAsia="Times New Roman" w:hAnsiTheme="majorHAnsi" w:cstheme="majorHAnsi"/>
                <w:color w:val="000000"/>
                <w:sz w:val="18"/>
                <w:szCs w:val="18"/>
                <w:lang w:val="en-US" w:eastAsia="zh-CN"/>
              </w:rPr>
              <w:t>66</w:t>
            </w:r>
          </w:p>
        </w:tc>
      </w:tr>
      <w:tr w:rsidR="00FD7793" w:rsidRPr="00A654CF" w14:paraId="72FC04F4" w14:textId="77777777" w:rsidTr="000A0FA4">
        <w:trPr>
          <w:trHeight w:val="20"/>
          <w:jc w:val="center"/>
        </w:trPr>
        <w:tc>
          <w:tcPr>
            <w:tcW w:w="0" w:type="auto"/>
            <w:vMerge/>
            <w:vAlign w:val="center"/>
            <w:hideMark/>
          </w:tcPr>
          <w:p w14:paraId="5DDF5464"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p>
        </w:tc>
        <w:tc>
          <w:tcPr>
            <w:tcW w:w="0" w:type="auto"/>
            <w:tcMar>
              <w:top w:w="100" w:type="dxa"/>
              <w:left w:w="100" w:type="dxa"/>
              <w:bottom w:w="100" w:type="dxa"/>
              <w:right w:w="100" w:type="dxa"/>
            </w:tcMar>
            <w:hideMark/>
          </w:tcPr>
          <w:p w14:paraId="5BB56C73"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r w:rsidRPr="00A654CF">
              <w:rPr>
                <w:rFonts w:asciiTheme="majorHAnsi" w:eastAsia="Times New Roman" w:hAnsiTheme="majorHAnsi" w:cstheme="majorHAnsi"/>
                <w:color w:val="000000"/>
                <w:sz w:val="18"/>
                <w:szCs w:val="18"/>
                <w:lang w:val="en-US" w:eastAsia="zh-CN"/>
              </w:rPr>
              <w:t>CDCAs / LCAs</w:t>
            </w:r>
          </w:p>
        </w:tc>
        <w:tc>
          <w:tcPr>
            <w:tcW w:w="0" w:type="auto"/>
            <w:tcMar>
              <w:top w:w="100" w:type="dxa"/>
              <w:left w:w="100" w:type="dxa"/>
              <w:bottom w:w="100" w:type="dxa"/>
              <w:right w:w="100" w:type="dxa"/>
            </w:tcMar>
            <w:hideMark/>
          </w:tcPr>
          <w:p w14:paraId="5A0E55BC"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r w:rsidRPr="00A654CF">
              <w:rPr>
                <w:rFonts w:asciiTheme="majorHAnsi" w:eastAsia="Times New Roman" w:hAnsiTheme="majorHAnsi" w:cstheme="majorHAnsi"/>
                <w:color w:val="000000"/>
                <w:sz w:val="18"/>
                <w:szCs w:val="18"/>
                <w:lang w:val="en-US" w:eastAsia="zh-CN"/>
              </w:rPr>
              <w:t>0</w:t>
            </w:r>
          </w:p>
        </w:tc>
      </w:tr>
      <w:tr w:rsidR="00FD7793" w:rsidRPr="00A654CF" w14:paraId="65E9EC21" w14:textId="77777777" w:rsidTr="000A0FA4">
        <w:trPr>
          <w:trHeight w:val="20"/>
          <w:jc w:val="center"/>
        </w:trPr>
        <w:tc>
          <w:tcPr>
            <w:tcW w:w="0" w:type="auto"/>
            <w:vMerge/>
            <w:vAlign w:val="center"/>
            <w:hideMark/>
          </w:tcPr>
          <w:p w14:paraId="495707EA"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p>
        </w:tc>
        <w:tc>
          <w:tcPr>
            <w:tcW w:w="0" w:type="auto"/>
            <w:tcMar>
              <w:top w:w="100" w:type="dxa"/>
              <w:left w:w="100" w:type="dxa"/>
              <w:bottom w:w="100" w:type="dxa"/>
              <w:right w:w="100" w:type="dxa"/>
            </w:tcMar>
            <w:hideMark/>
          </w:tcPr>
          <w:p w14:paraId="2AD77ED7" w14:textId="2112C5CF"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r w:rsidRPr="00A654CF">
              <w:rPr>
                <w:rFonts w:asciiTheme="majorHAnsi" w:eastAsia="Times New Roman" w:hAnsiTheme="majorHAnsi" w:cstheme="majorHAnsi"/>
                <w:color w:val="000000"/>
                <w:sz w:val="18"/>
                <w:szCs w:val="18"/>
                <w:lang w:val="en-US" w:eastAsia="zh-CN"/>
              </w:rPr>
              <w:t>UDCAs / LCAs</w:t>
            </w:r>
          </w:p>
        </w:tc>
        <w:tc>
          <w:tcPr>
            <w:tcW w:w="0" w:type="auto"/>
            <w:tcMar>
              <w:top w:w="100" w:type="dxa"/>
              <w:left w:w="100" w:type="dxa"/>
              <w:bottom w:w="100" w:type="dxa"/>
              <w:right w:w="100" w:type="dxa"/>
            </w:tcMar>
            <w:hideMark/>
          </w:tcPr>
          <w:p w14:paraId="2829C7FD"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r w:rsidRPr="00A654CF">
              <w:rPr>
                <w:rFonts w:asciiTheme="majorHAnsi" w:eastAsia="Times New Roman" w:hAnsiTheme="majorHAnsi" w:cstheme="majorHAnsi"/>
                <w:color w:val="000000"/>
                <w:sz w:val="18"/>
                <w:szCs w:val="18"/>
                <w:lang w:val="en-US" w:eastAsia="zh-CN"/>
              </w:rPr>
              <w:t>21</w:t>
            </w:r>
          </w:p>
        </w:tc>
      </w:tr>
      <w:tr w:rsidR="00FD7793" w:rsidRPr="00A654CF" w14:paraId="4214ECF9" w14:textId="77777777" w:rsidTr="000A0FA4">
        <w:trPr>
          <w:trHeight w:val="20"/>
          <w:jc w:val="center"/>
        </w:trPr>
        <w:tc>
          <w:tcPr>
            <w:tcW w:w="0" w:type="auto"/>
            <w:vMerge w:val="restart"/>
            <w:tcMar>
              <w:top w:w="100" w:type="dxa"/>
              <w:left w:w="100" w:type="dxa"/>
              <w:bottom w:w="100" w:type="dxa"/>
              <w:right w:w="100" w:type="dxa"/>
            </w:tcMar>
            <w:vAlign w:val="center"/>
            <w:hideMark/>
          </w:tcPr>
          <w:p w14:paraId="5A14A92B"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b/>
                <w:sz w:val="18"/>
                <w:szCs w:val="18"/>
                <w:lang w:val="en-US" w:eastAsia="zh-CN"/>
              </w:rPr>
            </w:pPr>
            <w:r w:rsidRPr="00A654CF">
              <w:rPr>
                <w:rFonts w:asciiTheme="majorHAnsi" w:eastAsia="Times New Roman" w:hAnsiTheme="majorHAnsi" w:cstheme="majorHAnsi"/>
                <w:b/>
                <w:color w:val="000000"/>
                <w:sz w:val="18"/>
                <w:szCs w:val="18"/>
                <w:lang w:val="en-US" w:eastAsia="zh-CN"/>
              </w:rPr>
              <w:t>Hypothetical</w:t>
            </w:r>
          </w:p>
        </w:tc>
        <w:tc>
          <w:tcPr>
            <w:tcW w:w="0" w:type="auto"/>
            <w:tcMar>
              <w:top w:w="100" w:type="dxa"/>
              <w:left w:w="100" w:type="dxa"/>
              <w:bottom w:w="100" w:type="dxa"/>
              <w:right w:w="100" w:type="dxa"/>
            </w:tcMar>
            <w:hideMark/>
          </w:tcPr>
          <w:p w14:paraId="65AAC823"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r w:rsidRPr="00A654CF">
              <w:rPr>
                <w:rFonts w:asciiTheme="majorHAnsi" w:eastAsia="Times New Roman" w:hAnsiTheme="majorHAnsi" w:cstheme="majorHAnsi"/>
                <w:color w:val="000000"/>
                <w:sz w:val="18"/>
                <w:szCs w:val="18"/>
                <w:lang w:val="en-US" w:eastAsia="zh-CN"/>
              </w:rPr>
              <w:t>CDCAs / HCAs</w:t>
            </w:r>
          </w:p>
        </w:tc>
        <w:tc>
          <w:tcPr>
            <w:tcW w:w="0" w:type="auto"/>
            <w:tcMar>
              <w:top w:w="100" w:type="dxa"/>
              <w:left w:w="100" w:type="dxa"/>
              <w:bottom w:w="100" w:type="dxa"/>
              <w:right w:w="100" w:type="dxa"/>
            </w:tcMar>
            <w:hideMark/>
          </w:tcPr>
          <w:p w14:paraId="63CCC7AC"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r w:rsidRPr="00A654CF">
              <w:rPr>
                <w:rFonts w:asciiTheme="majorHAnsi" w:eastAsia="Times New Roman" w:hAnsiTheme="majorHAnsi" w:cstheme="majorHAnsi"/>
                <w:color w:val="000000"/>
                <w:sz w:val="18"/>
                <w:szCs w:val="18"/>
                <w:lang w:val="en-US" w:eastAsia="zh-CN"/>
              </w:rPr>
              <w:t>73</w:t>
            </w:r>
          </w:p>
        </w:tc>
      </w:tr>
      <w:tr w:rsidR="00FD7793" w:rsidRPr="00A654CF" w14:paraId="6BC95493" w14:textId="77777777" w:rsidTr="000A0FA4">
        <w:trPr>
          <w:trHeight w:val="20"/>
          <w:jc w:val="center"/>
        </w:trPr>
        <w:tc>
          <w:tcPr>
            <w:tcW w:w="0" w:type="auto"/>
            <w:vMerge/>
            <w:vAlign w:val="center"/>
            <w:hideMark/>
          </w:tcPr>
          <w:p w14:paraId="37D3DDFB"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p>
        </w:tc>
        <w:tc>
          <w:tcPr>
            <w:tcW w:w="0" w:type="auto"/>
            <w:tcMar>
              <w:top w:w="100" w:type="dxa"/>
              <w:left w:w="100" w:type="dxa"/>
              <w:bottom w:w="100" w:type="dxa"/>
              <w:right w:w="100" w:type="dxa"/>
            </w:tcMar>
            <w:hideMark/>
          </w:tcPr>
          <w:p w14:paraId="55F7B1A3"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r w:rsidRPr="00A654CF">
              <w:rPr>
                <w:rFonts w:asciiTheme="majorHAnsi" w:eastAsia="Times New Roman" w:hAnsiTheme="majorHAnsi" w:cstheme="majorHAnsi"/>
                <w:color w:val="000000"/>
                <w:sz w:val="18"/>
                <w:szCs w:val="18"/>
                <w:lang w:val="en-US" w:eastAsia="zh-CN"/>
              </w:rPr>
              <w:t>CDCAs / aMCAs</w:t>
            </w:r>
          </w:p>
        </w:tc>
        <w:tc>
          <w:tcPr>
            <w:tcW w:w="0" w:type="auto"/>
            <w:tcMar>
              <w:top w:w="100" w:type="dxa"/>
              <w:left w:w="100" w:type="dxa"/>
              <w:bottom w:w="100" w:type="dxa"/>
              <w:right w:w="100" w:type="dxa"/>
            </w:tcMar>
            <w:hideMark/>
          </w:tcPr>
          <w:p w14:paraId="1A6690AF"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r w:rsidRPr="00A654CF">
              <w:rPr>
                <w:rFonts w:asciiTheme="majorHAnsi" w:eastAsia="Times New Roman" w:hAnsiTheme="majorHAnsi" w:cstheme="majorHAnsi"/>
                <w:color w:val="000000"/>
                <w:sz w:val="18"/>
                <w:szCs w:val="18"/>
                <w:lang w:val="en-US" w:eastAsia="zh-CN"/>
              </w:rPr>
              <w:t>4</w:t>
            </w:r>
          </w:p>
        </w:tc>
      </w:tr>
      <w:tr w:rsidR="00FD7793" w:rsidRPr="00A654CF" w14:paraId="18978B2E" w14:textId="77777777" w:rsidTr="000A0FA4">
        <w:trPr>
          <w:trHeight w:val="20"/>
          <w:jc w:val="center"/>
        </w:trPr>
        <w:tc>
          <w:tcPr>
            <w:tcW w:w="0" w:type="auto"/>
            <w:vMerge/>
            <w:vAlign w:val="center"/>
            <w:hideMark/>
          </w:tcPr>
          <w:p w14:paraId="25BE84CA"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p>
        </w:tc>
        <w:tc>
          <w:tcPr>
            <w:tcW w:w="0" w:type="auto"/>
            <w:tcMar>
              <w:top w:w="100" w:type="dxa"/>
              <w:left w:w="100" w:type="dxa"/>
              <w:bottom w:w="100" w:type="dxa"/>
              <w:right w:w="100" w:type="dxa"/>
            </w:tcMar>
            <w:hideMark/>
          </w:tcPr>
          <w:p w14:paraId="18F8F6C0"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r w:rsidRPr="00A654CF">
              <w:rPr>
                <w:rFonts w:asciiTheme="majorHAnsi" w:eastAsia="Times New Roman" w:hAnsiTheme="majorHAnsi" w:cstheme="majorHAnsi"/>
                <w:color w:val="000000"/>
                <w:sz w:val="18"/>
                <w:szCs w:val="18"/>
                <w:lang w:val="en-US" w:eastAsia="zh-CN"/>
              </w:rPr>
              <w:t>aMCAs / HCAs</w:t>
            </w:r>
          </w:p>
        </w:tc>
        <w:tc>
          <w:tcPr>
            <w:tcW w:w="0" w:type="auto"/>
            <w:tcMar>
              <w:top w:w="100" w:type="dxa"/>
              <w:left w:w="100" w:type="dxa"/>
              <w:bottom w:w="100" w:type="dxa"/>
              <w:right w:w="100" w:type="dxa"/>
            </w:tcMar>
            <w:hideMark/>
          </w:tcPr>
          <w:p w14:paraId="221EF486"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r w:rsidRPr="00A654CF">
              <w:rPr>
                <w:rFonts w:asciiTheme="majorHAnsi" w:eastAsia="Times New Roman" w:hAnsiTheme="majorHAnsi" w:cstheme="majorHAnsi"/>
                <w:color w:val="000000"/>
                <w:sz w:val="18"/>
                <w:szCs w:val="18"/>
                <w:lang w:val="en-US" w:eastAsia="zh-CN"/>
              </w:rPr>
              <w:t>2</w:t>
            </w:r>
          </w:p>
        </w:tc>
      </w:tr>
      <w:tr w:rsidR="00FD7793" w:rsidRPr="00A654CF" w14:paraId="3193FE1F" w14:textId="77777777" w:rsidTr="000A0FA4">
        <w:trPr>
          <w:trHeight w:val="20"/>
          <w:jc w:val="center"/>
        </w:trPr>
        <w:tc>
          <w:tcPr>
            <w:tcW w:w="0" w:type="auto"/>
            <w:vMerge/>
            <w:vAlign w:val="center"/>
            <w:hideMark/>
          </w:tcPr>
          <w:p w14:paraId="08C316AA"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p>
        </w:tc>
        <w:tc>
          <w:tcPr>
            <w:tcW w:w="0" w:type="auto"/>
            <w:tcMar>
              <w:top w:w="100" w:type="dxa"/>
              <w:left w:w="100" w:type="dxa"/>
              <w:bottom w:w="100" w:type="dxa"/>
              <w:right w:w="100" w:type="dxa"/>
            </w:tcMar>
            <w:hideMark/>
          </w:tcPr>
          <w:p w14:paraId="3F493F04"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r w:rsidRPr="00A654CF">
              <w:rPr>
                <w:rFonts w:asciiTheme="majorHAnsi" w:eastAsia="Times New Roman" w:hAnsiTheme="majorHAnsi" w:cstheme="majorHAnsi"/>
                <w:color w:val="000000"/>
                <w:sz w:val="18"/>
                <w:szCs w:val="18"/>
                <w:lang w:val="en-US" w:eastAsia="zh-CN"/>
              </w:rPr>
              <w:t>HDCAs / HCAs</w:t>
            </w:r>
          </w:p>
        </w:tc>
        <w:tc>
          <w:tcPr>
            <w:tcW w:w="0" w:type="auto"/>
            <w:tcMar>
              <w:top w:w="100" w:type="dxa"/>
              <w:left w:w="100" w:type="dxa"/>
              <w:bottom w:w="100" w:type="dxa"/>
              <w:right w:w="100" w:type="dxa"/>
            </w:tcMar>
            <w:hideMark/>
          </w:tcPr>
          <w:p w14:paraId="78034C53"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r w:rsidRPr="00A654CF">
              <w:rPr>
                <w:rFonts w:asciiTheme="majorHAnsi" w:eastAsia="Times New Roman" w:hAnsiTheme="majorHAnsi" w:cstheme="majorHAnsi"/>
                <w:color w:val="000000"/>
                <w:sz w:val="18"/>
                <w:szCs w:val="18"/>
                <w:lang w:val="en-US" w:eastAsia="zh-CN"/>
              </w:rPr>
              <w:t>4</w:t>
            </w:r>
          </w:p>
        </w:tc>
      </w:tr>
      <w:tr w:rsidR="00FD7793" w:rsidRPr="00A654CF" w14:paraId="03F77A17" w14:textId="77777777" w:rsidTr="000A0FA4">
        <w:trPr>
          <w:trHeight w:val="20"/>
          <w:jc w:val="center"/>
        </w:trPr>
        <w:tc>
          <w:tcPr>
            <w:tcW w:w="0" w:type="auto"/>
            <w:vMerge/>
            <w:vAlign w:val="center"/>
            <w:hideMark/>
          </w:tcPr>
          <w:p w14:paraId="1588A961"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p>
        </w:tc>
        <w:tc>
          <w:tcPr>
            <w:tcW w:w="0" w:type="auto"/>
            <w:tcMar>
              <w:top w:w="100" w:type="dxa"/>
              <w:left w:w="100" w:type="dxa"/>
              <w:bottom w:w="100" w:type="dxa"/>
              <w:right w:w="100" w:type="dxa"/>
            </w:tcMar>
            <w:hideMark/>
          </w:tcPr>
          <w:p w14:paraId="36D6B7F8"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r w:rsidRPr="00A654CF">
              <w:rPr>
                <w:rFonts w:asciiTheme="majorHAnsi" w:eastAsia="Times New Roman" w:hAnsiTheme="majorHAnsi" w:cstheme="majorHAnsi"/>
                <w:color w:val="000000"/>
                <w:sz w:val="18"/>
                <w:szCs w:val="18"/>
                <w:lang w:val="en-US" w:eastAsia="zh-CN"/>
              </w:rPr>
              <w:t>HDCAs / LCAs</w:t>
            </w:r>
          </w:p>
        </w:tc>
        <w:tc>
          <w:tcPr>
            <w:tcW w:w="0" w:type="auto"/>
            <w:tcMar>
              <w:top w:w="100" w:type="dxa"/>
              <w:left w:w="100" w:type="dxa"/>
              <w:bottom w:w="100" w:type="dxa"/>
              <w:right w:w="100" w:type="dxa"/>
            </w:tcMar>
            <w:hideMark/>
          </w:tcPr>
          <w:p w14:paraId="665C74BE"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r w:rsidRPr="00A654CF">
              <w:rPr>
                <w:rFonts w:asciiTheme="majorHAnsi" w:eastAsia="Times New Roman" w:hAnsiTheme="majorHAnsi" w:cstheme="majorHAnsi"/>
                <w:color w:val="000000"/>
                <w:sz w:val="18"/>
                <w:szCs w:val="18"/>
                <w:lang w:val="en-US" w:eastAsia="zh-CN"/>
              </w:rPr>
              <w:t>0</w:t>
            </w:r>
          </w:p>
        </w:tc>
      </w:tr>
      <w:tr w:rsidR="00FD7793" w:rsidRPr="00A654CF" w14:paraId="0D5370FE" w14:textId="77777777" w:rsidTr="000A0FA4">
        <w:trPr>
          <w:trHeight w:val="20"/>
          <w:jc w:val="center"/>
        </w:trPr>
        <w:tc>
          <w:tcPr>
            <w:tcW w:w="0" w:type="auto"/>
            <w:vMerge w:val="restart"/>
            <w:tcMar>
              <w:top w:w="100" w:type="dxa"/>
              <w:left w:w="100" w:type="dxa"/>
              <w:bottom w:w="100" w:type="dxa"/>
              <w:right w:w="100" w:type="dxa"/>
            </w:tcMar>
            <w:vAlign w:val="center"/>
            <w:hideMark/>
          </w:tcPr>
          <w:p w14:paraId="48136865"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b/>
                <w:sz w:val="18"/>
                <w:szCs w:val="18"/>
                <w:lang w:val="en-US" w:eastAsia="zh-CN"/>
              </w:rPr>
            </w:pPr>
            <w:r w:rsidRPr="00A654CF">
              <w:rPr>
                <w:rFonts w:asciiTheme="majorHAnsi" w:eastAsia="Times New Roman" w:hAnsiTheme="majorHAnsi" w:cstheme="majorHAnsi"/>
                <w:b/>
                <w:color w:val="000000"/>
                <w:sz w:val="18"/>
                <w:szCs w:val="18"/>
                <w:lang w:val="en-US" w:eastAsia="zh-CN"/>
              </w:rPr>
              <w:t>Unlikely</w:t>
            </w:r>
          </w:p>
        </w:tc>
        <w:tc>
          <w:tcPr>
            <w:tcW w:w="0" w:type="auto"/>
            <w:tcMar>
              <w:top w:w="100" w:type="dxa"/>
              <w:left w:w="100" w:type="dxa"/>
              <w:bottom w:w="100" w:type="dxa"/>
              <w:right w:w="100" w:type="dxa"/>
            </w:tcMar>
            <w:hideMark/>
          </w:tcPr>
          <w:p w14:paraId="2B98D2B2"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r w:rsidRPr="00A654CF">
              <w:rPr>
                <w:rFonts w:asciiTheme="majorHAnsi" w:eastAsia="Times New Roman" w:hAnsiTheme="majorHAnsi" w:cstheme="majorHAnsi"/>
                <w:color w:val="000000"/>
                <w:sz w:val="18"/>
                <w:szCs w:val="18"/>
                <w:lang w:val="en-US" w:eastAsia="zh-CN"/>
              </w:rPr>
              <w:t>CAs / UDCAs</w:t>
            </w:r>
          </w:p>
        </w:tc>
        <w:tc>
          <w:tcPr>
            <w:tcW w:w="0" w:type="auto"/>
            <w:tcMar>
              <w:top w:w="100" w:type="dxa"/>
              <w:left w:w="100" w:type="dxa"/>
              <w:bottom w:w="100" w:type="dxa"/>
              <w:right w:w="100" w:type="dxa"/>
            </w:tcMar>
            <w:hideMark/>
          </w:tcPr>
          <w:p w14:paraId="20D7AEA3"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r w:rsidRPr="00A654CF">
              <w:rPr>
                <w:rFonts w:asciiTheme="majorHAnsi" w:eastAsia="Times New Roman" w:hAnsiTheme="majorHAnsi" w:cstheme="majorHAnsi"/>
                <w:color w:val="000000"/>
                <w:sz w:val="18"/>
                <w:szCs w:val="18"/>
                <w:lang w:val="en-US" w:eastAsia="zh-CN"/>
              </w:rPr>
              <w:t>79</w:t>
            </w:r>
          </w:p>
        </w:tc>
      </w:tr>
      <w:tr w:rsidR="00FD7793" w:rsidRPr="00A654CF" w14:paraId="666696B8" w14:textId="77777777" w:rsidTr="000A0FA4">
        <w:trPr>
          <w:trHeight w:val="20"/>
          <w:jc w:val="center"/>
        </w:trPr>
        <w:tc>
          <w:tcPr>
            <w:tcW w:w="0" w:type="auto"/>
            <w:vMerge/>
            <w:vAlign w:val="center"/>
            <w:hideMark/>
          </w:tcPr>
          <w:p w14:paraId="55228894"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p>
        </w:tc>
        <w:tc>
          <w:tcPr>
            <w:tcW w:w="0" w:type="auto"/>
            <w:tcMar>
              <w:top w:w="100" w:type="dxa"/>
              <w:left w:w="100" w:type="dxa"/>
              <w:bottom w:w="100" w:type="dxa"/>
              <w:right w:w="100" w:type="dxa"/>
            </w:tcMar>
            <w:hideMark/>
          </w:tcPr>
          <w:p w14:paraId="28DE7A79"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r w:rsidRPr="00A654CF">
              <w:rPr>
                <w:rFonts w:asciiTheme="majorHAnsi" w:eastAsia="Times New Roman" w:hAnsiTheme="majorHAnsi" w:cstheme="majorHAnsi"/>
                <w:color w:val="000000"/>
                <w:sz w:val="18"/>
                <w:szCs w:val="18"/>
                <w:lang w:val="en-US" w:eastAsia="zh-CN"/>
              </w:rPr>
              <w:t>CAs / LCAs</w:t>
            </w:r>
          </w:p>
        </w:tc>
        <w:tc>
          <w:tcPr>
            <w:tcW w:w="0" w:type="auto"/>
            <w:tcMar>
              <w:top w:w="100" w:type="dxa"/>
              <w:left w:w="100" w:type="dxa"/>
              <w:bottom w:w="100" w:type="dxa"/>
              <w:right w:w="100" w:type="dxa"/>
            </w:tcMar>
            <w:hideMark/>
          </w:tcPr>
          <w:p w14:paraId="7A0D2C3A"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r w:rsidRPr="00A654CF">
              <w:rPr>
                <w:rFonts w:asciiTheme="majorHAnsi" w:eastAsia="Times New Roman" w:hAnsiTheme="majorHAnsi" w:cstheme="majorHAnsi"/>
                <w:color w:val="000000"/>
                <w:sz w:val="18"/>
                <w:szCs w:val="18"/>
                <w:lang w:val="en-US" w:eastAsia="zh-CN"/>
              </w:rPr>
              <w:t>2</w:t>
            </w:r>
          </w:p>
        </w:tc>
      </w:tr>
      <w:tr w:rsidR="00FD7793" w:rsidRPr="00A654CF" w14:paraId="211A5530" w14:textId="77777777" w:rsidTr="000A0FA4">
        <w:trPr>
          <w:trHeight w:val="20"/>
          <w:jc w:val="center"/>
        </w:trPr>
        <w:tc>
          <w:tcPr>
            <w:tcW w:w="0" w:type="auto"/>
            <w:vMerge/>
            <w:vAlign w:val="center"/>
            <w:hideMark/>
          </w:tcPr>
          <w:p w14:paraId="08B0EF2F"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p>
        </w:tc>
        <w:tc>
          <w:tcPr>
            <w:tcW w:w="0" w:type="auto"/>
            <w:tcMar>
              <w:top w:w="100" w:type="dxa"/>
              <w:left w:w="100" w:type="dxa"/>
              <w:bottom w:w="100" w:type="dxa"/>
              <w:right w:w="100" w:type="dxa"/>
            </w:tcMar>
            <w:hideMark/>
          </w:tcPr>
          <w:p w14:paraId="06D4857E"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r w:rsidRPr="00A654CF">
              <w:rPr>
                <w:rFonts w:asciiTheme="majorHAnsi" w:eastAsia="Times New Roman" w:hAnsiTheme="majorHAnsi" w:cstheme="majorHAnsi"/>
                <w:color w:val="000000"/>
                <w:sz w:val="18"/>
                <w:szCs w:val="18"/>
                <w:lang w:val="en-US" w:eastAsia="zh-CN"/>
              </w:rPr>
              <w:t>DCAs / CDCAs</w:t>
            </w:r>
          </w:p>
        </w:tc>
        <w:tc>
          <w:tcPr>
            <w:tcW w:w="0" w:type="auto"/>
            <w:tcMar>
              <w:top w:w="100" w:type="dxa"/>
              <w:left w:w="100" w:type="dxa"/>
              <w:bottom w:w="100" w:type="dxa"/>
              <w:right w:w="100" w:type="dxa"/>
            </w:tcMar>
            <w:hideMark/>
          </w:tcPr>
          <w:p w14:paraId="2211D4B8"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r w:rsidRPr="00A654CF">
              <w:rPr>
                <w:rFonts w:asciiTheme="majorHAnsi" w:eastAsia="Times New Roman" w:hAnsiTheme="majorHAnsi" w:cstheme="majorHAnsi"/>
                <w:color w:val="000000"/>
                <w:sz w:val="18"/>
                <w:szCs w:val="18"/>
                <w:lang w:val="en-US" w:eastAsia="zh-CN"/>
              </w:rPr>
              <w:t>58</w:t>
            </w:r>
          </w:p>
        </w:tc>
      </w:tr>
      <w:tr w:rsidR="00FD7793" w:rsidRPr="00A654CF" w14:paraId="1F0BF626" w14:textId="77777777" w:rsidTr="000A0FA4">
        <w:trPr>
          <w:trHeight w:val="20"/>
          <w:jc w:val="center"/>
        </w:trPr>
        <w:tc>
          <w:tcPr>
            <w:tcW w:w="0" w:type="auto"/>
            <w:vMerge/>
            <w:vAlign w:val="center"/>
            <w:hideMark/>
          </w:tcPr>
          <w:p w14:paraId="0A42CAB6"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p>
        </w:tc>
        <w:tc>
          <w:tcPr>
            <w:tcW w:w="0" w:type="auto"/>
            <w:tcMar>
              <w:top w:w="100" w:type="dxa"/>
              <w:left w:w="100" w:type="dxa"/>
              <w:bottom w:w="100" w:type="dxa"/>
              <w:right w:w="100" w:type="dxa"/>
            </w:tcMar>
            <w:hideMark/>
          </w:tcPr>
          <w:p w14:paraId="3F676B67"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r w:rsidRPr="00A654CF">
              <w:rPr>
                <w:rFonts w:asciiTheme="majorHAnsi" w:eastAsia="Times New Roman" w:hAnsiTheme="majorHAnsi" w:cstheme="majorHAnsi"/>
                <w:color w:val="000000"/>
                <w:sz w:val="18"/>
                <w:szCs w:val="18"/>
                <w:lang w:val="en-US" w:eastAsia="zh-CN"/>
              </w:rPr>
              <w:t>7-oxo-DCAs / CDCAs</w:t>
            </w:r>
          </w:p>
        </w:tc>
        <w:tc>
          <w:tcPr>
            <w:tcW w:w="0" w:type="auto"/>
            <w:tcMar>
              <w:top w:w="100" w:type="dxa"/>
              <w:left w:w="100" w:type="dxa"/>
              <w:bottom w:w="100" w:type="dxa"/>
              <w:right w:w="100" w:type="dxa"/>
            </w:tcMar>
            <w:hideMark/>
          </w:tcPr>
          <w:p w14:paraId="7D902C99"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r w:rsidRPr="00A654CF">
              <w:rPr>
                <w:rFonts w:asciiTheme="majorHAnsi" w:eastAsia="Times New Roman" w:hAnsiTheme="majorHAnsi" w:cstheme="majorHAnsi"/>
                <w:color w:val="000000"/>
                <w:sz w:val="18"/>
                <w:szCs w:val="18"/>
                <w:lang w:val="en-US" w:eastAsia="zh-CN"/>
              </w:rPr>
              <w:t>34</w:t>
            </w:r>
          </w:p>
        </w:tc>
      </w:tr>
      <w:tr w:rsidR="00FD7793" w:rsidRPr="00A654CF" w14:paraId="7F68DAC0" w14:textId="77777777" w:rsidTr="000A0FA4">
        <w:trPr>
          <w:trHeight w:val="20"/>
          <w:jc w:val="center"/>
        </w:trPr>
        <w:tc>
          <w:tcPr>
            <w:tcW w:w="0" w:type="auto"/>
            <w:vMerge/>
            <w:vAlign w:val="center"/>
            <w:hideMark/>
          </w:tcPr>
          <w:p w14:paraId="28EEE05B"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p>
        </w:tc>
        <w:tc>
          <w:tcPr>
            <w:tcW w:w="0" w:type="auto"/>
            <w:tcMar>
              <w:top w:w="100" w:type="dxa"/>
              <w:left w:w="100" w:type="dxa"/>
              <w:bottom w:w="100" w:type="dxa"/>
              <w:right w:w="100" w:type="dxa"/>
            </w:tcMar>
            <w:hideMark/>
          </w:tcPr>
          <w:p w14:paraId="6F21C0A6"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r w:rsidRPr="00A654CF">
              <w:rPr>
                <w:rFonts w:asciiTheme="majorHAnsi" w:eastAsia="Times New Roman" w:hAnsiTheme="majorHAnsi" w:cstheme="majorHAnsi"/>
                <w:color w:val="000000"/>
                <w:sz w:val="18"/>
                <w:szCs w:val="18"/>
                <w:lang w:val="en-US" w:eastAsia="zh-CN"/>
              </w:rPr>
              <w:t>7-oxo-DCAs / UDCAs</w:t>
            </w:r>
          </w:p>
        </w:tc>
        <w:tc>
          <w:tcPr>
            <w:tcW w:w="0" w:type="auto"/>
            <w:tcMar>
              <w:top w:w="100" w:type="dxa"/>
              <w:left w:w="100" w:type="dxa"/>
              <w:bottom w:w="100" w:type="dxa"/>
              <w:right w:w="100" w:type="dxa"/>
            </w:tcMar>
            <w:hideMark/>
          </w:tcPr>
          <w:p w14:paraId="7CE885FB"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r w:rsidRPr="00A654CF">
              <w:rPr>
                <w:rFonts w:asciiTheme="majorHAnsi" w:eastAsia="Times New Roman" w:hAnsiTheme="majorHAnsi" w:cstheme="majorHAnsi"/>
                <w:color w:val="000000"/>
                <w:sz w:val="18"/>
                <w:szCs w:val="18"/>
                <w:lang w:val="en-US" w:eastAsia="zh-CN"/>
              </w:rPr>
              <w:t>71</w:t>
            </w:r>
          </w:p>
        </w:tc>
      </w:tr>
      <w:tr w:rsidR="00FD7793" w:rsidRPr="00A654CF" w14:paraId="4BC1F1CF" w14:textId="77777777" w:rsidTr="000A0FA4">
        <w:trPr>
          <w:trHeight w:val="20"/>
          <w:jc w:val="center"/>
        </w:trPr>
        <w:tc>
          <w:tcPr>
            <w:tcW w:w="0" w:type="auto"/>
            <w:vMerge/>
            <w:vAlign w:val="center"/>
            <w:hideMark/>
          </w:tcPr>
          <w:p w14:paraId="749CFF98"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p>
        </w:tc>
        <w:tc>
          <w:tcPr>
            <w:tcW w:w="0" w:type="auto"/>
            <w:tcMar>
              <w:top w:w="100" w:type="dxa"/>
              <w:left w:w="100" w:type="dxa"/>
              <w:bottom w:w="100" w:type="dxa"/>
              <w:right w:w="100" w:type="dxa"/>
            </w:tcMar>
            <w:hideMark/>
          </w:tcPr>
          <w:p w14:paraId="46065032" w14:textId="683B53A3"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r w:rsidRPr="00A654CF">
              <w:rPr>
                <w:rFonts w:asciiTheme="majorHAnsi" w:eastAsia="Times New Roman" w:hAnsiTheme="majorHAnsi" w:cstheme="majorHAnsi"/>
                <w:color w:val="000000"/>
                <w:sz w:val="18"/>
                <w:szCs w:val="18"/>
                <w:lang w:val="en-US" w:eastAsia="zh-CN"/>
              </w:rPr>
              <w:t>7-oxo-DCAs / LCAs</w:t>
            </w:r>
          </w:p>
        </w:tc>
        <w:tc>
          <w:tcPr>
            <w:tcW w:w="0" w:type="auto"/>
            <w:tcMar>
              <w:top w:w="100" w:type="dxa"/>
              <w:left w:w="100" w:type="dxa"/>
              <w:bottom w:w="100" w:type="dxa"/>
              <w:right w:w="100" w:type="dxa"/>
            </w:tcMar>
            <w:hideMark/>
          </w:tcPr>
          <w:p w14:paraId="7B3F703E" w14:textId="77777777" w:rsidR="00FD7793" w:rsidRPr="00A654CF" w:rsidRDefault="00FD7793" w:rsidP="000A0FA4">
            <w:pPr>
              <w:snapToGrid w:val="0"/>
              <w:spacing w:after="0" w:line="276" w:lineRule="auto"/>
              <w:ind w:firstLine="0"/>
              <w:jc w:val="center"/>
              <w:rPr>
                <w:rFonts w:asciiTheme="majorHAnsi" w:eastAsia="Times New Roman" w:hAnsiTheme="majorHAnsi" w:cstheme="majorHAnsi"/>
                <w:sz w:val="18"/>
                <w:szCs w:val="18"/>
                <w:lang w:val="en-US" w:eastAsia="zh-CN"/>
              </w:rPr>
            </w:pPr>
            <w:r w:rsidRPr="00A654CF">
              <w:rPr>
                <w:rFonts w:asciiTheme="majorHAnsi" w:eastAsia="Times New Roman" w:hAnsiTheme="majorHAnsi" w:cstheme="majorHAnsi"/>
                <w:color w:val="000000"/>
                <w:sz w:val="18"/>
                <w:szCs w:val="18"/>
                <w:lang w:val="en-US" w:eastAsia="zh-CN"/>
              </w:rPr>
              <w:t>1</w:t>
            </w:r>
          </w:p>
        </w:tc>
      </w:tr>
    </w:tbl>
    <w:p w14:paraId="156E222B" w14:textId="77777777" w:rsidR="000A0FA4" w:rsidRPr="00A654CF" w:rsidRDefault="000A0FA4" w:rsidP="000A0FA4">
      <w:pPr>
        <w:spacing w:line="276" w:lineRule="auto"/>
        <w:ind w:firstLine="0"/>
        <w:jc w:val="both"/>
        <w:rPr>
          <w:rFonts w:asciiTheme="majorHAnsi" w:eastAsia="Times New Roman" w:hAnsiTheme="majorHAnsi" w:cstheme="majorHAnsi"/>
          <w:b/>
          <w:color w:val="000000"/>
          <w:sz w:val="24"/>
          <w:szCs w:val="24"/>
          <w:lang w:val="en-US" w:eastAsia="zh-CN"/>
        </w:rPr>
      </w:pPr>
    </w:p>
    <w:p w14:paraId="4697B699" w14:textId="3230374D" w:rsidR="00445E98" w:rsidRDefault="00FD7793" w:rsidP="00445E98">
      <w:pPr>
        <w:spacing w:line="276" w:lineRule="auto"/>
        <w:ind w:firstLine="0"/>
        <w:jc w:val="both"/>
        <w:rPr>
          <w:rFonts w:asciiTheme="majorHAnsi" w:hAnsiTheme="majorHAnsi" w:cstheme="majorHAnsi"/>
          <w:sz w:val="24"/>
          <w:szCs w:val="24"/>
          <w:lang w:val="en-US"/>
        </w:rPr>
      </w:pPr>
      <w:r w:rsidRPr="00A654CF">
        <w:rPr>
          <w:rFonts w:asciiTheme="majorHAnsi" w:eastAsia="Times New Roman" w:hAnsiTheme="majorHAnsi" w:cstheme="majorHAnsi"/>
          <w:b/>
          <w:color w:val="000000"/>
          <w:sz w:val="24"/>
          <w:szCs w:val="24"/>
          <w:lang w:val="en-US" w:eastAsia="zh-CN"/>
        </w:rPr>
        <w:t xml:space="preserve">Supplementary Table 4: Numbers of clusters of orthologous groups (COGs) of proteins predicted from the gut microbiome of 283 individuals showing significant correlations with bile acids ratio groups. </w:t>
      </w:r>
      <w:r w:rsidRPr="00A654CF">
        <w:rPr>
          <w:rFonts w:asciiTheme="majorHAnsi" w:hAnsiTheme="majorHAnsi" w:cstheme="majorHAnsi"/>
          <w:sz w:val="24"/>
          <w:szCs w:val="24"/>
          <w:lang w:val="en-US"/>
        </w:rPr>
        <w:t xml:space="preserve">BA abbreviations and complete compound name </w:t>
      </w:r>
      <w:r w:rsidR="00822FB3" w:rsidRPr="00A654CF">
        <w:rPr>
          <w:rFonts w:asciiTheme="majorHAnsi" w:hAnsiTheme="majorHAnsi" w:cstheme="majorHAnsi"/>
          <w:sz w:val="24"/>
          <w:szCs w:val="24"/>
          <w:lang w:val="en-US"/>
        </w:rPr>
        <w:t>are:</w:t>
      </w:r>
      <w:r w:rsidRPr="00A654CF">
        <w:rPr>
          <w:rFonts w:asciiTheme="majorHAnsi" w:hAnsiTheme="majorHAnsi" w:cstheme="majorHAnsi"/>
          <w:sz w:val="24"/>
          <w:szCs w:val="24"/>
          <w:lang w:val="en-US"/>
        </w:rPr>
        <w:t xml:space="preserve"> HCA - Hyocholic acid, HDCA - Hyodeoxycholic acid, </w:t>
      </w:r>
      <w:r w:rsidR="00E37AAF">
        <w:rPr>
          <w:rFonts w:ascii="Arial" w:hAnsi="Arial" w:cs="Arial"/>
          <w:color w:val="202122"/>
          <w:sz w:val="18"/>
          <w:szCs w:val="18"/>
          <w:shd w:val="clear" w:color="auto" w:fill="F8F9FA"/>
        </w:rPr>
        <w:t>α</w:t>
      </w:r>
      <w:r w:rsidRPr="00A654CF">
        <w:rPr>
          <w:rFonts w:asciiTheme="majorHAnsi" w:hAnsiTheme="majorHAnsi" w:cstheme="majorHAnsi"/>
          <w:sz w:val="24"/>
          <w:szCs w:val="24"/>
          <w:lang w:val="en-US"/>
        </w:rPr>
        <w:t xml:space="preserve">MCA - </w:t>
      </w:r>
      <w:r w:rsidR="00E37AAF">
        <w:rPr>
          <w:rFonts w:ascii="Arial" w:hAnsi="Arial" w:cs="Arial"/>
          <w:color w:val="202122"/>
          <w:sz w:val="18"/>
          <w:szCs w:val="18"/>
          <w:shd w:val="clear" w:color="auto" w:fill="F8F9FA"/>
        </w:rPr>
        <w:t>α</w:t>
      </w:r>
      <w:r w:rsidRPr="00A654CF">
        <w:rPr>
          <w:rFonts w:asciiTheme="majorHAnsi" w:hAnsiTheme="majorHAnsi" w:cstheme="majorHAnsi"/>
          <w:sz w:val="24"/>
          <w:szCs w:val="24"/>
          <w:lang w:val="en-US"/>
        </w:rPr>
        <w:t>-muricholic acid, 7oxo-DCA - 7-oxo-deoxycholic acid, DCA - Deoxycholic acid, CA - Cholic acid, LCA - Lithocholic acid, CDCA - Chenodeoxycholic acid, UDCA - Ursodeoxycholic acid). Abbreviated names preceded with G or T indicate that the BA is conjugated with a glycine or a taurine, respectively.</w:t>
      </w:r>
    </w:p>
    <w:p w14:paraId="22D931C0" w14:textId="78343E66" w:rsidR="00445E98" w:rsidRPr="00806093" w:rsidRDefault="00445E98" w:rsidP="00445E98">
      <w:pPr>
        <w:pStyle w:val="Heading2"/>
        <w:spacing w:line="276" w:lineRule="auto"/>
        <w:jc w:val="both"/>
        <w:rPr>
          <w:rFonts w:asciiTheme="majorHAnsi" w:hAnsiTheme="majorHAnsi" w:cstheme="majorHAnsi"/>
          <w:i w:val="0"/>
          <w:iCs/>
          <w:sz w:val="24"/>
          <w:szCs w:val="24"/>
          <w:lang w:val="en-US"/>
        </w:rPr>
      </w:pPr>
      <w:r w:rsidRPr="00806093">
        <w:rPr>
          <w:rFonts w:asciiTheme="majorHAnsi" w:hAnsiTheme="majorHAnsi" w:cstheme="majorHAnsi"/>
          <w:i w:val="0"/>
          <w:iCs/>
          <w:sz w:val="24"/>
          <w:szCs w:val="24"/>
          <w:lang w:val="en-US"/>
        </w:rPr>
        <w:lastRenderedPageBreak/>
        <w:t>Supplementary Table 5</w:t>
      </w:r>
    </w:p>
    <w:tbl>
      <w:tblPr>
        <w:tblW w:w="9425" w:type="dxa"/>
        <w:tblCellMar>
          <w:left w:w="70" w:type="dxa"/>
          <w:right w:w="70" w:type="dxa"/>
        </w:tblCellMar>
        <w:tblLook w:val="04A0" w:firstRow="1" w:lastRow="0" w:firstColumn="1" w:lastColumn="0" w:noHBand="0" w:noVBand="1"/>
      </w:tblPr>
      <w:tblGrid>
        <w:gridCol w:w="683"/>
        <w:gridCol w:w="1827"/>
        <w:gridCol w:w="1185"/>
        <w:gridCol w:w="820"/>
        <w:gridCol w:w="1177"/>
        <w:gridCol w:w="1484"/>
        <w:gridCol w:w="1654"/>
        <w:gridCol w:w="1058"/>
      </w:tblGrid>
      <w:tr w:rsidR="00445E98" w:rsidRPr="00806093" w14:paraId="32A70960" w14:textId="77777777" w:rsidTr="00C55966">
        <w:trPr>
          <w:trHeight w:val="300"/>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4DBC1" w14:textId="77777777" w:rsidR="00445E98" w:rsidRPr="00806093" w:rsidRDefault="00445E98" w:rsidP="00C55966">
            <w:pPr>
              <w:spacing w:after="0" w:line="240" w:lineRule="auto"/>
              <w:rPr>
                <w:rFonts w:eastAsia="Times New Roman"/>
                <w:b/>
                <w:bCs/>
                <w:color w:val="000000"/>
                <w:sz w:val="18"/>
                <w:szCs w:val="18"/>
                <w:lang w:val="en-US" w:eastAsia="sv-SE"/>
              </w:rPr>
            </w:pPr>
            <w:r w:rsidRPr="00806093">
              <w:rPr>
                <w:rFonts w:eastAsia="Times New Roman"/>
                <w:b/>
                <w:bCs/>
                <w:color w:val="000000"/>
                <w:sz w:val="18"/>
                <w:szCs w:val="18"/>
                <w:lang w:val="en-US" w:eastAsia="sv-SE"/>
              </w:rPr>
              <w:t> </w:t>
            </w:r>
          </w:p>
        </w:tc>
        <w:tc>
          <w:tcPr>
            <w:tcW w:w="1827" w:type="dxa"/>
            <w:tcBorders>
              <w:top w:val="single" w:sz="4" w:space="0" w:color="auto"/>
              <w:left w:val="nil"/>
              <w:bottom w:val="single" w:sz="4" w:space="0" w:color="auto"/>
              <w:right w:val="single" w:sz="4" w:space="0" w:color="auto"/>
            </w:tcBorders>
            <w:shd w:val="clear" w:color="auto" w:fill="auto"/>
            <w:noWrap/>
            <w:vAlign w:val="bottom"/>
            <w:hideMark/>
          </w:tcPr>
          <w:p w14:paraId="7DAF6296" w14:textId="77777777" w:rsidR="00445E98" w:rsidRPr="00806093" w:rsidRDefault="00445E98" w:rsidP="00C55966">
            <w:pPr>
              <w:spacing w:after="0" w:line="240" w:lineRule="auto"/>
              <w:jc w:val="center"/>
              <w:rPr>
                <w:rFonts w:eastAsia="Times New Roman"/>
                <w:b/>
                <w:bCs/>
                <w:color w:val="000000"/>
                <w:sz w:val="18"/>
                <w:szCs w:val="18"/>
                <w:lang w:eastAsia="sv-SE"/>
              </w:rPr>
            </w:pPr>
            <w:r w:rsidRPr="00806093">
              <w:rPr>
                <w:rFonts w:eastAsia="Times New Roman"/>
                <w:b/>
                <w:bCs/>
                <w:color w:val="000000"/>
                <w:sz w:val="18"/>
                <w:szCs w:val="18"/>
                <w:lang w:eastAsia="sv-SE"/>
              </w:rPr>
              <w:t>Bile acid</w:t>
            </w:r>
          </w:p>
        </w:tc>
        <w:tc>
          <w:tcPr>
            <w:tcW w:w="1091" w:type="dxa"/>
            <w:tcBorders>
              <w:top w:val="single" w:sz="4" w:space="0" w:color="auto"/>
              <w:left w:val="nil"/>
              <w:bottom w:val="single" w:sz="4" w:space="0" w:color="auto"/>
              <w:right w:val="single" w:sz="4" w:space="0" w:color="auto"/>
            </w:tcBorders>
            <w:shd w:val="clear" w:color="auto" w:fill="auto"/>
            <w:noWrap/>
            <w:vAlign w:val="bottom"/>
            <w:hideMark/>
          </w:tcPr>
          <w:p w14:paraId="4C660EC6" w14:textId="77777777" w:rsidR="00445E98" w:rsidRPr="00806093" w:rsidRDefault="00445E98" w:rsidP="00C55966">
            <w:pPr>
              <w:spacing w:after="0" w:line="240" w:lineRule="auto"/>
              <w:ind w:firstLine="0"/>
              <w:jc w:val="center"/>
              <w:rPr>
                <w:rFonts w:eastAsia="Times New Roman"/>
                <w:b/>
                <w:bCs/>
                <w:color w:val="000000"/>
                <w:sz w:val="18"/>
                <w:szCs w:val="18"/>
                <w:lang w:eastAsia="sv-SE"/>
              </w:rPr>
            </w:pPr>
            <w:r w:rsidRPr="00806093">
              <w:rPr>
                <w:rFonts w:eastAsia="Times New Roman"/>
                <w:b/>
                <w:bCs/>
                <w:color w:val="000000"/>
                <w:sz w:val="18"/>
                <w:szCs w:val="18"/>
                <w:lang w:eastAsia="sv-SE"/>
              </w:rPr>
              <w:t>accurate mass</w:t>
            </w:r>
          </w:p>
        </w:tc>
        <w:tc>
          <w:tcPr>
            <w:tcW w:w="759" w:type="dxa"/>
            <w:tcBorders>
              <w:top w:val="single" w:sz="4" w:space="0" w:color="auto"/>
              <w:left w:val="nil"/>
              <w:bottom w:val="single" w:sz="4" w:space="0" w:color="auto"/>
              <w:right w:val="single" w:sz="4" w:space="0" w:color="auto"/>
            </w:tcBorders>
            <w:shd w:val="clear" w:color="auto" w:fill="auto"/>
            <w:noWrap/>
            <w:vAlign w:val="bottom"/>
            <w:hideMark/>
          </w:tcPr>
          <w:p w14:paraId="0251AC8F" w14:textId="77777777" w:rsidR="00445E98" w:rsidRPr="00806093" w:rsidRDefault="00445E98" w:rsidP="00C55966">
            <w:pPr>
              <w:spacing w:after="0" w:line="240" w:lineRule="auto"/>
              <w:jc w:val="center"/>
              <w:rPr>
                <w:rFonts w:eastAsia="Times New Roman"/>
                <w:b/>
                <w:bCs/>
                <w:color w:val="000000"/>
                <w:sz w:val="18"/>
                <w:szCs w:val="18"/>
                <w:lang w:eastAsia="sv-SE"/>
              </w:rPr>
            </w:pPr>
            <w:r w:rsidRPr="00806093">
              <w:rPr>
                <w:rFonts w:eastAsia="Times New Roman"/>
                <w:b/>
                <w:bCs/>
                <w:color w:val="000000"/>
                <w:sz w:val="18"/>
                <w:szCs w:val="18"/>
                <w:lang w:eastAsia="sv-SE"/>
              </w:rPr>
              <w:t>RT</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14:paraId="12558946" w14:textId="77777777" w:rsidR="00445E98" w:rsidRPr="00806093" w:rsidRDefault="00445E98" w:rsidP="00C55966">
            <w:pPr>
              <w:spacing w:after="0" w:line="240" w:lineRule="auto"/>
              <w:jc w:val="center"/>
              <w:rPr>
                <w:rFonts w:eastAsia="Times New Roman"/>
                <w:b/>
                <w:bCs/>
                <w:color w:val="000000"/>
                <w:sz w:val="18"/>
                <w:szCs w:val="18"/>
                <w:lang w:eastAsia="sv-SE"/>
              </w:rPr>
            </w:pPr>
            <w:r w:rsidRPr="00806093">
              <w:rPr>
                <w:rFonts w:eastAsia="Times New Roman"/>
                <w:b/>
                <w:bCs/>
                <w:color w:val="000000"/>
                <w:sz w:val="18"/>
                <w:szCs w:val="18"/>
                <w:lang w:eastAsia="sv-SE"/>
              </w:rPr>
              <w:t>ISTD, D4</w:t>
            </w:r>
          </w:p>
        </w:tc>
        <w:tc>
          <w:tcPr>
            <w:tcW w:w="1362" w:type="dxa"/>
            <w:tcBorders>
              <w:top w:val="single" w:sz="4" w:space="0" w:color="auto"/>
              <w:left w:val="nil"/>
              <w:bottom w:val="single" w:sz="4" w:space="0" w:color="auto"/>
              <w:right w:val="single" w:sz="4" w:space="0" w:color="auto"/>
            </w:tcBorders>
            <w:shd w:val="clear" w:color="auto" w:fill="auto"/>
            <w:noWrap/>
            <w:vAlign w:val="bottom"/>
            <w:hideMark/>
          </w:tcPr>
          <w:p w14:paraId="767FF30F" w14:textId="77777777" w:rsidR="00445E98" w:rsidRPr="00806093" w:rsidRDefault="00445E98" w:rsidP="00C55966">
            <w:pPr>
              <w:spacing w:after="0" w:line="240" w:lineRule="auto"/>
              <w:jc w:val="center"/>
              <w:rPr>
                <w:rFonts w:eastAsia="Times New Roman"/>
                <w:b/>
                <w:bCs/>
                <w:color w:val="000000"/>
                <w:sz w:val="18"/>
                <w:szCs w:val="18"/>
                <w:lang w:eastAsia="sv-SE"/>
              </w:rPr>
            </w:pPr>
            <w:r w:rsidRPr="00806093">
              <w:rPr>
                <w:rFonts w:eastAsia="Times New Roman"/>
                <w:b/>
                <w:bCs/>
                <w:color w:val="000000"/>
                <w:sz w:val="18"/>
                <w:szCs w:val="18"/>
                <w:lang w:eastAsia="sv-SE"/>
              </w:rPr>
              <w:t>MRM</w:t>
            </w:r>
          </w:p>
        </w:tc>
        <w:tc>
          <w:tcPr>
            <w:tcW w:w="1516" w:type="dxa"/>
            <w:tcBorders>
              <w:top w:val="single" w:sz="4" w:space="0" w:color="auto"/>
              <w:left w:val="nil"/>
              <w:bottom w:val="single" w:sz="4" w:space="0" w:color="auto"/>
              <w:right w:val="single" w:sz="4" w:space="0" w:color="auto"/>
            </w:tcBorders>
            <w:shd w:val="clear" w:color="auto" w:fill="auto"/>
            <w:noWrap/>
            <w:vAlign w:val="bottom"/>
            <w:hideMark/>
          </w:tcPr>
          <w:p w14:paraId="259C72DF" w14:textId="77777777" w:rsidR="00445E98" w:rsidRPr="00806093" w:rsidRDefault="00445E98" w:rsidP="00C55966">
            <w:pPr>
              <w:spacing w:after="0" w:line="240" w:lineRule="auto"/>
              <w:jc w:val="center"/>
              <w:rPr>
                <w:rFonts w:eastAsia="Times New Roman"/>
                <w:b/>
                <w:bCs/>
                <w:color w:val="000000"/>
                <w:sz w:val="18"/>
                <w:szCs w:val="18"/>
                <w:lang w:eastAsia="sv-SE"/>
              </w:rPr>
            </w:pPr>
            <w:r w:rsidRPr="00806093">
              <w:rPr>
                <w:rFonts w:eastAsia="Times New Roman"/>
                <w:b/>
                <w:bCs/>
                <w:color w:val="000000"/>
                <w:sz w:val="18"/>
                <w:szCs w:val="18"/>
                <w:lang w:eastAsia="sv-SE"/>
              </w:rPr>
              <w:t>ION</w:t>
            </w:r>
          </w:p>
        </w:tc>
        <w:tc>
          <w:tcPr>
            <w:tcW w:w="1058" w:type="dxa"/>
            <w:tcBorders>
              <w:top w:val="single" w:sz="4" w:space="0" w:color="auto"/>
              <w:left w:val="nil"/>
              <w:bottom w:val="single" w:sz="4" w:space="0" w:color="auto"/>
              <w:right w:val="single" w:sz="4" w:space="0" w:color="auto"/>
            </w:tcBorders>
            <w:shd w:val="clear" w:color="auto" w:fill="auto"/>
            <w:noWrap/>
            <w:vAlign w:val="bottom"/>
            <w:hideMark/>
          </w:tcPr>
          <w:p w14:paraId="7DEFA88E" w14:textId="5E8DA5E3" w:rsidR="00445E98" w:rsidRPr="00806093" w:rsidRDefault="00445E98" w:rsidP="00C55966">
            <w:pPr>
              <w:spacing w:after="0" w:line="240" w:lineRule="auto"/>
              <w:ind w:firstLine="0"/>
              <w:jc w:val="center"/>
              <w:rPr>
                <w:rFonts w:eastAsia="Times New Roman"/>
                <w:b/>
                <w:bCs/>
                <w:color w:val="000000"/>
                <w:sz w:val="18"/>
                <w:szCs w:val="18"/>
                <w:lang w:eastAsia="sv-SE"/>
              </w:rPr>
            </w:pPr>
            <w:r w:rsidRPr="00806093">
              <w:rPr>
                <w:rFonts w:eastAsia="Times New Roman"/>
                <w:b/>
                <w:bCs/>
                <w:color w:val="000000"/>
                <w:sz w:val="18"/>
                <w:szCs w:val="18"/>
                <w:lang w:eastAsia="sv-SE"/>
              </w:rPr>
              <w:t>Con</w:t>
            </w:r>
            <w:r w:rsidR="00C45C57" w:rsidRPr="00806093">
              <w:rPr>
                <w:rFonts w:eastAsia="Times New Roman"/>
                <w:b/>
                <w:bCs/>
                <w:color w:val="000000"/>
                <w:sz w:val="18"/>
                <w:szCs w:val="18"/>
                <w:lang w:eastAsia="sv-SE"/>
              </w:rPr>
              <w:t>c</w:t>
            </w:r>
            <w:r w:rsidRPr="00806093">
              <w:rPr>
                <w:rFonts w:eastAsia="Times New Roman"/>
                <w:b/>
                <w:bCs/>
                <w:color w:val="000000"/>
                <w:sz w:val="18"/>
                <w:szCs w:val="18"/>
                <w:lang w:eastAsia="sv-SE"/>
              </w:rPr>
              <w:t>,</w:t>
            </w:r>
          </w:p>
          <w:p w14:paraId="6E223DBA" w14:textId="77777777" w:rsidR="00445E98" w:rsidRPr="00806093" w:rsidRDefault="00445E98" w:rsidP="00C55966">
            <w:pPr>
              <w:spacing w:after="0" w:line="240" w:lineRule="auto"/>
              <w:ind w:firstLine="0"/>
              <w:jc w:val="center"/>
              <w:rPr>
                <w:rFonts w:eastAsia="Times New Roman"/>
                <w:b/>
                <w:bCs/>
                <w:color w:val="000000"/>
                <w:sz w:val="18"/>
                <w:szCs w:val="18"/>
                <w:lang w:eastAsia="sv-SE"/>
              </w:rPr>
            </w:pPr>
            <w:r w:rsidRPr="00806093">
              <w:rPr>
                <w:rFonts w:eastAsia="Times New Roman"/>
                <w:b/>
                <w:bCs/>
                <w:color w:val="000000"/>
                <w:sz w:val="18"/>
                <w:szCs w:val="18"/>
                <w:lang w:eastAsia="sv-SE"/>
              </w:rPr>
              <w:t>CE</w:t>
            </w:r>
          </w:p>
        </w:tc>
      </w:tr>
      <w:tr w:rsidR="00445E98" w:rsidRPr="00806093" w14:paraId="4AB33133" w14:textId="77777777" w:rsidTr="00C55966">
        <w:trPr>
          <w:trHeight w:val="300"/>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4D1F64A4"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1</w:t>
            </w:r>
          </w:p>
        </w:tc>
        <w:tc>
          <w:tcPr>
            <w:tcW w:w="1827" w:type="dxa"/>
            <w:tcBorders>
              <w:top w:val="nil"/>
              <w:left w:val="nil"/>
              <w:bottom w:val="single" w:sz="4" w:space="0" w:color="auto"/>
              <w:right w:val="single" w:sz="4" w:space="0" w:color="auto"/>
            </w:tcBorders>
            <w:shd w:val="clear" w:color="auto" w:fill="auto"/>
            <w:noWrap/>
            <w:vAlign w:val="center"/>
            <w:hideMark/>
          </w:tcPr>
          <w:p w14:paraId="4864CD55"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val="en-US" w:eastAsia="sv-SE"/>
              </w:rPr>
              <w:t>Unknown T-BA_1</w:t>
            </w:r>
          </w:p>
        </w:tc>
        <w:tc>
          <w:tcPr>
            <w:tcW w:w="1091" w:type="dxa"/>
            <w:tcBorders>
              <w:top w:val="nil"/>
              <w:left w:val="nil"/>
              <w:bottom w:val="single" w:sz="4" w:space="0" w:color="auto"/>
              <w:right w:val="single" w:sz="4" w:space="0" w:color="auto"/>
            </w:tcBorders>
            <w:shd w:val="clear" w:color="auto" w:fill="auto"/>
            <w:noWrap/>
            <w:vAlign w:val="bottom"/>
            <w:hideMark/>
          </w:tcPr>
          <w:p w14:paraId="5E2602FB"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514.2838</w:t>
            </w:r>
          </w:p>
        </w:tc>
        <w:tc>
          <w:tcPr>
            <w:tcW w:w="759" w:type="dxa"/>
            <w:tcBorders>
              <w:top w:val="nil"/>
              <w:left w:val="nil"/>
              <w:bottom w:val="single" w:sz="4" w:space="0" w:color="auto"/>
              <w:right w:val="single" w:sz="4" w:space="0" w:color="auto"/>
            </w:tcBorders>
            <w:shd w:val="clear" w:color="auto" w:fill="auto"/>
            <w:noWrap/>
            <w:vAlign w:val="bottom"/>
            <w:hideMark/>
          </w:tcPr>
          <w:p w14:paraId="734D2D80"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3.59</w:t>
            </w:r>
          </w:p>
        </w:tc>
        <w:tc>
          <w:tcPr>
            <w:tcW w:w="1177" w:type="dxa"/>
            <w:tcBorders>
              <w:top w:val="nil"/>
              <w:left w:val="nil"/>
              <w:bottom w:val="single" w:sz="4" w:space="0" w:color="auto"/>
              <w:right w:val="single" w:sz="4" w:space="0" w:color="auto"/>
            </w:tcBorders>
            <w:shd w:val="clear" w:color="auto" w:fill="auto"/>
            <w:noWrap/>
            <w:vAlign w:val="bottom"/>
            <w:hideMark/>
          </w:tcPr>
          <w:p w14:paraId="72D76AED"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TCA-d4</w:t>
            </w:r>
          </w:p>
        </w:tc>
        <w:tc>
          <w:tcPr>
            <w:tcW w:w="1362" w:type="dxa"/>
            <w:tcBorders>
              <w:top w:val="nil"/>
              <w:left w:val="nil"/>
              <w:bottom w:val="single" w:sz="4" w:space="0" w:color="auto"/>
              <w:right w:val="single" w:sz="4" w:space="0" w:color="auto"/>
            </w:tcBorders>
            <w:shd w:val="clear" w:color="auto" w:fill="auto"/>
            <w:noWrap/>
            <w:vAlign w:val="bottom"/>
            <w:hideMark/>
          </w:tcPr>
          <w:p w14:paraId="4D2E07CC"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514.3→106.9</w:t>
            </w:r>
          </w:p>
        </w:tc>
        <w:tc>
          <w:tcPr>
            <w:tcW w:w="1516" w:type="dxa"/>
            <w:tcBorders>
              <w:top w:val="nil"/>
              <w:left w:val="nil"/>
              <w:bottom w:val="single" w:sz="4" w:space="0" w:color="auto"/>
              <w:right w:val="single" w:sz="4" w:space="0" w:color="auto"/>
            </w:tcBorders>
            <w:shd w:val="clear" w:color="auto" w:fill="auto"/>
            <w:noWrap/>
            <w:vAlign w:val="bottom"/>
            <w:hideMark/>
          </w:tcPr>
          <w:p w14:paraId="79EE0721"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[CH2CHSO3]–</w:t>
            </w:r>
          </w:p>
        </w:tc>
        <w:tc>
          <w:tcPr>
            <w:tcW w:w="1058" w:type="dxa"/>
            <w:tcBorders>
              <w:top w:val="nil"/>
              <w:left w:val="nil"/>
              <w:bottom w:val="single" w:sz="4" w:space="0" w:color="auto"/>
              <w:right w:val="single" w:sz="4" w:space="0" w:color="auto"/>
            </w:tcBorders>
            <w:shd w:val="clear" w:color="auto" w:fill="auto"/>
            <w:noWrap/>
            <w:vAlign w:val="center"/>
            <w:hideMark/>
          </w:tcPr>
          <w:p w14:paraId="3B947E04"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84, 52</w:t>
            </w:r>
          </w:p>
        </w:tc>
      </w:tr>
      <w:tr w:rsidR="00445E98" w:rsidRPr="00806093" w14:paraId="126492F5" w14:textId="77777777" w:rsidTr="00C55966">
        <w:trPr>
          <w:trHeight w:val="300"/>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577351E2"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2</w:t>
            </w:r>
          </w:p>
        </w:tc>
        <w:tc>
          <w:tcPr>
            <w:tcW w:w="1827" w:type="dxa"/>
            <w:tcBorders>
              <w:top w:val="nil"/>
              <w:left w:val="nil"/>
              <w:bottom w:val="single" w:sz="4" w:space="0" w:color="auto"/>
              <w:right w:val="single" w:sz="4" w:space="0" w:color="auto"/>
            </w:tcBorders>
            <w:shd w:val="clear" w:color="auto" w:fill="auto"/>
            <w:noWrap/>
            <w:vAlign w:val="center"/>
            <w:hideMark/>
          </w:tcPr>
          <w:p w14:paraId="7E193B91"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val="en-US" w:eastAsia="sv-SE"/>
              </w:rPr>
              <w:t>Unknown T-BA_2</w:t>
            </w:r>
          </w:p>
        </w:tc>
        <w:tc>
          <w:tcPr>
            <w:tcW w:w="1091" w:type="dxa"/>
            <w:tcBorders>
              <w:top w:val="nil"/>
              <w:left w:val="nil"/>
              <w:bottom w:val="single" w:sz="4" w:space="0" w:color="auto"/>
              <w:right w:val="single" w:sz="4" w:space="0" w:color="auto"/>
            </w:tcBorders>
            <w:shd w:val="clear" w:color="auto" w:fill="auto"/>
            <w:noWrap/>
            <w:vAlign w:val="bottom"/>
            <w:hideMark/>
          </w:tcPr>
          <w:p w14:paraId="290F1C2B"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514.2838</w:t>
            </w:r>
          </w:p>
        </w:tc>
        <w:tc>
          <w:tcPr>
            <w:tcW w:w="759" w:type="dxa"/>
            <w:tcBorders>
              <w:top w:val="nil"/>
              <w:left w:val="nil"/>
              <w:bottom w:val="single" w:sz="4" w:space="0" w:color="auto"/>
              <w:right w:val="single" w:sz="4" w:space="0" w:color="auto"/>
            </w:tcBorders>
            <w:shd w:val="clear" w:color="auto" w:fill="auto"/>
            <w:noWrap/>
            <w:vAlign w:val="bottom"/>
            <w:hideMark/>
          </w:tcPr>
          <w:p w14:paraId="43B86614"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4.5</w:t>
            </w:r>
          </w:p>
        </w:tc>
        <w:tc>
          <w:tcPr>
            <w:tcW w:w="1177" w:type="dxa"/>
            <w:tcBorders>
              <w:top w:val="nil"/>
              <w:left w:val="nil"/>
              <w:bottom w:val="single" w:sz="4" w:space="0" w:color="auto"/>
              <w:right w:val="single" w:sz="4" w:space="0" w:color="auto"/>
            </w:tcBorders>
            <w:shd w:val="clear" w:color="auto" w:fill="auto"/>
            <w:noWrap/>
            <w:vAlign w:val="bottom"/>
            <w:hideMark/>
          </w:tcPr>
          <w:p w14:paraId="1430D98C"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TCA-d4</w:t>
            </w:r>
          </w:p>
        </w:tc>
        <w:tc>
          <w:tcPr>
            <w:tcW w:w="1362" w:type="dxa"/>
            <w:tcBorders>
              <w:top w:val="nil"/>
              <w:left w:val="nil"/>
              <w:bottom w:val="single" w:sz="4" w:space="0" w:color="auto"/>
              <w:right w:val="single" w:sz="4" w:space="0" w:color="auto"/>
            </w:tcBorders>
            <w:shd w:val="clear" w:color="auto" w:fill="auto"/>
            <w:noWrap/>
            <w:vAlign w:val="bottom"/>
            <w:hideMark/>
          </w:tcPr>
          <w:p w14:paraId="31167FE4"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514.3→106.9</w:t>
            </w:r>
          </w:p>
        </w:tc>
        <w:tc>
          <w:tcPr>
            <w:tcW w:w="1516" w:type="dxa"/>
            <w:tcBorders>
              <w:top w:val="nil"/>
              <w:left w:val="nil"/>
              <w:bottom w:val="single" w:sz="4" w:space="0" w:color="auto"/>
              <w:right w:val="single" w:sz="4" w:space="0" w:color="auto"/>
            </w:tcBorders>
            <w:shd w:val="clear" w:color="auto" w:fill="auto"/>
            <w:noWrap/>
            <w:vAlign w:val="bottom"/>
            <w:hideMark/>
          </w:tcPr>
          <w:p w14:paraId="473511DD"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[CH2CHSO3]–</w:t>
            </w:r>
          </w:p>
        </w:tc>
        <w:tc>
          <w:tcPr>
            <w:tcW w:w="1058" w:type="dxa"/>
            <w:tcBorders>
              <w:top w:val="nil"/>
              <w:left w:val="nil"/>
              <w:bottom w:val="single" w:sz="4" w:space="0" w:color="auto"/>
              <w:right w:val="single" w:sz="4" w:space="0" w:color="auto"/>
            </w:tcBorders>
            <w:shd w:val="clear" w:color="auto" w:fill="auto"/>
            <w:noWrap/>
            <w:vAlign w:val="center"/>
            <w:hideMark/>
          </w:tcPr>
          <w:p w14:paraId="59FB226D"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84, 52</w:t>
            </w:r>
          </w:p>
        </w:tc>
      </w:tr>
      <w:tr w:rsidR="00445E98" w:rsidRPr="00806093" w14:paraId="47570D8A" w14:textId="77777777" w:rsidTr="00C55966">
        <w:trPr>
          <w:trHeight w:val="300"/>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37666EF0"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3</w:t>
            </w:r>
          </w:p>
        </w:tc>
        <w:tc>
          <w:tcPr>
            <w:tcW w:w="1827" w:type="dxa"/>
            <w:tcBorders>
              <w:top w:val="nil"/>
              <w:left w:val="nil"/>
              <w:bottom w:val="single" w:sz="4" w:space="0" w:color="auto"/>
              <w:right w:val="single" w:sz="4" w:space="0" w:color="auto"/>
            </w:tcBorders>
            <w:shd w:val="clear" w:color="auto" w:fill="auto"/>
            <w:noWrap/>
            <w:vAlign w:val="center"/>
            <w:hideMark/>
          </w:tcPr>
          <w:p w14:paraId="6FBAADEC"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val="en-US" w:eastAsia="sv-SE"/>
              </w:rPr>
              <w:t xml:space="preserve"> Unknown T-BA_3</w:t>
            </w:r>
          </w:p>
        </w:tc>
        <w:tc>
          <w:tcPr>
            <w:tcW w:w="1091" w:type="dxa"/>
            <w:tcBorders>
              <w:top w:val="nil"/>
              <w:left w:val="nil"/>
              <w:bottom w:val="single" w:sz="4" w:space="0" w:color="auto"/>
              <w:right w:val="single" w:sz="4" w:space="0" w:color="auto"/>
            </w:tcBorders>
            <w:shd w:val="clear" w:color="auto" w:fill="auto"/>
            <w:noWrap/>
            <w:vAlign w:val="bottom"/>
            <w:hideMark/>
          </w:tcPr>
          <w:p w14:paraId="67AF3489"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514.2838</w:t>
            </w:r>
          </w:p>
        </w:tc>
        <w:tc>
          <w:tcPr>
            <w:tcW w:w="759" w:type="dxa"/>
            <w:tcBorders>
              <w:top w:val="nil"/>
              <w:left w:val="nil"/>
              <w:bottom w:val="single" w:sz="4" w:space="0" w:color="auto"/>
              <w:right w:val="single" w:sz="4" w:space="0" w:color="auto"/>
            </w:tcBorders>
            <w:shd w:val="clear" w:color="auto" w:fill="auto"/>
            <w:noWrap/>
            <w:vAlign w:val="bottom"/>
            <w:hideMark/>
          </w:tcPr>
          <w:p w14:paraId="477F6B13"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4.62</w:t>
            </w:r>
          </w:p>
        </w:tc>
        <w:tc>
          <w:tcPr>
            <w:tcW w:w="1177" w:type="dxa"/>
            <w:tcBorders>
              <w:top w:val="nil"/>
              <w:left w:val="nil"/>
              <w:bottom w:val="single" w:sz="4" w:space="0" w:color="auto"/>
              <w:right w:val="single" w:sz="4" w:space="0" w:color="auto"/>
            </w:tcBorders>
            <w:shd w:val="clear" w:color="auto" w:fill="auto"/>
            <w:noWrap/>
            <w:vAlign w:val="bottom"/>
            <w:hideMark/>
          </w:tcPr>
          <w:p w14:paraId="7E3B82AD"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TCA-d4</w:t>
            </w:r>
          </w:p>
        </w:tc>
        <w:tc>
          <w:tcPr>
            <w:tcW w:w="1362" w:type="dxa"/>
            <w:tcBorders>
              <w:top w:val="nil"/>
              <w:left w:val="nil"/>
              <w:bottom w:val="single" w:sz="4" w:space="0" w:color="auto"/>
              <w:right w:val="single" w:sz="4" w:space="0" w:color="auto"/>
            </w:tcBorders>
            <w:shd w:val="clear" w:color="auto" w:fill="auto"/>
            <w:noWrap/>
            <w:vAlign w:val="bottom"/>
            <w:hideMark/>
          </w:tcPr>
          <w:p w14:paraId="4C1131B0"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514.3→106.9</w:t>
            </w:r>
          </w:p>
        </w:tc>
        <w:tc>
          <w:tcPr>
            <w:tcW w:w="1516" w:type="dxa"/>
            <w:tcBorders>
              <w:top w:val="nil"/>
              <w:left w:val="nil"/>
              <w:bottom w:val="single" w:sz="4" w:space="0" w:color="auto"/>
              <w:right w:val="single" w:sz="4" w:space="0" w:color="auto"/>
            </w:tcBorders>
            <w:shd w:val="clear" w:color="auto" w:fill="auto"/>
            <w:noWrap/>
            <w:vAlign w:val="bottom"/>
            <w:hideMark/>
          </w:tcPr>
          <w:p w14:paraId="4AAC1D1B"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[CH2CHSO3]–</w:t>
            </w:r>
          </w:p>
        </w:tc>
        <w:tc>
          <w:tcPr>
            <w:tcW w:w="1058" w:type="dxa"/>
            <w:tcBorders>
              <w:top w:val="nil"/>
              <w:left w:val="nil"/>
              <w:bottom w:val="single" w:sz="4" w:space="0" w:color="auto"/>
              <w:right w:val="single" w:sz="4" w:space="0" w:color="auto"/>
            </w:tcBorders>
            <w:shd w:val="clear" w:color="auto" w:fill="auto"/>
            <w:noWrap/>
            <w:vAlign w:val="center"/>
            <w:hideMark/>
          </w:tcPr>
          <w:p w14:paraId="47E56B6D"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84, 52</w:t>
            </w:r>
          </w:p>
        </w:tc>
      </w:tr>
      <w:tr w:rsidR="00445E98" w:rsidRPr="00806093" w14:paraId="63CA0BD0" w14:textId="77777777" w:rsidTr="00C55966">
        <w:trPr>
          <w:trHeight w:val="300"/>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71AF31E9"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4</w:t>
            </w:r>
          </w:p>
        </w:tc>
        <w:tc>
          <w:tcPr>
            <w:tcW w:w="1827" w:type="dxa"/>
            <w:tcBorders>
              <w:top w:val="nil"/>
              <w:left w:val="nil"/>
              <w:bottom w:val="single" w:sz="4" w:space="0" w:color="auto"/>
              <w:right w:val="single" w:sz="4" w:space="0" w:color="auto"/>
            </w:tcBorders>
            <w:shd w:val="clear" w:color="auto" w:fill="auto"/>
            <w:noWrap/>
            <w:vAlign w:val="center"/>
            <w:hideMark/>
          </w:tcPr>
          <w:p w14:paraId="691A9C1F"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val="en-US" w:eastAsia="sv-SE"/>
              </w:rPr>
              <w:t>Unknown T-BA_4</w:t>
            </w:r>
          </w:p>
        </w:tc>
        <w:tc>
          <w:tcPr>
            <w:tcW w:w="1091" w:type="dxa"/>
            <w:tcBorders>
              <w:top w:val="nil"/>
              <w:left w:val="nil"/>
              <w:bottom w:val="single" w:sz="4" w:space="0" w:color="auto"/>
              <w:right w:val="single" w:sz="4" w:space="0" w:color="auto"/>
            </w:tcBorders>
            <w:shd w:val="clear" w:color="auto" w:fill="auto"/>
            <w:noWrap/>
            <w:vAlign w:val="bottom"/>
            <w:hideMark/>
          </w:tcPr>
          <w:p w14:paraId="3CE4416E"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514.2838</w:t>
            </w:r>
          </w:p>
        </w:tc>
        <w:tc>
          <w:tcPr>
            <w:tcW w:w="759" w:type="dxa"/>
            <w:tcBorders>
              <w:top w:val="nil"/>
              <w:left w:val="nil"/>
              <w:bottom w:val="single" w:sz="4" w:space="0" w:color="auto"/>
              <w:right w:val="single" w:sz="4" w:space="0" w:color="auto"/>
            </w:tcBorders>
            <w:shd w:val="clear" w:color="auto" w:fill="auto"/>
            <w:noWrap/>
            <w:vAlign w:val="bottom"/>
            <w:hideMark/>
          </w:tcPr>
          <w:p w14:paraId="1BAEEF95"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4.9</w:t>
            </w:r>
          </w:p>
        </w:tc>
        <w:tc>
          <w:tcPr>
            <w:tcW w:w="1177" w:type="dxa"/>
            <w:tcBorders>
              <w:top w:val="nil"/>
              <w:left w:val="nil"/>
              <w:bottom w:val="single" w:sz="4" w:space="0" w:color="auto"/>
              <w:right w:val="single" w:sz="4" w:space="0" w:color="auto"/>
            </w:tcBorders>
            <w:shd w:val="clear" w:color="auto" w:fill="auto"/>
            <w:noWrap/>
            <w:vAlign w:val="bottom"/>
            <w:hideMark/>
          </w:tcPr>
          <w:p w14:paraId="2129D9B5"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TCA-d4</w:t>
            </w:r>
          </w:p>
        </w:tc>
        <w:tc>
          <w:tcPr>
            <w:tcW w:w="1362" w:type="dxa"/>
            <w:tcBorders>
              <w:top w:val="nil"/>
              <w:left w:val="nil"/>
              <w:bottom w:val="single" w:sz="4" w:space="0" w:color="auto"/>
              <w:right w:val="single" w:sz="4" w:space="0" w:color="auto"/>
            </w:tcBorders>
            <w:shd w:val="clear" w:color="auto" w:fill="auto"/>
            <w:noWrap/>
            <w:vAlign w:val="bottom"/>
            <w:hideMark/>
          </w:tcPr>
          <w:p w14:paraId="5D91BF88"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514.3→106.9</w:t>
            </w:r>
          </w:p>
        </w:tc>
        <w:tc>
          <w:tcPr>
            <w:tcW w:w="1516" w:type="dxa"/>
            <w:tcBorders>
              <w:top w:val="nil"/>
              <w:left w:val="nil"/>
              <w:bottom w:val="single" w:sz="4" w:space="0" w:color="auto"/>
              <w:right w:val="single" w:sz="4" w:space="0" w:color="auto"/>
            </w:tcBorders>
            <w:shd w:val="clear" w:color="auto" w:fill="auto"/>
            <w:noWrap/>
            <w:vAlign w:val="bottom"/>
            <w:hideMark/>
          </w:tcPr>
          <w:p w14:paraId="3B6DA8E3"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[CH2CHSO3]–</w:t>
            </w:r>
          </w:p>
        </w:tc>
        <w:tc>
          <w:tcPr>
            <w:tcW w:w="1058" w:type="dxa"/>
            <w:tcBorders>
              <w:top w:val="nil"/>
              <w:left w:val="nil"/>
              <w:bottom w:val="single" w:sz="4" w:space="0" w:color="auto"/>
              <w:right w:val="single" w:sz="4" w:space="0" w:color="auto"/>
            </w:tcBorders>
            <w:shd w:val="clear" w:color="auto" w:fill="auto"/>
            <w:noWrap/>
            <w:vAlign w:val="center"/>
            <w:hideMark/>
          </w:tcPr>
          <w:p w14:paraId="78F4D631"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84, 52</w:t>
            </w:r>
          </w:p>
        </w:tc>
      </w:tr>
      <w:tr w:rsidR="00445E98" w:rsidRPr="00806093" w14:paraId="78CBC416" w14:textId="77777777" w:rsidTr="00C55966">
        <w:trPr>
          <w:trHeight w:val="300"/>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593407B2"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5</w:t>
            </w:r>
          </w:p>
        </w:tc>
        <w:tc>
          <w:tcPr>
            <w:tcW w:w="1827" w:type="dxa"/>
            <w:tcBorders>
              <w:top w:val="nil"/>
              <w:left w:val="nil"/>
              <w:bottom w:val="single" w:sz="4" w:space="0" w:color="auto"/>
              <w:right w:val="single" w:sz="4" w:space="0" w:color="auto"/>
            </w:tcBorders>
            <w:shd w:val="clear" w:color="auto" w:fill="auto"/>
            <w:noWrap/>
            <w:vAlign w:val="center"/>
            <w:hideMark/>
          </w:tcPr>
          <w:p w14:paraId="3C182F66"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val="en-US" w:eastAsia="sv-SE"/>
              </w:rPr>
              <w:t>Unknown T-BA_5</w:t>
            </w:r>
          </w:p>
        </w:tc>
        <w:tc>
          <w:tcPr>
            <w:tcW w:w="1091" w:type="dxa"/>
            <w:tcBorders>
              <w:top w:val="nil"/>
              <w:left w:val="nil"/>
              <w:bottom w:val="single" w:sz="4" w:space="0" w:color="auto"/>
              <w:right w:val="single" w:sz="4" w:space="0" w:color="auto"/>
            </w:tcBorders>
            <w:shd w:val="clear" w:color="auto" w:fill="auto"/>
            <w:noWrap/>
            <w:vAlign w:val="bottom"/>
            <w:hideMark/>
          </w:tcPr>
          <w:p w14:paraId="06DF3FF0"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498.291</w:t>
            </w:r>
          </w:p>
        </w:tc>
        <w:tc>
          <w:tcPr>
            <w:tcW w:w="759" w:type="dxa"/>
            <w:tcBorders>
              <w:top w:val="nil"/>
              <w:left w:val="nil"/>
              <w:bottom w:val="single" w:sz="4" w:space="0" w:color="auto"/>
              <w:right w:val="single" w:sz="4" w:space="0" w:color="auto"/>
            </w:tcBorders>
            <w:shd w:val="clear" w:color="auto" w:fill="auto"/>
            <w:noWrap/>
            <w:vAlign w:val="bottom"/>
            <w:hideMark/>
          </w:tcPr>
          <w:p w14:paraId="3DA49289"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4.23</w:t>
            </w:r>
          </w:p>
        </w:tc>
        <w:tc>
          <w:tcPr>
            <w:tcW w:w="1177" w:type="dxa"/>
            <w:tcBorders>
              <w:top w:val="nil"/>
              <w:left w:val="nil"/>
              <w:bottom w:val="single" w:sz="4" w:space="0" w:color="auto"/>
              <w:right w:val="single" w:sz="4" w:space="0" w:color="auto"/>
            </w:tcBorders>
            <w:shd w:val="clear" w:color="auto" w:fill="auto"/>
            <w:noWrap/>
            <w:vAlign w:val="bottom"/>
            <w:hideMark/>
          </w:tcPr>
          <w:p w14:paraId="6D965C05"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TCA-d5</w:t>
            </w:r>
          </w:p>
        </w:tc>
        <w:tc>
          <w:tcPr>
            <w:tcW w:w="1362" w:type="dxa"/>
            <w:tcBorders>
              <w:top w:val="nil"/>
              <w:left w:val="nil"/>
              <w:bottom w:val="single" w:sz="4" w:space="0" w:color="auto"/>
              <w:right w:val="single" w:sz="4" w:space="0" w:color="auto"/>
            </w:tcBorders>
            <w:shd w:val="clear" w:color="auto" w:fill="auto"/>
            <w:noWrap/>
            <w:vAlign w:val="bottom"/>
            <w:hideMark/>
          </w:tcPr>
          <w:p w14:paraId="3C552C3E"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498.3→80.0</w:t>
            </w:r>
          </w:p>
        </w:tc>
        <w:tc>
          <w:tcPr>
            <w:tcW w:w="1516" w:type="dxa"/>
            <w:tcBorders>
              <w:top w:val="nil"/>
              <w:left w:val="nil"/>
              <w:bottom w:val="single" w:sz="4" w:space="0" w:color="auto"/>
              <w:right w:val="single" w:sz="4" w:space="0" w:color="auto"/>
            </w:tcBorders>
            <w:shd w:val="clear" w:color="auto" w:fill="auto"/>
            <w:noWrap/>
            <w:vAlign w:val="bottom"/>
            <w:hideMark/>
          </w:tcPr>
          <w:p w14:paraId="2A8F2D40"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[SO3]–</w:t>
            </w:r>
          </w:p>
        </w:tc>
        <w:tc>
          <w:tcPr>
            <w:tcW w:w="1058" w:type="dxa"/>
            <w:tcBorders>
              <w:top w:val="nil"/>
              <w:left w:val="nil"/>
              <w:bottom w:val="single" w:sz="4" w:space="0" w:color="auto"/>
              <w:right w:val="single" w:sz="4" w:space="0" w:color="auto"/>
            </w:tcBorders>
            <w:shd w:val="clear" w:color="auto" w:fill="auto"/>
            <w:noWrap/>
            <w:vAlign w:val="center"/>
            <w:hideMark/>
          </w:tcPr>
          <w:p w14:paraId="51C7CB36"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94, 60</w:t>
            </w:r>
          </w:p>
        </w:tc>
      </w:tr>
      <w:tr w:rsidR="00445E98" w:rsidRPr="00806093" w14:paraId="47133A5D" w14:textId="77777777" w:rsidTr="00C55966">
        <w:trPr>
          <w:trHeight w:val="300"/>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3C2E684B"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6</w:t>
            </w:r>
          </w:p>
        </w:tc>
        <w:tc>
          <w:tcPr>
            <w:tcW w:w="1827" w:type="dxa"/>
            <w:tcBorders>
              <w:top w:val="nil"/>
              <w:left w:val="nil"/>
              <w:bottom w:val="single" w:sz="4" w:space="0" w:color="auto"/>
              <w:right w:val="single" w:sz="4" w:space="0" w:color="auto"/>
            </w:tcBorders>
            <w:shd w:val="clear" w:color="auto" w:fill="auto"/>
            <w:noWrap/>
            <w:vAlign w:val="center"/>
            <w:hideMark/>
          </w:tcPr>
          <w:p w14:paraId="5B63D917"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val="en-US" w:eastAsia="sv-SE"/>
              </w:rPr>
              <w:t>Unknown T-BA_6</w:t>
            </w:r>
          </w:p>
        </w:tc>
        <w:tc>
          <w:tcPr>
            <w:tcW w:w="1091" w:type="dxa"/>
            <w:tcBorders>
              <w:top w:val="nil"/>
              <w:left w:val="nil"/>
              <w:bottom w:val="single" w:sz="4" w:space="0" w:color="auto"/>
              <w:right w:val="single" w:sz="4" w:space="0" w:color="auto"/>
            </w:tcBorders>
            <w:shd w:val="clear" w:color="auto" w:fill="auto"/>
            <w:noWrap/>
            <w:vAlign w:val="bottom"/>
            <w:hideMark/>
          </w:tcPr>
          <w:p w14:paraId="208C2B03"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498.291</w:t>
            </w:r>
          </w:p>
        </w:tc>
        <w:tc>
          <w:tcPr>
            <w:tcW w:w="759" w:type="dxa"/>
            <w:tcBorders>
              <w:top w:val="nil"/>
              <w:left w:val="nil"/>
              <w:bottom w:val="single" w:sz="4" w:space="0" w:color="auto"/>
              <w:right w:val="single" w:sz="4" w:space="0" w:color="auto"/>
            </w:tcBorders>
            <w:shd w:val="clear" w:color="auto" w:fill="auto"/>
            <w:noWrap/>
            <w:vAlign w:val="bottom"/>
            <w:hideMark/>
          </w:tcPr>
          <w:p w14:paraId="3C5ADBE5"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4.71</w:t>
            </w:r>
          </w:p>
        </w:tc>
        <w:tc>
          <w:tcPr>
            <w:tcW w:w="1177" w:type="dxa"/>
            <w:tcBorders>
              <w:top w:val="nil"/>
              <w:left w:val="nil"/>
              <w:bottom w:val="single" w:sz="4" w:space="0" w:color="auto"/>
              <w:right w:val="single" w:sz="4" w:space="0" w:color="auto"/>
            </w:tcBorders>
            <w:shd w:val="clear" w:color="auto" w:fill="auto"/>
            <w:noWrap/>
            <w:vAlign w:val="bottom"/>
            <w:hideMark/>
          </w:tcPr>
          <w:p w14:paraId="04B2B6D0"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TCA-d6</w:t>
            </w:r>
          </w:p>
        </w:tc>
        <w:tc>
          <w:tcPr>
            <w:tcW w:w="1362" w:type="dxa"/>
            <w:tcBorders>
              <w:top w:val="nil"/>
              <w:left w:val="nil"/>
              <w:bottom w:val="single" w:sz="4" w:space="0" w:color="auto"/>
              <w:right w:val="single" w:sz="4" w:space="0" w:color="auto"/>
            </w:tcBorders>
            <w:shd w:val="clear" w:color="auto" w:fill="auto"/>
            <w:noWrap/>
            <w:vAlign w:val="bottom"/>
            <w:hideMark/>
          </w:tcPr>
          <w:p w14:paraId="571BFC23"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498.3→80.0</w:t>
            </w:r>
          </w:p>
        </w:tc>
        <w:tc>
          <w:tcPr>
            <w:tcW w:w="1516" w:type="dxa"/>
            <w:tcBorders>
              <w:top w:val="nil"/>
              <w:left w:val="nil"/>
              <w:bottom w:val="single" w:sz="4" w:space="0" w:color="auto"/>
              <w:right w:val="single" w:sz="4" w:space="0" w:color="auto"/>
            </w:tcBorders>
            <w:shd w:val="clear" w:color="auto" w:fill="auto"/>
            <w:noWrap/>
            <w:vAlign w:val="bottom"/>
            <w:hideMark/>
          </w:tcPr>
          <w:p w14:paraId="67A4BBDB"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[SO3]–</w:t>
            </w:r>
          </w:p>
        </w:tc>
        <w:tc>
          <w:tcPr>
            <w:tcW w:w="1058" w:type="dxa"/>
            <w:tcBorders>
              <w:top w:val="nil"/>
              <w:left w:val="nil"/>
              <w:bottom w:val="single" w:sz="4" w:space="0" w:color="auto"/>
              <w:right w:val="single" w:sz="4" w:space="0" w:color="auto"/>
            </w:tcBorders>
            <w:shd w:val="clear" w:color="auto" w:fill="auto"/>
            <w:noWrap/>
            <w:vAlign w:val="center"/>
            <w:hideMark/>
          </w:tcPr>
          <w:p w14:paraId="35C7A50A"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94, 60</w:t>
            </w:r>
          </w:p>
        </w:tc>
      </w:tr>
      <w:tr w:rsidR="00445E98" w:rsidRPr="00806093" w14:paraId="381BCF8C" w14:textId="77777777" w:rsidTr="00C55966">
        <w:trPr>
          <w:trHeight w:val="300"/>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47B2D16F"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7</w:t>
            </w:r>
          </w:p>
        </w:tc>
        <w:tc>
          <w:tcPr>
            <w:tcW w:w="1827" w:type="dxa"/>
            <w:tcBorders>
              <w:top w:val="nil"/>
              <w:left w:val="nil"/>
              <w:bottom w:val="single" w:sz="4" w:space="0" w:color="auto"/>
              <w:right w:val="single" w:sz="4" w:space="0" w:color="auto"/>
            </w:tcBorders>
            <w:shd w:val="clear" w:color="auto" w:fill="auto"/>
            <w:noWrap/>
            <w:vAlign w:val="center"/>
            <w:hideMark/>
          </w:tcPr>
          <w:p w14:paraId="32196C63"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val="en-US" w:eastAsia="sv-SE"/>
              </w:rPr>
              <w:t>Unknown T-BA_7</w:t>
            </w:r>
          </w:p>
        </w:tc>
        <w:tc>
          <w:tcPr>
            <w:tcW w:w="1091" w:type="dxa"/>
            <w:tcBorders>
              <w:top w:val="nil"/>
              <w:left w:val="nil"/>
              <w:bottom w:val="single" w:sz="4" w:space="0" w:color="auto"/>
              <w:right w:val="single" w:sz="4" w:space="0" w:color="auto"/>
            </w:tcBorders>
            <w:shd w:val="clear" w:color="auto" w:fill="auto"/>
            <w:noWrap/>
            <w:vAlign w:val="bottom"/>
            <w:hideMark/>
          </w:tcPr>
          <w:p w14:paraId="145FDC5F"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498.291</w:t>
            </w:r>
          </w:p>
        </w:tc>
        <w:tc>
          <w:tcPr>
            <w:tcW w:w="759" w:type="dxa"/>
            <w:tcBorders>
              <w:top w:val="nil"/>
              <w:left w:val="nil"/>
              <w:bottom w:val="single" w:sz="4" w:space="0" w:color="auto"/>
              <w:right w:val="single" w:sz="4" w:space="0" w:color="auto"/>
            </w:tcBorders>
            <w:shd w:val="clear" w:color="auto" w:fill="auto"/>
            <w:noWrap/>
            <w:vAlign w:val="bottom"/>
            <w:hideMark/>
          </w:tcPr>
          <w:p w14:paraId="3C95EA26"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6.21</w:t>
            </w:r>
          </w:p>
        </w:tc>
        <w:tc>
          <w:tcPr>
            <w:tcW w:w="1177" w:type="dxa"/>
            <w:tcBorders>
              <w:top w:val="nil"/>
              <w:left w:val="nil"/>
              <w:bottom w:val="single" w:sz="4" w:space="0" w:color="auto"/>
              <w:right w:val="single" w:sz="4" w:space="0" w:color="auto"/>
            </w:tcBorders>
            <w:shd w:val="clear" w:color="auto" w:fill="auto"/>
            <w:noWrap/>
            <w:vAlign w:val="bottom"/>
            <w:hideMark/>
          </w:tcPr>
          <w:p w14:paraId="5E449223"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TCA-d7</w:t>
            </w:r>
          </w:p>
        </w:tc>
        <w:tc>
          <w:tcPr>
            <w:tcW w:w="1362" w:type="dxa"/>
            <w:tcBorders>
              <w:top w:val="nil"/>
              <w:left w:val="nil"/>
              <w:bottom w:val="single" w:sz="4" w:space="0" w:color="auto"/>
              <w:right w:val="single" w:sz="4" w:space="0" w:color="auto"/>
            </w:tcBorders>
            <w:shd w:val="clear" w:color="auto" w:fill="auto"/>
            <w:noWrap/>
            <w:vAlign w:val="bottom"/>
            <w:hideMark/>
          </w:tcPr>
          <w:p w14:paraId="07A73CDC"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498.3→80.0</w:t>
            </w:r>
          </w:p>
        </w:tc>
        <w:tc>
          <w:tcPr>
            <w:tcW w:w="1516" w:type="dxa"/>
            <w:tcBorders>
              <w:top w:val="nil"/>
              <w:left w:val="nil"/>
              <w:bottom w:val="single" w:sz="4" w:space="0" w:color="auto"/>
              <w:right w:val="single" w:sz="4" w:space="0" w:color="auto"/>
            </w:tcBorders>
            <w:shd w:val="clear" w:color="auto" w:fill="auto"/>
            <w:noWrap/>
            <w:vAlign w:val="bottom"/>
            <w:hideMark/>
          </w:tcPr>
          <w:p w14:paraId="35D665DE"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[SO3]–</w:t>
            </w:r>
          </w:p>
        </w:tc>
        <w:tc>
          <w:tcPr>
            <w:tcW w:w="1058" w:type="dxa"/>
            <w:tcBorders>
              <w:top w:val="nil"/>
              <w:left w:val="nil"/>
              <w:bottom w:val="single" w:sz="4" w:space="0" w:color="auto"/>
              <w:right w:val="single" w:sz="4" w:space="0" w:color="auto"/>
            </w:tcBorders>
            <w:shd w:val="clear" w:color="auto" w:fill="auto"/>
            <w:noWrap/>
            <w:vAlign w:val="center"/>
            <w:hideMark/>
          </w:tcPr>
          <w:p w14:paraId="7D0EB3FC"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94, 60</w:t>
            </w:r>
          </w:p>
        </w:tc>
      </w:tr>
      <w:tr w:rsidR="00445E98" w:rsidRPr="00806093" w14:paraId="019587BF" w14:textId="77777777" w:rsidTr="00C55966">
        <w:trPr>
          <w:trHeight w:val="300"/>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1DF5F139"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8</w:t>
            </w:r>
          </w:p>
        </w:tc>
        <w:tc>
          <w:tcPr>
            <w:tcW w:w="1827" w:type="dxa"/>
            <w:tcBorders>
              <w:top w:val="nil"/>
              <w:left w:val="nil"/>
              <w:bottom w:val="single" w:sz="4" w:space="0" w:color="auto"/>
              <w:right w:val="single" w:sz="4" w:space="0" w:color="auto"/>
            </w:tcBorders>
            <w:shd w:val="clear" w:color="auto" w:fill="auto"/>
            <w:noWrap/>
            <w:vAlign w:val="center"/>
            <w:hideMark/>
          </w:tcPr>
          <w:p w14:paraId="7F33D67E"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val="en-US" w:eastAsia="sv-SE"/>
              </w:rPr>
              <w:t>Unknown T-BA_8</w:t>
            </w:r>
          </w:p>
        </w:tc>
        <w:tc>
          <w:tcPr>
            <w:tcW w:w="1091" w:type="dxa"/>
            <w:tcBorders>
              <w:top w:val="nil"/>
              <w:left w:val="nil"/>
              <w:bottom w:val="single" w:sz="4" w:space="0" w:color="auto"/>
              <w:right w:val="single" w:sz="4" w:space="0" w:color="auto"/>
            </w:tcBorders>
            <w:shd w:val="clear" w:color="auto" w:fill="auto"/>
            <w:noWrap/>
            <w:vAlign w:val="bottom"/>
            <w:hideMark/>
          </w:tcPr>
          <w:p w14:paraId="02B8A839"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498.291</w:t>
            </w:r>
          </w:p>
        </w:tc>
        <w:tc>
          <w:tcPr>
            <w:tcW w:w="759" w:type="dxa"/>
            <w:tcBorders>
              <w:top w:val="nil"/>
              <w:left w:val="nil"/>
              <w:bottom w:val="single" w:sz="4" w:space="0" w:color="auto"/>
              <w:right w:val="single" w:sz="4" w:space="0" w:color="auto"/>
            </w:tcBorders>
            <w:shd w:val="clear" w:color="auto" w:fill="auto"/>
            <w:noWrap/>
            <w:vAlign w:val="bottom"/>
            <w:hideMark/>
          </w:tcPr>
          <w:p w14:paraId="011A3D58"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6.89</w:t>
            </w:r>
          </w:p>
        </w:tc>
        <w:tc>
          <w:tcPr>
            <w:tcW w:w="1177" w:type="dxa"/>
            <w:tcBorders>
              <w:top w:val="nil"/>
              <w:left w:val="nil"/>
              <w:bottom w:val="single" w:sz="4" w:space="0" w:color="auto"/>
              <w:right w:val="single" w:sz="4" w:space="0" w:color="auto"/>
            </w:tcBorders>
            <w:shd w:val="clear" w:color="auto" w:fill="auto"/>
            <w:noWrap/>
            <w:vAlign w:val="bottom"/>
            <w:hideMark/>
          </w:tcPr>
          <w:p w14:paraId="66B01A02"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TCA-d8</w:t>
            </w:r>
          </w:p>
        </w:tc>
        <w:tc>
          <w:tcPr>
            <w:tcW w:w="1362" w:type="dxa"/>
            <w:tcBorders>
              <w:top w:val="nil"/>
              <w:left w:val="nil"/>
              <w:bottom w:val="single" w:sz="4" w:space="0" w:color="auto"/>
              <w:right w:val="single" w:sz="4" w:space="0" w:color="auto"/>
            </w:tcBorders>
            <w:shd w:val="clear" w:color="auto" w:fill="auto"/>
            <w:noWrap/>
            <w:vAlign w:val="bottom"/>
            <w:hideMark/>
          </w:tcPr>
          <w:p w14:paraId="0CE2A2AE"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498.3→80.0</w:t>
            </w:r>
          </w:p>
        </w:tc>
        <w:tc>
          <w:tcPr>
            <w:tcW w:w="1516" w:type="dxa"/>
            <w:tcBorders>
              <w:top w:val="nil"/>
              <w:left w:val="nil"/>
              <w:bottom w:val="single" w:sz="4" w:space="0" w:color="auto"/>
              <w:right w:val="single" w:sz="4" w:space="0" w:color="auto"/>
            </w:tcBorders>
            <w:shd w:val="clear" w:color="auto" w:fill="auto"/>
            <w:noWrap/>
            <w:vAlign w:val="bottom"/>
            <w:hideMark/>
          </w:tcPr>
          <w:p w14:paraId="6D87996B"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 xml:space="preserve">[SO3]– </w:t>
            </w:r>
          </w:p>
        </w:tc>
        <w:tc>
          <w:tcPr>
            <w:tcW w:w="1058" w:type="dxa"/>
            <w:tcBorders>
              <w:top w:val="nil"/>
              <w:left w:val="nil"/>
              <w:bottom w:val="single" w:sz="4" w:space="0" w:color="auto"/>
              <w:right w:val="single" w:sz="4" w:space="0" w:color="auto"/>
            </w:tcBorders>
            <w:shd w:val="clear" w:color="auto" w:fill="auto"/>
            <w:noWrap/>
            <w:vAlign w:val="center"/>
            <w:hideMark/>
          </w:tcPr>
          <w:p w14:paraId="06157E28"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94, 61</w:t>
            </w:r>
          </w:p>
        </w:tc>
      </w:tr>
      <w:tr w:rsidR="00445E98" w:rsidRPr="00806093" w14:paraId="7F525DEA" w14:textId="77777777" w:rsidTr="00C55966">
        <w:trPr>
          <w:trHeight w:val="300"/>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60855B3D"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9</w:t>
            </w:r>
          </w:p>
        </w:tc>
        <w:tc>
          <w:tcPr>
            <w:tcW w:w="1827" w:type="dxa"/>
            <w:tcBorders>
              <w:top w:val="nil"/>
              <w:left w:val="nil"/>
              <w:bottom w:val="single" w:sz="4" w:space="0" w:color="auto"/>
              <w:right w:val="single" w:sz="4" w:space="0" w:color="auto"/>
            </w:tcBorders>
            <w:shd w:val="clear" w:color="auto" w:fill="auto"/>
            <w:noWrap/>
            <w:vAlign w:val="center"/>
            <w:hideMark/>
          </w:tcPr>
          <w:p w14:paraId="770A1D7B"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val="en-US" w:eastAsia="sv-SE"/>
              </w:rPr>
              <w:t>Unknown T-BA_9</w:t>
            </w:r>
          </w:p>
        </w:tc>
        <w:tc>
          <w:tcPr>
            <w:tcW w:w="1091" w:type="dxa"/>
            <w:tcBorders>
              <w:top w:val="nil"/>
              <w:left w:val="nil"/>
              <w:bottom w:val="single" w:sz="4" w:space="0" w:color="auto"/>
              <w:right w:val="single" w:sz="4" w:space="0" w:color="auto"/>
            </w:tcBorders>
            <w:shd w:val="clear" w:color="auto" w:fill="auto"/>
            <w:noWrap/>
            <w:vAlign w:val="bottom"/>
            <w:hideMark/>
          </w:tcPr>
          <w:p w14:paraId="5A19F9AF"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498.291</w:t>
            </w:r>
          </w:p>
        </w:tc>
        <w:tc>
          <w:tcPr>
            <w:tcW w:w="759" w:type="dxa"/>
            <w:tcBorders>
              <w:top w:val="nil"/>
              <w:left w:val="nil"/>
              <w:bottom w:val="single" w:sz="4" w:space="0" w:color="auto"/>
              <w:right w:val="single" w:sz="4" w:space="0" w:color="auto"/>
            </w:tcBorders>
            <w:shd w:val="clear" w:color="auto" w:fill="auto"/>
            <w:noWrap/>
            <w:vAlign w:val="bottom"/>
            <w:hideMark/>
          </w:tcPr>
          <w:p w14:paraId="318C8E1C"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9.55</w:t>
            </w:r>
          </w:p>
        </w:tc>
        <w:tc>
          <w:tcPr>
            <w:tcW w:w="1177" w:type="dxa"/>
            <w:tcBorders>
              <w:top w:val="nil"/>
              <w:left w:val="nil"/>
              <w:bottom w:val="single" w:sz="4" w:space="0" w:color="auto"/>
              <w:right w:val="single" w:sz="4" w:space="0" w:color="auto"/>
            </w:tcBorders>
            <w:shd w:val="clear" w:color="auto" w:fill="auto"/>
            <w:noWrap/>
            <w:vAlign w:val="bottom"/>
            <w:hideMark/>
          </w:tcPr>
          <w:p w14:paraId="78349259"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TCA-d9</w:t>
            </w:r>
          </w:p>
        </w:tc>
        <w:tc>
          <w:tcPr>
            <w:tcW w:w="1362" w:type="dxa"/>
            <w:tcBorders>
              <w:top w:val="nil"/>
              <w:left w:val="nil"/>
              <w:bottom w:val="single" w:sz="4" w:space="0" w:color="auto"/>
              <w:right w:val="single" w:sz="4" w:space="0" w:color="auto"/>
            </w:tcBorders>
            <w:shd w:val="clear" w:color="auto" w:fill="auto"/>
            <w:noWrap/>
            <w:vAlign w:val="bottom"/>
            <w:hideMark/>
          </w:tcPr>
          <w:p w14:paraId="13DF59CB"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498.3→124.0</w:t>
            </w:r>
          </w:p>
        </w:tc>
        <w:tc>
          <w:tcPr>
            <w:tcW w:w="1516" w:type="dxa"/>
            <w:tcBorders>
              <w:top w:val="nil"/>
              <w:left w:val="nil"/>
              <w:bottom w:val="single" w:sz="4" w:space="0" w:color="auto"/>
              <w:right w:val="single" w:sz="4" w:space="0" w:color="auto"/>
            </w:tcBorders>
            <w:shd w:val="clear" w:color="auto" w:fill="auto"/>
            <w:noWrap/>
            <w:vAlign w:val="bottom"/>
            <w:hideMark/>
          </w:tcPr>
          <w:p w14:paraId="7A848527"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[taurine-H]–</w:t>
            </w:r>
          </w:p>
        </w:tc>
        <w:tc>
          <w:tcPr>
            <w:tcW w:w="1058" w:type="dxa"/>
            <w:tcBorders>
              <w:top w:val="nil"/>
              <w:left w:val="nil"/>
              <w:bottom w:val="single" w:sz="4" w:space="0" w:color="auto"/>
              <w:right w:val="single" w:sz="4" w:space="0" w:color="auto"/>
            </w:tcBorders>
            <w:shd w:val="clear" w:color="auto" w:fill="auto"/>
            <w:noWrap/>
            <w:vAlign w:val="center"/>
            <w:hideMark/>
          </w:tcPr>
          <w:p w14:paraId="48F52327"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90, 50</w:t>
            </w:r>
          </w:p>
        </w:tc>
      </w:tr>
      <w:tr w:rsidR="00445E98" w:rsidRPr="00806093" w14:paraId="5FF8C581" w14:textId="77777777" w:rsidTr="00C55966">
        <w:trPr>
          <w:trHeight w:val="300"/>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15E9D68B"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10</w:t>
            </w:r>
          </w:p>
        </w:tc>
        <w:tc>
          <w:tcPr>
            <w:tcW w:w="1827" w:type="dxa"/>
            <w:tcBorders>
              <w:top w:val="nil"/>
              <w:left w:val="nil"/>
              <w:bottom w:val="single" w:sz="4" w:space="0" w:color="auto"/>
              <w:right w:val="single" w:sz="4" w:space="0" w:color="auto"/>
            </w:tcBorders>
            <w:shd w:val="clear" w:color="auto" w:fill="auto"/>
            <w:noWrap/>
            <w:vAlign w:val="center"/>
            <w:hideMark/>
          </w:tcPr>
          <w:p w14:paraId="46D841C7"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val="en-US" w:eastAsia="sv-SE"/>
              </w:rPr>
              <w:t>Unknown G-BA_1</w:t>
            </w:r>
          </w:p>
        </w:tc>
        <w:tc>
          <w:tcPr>
            <w:tcW w:w="1091" w:type="dxa"/>
            <w:tcBorders>
              <w:top w:val="nil"/>
              <w:left w:val="nil"/>
              <w:bottom w:val="single" w:sz="4" w:space="0" w:color="auto"/>
              <w:right w:val="single" w:sz="4" w:space="0" w:color="auto"/>
            </w:tcBorders>
            <w:shd w:val="clear" w:color="auto" w:fill="auto"/>
            <w:noWrap/>
            <w:vAlign w:val="bottom"/>
            <w:hideMark/>
          </w:tcPr>
          <w:p w14:paraId="71603A5E"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464.3009</w:t>
            </w:r>
          </w:p>
        </w:tc>
        <w:tc>
          <w:tcPr>
            <w:tcW w:w="759" w:type="dxa"/>
            <w:tcBorders>
              <w:top w:val="nil"/>
              <w:left w:val="nil"/>
              <w:bottom w:val="single" w:sz="4" w:space="0" w:color="auto"/>
              <w:right w:val="single" w:sz="4" w:space="0" w:color="auto"/>
            </w:tcBorders>
            <w:shd w:val="clear" w:color="auto" w:fill="auto"/>
            <w:noWrap/>
            <w:vAlign w:val="bottom"/>
            <w:hideMark/>
          </w:tcPr>
          <w:p w14:paraId="13AC2881"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4</w:t>
            </w:r>
          </w:p>
        </w:tc>
        <w:tc>
          <w:tcPr>
            <w:tcW w:w="1177" w:type="dxa"/>
            <w:tcBorders>
              <w:top w:val="nil"/>
              <w:left w:val="nil"/>
              <w:bottom w:val="single" w:sz="4" w:space="0" w:color="auto"/>
              <w:right w:val="single" w:sz="4" w:space="0" w:color="auto"/>
            </w:tcBorders>
            <w:shd w:val="clear" w:color="auto" w:fill="auto"/>
            <w:noWrap/>
            <w:vAlign w:val="bottom"/>
            <w:hideMark/>
          </w:tcPr>
          <w:p w14:paraId="4E9A962F"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GCA-d4</w:t>
            </w:r>
          </w:p>
        </w:tc>
        <w:tc>
          <w:tcPr>
            <w:tcW w:w="1362" w:type="dxa"/>
            <w:tcBorders>
              <w:top w:val="nil"/>
              <w:left w:val="nil"/>
              <w:bottom w:val="single" w:sz="4" w:space="0" w:color="auto"/>
              <w:right w:val="single" w:sz="4" w:space="0" w:color="auto"/>
            </w:tcBorders>
            <w:shd w:val="clear" w:color="auto" w:fill="auto"/>
            <w:noWrap/>
            <w:vAlign w:val="bottom"/>
            <w:hideMark/>
          </w:tcPr>
          <w:p w14:paraId="1B806131"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464.3→74.0</w:t>
            </w:r>
          </w:p>
        </w:tc>
        <w:tc>
          <w:tcPr>
            <w:tcW w:w="1516" w:type="dxa"/>
            <w:tcBorders>
              <w:top w:val="nil"/>
              <w:left w:val="nil"/>
              <w:bottom w:val="single" w:sz="4" w:space="0" w:color="auto"/>
              <w:right w:val="single" w:sz="4" w:space="0" w:color="auto"/>
            </w:tcBorders>
            <w:shd w:val="clear" w:color="auto" w:fill="auto"/>
            <w:noWrap/>
            <w:vAlign w:val="bottom"/>
            <w:hideMark/>
          </w:tcPr>
          <w:p w14:paraId="271D5FA8"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[NH2CH2COO]–</w:t>
            </w:r>
          </w:p>
        </w:tc>
        <w:tc>
          <w:tcPr>
            <w:tcW w:w="1058" w:type="dxa"/>
            <w:tcBorders>
              <w:top w:val="nil"/>
              <w:left w:val="nil"/>
              <w:bottom w:val="single" w:sz="4" w:space="0" w:color="auto"/>
              <w:right w:val="single" w:sz="4" w:space="0" w:color="auto"/>
            </w:tcBorders>
            <w:shd w:val="clear" w:color="auto" w:fill="auto"/>
            <w:noWrap/>
            <w:vAlign w:val="center"/>
            <w:hideMark/>
          </w:tcPr>
          <w:p w14:paraId="2CEB751E"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80, 34</w:t>
            </w:r>
          </w:p>
        </w:tc>
      </w:tr>
      <w:tr w:rsidR="00445E98" w:rsidRPr="00806093" w14:paraId="3E970D1F" w14:textId="77777777" w:rsidTr="00C55966">
        <w:trPr>
          <w:trHeight w:val="300"/>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65BDDC3F"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11</w:t>
            </w:r>
          </w:p>
        </w:tc>
        <w:tc>
          <w:tcPr>
            <w:tcW w:w="1827" w:type="dxa"/>
            <w:tcBorders>
              <w:top w:val="nil"/>
              <w:left w:val="nil"/>
              <w:bottom w:val="single" w:sz="4" w:space="0" w:color="auto"/>
              <w:right w:val="single" w:sz="4" w:space="0" w:color="auto"/>
            </w:tcBorders>
            <w:shd w:val="clear" w:color="auto" w:fill="auto"/>
            <w:noWrap/>
            <w:vAlign w:val="center"/>
            <w:hideMark/>
          </w:tcPr>
          <w:p w14:paraId="3FB75CCA"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val="en-US" w:eastAsia="sv-SE"/>
              </w:rPr>
              <w:t>Unknown G-BA_2</w:t>
            </w:r>
          </w:p>
        </w:tc>
        <w:tc>
          <w:tcPr>
            <w:tcW w:w="1091" w:type="dxa"/>
            <w:tcBorders>
              <w:top w:val="nil"/>
              <w:left w:val="nil"/>
              <w:bottom w:val="single" w:sz="4" w:space="0" w:color="auto"/>
              <w:right w:val="single" w:sz="4" w:space="0" w:color="auto"/>
            </w:tcBorders>
            <w:shd w:val="clear" w:color="auto" w:fill="auto"/>
            <w:noWrap/>
            <w:vAlign w:val="bottom"/>
            <w:hideMark/>
          </w:tcPr>
          <w:p w14:paraId="786F8D8B"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464.3009</w:t>
            </w:r>
          </w:p>
        </w:tc>
        <w:tc>
          <w:tcPr>
            <w:tcW w:w="759" w:type="dxa"/>
            <w:tcBorders>
              <w:top w:val="nil"/>
              <w:left w:val="nil"/>
              <w:bottom w:val="single" w:sz="4" w:space="0" w:color="auto"/>
              <w:right w:val="single" w:sz="4" w:space="0" w:color="auto"/>
            </w:tcBorders>
            <w:shd w:val="clear" w:color="auto" w:fill="auto"/>
            <w:noWrap/>
            <w:vAlign w:val="bottom"/>
            <w:hideMark/>
          </w:tcPr>
          <w:p w14:paraId="6A95F75E"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4.54</w:t>
            </w:r>
          </w:p>
        </w:tc>
        <w:tc>
          <w:tcPr>
            <w:tcW w:w="1177" w:type="dxa"/>
            <w:tcBorders>
              <w:top w:val="nil"/>
              <w:left w:val="nil"/>
              <w:bottom w:val="single" w:sz="4" w:space="0" w:color="auto"/>
              <w:right w:val="single" w:sz="4" w:space="0" w:color="auto"/>
            </w:tcBorders>
            <w:shd w:val="clear" w:color="auto" w:fill="auto"/>
            <w:noWrap/>
            <w:vAlign w:val="bottom"/>
            <w:hideMark/>
          </w:tcPr>
          <w:p w14:paraId="163FC451"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GCA-d4</w:t>
            </w:r>
          </w:p>
        </w:tc>
        <w:tc>
          <w:tcPr>
            <w:tcW w:w="1362" w:type="dxa"/>
            <w:tcBorders>
              <w:top w:val="nil"/>
              <w:left w:val="nil"/>
              <w:bottom w:val="single" w:sz="4" w:space="0" w:color="auto"/>
              <w:right w:val="single" w:sz="4" w:space="0" w:color="auto"/>
            </w:tcBorders>
            <w:shd w:val="clear" w:color="auto" w:fill="auto"/>
            <w:noWrap/>
            <w:vAlign w:val="bottom"/>
            <w:hideMark/>
          </w:tcPr>
          <w:p w14:paraId="275B11DF"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464.3→74.0</w:t>
            </w:r>
          </w:p>
        </w:tc>
        <w:tc>
          <w:tcPr>
            <w:tcW w:w="1516" w:type="dxa"/>
            <w:tcBorders>
              <w:top w:val="nil"/>
              <w:left w:val="nil"/>
              <w:bottom w:val="single" w:sz="4" w:space="0" w:color="auto"/>
              <w:right w:val="single" w:sz="4" w:space="0" w:color="auto"/>
            </w:tcBorders>
            <w:shd w:val="clear" w:color="auto" w:fill="auto"/>
            <w:noWrap/>
            <w:vAlign w:val="bottom"/>
            <w:hideMark/>
          </w:tcPr>
          <w:p w14:paraId="6BC9658F"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[NH2CH2COO]–</w:t>
            </w:r>
          </w:p>
        </w:tc>
        <w:tc>
          <w:tcPr>
            <w:tcW w:w="1058" w:type="dxa"/>
            <w:tcBorders>
              <w:top w:val="nil"/>
              <w:left w:val="nil"/>
              <w:bottom w:val="single" w:sz="4" w:space="0" w:color="auto"/>
              <w:right w:val="single" w:sz="4" w:space="0" w:color="auto"/>
            </w:tcBorders>
            <w:shd w:val="clear" w:color="auto" w:fill="auto"/>
            <w:noWrap/>
            <w:vAlign w:val="center"/>
            <w:hideMark/>
          </w:tcPr>
          <w:p w14:paraId="284A1F14"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80, 34</w:t>
            </w:r>
          </w:p>
        </w:tc>
      </w:tr>
      <w:tr w:rsidR="00445E98" w:rsidRPr="00806093" w14:paraId="49357E59" w14:textId="77777777" w:rsidTr="00C55966">
        <w:trPr>
          <w:trHeight w:val="300"/>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43DF2358"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12</w:t>
            </w:r>
          </w:p>
        </w:tc>
        <w:tc>
          <w:tcPr>
            <w:tcW w:w="1827" w:type="dxa"/>
            <w:tcBorders>
              <w:top w:val="nil"/>
              <w:left w:val="nil"/>
              <w:bottom w:val="single" w:sz="4" w:space="0" w:color="auto"/>
              <w:right w:val="single" w:sz="4" w:space="0" w:color="auto"/>
            </w:tcBorders>
            <w:shd w:val="clear" w:color="auto" w:fill="auto"/>
            <w:noWrap/>
            <w:vAlign w:val="center"/>
            <w:hideMark/>
          </w:tcPr>
          <w:p w14:paraId="625BD2F0"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val="en-US" w:eastAsia="sv-SE"/>
              </w:rPr>
              <w:t>Unknown G-BA_3</w:t>
            </w:r>
          </w:p>
        </w:tc>
        <w:tc>
          <w:tcPr>
            <w:tcW w:w="1091" w:type="dxa"/>
            <w:tcBorders>
              <w:top w:val="nil"/>
              <w:left w:val="nil"/>
              <w:bottom w:val="single" w:sz="4" w:space="0" w:color="auto"/>
              <w:right w:val="single" w:sz="4" w:space="0" w:color="auto"/>
            </w:tcBorders>
            <w:shd w:val="clear" w:color="auto" w:fill="auto"/>
            <w:noWrap/>
            <w:vAlign w:val="bottom"/>
            <w:hideMark/>
          </w:tcPr>
          <w:p w14:paraId="77B83792"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464.3009</w:t>
            </w:r>
          </w:p>
        </w:tc>
        <w:tc>
          <w:tcPr>
            <w:tcW w:w="759" w:type="dxa"/>
            <w:tcBorders>
              <w:top w:val="nil"/>
              <w:left w:val="nil"/>
              <w:bottom w:val="single" w:sz="4" w:space="0" w:color="auto"/>
              <w:right w:val="single" w:sz="4" w:space="0" w:color="auto"/>
            </w:tcBorders>
            <w:shd w:val="clear" w:color="auto" w:fill="auto"/>
            <w:noWrap/>
            <w:vAlign w:val="bottom"/>
            <w:hideMark/>
          </w:tcPr>
          <w:p w14:paraId="7138DBF0"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4.73</w:t>
            </w:r>
          </w:p>
        </w:tc>
        <w:tc>
          <w:tcPr>
            <w:tcW w:w="1177" w:type="dxa"/>
            <w:tcBorders>
              <w:top w:val="nil"/>
              <w:left w:val="nil"/>
              <w:bottom w:val="single" w:sz="4" w:space="0" w:color="auto"/>
              <w:right w:val="single" w:sz="4" w:space="0" w:color="auto"/>
            </w:tcBorders>
            <w:shd w:val="clear" w:color="auto" w:fill="auto"/>
            <w:noWrap/>
            <w:vAlign w:val="bottom"/>
            <w:hideMark/>
          </w:tcPr>
          <w:p w14:paraId="2D5A88CA"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GCA-d5</w:t>
            </w:r>
          </w:p>
        </w:tc>
        <w:tc>
          <w:tcPr>
            <w:tcW w:w="1362" w:type="dxa"/>
            <w:tcBorders>
              <w:top w:val="nil"/>
              <w:left w:val="nil"/>
              <w:bottom w:val="single" w:sz="4" w:space="0" w:color="auto"/>
              <w:right w:val="single" w:sz="4" w:space="0" w:color="auto"/>
            </w:tcBorders>
            <w:shd w:val="clear" w:color="auto" w:fill="auto"/>
            <w:noWrap/>
            <w:vAlign w:val="bottom"/>
            <w:hideMark/>
          </w:tcPr>
          <w:p w14:paraId="053E77F1"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464.3→74.0</w:t>
            </w:r>
          </w:p>
        </w:tc>
        <w:tc>
          <w:tcPr>
            <w:tcW w:w="1516" w:type="dxa"/>
            <w:tcBorders>
              <w:top w:val="nil"/>
              <w:left w:val="nil"/>
              <w:bottom w:val="single" w:sz="4" w:space="0" w:color="auto"/>
              <w:right w:val="single" w:sz="4" w:space="0" w:color="auto"/>
            </w:tcBorders>
            <w:shd w:val="clear" w:color="auto" w:fill="auto"/>
            <w:noWrap/>
            <w:vAlign w:val="bottom"/>
            <w:hideMark/>
          </w:tcPr>
          <w:p w14:paraId="488C01C3"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[NH2CH2COO]–</w:t>
            </w:r>
          </w:p>
        </w:tc>
        <w:tc>
          <w:tcPr>
            <w:tcW w:w="1058" w:type="dxa"/>
            <w:tcBorders>
              <w:top w:val="nil"/>
              <w:left w:val="nil"/>
              <w:bottom w:val="single" w:sz="4" w:space="0" w:color="auto"/>
              <w:right w:val="single" w:sz="4" w:space="0" w:color="auto"/>
            </w:tcBorders>
            <w:shd w:val="clear" w:color="auto" w:fill="auto"/>
            <w:noWrap/>
            <w:vAlign w:val="center"/>
            <w:hideMark/>
          </w:tcPr>
          <w:p w14:paraId="3E2C6BEF"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80, 34</w:t>
            </w:r>
          </w:p>
        </w:tc>
      </w:tr>
      <w:tr w:rsidR="00445E98" w:rsidRPr="00806093" w14:paraId="6A83940E" w14:textId="77777777" w:rsidTr="00C55966">
        <w:trPr>
          <w:trHeight w:val="300"/>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243D03F6"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13</w:t>
            </w:r>
          </w:p>
        </w:tc>
        <w:tc>
          <w:tcPr>
            <w:tcW w:w="1827" w:type="dxa"/>
            <w:tcBorders>
              <w:top w:val="nil"/>
              <w:left w:val="nil"/>
              <w:bottom w:val="single" w:sz="4" w:space="0" w:color="auto"/>
              <w:right w:val="single" w:sz="4" w:space="0" w:color="auto"/>
            </w:tcBorders>
            <w:shd w:val="clear" w:color="auto" w:fill="auto"/>
            <w:noWrap/>
            <w:vAlign w:val="center"/>
            <w:hideMark/>
          </w:tcPr>
          <w:p w14:paraId="53CDAFDC"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val="en-US" w:eastAsia="sv-SE"/>
              </w:rPr>
              <w:t>Unknown G-BA_4</w:t>
            </w:r>
          </w:p>
        </w:tc>
        <w:tc>
          <w:tcPr>
            <w:tcW w:w="1091" w:type="dxa"/>
            <w:tcBorders>
              <w:top w:val="nil"/>
              <w:left w:val="nil"/>
              <w:bottom w:val="single" w:sz="4" w:space="0" w:color="auto"/>
              <w:right w:val="single" w:sz="4" w:space="0" w:color="auto"/>
            </w:tcBorders>
            <w:shd w:val="clear" w:color="auto" w:fill="auto"/>
            <w:noWrap/>
            <w:vAlign w:val="bottom"/>
            <w:hideMark/>
          </w:tcPr>
          <w:p w14:paraId="14E06D4E"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464.3009</w:t>
            </w:r>
          </w:p>
        </w:tc>
        <w:tc>
          <w:tcPr>
            <w:tcW w:w="759" w:type="dxa"/>
            <w:tcBorders>
              <w:top w:val="nil"/>
              <w:left w:val="nil"/>
              <w:bottom w:val="single" w:sz="4" w:space="0" w:color="auto"/>
              <w:right w:val="single" w:sz="4" w:space="0" w:color="auto"/>
            </w:tcBorders>
            <w:shd w:val="clear" w:color="auto" w:fill="auto"/>
            <w:noWrap/>
            <w:vAlign w:val="bottom"/>
            <w:hideMark/>
          </w:tcPr>
          <w:p w14:paraId="00CE0FC6"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5.06</w:t>
            </w:r>
          </w:p>
        </w:tc>
        <w:tc>
          <w:tcPr>
            <w:tcW w:w="1177" w:type="dxa"/>
            <w:tcBorders>
              <w:top w:val="nil"/>
              <w:left w:val="nil"/>
              <w:bottom w:val="single" w:sz="4" w:space="0" w:color="auto"/>
              <w:right w:val="single" w:sz="4" w:space="0" w:color="auto"/>
            </w:tcBorders>
            <w:shd w:val="clear" w:color="auto" w:fill="auto"/>
            <w:noWrap/>
            <w:vAlign w:val="bottom"/>
            <w:hideMark/>
          </w:tcPr>
          <w:p w14:paraId="7C3FC883"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GCA-d6</w:t>
            </w:r>
          </w:p>
        </w:tc>
        <w:tc>
          <w:tcPr>
            <w:tcW w:w="1362" w:type="dxa"/>
            <w:tcBorders>
              <w:top w:val="nil"/>
              <w:left w:val="nil"/>
              <w:bottom w:val="single" w:sz="4" w:space="0" w:color="auto"/>
              <w:right w:val="single" w:sz="4" w:space="0" w:color="auto"/>
            </w:tcBorders>
            <w:shd w:val="clear" w:color="auto" w:fill="auto"/>
            <w:noWrap/>
            <w:vAlign w:val="bottom"/>
            <w:hideMark/>
          </w:tcPr>
          <w:p w14:paraId="35FC4287"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464.3→74.0</w:t>
            </w:r>
          </w:p>
        </w:tc>
        <w:tc>
          <w:tcPr>
            <w:tcW w:w="1516" w:type="dxa"/>
            <w:tcBorders>
              <w:top w:val="nil"/>
              <w:left w:val="nil"/>
              <w:bottom w:val="single" w:sz="4" w:space="0" w:color="auto"/>
              <w:right w:val="single" w:sz="4" w:space="0" w:color="auto"/>
            </w:tcBorders>
            <w:shd w:val="clear" w:color="auto" w:fill="auto"/>
            <w:noWrap/>
            <w:vAlign w:val="bottom"/>
            <w:hideMark/>
          </w:tcPr>
          <w:p w14:paraId="2990FA81"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[NH2CH2COO]–</w:t>
            </w:r>
          </w:p>
        </w:tc>
        <w:tc>
          <w:tcPr>
            <w:tcW w:w="1058" w:type="dxa"/>
            <w:tcBorders>
              <w:top w:val="nil"/>
              <w:left w:val="nil"/>
              <w:bottom w:val="single" w:sz="4" w:space="0" w:color="auto"/>
              <w:right w:val="single" w:sz="4" w:space="0" w:color="auto"/>
            </w:tcBorders>
            <w:shd w:val="clear" w:color="auto" w:fill="auto"/>
            <w:noWrap/>
            <w:vAlign w:val="center"/>
            <w:hideMark/>
          </w:tcPr>
          <w:p w14:paraId="39E6E8F3"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80, 34</w:t>
            </w:r>
          </w:p>
        </w:tc>
      </w:tr>
      <w:tr w:rsidR="00445E98" w:rsidRPr="00806093" w14:paraId="74F91115" w14:textId="77777777" w:rsidTr="00C55966">
        <w:trPr>
          <w:trHeight w:val="300"/>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54D3DEDC"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14</w:t>
            </w:r>
          </w:p>
        </w:tc>
        <w:tc>
          <w:tcPr>
            <w:tcW w:w="1827" w:type="dxa"/>
            <w:tcBorders>
              <w:top w:val="nil"/>
              <w:left w:val="nil"/>
              <w:bottom w:val="single" w:sz="4" w:space="0" w:color="auto"/>
              <w:right w:val="single" w:sz="4" w:space="0" w:color="auto"/>
            </w:tcBorders>
            <w:shd w:val="clear" w:color="auto" w:fill="auto"/>
            <w:noWrap/>
            <w:vAlign w:val="center"/>
            <w:hideMark/>
          </w:tcPr>
          <w:p w14:paraId="5F198ED6"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val="en-US" w:eastAsia="sv-SE"/>
              </w:rPr>
              <w:t>Unknown G-BA_5</w:t>
            </w:r>
          </w:p>
        </w:tc>
        <w:tc>
          <w:tcPr>
            <w:tcW w:w="1091" w:type="dxa"/>
            <w:tcBorders>
              <w:top w:val="nil"/>
              <w:left w:val="nil"/>
              <w:bottom w:val="single" w:sz="4" w:space="0" w:color="auto"/>
              <w:right w:val="single" w:sz="4" w:space="0" w:color="auto"/>
            </w:tcBorders>
            <w:shd w:val="clear" w:color="auto" w:fill="auto"/>
            <w:noWrap/>
            <w:vAlign w:val="bottom"/>
            <w:hideMark/>
          </w:tcPr>
          <w:p w14:paraId="72899DAD"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464.3009</w:t>
            </w:r>
          </w:p>
        </w:tc>
        <w:tc>
          <w:tcPr>
            <w:tcW w:w="759" w:type="dxa"/>
            <w:tcBorders>
              <w:top w:val="nil"/>
              <w:left w:val="nil"/>
              <w:bottom w:val="single" w:sz="4" w:space="0" w:color="auto"/>
              <w:right w:val="single" w:sz="4" w:space="0" w:color="auto"/>
            </w:tcBorders>
            <w:shd w:val="clear" w:color="auto" w:fill="auto"/>
            <w:noWrap/>
            <w:vAlign w:val="bottom"/>
            <w:hideMark/>
          </w:tcPr>
          <w:p w14:paraId="2472F24E"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5.19</w:t>
            </w:r>
          </w:p>
        </w:tc>
        <w:tc>
          <w:tcPr>
            <w:tcW w:w="1177" w:type="dxa"/>
            <w:tcBorders>
              <w:top w:val="nil"/>
              <w:left w:val="nil"/>
              <w:bottom w:val="single" w:sz="4" w:space="0" w:color="auto"/>
              <w:right w:val="single" w:sz="4" w:space="0" w:color="auto"/>
            </w:tcBorders>
            <w:shd w:val="clear" w:color="auto" w:fill="auto"/>
            <w:noWrap/>
            <w:vAlign w:val="bottom"/>
            <w:hideMark/>
          </w:tcPr>
          <w:p w14:paraId="68C668EF"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GCA-d7</w:t>
            </w:r>
          </w:p>
        </w:tc>
        <w:tc>
          <w:tcPr>
            <w:tcW w:w="1362" w:type="dxa"/>
            <w:tcBorders>
              <w:top w:val="nil"/>
              <w:left w:val="nil"/>
              <w:bottom w:val="single" w:sz="4" w:space="0" w:color="auto"/>
              <w:right w:val="single" w:sz="4" w:space="0" w:color="auto"/>
            </w:tcBorders>
            <w:shd w:val="clear" w:color="auto" w:fill="auto"/>
            <w:noWrap/>
            <w:vAlign w:val="bottom"/>
            <w:hideMark/>
          </w:tcPr>
          <w:p w14:paraId="1EB4876C"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464.3→74.0</w:t>
            </w:r>
          </w:p>
        </w:tc>
        <w:tc>
          <w:tcPr>
            <w:tcW w:w="1516" w:type="dxa"/>
            <w:tcBorders>
              <w:top w:val="nil"/>
              <w:left w:val="nil"/>
              <w:bottom w:val="single" w:sz="4" w:space="0" w:color="auto"/>
              <w:right w:val="single" w:sz="4" w:space="0" w:color="auto"/>
            </w:tcBorders>
            <w:shd w:val="clear" w:color="auto" w:fill="auto"/>
            <w:noWrap/>
            <w:vAlign w:val="bottom"/>
            <w:hideMark/>
          </w:tcPr>
          <w:p w14:paraId="0EBBF19C"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[NH2CH2COO]–</w:t>
            </w:r>
          </w:p>
        </w:tc>
        <w:tc>
          <w:tcPr>
            <w:tcW w:w="1058" w:type="dxa"/>
            <w:tcBorders>
              <w:top w:val="nil"/>
              <w:left w:val="nil"/>
              <w:bottom w:val="single" w:sz="4" w:space="0" w:color="auto"/>
              <w:right w:val="single" w:sz="4" w:space="0" w:color="auto"/>
            </w:tcBorders>
            <w:shd w:val="clear" w:color="auto" w:fill="auto"/>
            <w:noWrap/>
            <w:vAlign w:val="center"/>
            <w:hideMark/>
          </w:tcPr>
          <w:p w14:paraId="5B30AA10"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80, 34</w:t>
            </w:r>
          </w:p>
        </w:tc>
      </w:tr>
      <w:tr w:rsidR="00445E98" w:rsidRPr="00806093" w14:paraId="7736FC15" w14:textId="77777777" w:rsidTr="00C55966">
        <w:trPr>
          <w:trHeight w:val="300"/>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12115AB4"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15</w:t>
            </w:r>
          </w:p>
        </w:tc>
        <w:tc>
          <w:tcPr>
            <w:tcW w:w="1827" w:type="dxa"/>
            <w:tcBorders>
              <w:top w:val="nil"/>
              <w:left w:val="nil"/>
              <w:bottom w:val="single" w:sz="4" w:space="0" w:color="auto"/>
              <w:right w:val="single" w:sz="4" w:space="0" w:color="auto"/>
            </w:tcBorders>
            <w:shd w:val="clear" w:color="auto" w:fill="auto"/>
            <w:noWrap/>
            <w:vAlign w:val="center"/>
            <w:hideMark/>
          </w:tcPr>
          <w:p w14:paraId="3ED15979"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val="en-US" w:eastAsia="sv-SE"/>
              </w:rPr>
              <w:t>Unknown G-BA_6</w:t>
            </w:r>
          </w:p>
        </w:tc>
        <w:tc>
          <w:tcPr>
            <w:tcW w:w="1091" w:type="dxa"/>
            <w:tcBorders>
              <w:top w:val="nil"/>
              <w:left w:val="nil"/>
              <w:bottom w:val="single" w:sz="4" w:space="0" w:color="auto"/>
              <w:right w:val="single" w:sz="4" w:space="0" w:color="auto"/>
            </w:tcBorders>
            <w:shd w:val="clear" w:color="auto" w:fill="auto"/>
            <w:noWrap/>
            <w:vAlign w:val="bottom"/>
            <w:hideMark/>
          </w:tcPr>
          <w:p w14:paraId="006245A3"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464.3009</w:t>
            </w:r>
          </w:p>
        </w:tc>
        <w:tc>
          <w:tcPr>
            <w:tcW w:w="759" w:type="dxa"/>
            <w:tcBorders>
              <w:top w:val="nil"/>
              <w:left w:val="nil"/>
              <w:bottom w:val="single" w:sz="4" w:space="0" w:color="auto"/>
              <w:right w:val="single" w:sz="4" w:space="0" w:color="auto"/>
            </w:tcBorders>
            <w:shd w:val="clear" w:color="auto" w:fill="auto"/>
            <w:noWrap/>
            <w:vAlign w:val="bottom"/>
            <w:hideMark/>
          </w:tcPr>
          <w:p w14:paraId="5516270D"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5.37</w:t>
            </w:r>
          </w:p>
        </w:tc>
        <w:tc>
          <w:tcPr>
            <w:tcW w:w="1177" w:type="dxa"/>
            <w:tcBorders>
              <w:top w:val="nil"/>
              <w:left w:val="nil"/>
              <w:bottom w:val="single" w:sz="4" w:space="0" w:color="auto"/>
              <w:right w:val="single" w:sz="4" w:space="0" w:color="auto"/>
            </w:tcBorders>
            <w:shd w:val="clear" w:color="auto" w:fill="auto"/>
            <w:noWrap/>
            <w:vAlign w:val="bottom"/>
            <w:hideMark/>
          </w:tcPr>
          <w:p w14:paraId="4DE4F756"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GCA-d8</w:t>
            </w:r>
          </w:p>
        </w:tc>
        <w:tc>
          <w:tcPr>
            <w:tcW w:w="1362" w:type="dxa"/>
            <w:tcBorders>
              <w:top w:val="nil"/>
              <w:left w:val="nil"/>
              <w:bottom w:val="single" w:sz="4" w:space="0" w:color="auto"/>
              <w:right w:val="single" w:sz="4" w:space="0" w:color="auto"/>
            </w:tcBorders>
            <w:shd w:val="clear" w:color="auto" w:fill="auto"/>
            <w:noWrap/>
            <w:vAlign w:val="bottom"/>
            <w:hideMark/>
          </w:tcPr>
          <w:p w14:paraId="63F18FC2"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464.3→74.0</w:t>
            </w:r>
          </w:p>
        </w:tc>
        <w:tc>
          <w:tcPr>
            <w:tcW w:w="1516" w:type="dxa"/>
            <w:tcBorders>
              <w:top w:val="nil"/>
              <w:left w:val="nil"/>
              <w:bottom w:val="single" w:sz="4" w:space="0" w:color="auto"/>
              <w:right w:val="single" w:sz="4" w:space="0" w:color="auto"/>
            </w:tcBorders>
            <w:shd w:val="clear" w:color="auto" w:fill="auto"/>
            <w:noWrap/>
            <w:vAlign w:val="bottom"/>
            <w:hideMark/>
          </w:tcPr>
          <w:p w14:paraId="4524E66F"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[NH2CH2COO]–</w:t>
            </w:r>
          </w:p>
        </w:tc>
        <w:tc>
          <w:tcPr>
            <w:tcW w:w="1058" w:type="dxa"/>
            <w:tcBorders>
              <w:top w:val="nil"/>
              <w:left w:val="nil"/>
              <w:bottom w:val="single" w:sz="4" w:space="0" w:color="auto"/>
              <w:right w:val="single" w:sz="4" w:space="0" w:color="auto"/>
            </w:tcBorders>
            <w:shd w:val="clear" w:color="auto" w:fill="auto"/>
            <w:noWrap/>
            <w:vAlign w:val="center"/>
            <w:hideMark/>
          </w:tcPr>
          <w:p w14:paraId="33A90BD0"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80, 34</w:t>
            </w:r>
          </w:p>
        </w:tc>
      </w:tr>
      <w:tr w:rsidR="00445E98" w:rsidRPr="00806093" w14:paraId="3A07A71F" w14:textId="77777777" w:rsidTr="00C55966">
        <w:trPr>
          <w:trHeight w:val="300"/>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1371A373"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16</w:t>
            </w:r>
          </w:p>
        </w:tc>
        <w:tc>
          <w:tcPr>
            <w:tcW w:w="1827" w:type="dxa"/>
            <w:tcBorders>
              <w:top w:val="nil"/>
              <w:left w:val="nil"/>
              <w:bottom w:val="single" w:sz="4" w:space="0" w:color="auto"/>
              <w:right w:val="single" w:sz="4" w:space="0" w:color="auto"/>
            </w:tcBorders>
            <w:shd w:val="clear" w:color="auto" w:fill="auto"/>
            <w:noWrap/>
            <w:vAlign w:val="center"/>
            <w:hideMark/>
          </w:tcPr>
          <w:p w14:paraId="099822F6"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val="en-US" w:eastAsia="sv-SE"/>
              </w:rPr>
              <w:t>Unknown G-BA_7</w:t>
            </w:r>
          </w:p>
        </w:tc>
        <w:tc>
          <w:tcPr>
            <w:tcW w:w="1091" w:type="dxa"/>
            <w:tcBorders>
              <w:top w:val="nil"/>
              <w:left w:val="nil"/>
              <w:bottom w:val="single" w:sz="4" w:space="0" w:color="auto"/>
              <w:right w:val="single" w:sz="4" w:space="0" w:color="auto"/>
            </w:tcBorders>
            <w:shd w:val="clear" w:color="auto" w:fill="auto"/>
            <w:noWrap/>
            <w:vAlign w:val="bottom"/>
            <w:hideMark/>
          </w:tcPr>
          <w:p w14:paraId="2C81E2FA"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464.3009</w:t>
            </w:r>
          </w:p>
        </w:tc>
        <w:tc>
          <w:tcPr>
            <w:tcW w:w="759" w:type="dxa"/>
            <w:tcBorders>
              <w:top w:val="nil"/>
              <w:left w:val="nil"/>
              <w:bottom w:val="single" w:sz="4" w:space="0" w:color="auto"/>
              <w:right w:val="single" w:sz="4" w:space="0" w:color="auto"/>
            </w:tcBorders>
            <w:shd w:val="clear" w:color="auto" w:fill="auto"/>
            <w:noWrap/>
            <w:vAlign w:val="bottom"/>
            <w:hideMark/>
          </w:tcPr>
          <w:p w14:paraId="0DED5FB9"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5.48</w:t>
            </w:r>
          </w:p>
        </w:tc>
        <w:tc>
          <w:tcPr>
            <w:tcW w:w="1177" w:type="dxa"/>
            <w:tcBorders>
              <w:top w:val="nil"/>
              <w:left w:val="nil"/>
              <w:bottom w:val="single" w:sz="4" w:space="0" w:color="auto"/>
              <w:right w:val="single" w:sz="4" w:space="0" w:color="auto"/>
            </w:tcBorders>
            <w:shd w:val="clear" w:color="auto" w:fill="auto"/>
            <w:noWrap/>
            <w:vAlign w:val="bottom"/>
            <w:hideMark/>
          </w:tcPr>
          <w:p w14:paraId="667DF9F2"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GCA-d9</w:t>
            </w:r>
          </w:p>
        </w:tc>
        <w:tc>
          <w:tcPr>
            <w:tcW w:w="1362" w:type="dxa"/>
            <w:tcBorders>
              <w:top w:val="nil"/>
              <w:left w:val="nil"/>
              <w:bottom w:val="single" w:sz="4" w:space="0" w:color="auto"/>
              <w:right w:val="single" w:sz="4" w:space="0" w:color="auto"/>
            </w:tcBorders>
            <w:shd w:val="clear" w:color="auto" w:fill="auto"/>
            <w:noWrap/>
            <w:vAlign w:val="bottom"/>
            <w:hideMark/>
          </w:tcPr>
          <w:p w14:paraId="09EAAC88"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464.3→74.0</w:t>
            </w:r>
          </w:p>
        </w:tc>
        <w:tc>
          <w:tcPr>
            <w:tcW w:w="1516" w:type="dxa"/>
            <w:tcBorders>
              <w:top w:val="nil"/>
              <w:left w:val="nil"/>
              <w:bottom w:val="single" w:sz="4" w:space="0" w:color="auto"/>
              <w:right w:val="single" w:sz="4" w:space="0" w:color="auto"/>
            </w:tcBorders>
            <w:shd w:val="clear" w:color="auto" w:fill="auto"/>
            <w:noWrap/>
            <w:vAlign w:val="bottom"/>
            <w:hideMark/>
          </w:tcPr>
          <w:p w14:paraId="0AE99B4D"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[NH2CH2COO]–</w:t>
            </w:r>
          </w:p>
        </w:tc>
        <w:tc>
          <w:tcPr>
            <w:tcW w:w="1058" w:type="dxa"/>
            <w:tcBorders>
              <w:top w:val="nil"/>
              <w:left w:val="nil"/>
              <w:bottom w:val="single" w:sz="4" w:space="0" w:color="auto"/>
              <w:right w:val="single" w:sz="4" w:space="0" w:color="auto"/>
            </w:tcBorders>
            <w:shd w:val="clear" w:color="auto" w:fill="auto"/>
            <w:noWrap/>
            <w:vAlign w:val="center"/>
            <w:hideMark/>
          </w:tcPr>
          <w:p w14:paraId="3EF78DCC"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80, 34</w:t>
            </w:r>
          </w:p>
        </w:tc>
      </w:tr>
      <w:tr w:rsidR="00445E98" w:rsidRPr="00806093" w14:paraId="0561511E" w14:textId="77777777" w:rsidTr="00C55966">
        <w:trPr>
          <w:trHeight w:val="300"/>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52A32C33"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17</w:t>
            </w:r>
          </w:p>
        </w:tc>
        <w:tc>
          <w:tcPr>
            <w:tcW w:w="1827" w:type="dxa"/>
            <w:tcBorders>
              <w:top w:val="nil"/>
              <w:left w:val="nil"/>
              <w:bottom w:val="single" w:sz="4" w:space="0" w:color="auto"/>
              <w:right w:val="single" w:sz="4" w:space="0" w:color="auto"/>
            </w:tcBorders>
            <w:shd w:val="clear" w:color="auto" w:fill="auto"/>
            <w:noWrap/>
            <w:vAlign w:val="center"/>
            <w:hideMark/>
          </w:tcPr>
          <w:p w14:paraId="58E3757F"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val="en-US" w:eastAsia="sv-SE"/>
              </w:rPr>
              <w:t>Unknown G-BA_8</w:t>
            </w:r>
          </w:p>
        </w:tc>
        <w:tc>
          <w:tcPr>
            <w:tcW w:w="1091" w:type="dxa"/>
            <w:tcBorders>
              <w:top w:val="nil"/>
              <w:left w:val="nil"/>
              <w:bottom w:val="single" w:sz="4" w:space="0" w:color="auto"/>
              <w:right w:val="single" w:sz="4" w:space="0" w:color="auto"/>
            </w:tcBorders>
            <w:shd w:val="clear" w:color="auto" w:fill="auto"/>
            <w:noWrap/>
            <w:vAlign w:val="bottom"/>
            <w:hideMark/>
          </w:tcPr>
          <w:p w14:paraId="291F623A"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464.3009</w:t>
            </w:r>
          </w:p>
        </w:tc>
        <w:tc>
          <w:tcPr>
            <w:tcW w:w="759" w:type="dxa"/>
            <w:tcBorders>
              <w:top w:val="nil"/>
              <w:left w:val="nil"/>
              <w:bottom w:val="single" w:sz="4" w:space="0" w:color="auto"/>
              <w:right w:val="single" w:sz="4" w:space="0" w:color="auto"/>
            </w:tcBorders>
            <w:shd w:val="clear" w:color="auto" w:fill="auto"/>
            <w:noWrap/>
            <w:vAlign w:val="bottom"/>
            <w:hideMark/>
          </w:tcPr>
          <w:p w14:paraId="340823C9"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5.65</w:t>
            </w:r>
          </w:p>
        </w:tc>
        <w:tc>
          <w:tcPr>
            <w:tcW w:w="1177" w:type="dxa"/>
            <w:tcBorders>
              <w:top w:val="nil"/>
              <w:left w:val="nil"/>
              <w:bottom w:val="single" w:sz="4" w:space="0" w:color="auto"/>
              <w:right w:val="single" w:sz="4" w:space="0" w:color="auto"/>
            </w:tcBorders>
            <w:shd w:val="clear" w:color="auto" w:fill="auto"/>
            <w:noWrap/>
            <w:vAlign w:val="bottom"/>
            <w:hideMark/>
          </w:tcPr>
          <w:p w14:paraId="3751B242"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GCA-d4</w:t>
            </w:r>
          </w:p>
        </w:tc>
        <w:tc>
          <w:tcPr>
            <w:tcW w:w="1362" w:type="dxa"/>
            <w:tcBorders>
              <w:top w:val="nil"/>
              <w:left w:val="nil"/>
              <w:bottom w:val="single" w:sz="4" w:space="0" w:color="auto"/>
              <w:right w:val="single" w:sz="4" w:space="0" w:color="auto"/>
            </w:tcBorders>
            <w:shd w:val="clear" w:color="auto" w:fill="auto"/>
            <w:noWrap/>
            <w:vAlign w:val="bottom"/>
            <w:hideMark/>
          </w:tcPr>
          <w:p w14:paraId="54305874"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464.3→74.0</w:t>
            </w:r>
          </w:p>
        </w:tc>
        <w:tc>
          <w:tcPr>
            <w:tcW w:w="1516" w:type="dxa"/>
            <w:tcBorders>
              <w:top w:val="nil"/>
              <w:left w:val="nil"/>
              <w:bottom w:val="single" w:sz="4" w:space="0" w:color="auto"/>
              <w:right w:val="single" w:sz="4" w:space="0" w:color="auto"/>
            </w:tcBorders>
            <w:shd w:val="clear" w:color="auto" w:fill="auto"/>
            <w:noWrap/>
            <w:vAlign w:val="bottom"/>
            <w:hideMark/>
          </w:tcPr>
          <w:p w14:paraId="5DBE491C"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[NH2CH2COO]–</w:t>
            </w:r>
          </w:p>
        </w:tc>
        <w:tc>
          <w:tcPr>
            <w:tcW w:w="1058" w:type="dxa"/>
            <w:tcBorders>
              <w:top w:val="nil"/>
              <w:left w:val="nil"/>
              <w:bottom w:val="single" w:sz="4" w:space="0" w:color="auto"/>
              <w:right w:val="single" w:sz="4" w:space="0" w:color="auto"/>
            </w:tcBorders>
            <w:shd w:val="clear" w:color="auto" w:fill="auto"/>
            <w:noWrap/>
            <w:vAlign w:val="center"/>
            <w:hideMark/>
          </w:tcPr>
          <w:p w14:paraId="68079162"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80, 34</w:t>
            </w:r>
          </w:p>
        </w:tc>
      </w:tr>
      <w:tr w:rsidR="00445E98" w:rsidRPr="00806093" w14:paraId="748DAB55" w14:textId="77777777" w:rsidTr="00C55966">
        <w:trPr>
          <w:trHeight w:val="300"/>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0171B0B0"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18</w:t>
            </w:r>
          </w:p>
        </w:tc>
        <w:tc>
          <w:tcPr>
            <w:tcW w:w="1827" w:type="dxa"/>
            <w:tcBorders>
              <w:top w:val="nil"/>
              <w:left w:val="nil"/>
              <w:bottom w:val="single" w:sz="4" w:space="0" w:color="auto"/>
              <w:right w:val="single" w:sz="4" w:space="0" w:color="auto"/>
            </w:tcBorders>
            <w:shd w:val="clear" w:color="auto" w:fill="auto"/>
            <w:noWrap/>
            <w:vAlign w:val="center"/>
            <w:hideMark/>
          </w:tcPr>
          <w:p w14:paraId="0193F9AD"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val="en-US" w:eastAsia="sv-SE"/>
              </w:rPr>
              <w:t>Unknown G-BA_9</w:t>
            </w:r>
          </w:p>
        </w:tc>
        <w:tc>
          <w:tcPr>
            <w:tcW w:w="1091" w:type="dxa"/>
            <w:tcBorders>
              <w:top w:val="nil"/>
              <w:left w:val="nil"/>
              <w:bottom w:val="single" w:sz="4" w:space="0" w:color="auto"/>
              <w:right w:val="single" w:sz="4" w:space="0" w:color="auto"/>
            </w:tcBorders>
            <w:shd w:val="clear" w:color="auto" w:fill="auto"/>
            <w:noWrap/>
            <w:vAlign w:val="bottom"/>
            <w:hideMark/>
          </w:tcPr>
          <w:p w14:paraId="24DE1BFF"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464.3009</w:t>
            </w:r>
          </w:p>
        </w:tc>
        <w:tc>
          <w:tcPr>
            <w:tcW w:w="759" w:type="dxa"/>
            <w:tcBorders>
              <w:top w:val="nil"/>
              <w:left w:val="nil"/>
              <w:bottom w:val="single" w:sz="4" w:space="0" w:color="auto"/>
              <w:right w:val="single" w:sz="4" w:space="0" w:color="auto"/>
            </w:tcBorders>
            <w:shd w:val="clear" w:color="auto" w:fill="auto"/>
            <w:noWrap/>
            <w:vAlign w:val="bottom"/>
            <w:hideMark/>
          </w:tcPr>
          <w:p w14:paraId="77E4C2CF"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5.98</w:t>
            </w:r>
          </w:p>
        </w:tc>
        <w:tc>
          <w:tcPr>
            <w:tcW w:w="1177" w:type="dxa"/>
            <w:tcBorders>
              <w:top w:val="nil"/>
              <w:left w:val="nil"/>
              <w:bottom w:val="single" w:sz="4" w:space="0" w:color="auto"/>
              <w:right w:val="single" w:sz="4" w:space="0" w:color="auto"/>
            </w:tcBorders>
            <w:shd w:val="clear" w:color="auto" w:fill="auto"/>
            <w:noWrap/>
            <w:vAlign w:val="bottom"/>
            <w:hideMark/>
          </w:tcPr>
          <w:p w14:paraId="1E128775"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GCA-d4</w:t>
            </w:r>
          </w:p>
        </w:tc>
        <w:tc>
          <w:tcPr>
            <w:tcW w:w="1362" w:type="dxa"/>
            <w:tcBorders>
              <w:top w:val="nil"/>
              <w:left w:val="nil"/>
              <w:bottom w:val="single" w:sz="4" w:space="0" w:color="auto"/>
              <w:right w:val="single" w:sz="4" w:space="0" w:color="auto"/>
            </w:tcBorders>
            <w:shd w:val="clear" w:color="auto" w:fill="auto"/>
            <w:noWrap/>
            <w:vAlign w:val="bottom"/>
            <w:hideMark/>
          </w:tcPr>
          <w:p w14:paraId="47E3664D"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464.3→74.0</w:t>
            </w:r>
          </w:p>
        </w:tc>
        <w:tc>
          <w:tcPr>
            <w:tcW w:w="1516" w:type="dxa"/>
            <w:tcBorders>
              <w:top w:val="nil"/>
              <w:left w:val="nil"/>
              <w:bottom w:val="single" w:sz="4" w:space="0" w:color="auto"/>
              <w:right w:val="single" w:sz="4" w:space="0" w:color="auto"/>
            </w:tcBorders>
            <w:shd w:val="clear" w:color="auto" w:fill="auto"/>
            <w:noWrap/>
            <w:vAlign w:val="bottom"/>
            <w:hideMark/>
          </w:tcPr>
          <w:p w14:paraId="79D866CB"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[NH2CH2COO]–</w:t>
            </w:r>
          </w:p>
        </w:tc>
        <w:tc>
          <w:tcPr>
            <w:tcW w:w="1058" w:type="dxa"/>
            <w:tcBorders>
              <w:top w:val="nil"/>
              <w:left w:val="nil"/>
              <w:bottom w:val="single" w:sz="4" w:space="0" w:color="auto"/>
              <w:right w:val="single" w:sz="4" w:space="0" w:color="auto"/>
            </w:tcBorders>
            <w:shd w:val="clear" w:color="auto" w:fill="auto"/>
            <w:noWrap/>
            <w:vAlign w:val="center"/>
            <w:hideMark/>
          </w:tcPr>
          <w:p w14:paraId="7DEC7D3E"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80, 34</w:t>
            </w:r>
          </w:p>
        </w:tc>
      </w:tr>
      <w:tr w:rsidR="00445E98" w:rsidRPr="00806093" w14:paraId="22B41F55" w14:textId="77777777" w:rsidTr="00C55966">
        <w:trPr>
          <w:trHeight w:val="300"/>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79F2C6CC"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19</w:t>
            </w:r>
          </w:p>
        </w:tc>
        <w:tc>
          <w:tcPr>
            <w:tcW w:w="1827" w:type="dxa"/>
            <w:tcBorders>
              <w:top w:val="nil"/>
              <w:left w:val="nil"/>
              <w:bottom w:val="single" w:sz="4" w:space="0" w:color="auto"/>
              <w:right w:val="single" w:sz="4" w:space="0" w:color="auto"/>
            </w:tcBorders>
            <w:shd w:val="clear" w:color="auto" w:fill="auto"/>
            <w:noWrap/>
            <w:vAlign w:val="center"/>
            <w:hideMark/>
          </w:tcPr>
          <w:p w14:paraId="71C1881A"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val="en-US" w:eastAsia="sv-SE"/>
              </w:rPr>
              <w:t>Unknown G-BA_10</w:t>
            </w:r>
          </w:p>
        </w:tc>
        <w:tc>
          <w:tcPr>
            <w:tcW w:w="1091" w:type="dxa"/>
            <w:tcBorders>
              <w:top w:val="nil"/>
              <w:left w:val="nil"/>
              <w:bottom w:val="single" w:sz="4" w:space="0" w:color="auto"/>
              <w:right w:val="single" w:sz="4" w:space="0" w:color="auto"/>
            </w:tcBorders>
            <w:shd w:val="clear" w:color="auto" w:fill="auto"/>
            <w:noWrap/>
            <w:vAlign w:val="bottom"/>
            <w:hideMark/>
          </w:tcPr>
          <w:p w14:paraId="288F415C"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464.3009</w:t>
            </w:r>
          </w:p>
        </w:tc>
        <w:tc>
          <w:tcPr>
            <w:tcW w:w="759" w:type="dxa"/>
            <w:tcBorders>
              <w:top w:val="nil"/>
              <w:left w:val="nil"/>
              <w:bottom w:val="single" w:sz="4" w:space="0" w:color="auto"/>
              <w:right w:val="single" w:sz="4" w:space="0" w:color="auto"/>
            </w:tcBorders>
            <w:shd w:val="clear" w:color="auto" w:fill="auto"/>
            <w:noWrap/>
            <w:vAlign w:val="bottom"/>
            <w:hideMark/>
          </w:tcPr>
          <w:p w14:paraId="1ACB4043"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6.22</w:t>
            </w:r>
          </w:p>
        </w:tc>
        <w:tc>
          <w:tcPr>
            <w:tcW w:w="1177" w:type="dxa"/>
            <w:tcBorders>
              <w:top w:val="nil"/>
              <w:left w:val="nil"/>
              <w:bottom w:val="single" w:sz="4" w:space="0" w:color="auto"/>
              <w:right w:val="single" w:sz="4" w:space="0" w:color="auto"/>
            </w:tcBorders>
            <w:shd w:val="clear" w:color="auto" w:fill="auto"/>
            <w:noWrap/>
            <w:vAlign w:val="bottom"/>
            <w:hideMark/>
          </w:tcPr>
          <w:p w14:paraId="026D1C04"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GCA-d5</w:t>
            </w:r>
          </w:p>
        </w:tc>
        <w:tc>
          <w:tcPr>
            <w:tcW w:w="1362" w:type="dxa"/>
            <w:tcBorders>
              <w:top w:val="nil"/>
              <w:left w:val="nil"/>
              <w:bottom w:val="single" w:sz="4" w:space="0" w:color="auto"/>
              <w:right w:val="single" w:sz="4" w:space="0" w:color="auto"/>
            </w:tcBorders>
            <w:shd w:val="clear" w:color="auto" w:fill="auto"/>
            <w:noWrap/>
            <w:vAlign w:val="bottom"/>
            <w:hideMark/>
          </w:tcPr>
          <w:p w14:paraId="2ED8787B"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464.3→74.0</w:t>
            </w:r>
          </w:p>
        </w:tc>
        <w:tc>
          <w:tcPr>
            <w:tcW w:w="1516" w:type="dxa"/>
            <w:tcBorders>
              <w:top w:val="nil"/>
              <w:left w:val="nil"/>
              <w:bottom w:val="single" w:sz="4" w:space="0" w:color="auto"/>
              <w:right w:val="single" w:sz="4" w:space="0" w:color="auto"/>
            </w:tcBorders>
            <w:shd w:val="clear" w:color="auto" w:fill="auto"/>
            <w:noWrap/>
            <w:vAlign w:val="bottom"/>
            <w:hideMark/>
          </w:tcPr>
          <w:p w14:paraId="4192D4E9"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[NH2CH2COO]–</w:t>
            </w:r>
          </w:p>
        </w:tc>
        <w:tc>
          <w:tcPr>
            <w:tcW w:w="1058" w:type="dxa"/>
            <w:tcBorders>
              <w:top w:val="nil"/>
              <w:left w:val="nil"/>
              <w:bottom w:val="single" w:sz="4" w:space="0" w:color="auto"/>
              <w:right w:val="single" w:sz="4" w:space="0" w:color="auto"/>
            </w:tcBorders>
            <w:shd w:val="clear" w:color="auto" w:fill="auto"/>
            <w:noWrap/>
            <w:vAlign w:val="center"/>
            <w:hideMark/>
          </w:tcPr>
          <w:p w14:paraId="38FED167"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80, 34</w:t>
            </w:r>
          </w:p>
        </w:tc>
      </w:tr>
      <w:tr w:rsidR="00445E98" w:rsidRPr="00806093" w14:paraId="77045994" w14:textId="77777777" w:rsidTr="00C55966">
        <w:trPr>
          <w:trHeight w:val="300"/>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7322BB38"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20</w:t>
            </w:r>
          </w:p>
        </w:tc>
        <w:tc>
          <w:tcPr>
            <w:tcW w:w="1827" w:type="dxa"/>
            <w:tcBorders>
              <w:top w:val="nil"/>
              <w:left w:val="nil"/>
              <w:bottom w:val="single" w:sz="4" w:space="0" w:color="auto"/>
              <w:right w:val="single" w:sz="4" w:space="0" w:color="auto"/>
            </w:tcBorders>
            <w:shd w:val="clear" w:color="auto" w:fill="auto"/>
            <w:noWrap/>
            <w:vAlign w:val="center"/>
            <w:hideMark/>
          </w:tcPr>
          <w:p w14:paraId="16754E27"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val="en-US" w:eastAsia="sv-SE"/>
              </w:rPr>
              <w:t>Unknown G-BA_11</w:t>
            </w:r>
          </w:p>
        </w:tc>
        <w:tc>
          <w:tcPr>
            <w:tcW w:w="1091" w:type="dxa"/>
            <w:tcBorders>
              <w:top w:val="nil"/>
              <w:left w:val="nil"/>
              <w:bottom w:val="single" w:sz="4" w:space="0" w:color="auto"/>
              <w:right w:val="single" w:sz="4" w:space="0" w:color="auto"/>
            </w:tcBorders>
            <w:shd w:val="clear" w:color="auto" w:fill="auto"/>
            <w:noWrap/>
            <w:vAlign w:val="bottom"/>
            <w:hideMark/>
          </w:tcPr>
          <w:p w14:paraId="2D43FCEB"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464.3009</w:t>
            </w:r>
          </w:p>
        </w:tc>
        <w:tc>
          <w:tcPr>
            <w:tcW w:w="759" w:type="dxa"/>
            <w:tcBorders>
              <w:top w:val="nil"/>
              <w:left w:val="nil"/>
              <w:bottom w:val="single" w:sz="4" w:space="0" w:color="auto"/>
              <w:right w:val="single" w:sz="4" w:space="0" w:color="auto"/>
            </w:tcBorders>
            <w:shd w:val="clear" w:color="auto" w:fill="auto"/>
            <w:noWrap/>
            <w:vAlign w:val="bottom"/>
            <w:hideMark/>
          </w:tcPr>
          <w:p w14:paraId="244A998A"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6.59</w:t>
            </w:r>
          </w:p>
        </w:tc>
        <w:tc>
          <w:tcPr>
            <w:tcW w:w="1177" w:type="dxa"/>
            <w:tcBorders>
              <w:top w:val="nil"/>
              <w:left w:val="nil"/>
              <w:bottom w:val="single" w:sz="4" w:space="0" w:color="auto"/>
              <w:right w:val="single" w:sz="4" w:space="0" w:color="auto"/>
            </w:tcBorders>
            <w:shd w:val="clear" w:color="auto" w:fill="auto"/>
            <w:noWrap/>
            <w:vAlign w:val="bottom"/>
            <w:hideMark/>
          </w:tcPr>
          <w:p w14:paraId="5CF118A0"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GCA-d4</w:t>
            </w:r>
          </w:p>
        </w:tc>
        <w:tc>
          <w:tcPr>
            <w:tcW w:w="1362" w:type="dxa"/>
            <w:tcBorders>
              <w:top w:val="nil"/>
              <w:left w:val="nil"/>
              <w:bottom w:val="single" w:sz="4" w:space="0" w:color="auto"/>
              <w:right w:val="single" w:sz="4" w:space="0" w:color="auto"/>
            </w:tcBorders>
            <w:shd w:val="clear" w:color="auto" w:fill="auto"/>
            <w:noWrap/>
            <w:vAlign w:val="bottom"/>
            <w:hideMark/>
          </w:tcPr>
          <w:p w14:paraId="284A95A2"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464.3→74.0</w:t>
            </w:r>
          </w:p>
        </w:tc>
        <w:tc>
          <w:tcPr>
            <w:tcW w:w="1516" w:type="dxa"/>
            <w:tcBorders>
              <w:top w:val="nil"/>
              <w:left w:val="nil"/>
              <w:bottom w:val="single" w:sz="4" w:space="0" w:color="auto"/>
              <w:right w:val="single" w:sz="4" w:space="0" w:color="auto"/>
            </w:tcBorders>
            <w:shd w:val="clear" w:color="auto" w:fill="auto"/>
            <w:noWrap/>
            <w:vAlign w:val="bottom"/>
            <w:hideMark/>
          </w:tcPr>
          <w:p w14:paraId="505B23B8"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[NH2CH2COO]–</w:t>
            </w:r>
          </w:p>
        </w:tc>
        <w:tc>
          <w:tcPr>
            <w:tcW w:w="1058" w:type="dxa"/>
            <w:tcBorders>
              <w:top w:val="nil"/>
              <w:left w:val="nil"/>
              <w:bottom w:val="single" w:sz="4" w:space="0" w:color="auto"/>
              <w:right w:val="single" w:sz="4" w:space="0" w:color="auto"/>
            </w:tcBorders>
            <w:shd w:val="clear" w:color="auto" w:fill="auto"/>
            <w:noWrap/>
            <w:vAlign w:val="center"/>
            <w:hideMark/>
          </w:tcPr>
          <w:p w14:paraId="537628B4"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80, 34</w:t>
            </w:r>
          </w:p>
        </w:tc>
      </w:tr>
      <w:tr w:rsidR="00445E98" w:rsidRPr="00806093" w14:paraId="4264162E" w14:textId="77777777" w:rsidTr="00C55966">
        <w:trPr>
          <w:trHeight w:val="300"/>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7CED7AF2"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21</w:t>
            </w:r>
          </w:p>
        </w:tc>
        <w:tc>
          <w:tcPr>
            <w:tcW w:w="1827" w:type="dxa"/>
            <w:tcBorders>
              <w:top w:val="nil"/>
              <w:left w:val="nil"/>
              <w:bottom w:val="single" w:sz="4" w:space="0" w:color="auto"/>
              <w:right w:val="single" w:sz="4" w:space="0" w:color="auto"/>
            </w:tcBorders>
            <w:shd w:val="clear" w:color="auto" w:fill="auto"/>
            <w:noWrap/>
            <w:vAlign w:val="center"/>
            <w:hideMark/>
          </w:tcPr>
          <w:p w14:paraId="3D92A39B"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val="en-US" w:eastAsia="sv-SE"/>
              </w:rPr>
              <w:t>Unknown G-BA_12</w:t>
            </w:r>
          </w:p>
        </w:tc>
        <w:tc>
          <w:tcPr>
            <w:tcW w:w="1091" w:type="dxa"/>
            <w:tcBorders>
              <w:top w:val="nil"/>
              <w:left w:val="nil"/>
              <w:bottom w:val="single" w:sz="4" w:space="0" w:color="auto"/>
              <w:right w:val="single" w:sz="4" w:space="0" w:color="auto"/>
            </w:tcBorders>
            <w:shd w:val="clear" w:color="auto" w:fill="auto"/>
            <w:noWrap/>
            <w:vAlign w:val="bottom"/>
            <w:hideMark/>
          </w:tcPr>
          <w:p w14:paraId="3D9B375E"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448.3063</w:t>
            </w:r>
          </w:p>
        </w:tc>
        <w:tc>
          <w:tcPr>
            <w:tcW w:w="759" w:type="dxa"/>
            <w:tcBorders>
              <w:top w:val="nil"/>
              <w:left w:val="nil"/>
              <w:bottom w:val="single" w:sz="4" w:space="0" w:color="auto"/>
              <w:right w:val="single" w:sz="4" w:space="0" w:color="auto"/>
            </w:tcBorders>
            <w:shd w:val="clear" w:color="auto" w:fill="auto"/>
            <w:noWrap/>
            <w:vAlign w:val="bottom"/>
            <w:hideMark/>
          </w:tcPr>
          <w:p w14:paraId="06A7E49F"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8.62</w:t>
            </w:r>
          </w:p>
        </w:tc>
        <w:tc>
          <w:tcPr>
            <w:tcW w:w="1177" w:type="dxa"/>
            <w:tcBorders>
              <w:top w:val="nil"/>
              <w:left w:val="nil"/>
              <w:bottom w:val="single" w:sz="4" w:space="0" w:color="auto"/>
              <w:right w:val="single" w:sz="4" w:space="0" w:color="auto"/>
            </w:tcBorders>
            <w:shd w:val="clear" w:color="auto" w:fill="auto"/>
            <w:noWrap/>
            <w:vAlign w:val="bottom"/>
            <w:hideMark/>
          </w:tcPr>
          <w:p w14:paraId="71FA6892"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GUDCA-d4</w:t>
            </w:r>
          </w:p>
        </w:tc>
        <w:tc>
          <w:tcPr>
            <w:tcW w:w="1362" w:type="dxa"/>
            <w:tcBorders>
              <w:top w:val="nil"/>
              <w:left w:val="nil"/>
              <w:bottom w:val="single" w:sz="4" w:space="0" w:color="auto"/>
              <w:right w:val="single" w:sz="4" w:space="0" w:color="auto"/>
            </w:tcBorders>
            <w:shd w:val="clear" w:color="auto" w:fill="auto"/>
            <w:noWrap/>
            <w:vAlign w:val="bottom"/>
            <w:hideMark/>
          </w:tcPr>
          <w:p w14:paraId="2E8AADD0"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448.3→74.0</w:t>
            </w:r>
          </w:p>
        </w:tc>
        <w:tc>
          <w:tcPr>
            <w:tcW w:w="1516" w:type="dxa"/>
            <w:tcBorders>
              <w:top w:val="nil"/>
              <w:left w:val="nil"/>
              <w:bottom w:val="single" w:sz="4" w:space="0" w:color="auto"/>
              <w:right w:val="single" w:sz="4" w:space="0" w:color="auto"/>
            </w:tcBorders>
            <w:shd w:val="clear" w:color="auto" w:fill="auto"/>
            <w:noWrap/>
            <w:vAlign w:val="bottom"/>
            <w:hideMark/>
          </w:tcPr>
          <w:p w14:paraId="193AD94F"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[NH2CH2COO]–</w:t>
            </w:r>
          </w:p>
        </w:tc>
        <w:tc>
          <w:tcPr>
            <w:tcW w:w="1058" w:type="dxa"/>
            <w:tcBorders>
              <w:top w:val="nil"/>
              <w:left w:val="nil"/>
              <w:bottom w:val="single" w:sz="4" w:space="0" w:color="auto"/>
              <w:right w:val="single" w:sz="4" w:space="0" w:color="auto"/>
            </w:tcBorders>
            <w:shd w:val="clear" w:color="auto" w:fill="auto"/>
            <w:noWrap/>
            <w:vAlign w:val="center"/>
            <w:hideMark/>
          </w:tcPr>
          <w:p w14:paraId="01AF6FE3"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52, 32</w:t>
            </w:r>
          </w:p>
        </w:tc>
      </w:tr>
      <w:tr w:rsidR="00445E98" w:rsidRPr="00806093" w14:paraId="5C27F30E" w14:textId="77777777" w:rsidTr="00C55966">
        <w:trPr>
          <w:trHeight w:val="300"/>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14B3BDD4"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22</w:t>
            </w:r>
          </w:p>
        </w:tc>
        <w:tc>
          <w:tcPr>
            <w:tcW w:w="1827" w:type="dxa"/>
            <w:tcBorders>
              <w:top w:val="nil"/>
              <w:left w:val="nil"/>
              <w:bottom w:val="single" w:sz="4" w:space="0" w:color="auto"/>
              <w:right w:val="single" w:sz="4" w:space="0" w:color="auto"/>
            </w:tcBorders>
            <w:shd w:val="clear" w:color="auto" w:fill="auto"/>
            <w:noWrap/>
            <w:vAlign w:val="center"/>
            <w:hideMark/>
          </w:tcPr>
          <w:p w14:paraId="4E8633B3"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val="en-US" w:eastAsia="sv-SE"/>
              </w:rPr>
              <w:t>Unknown G-BA_13</w:t>
            </w:r>
          </w:p>
        </w:tc>
        <w:tc>
          <w:tcPr>
            <w:tcW w:w="1091" w:type="dxa"/>
            <w:tcBorders>
              <w:top w:val="nil"/>
              <w:left w:val="nil"/>
              <w:bottom w:val="single" w:sz="4" w:space="0" w:color="auto"/>
              <w:right w:val="single" w:sz="4" w:space="0" w:color="auto"/>
            </w:tcBorders>
            <w:shd w:val="clear" w:color="auto" w:fill="auto"/>
            <w:noWrap/>
            <w:vAlign w:val="bottom"/>
            <w:hideMark/>
          </w:tcPr>
          <w:p w14:paraId="0D7A3106"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448.3063</w:t>
            </w:r>
          </w:p>
        </w:tc>
        <w:tc>
          <w:tcPr>
            <w:tcW w:w="759" w:type="dxa"/>
            <w:tcBorders>
              <w:top w:val="nil"/>
              <w:left w:val="nil"/>
              <w:bottom w:val="single" w:sz="4" w:space="0" w:color="auto"/>
              <w:right w:val="single" w:sz="4" w:space="0" w:color="auto"/>
            </w:tcBorders>
            <w:shd w:val="clear" w:color="auto" w:fill="auto"/>
            <w:noWrap/>
            <w:vAlign w:val="bottom"/>
            <w:hideMark/>
          </w:tcPr>
          <w:p w14:paraId="23B7623D" w14:textId="77777777" w:rsidR="00445E98" w:rsidRPr="00806093" w:rsidRDefault="00445E98" w:rsidP="00C55966">
            <w:pPr>
              <w:spacing w:after="0" w:line="240" w:lineRule="auto"/>
              <w:jc w:val="right"/>
              <w:rPr>
                <w:rFonts w:eastAsia="Times New Roman"/>
                <w:color w:val="000000"/>
                <w:sz w:val="18"/>
                <w:szCs w:val="18"/>
                <w:lang w:eastAsia="sv-SE"/>
              </w:rPr>
            </w:pPr>
            <w:r w:rsidRPr="00806093">
              <w:rPr>
                <w:rFonts w:eastAsia="Times New Roman"/>
                <w:color w:val="000000"/>
                <w:sz w:val="18"/>
                <w:szCs w:val="18"/>
                <w:lang w:eastAsia="sv-SE"/>
              </w:rPr>
              <w:t>8.72</w:t>
            </w:r>
          </w:p>
        </w:tc>
        <w:tc>
          <w:tcPr>
            <w:tcW w:w="1177" w:type="dxa"/>
            <w:tcBorders>
              <w:top w:val="nil"/>
              <w:left w:val="nil"/>
              <w:bottom w:val="single" w:sz="4" w:space="0" w:color="auto"/>
              <w:right w:val="single" w:sz="4" w:space="0" w:color="auto"/>
            </w:tcBorders>
            <w:shd w:val="clear" w:color="auto" w:fill="auto"/>
            <w:noWrap/>
            <w:vAlign w:val="bottom"/>
            <w:hideMark/>
          </w:tcPr>
          <w:p w14:paraId="4D407455"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GUDCA-d4</w:t>
            </w:r>
          </w:p>
        </w:tc>
        <w:tc>
          <w:tcPr>
            <w:tcW w:w="1362" w:type="dxa"/>
            <w:tcBorders>
              <w:top w:val="nil"/>
              <w:left w:val="nil"/>
              <w:bottom w:val="single" w:sz="4" w:space="0" w:color="auto"/>
              <w:right w:val="single" w:sz="4" w:space="0" w:color="auto"/>
            </w:tcBorders>
            <w:shd w:val="clear" w:color="auto" w:fill="auto"/>
            <w:noWrap/>
            <w:vAlign w:val="bottom"/>
            <w:hideMark/>
          </w:tcPr>
          <w:p w14:paraId="3CBBC73B"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448.3→74.0</w:t>
            </w:r>
          </w:p>
        </w:tc>
        <w:tc>
          <w:tcPr>
            <w:tcW w:w="1516" w:type="dxa"/>
            <w:tcBorders>
              <w:top w:val="nil"/>
              <w:left w:val="nil"/>
              <w:bottom w:val="single" w:sz="4" w:space="0" w:color="auto"/>
              <w:right w:val="single" w:sz="4" w:space="0" w:color="auto"/>
            </w:tcBorders>
            <w:shd w:val="clear" w:color="auto" w:fill="auto"/>
            <w:noWrap/>
            <w:vAlign w:val="bottom"/>
            <w:hideMark/>
          </w:tcPr>
          <w:p w14:paraId="0AD700EC"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[NH2CH2COO]–</w:t>
            </w:r>
          </w:p>
        </w:tc>
        <w:tc>
          <w:tcPr>
            <w:tcW w:w="1058" w:type="dxa"/>
            <w:tcBorders>
              <w:top w:val="nil"/>
              <w:left w:val="nil"/>
              <w:bottom w:val="single" w:sz="4" w:space="0" w:color="auto"/>
              <w:right w:val="single" w:sz="4" w:space="0" w:color="auto"/>
            </w:tcBorders>
            <w:shd w:val="clear" w:color="auto" w:fill="auto"/>
            <w:noWrap/>
            <w:vAlign w:val="center"/>
            <w:hideMark/>
          </w:tcPr>
          <w:p w14:paraId="754B1315" w14:textId="77777777" w:rsidR="00445E98" w:rsidRPr="00806093" w:rsidRDefault="00445E98" w:rsidP="00C55966">
            <w:pPr>
              <w:spacing w:after="0" w:line="240" w:lineRule="auto"/>
              <w:rPr>
                <w:rFonts w:eastAsia="Times New Roman"/>
                <w:color w:val="000000"/>
                <w:sz w:val="18"/>
                <w:szCs w:val="18"/>
                <w:lang w:eastAsia="sv-SE"/>
              </w:rPr>
            </w:pPr>
            <w:r w:rsidRPr="00806093">
              <w:rPr>
                <w:rFonts w:eastAsia="Times New Roman"/>
                <w:color w:val="000000"/>
                <w:sz w:val="18"/>
                <w:szCs w:val="18"/>
                <w:lang w:eastAsia="sv-SE"/>
              </w:rPr>
              <w:t>52, 32</w:t>
            </w:r>
          </w:p>
        </w:tc>
      </w:tr>
    </w:tbl>
    <w:p w14:paraId="6FFECCFC" w14:textId="77777777" w:rsidR="00445E98" w:rsidRPr="00806093" w:rsidRDefault="00445E98" w:rsidP="00445E98">
      <w:pPr>
        <w:ind w:firstLine="0"/>
        <w:rPr>
          <w:rFonts w:asciiTheme="majorHAnsi" w:eastAsia="Times New Roman" w:hAnsiTheme="majorHAnsi" w:cstheme="majorHAnsi"/>
          <w:b/>
          <w:color w:val="000000"/>
          <w:sz w:val="24"/>
          <w:szCs w:val="24"/>
          <w:lang w:val="en-US" w:eastAsia="zh-CN"/>
        </w:rPr>
      </w:pPr>
    </w:p>
    <w:p w14:paraId="375255FE" w14:textId="7B2FB3F9" w:rsidR="00445E98" w:rsidRPr="00822FB3" w:rsidRDefault="00445E98" w:rsidP="00445E98">
      <w:pPr>
        <w:ind w:firstLine="0"/>
        <w:rPr>
          <w:rFonts w:asciiTheme="majorHAnsi" w:hAnsiTheme="majorHAnsi" w:cstheme="majorHAnsi"/>
          <w:b/>
          <w:sz w:val="24"/>
          <w:szCs w:val="24"/>
          <w:lang w:val="en-US"/>
        </w:rPr>
      </w:pPr>
      <w:r w:rsidRPr="00806093">
        <w:rPr>
          <w:rFonts w:asciiTheme="majorHAnsi" w:eastAsia="Times New Roman" w:hAnsiTheme="majorHAnsi" w:cstheme="majorHAnsi"/>
          <w:b/>
          <w:color w:val="000000"/>
          <w:sz w:val="24"/>
          <w:szCs w:val="24"/>
          <w:lang w:val="en-US" w:eastAsia="zh-CN"/>
        </w:rPr>
        <w:t xml:space="preserve">Supplementary Table 5: </w:t>
      </w:r>
      <w:r w:rsidR="00CA48F4" w:rsidRPr="00806093">
        <w:rPr>
          <w:rFonts w:asciiTheme="majorHAnsi" w:eastAsia="Times New Roman" w:hAnsiTheme="majorHAnsi" w:cstheme="majorHAnsi"/>
          <w:b/>
          <w:color w:val="000000"/>
          <w:sz w:val="24"/>
          <w:szCs w:val="24"/>
          <w:lang w:val="en-US" w:eastAsia="zh-CN"/>
        </w:rPr>
        <w:t>Detection</w:t>
      </w:r>
      <w:r w:rsidRPr="00806093">
        <w:rPr>
          <w:rFonts w:asciiTheme="majorHAnsi" w:eastAsia="Times New Roman" w:hAnsiTheme="majorHAnsi" w:cstheme="majorHAnsi"/>
          <w:b/>
          <w:color w:val="000000"/>
          <w:sz w:val="24"/>
          <w:szCs w:val="24"/>
          <w:lang w:val="en-US" w:eastAsia="zh-CN"/>
        </w:rPr>
        <w:t xml:space="preserve"> of unknown</w:t>
      </w:r>
      <w:r w:rsidR="00CA48F4" w:rsidRPr="00806093">
        <w:rPr>
          <w:rFonts w:asciiTheme="majorHAnsi" w:eastAsia="Times New Roman" w:hAnsiTheme="majorHAnsi" w:cstheme="majorHAnsi"/>
          <w:b/>
          <w:color w:val="000000"/>
          <w:sz w:val="24"/>
          <w:szCs w:val="24"/>
          <w:lang w:val="en-US" w:eastAsia="zh-CN"/>
        </w:rPr>
        <w:t xml:space="preserve"> </w:t>
      </w:r>
      <w:r w:rsidRPr="00806093">
        <w:rPr>
          <w:rFonts w:asciiTheme="majorHAnsi" w:eastAsia="Times New Roman" w:hAnsiTheme="majorHAnsi" w:cstheme="majorHAnsi"/>
          <w:b/>
          <w:color w:val="000000"/>
          <w:sz w:val="24"/>
          <w:szCs w:val="24"/>
          <w:lang w:val="en-US" w:eastAsia="zh-CN"/>
        </w:rPr>
        <w:t>bile acids</w:t>
      </w:r>
      <w:r w:rsidR="00CA48F4" w:rsidRPr="00806093">
        <w:rPr>
          <w:rFonts w:asciiTheme="majorHAnsi" w:eastAsia="Times New Roman" w:hAnsiTheme="majorHAnsi" w:cstheme="majorHAnsi"/>
          <w:b/>
          <w:color w:val="000000"/>
          <w:sz w:val="24"/>
          <w:szCs w:val="24"/>
          <w:lang w:val="en-US" w:eastAsia="zh-CN"/>
        </w:rPr>
        <w:t>.</w:t>
      </w:r>
    </w:p>
    <w:p w14:paraId="0154A834" w14:textId="77777777" w:rsidR="0028696C" w:rsidRPr="00A654CF" w:rsidRDefault="0028696C" w:rsidP="000A0FA4">
      <w:pPr>
        <w:spacing w:line="276" w:lineRule="auto"/>
        <w:ind w:firstLine="0"/>
        <w:jc w:val="both"/>
        <w:rPr>
          <w:rFonts w:asciiTheme="majorHAnsi" w:hAnsiTheme="majorHAnsi" w:cstheme="majorHAnsi"/>
          <w:sz w:val="24"/>
          <w:szCs w:val="24"/>
          <w:lang w:val="en-US"/>
        </w:rPr>
      </w:pPr>
    </w:p>
    <w:p w14:paraId="5FBEBBEB" w14:textId="155CA754" w:rsidR="0028696C" w:rsidRPr="00A654CF" w:rsidRDefault="00AA31BD" w:rsidP="000A0FA4">
      <w:pPr>
        <w:pStyle w:val="Heading3"/>
        <w:spacing w:after="0" w:line="276" w:lineRule="auto"/>
        <w:ind w:firstLine="0"/>
        <w:rPr>
          <w:rFonts w:asciiTheme="majorHAnsi" w:hAnsiTheme="majorHAnsi" w:cstheme="majorHAnsi"/>
          <w:sz w:val="24"/>
          <w:szCs w:val="24"/>
          <w:lang w:val="en-US"/>
        </w:rPr>
      </w:pPr>
      <w:bookmarkStart w:id="13" w:name="_hulthpgf0whh" w:colFirst="0" w:colLast="0"/>
      <w:bookmarkEnd w:id="13"/>
      <w:r w:rsidRPr="00A654CF">
        <w:rPr>
          <w:rFonts w:asciiTheme="majorHAnsi" w:hAnsiTheme="majorHAnsi" w:cstheme="majorHAnsi"/>
          <w:sz w:val="24"/>
          <w:szCs w:val="24"/>
          <w:lang w:val="en-US"/>
        </w:rPr>
        <w:br w:type="page"/>
      </w:r>
      <w:bookmarkStart w:id="14" w:name="_qchj4vezk1sc" w:colFirst="0" w:colLast="0"/>
      <w:bookmarkEnd w:id="14"/>
      <w:r w:rsidRPr="00A654CF">
        <w:rPr>
          <w:rFonts w:asciiTheme="majorHAnsi" w:hAnsiTheme="majorHAnsi" w:cstheme="majorHAnsi"/>
          <w:sz w:val="24"/>
          <w:szCs w:val="24"/>
          <w:lang w:val="en-US"/>
        </w:rPr>
        <w:lastRenderedPageBreak/>
        <w:t>Supplementary figures</w:t>
      </w:r>
    </w:p>
    <w:p w14:paraId="3D2E725F" w14:textId="77777777" w:rsidR="000A0FA4" w:rsidRPr="00A654CF" w:rsidRDefault="000A0FA4" w:rsidP="000A0FA4">
      <w:pPr>
        <w:rPr>
          <w:lang w:val="en-US"/>
        </w:rPr>
      </w:pPr>
    </w:p>
    <w:p w14:paraId="64B0C0DB" w14:textId="77777777" w:rsidR="00216F6A" w:rsidRDefault="00AA31BD" w:rsidP="00216F6A">
      <w:pPr>
        <w:spacing w:line="276" w:lineRule="auto"/>
        <w:ind w:firstLine="0"/>
        <w:jc w:val="center"/>
        <w:rPr>
          <w:rFonts w:asciiTheme="majorHAnsi" w:hAnsiTheme="majorHAnsi" w:cstheme="majorHAnsi"/>
          <w:b/>
          <w:i/>
          <w:sz w:val="24"/>
          <w:szCs w:val="24"/>
          <w:lang w:val="en-US"/>
        </w:rPr>
      </w:pPr>
      <w:r w:rsidRPr="00A654CF">
        <w:rPr>
          <w:rFonts w:asciiTheme="majorHAnsi" w:hAnsiTheme="majorHAnsi" w:cstheme="majorHAnsi"/>
          <w:b/>
          <w:i/>
          <w:noProof/>
          <w:sz w:val="24"/>
          <w:szCs w:val="24"/>
          <w:lang w:val="da-DK" w:eastAsia="da-DK"/>
        </w:rPr>
        <w:drawing>
          <wp:inline distT="114300" distB="114300" distL="114300" distR="114300" wp14:anchorId="2D108140" wp14:editId="3ADEEDFC">
            <wp:extent cx="4805916" cy="4455042"/>
            <wp:effectExtent l="0" t="0" r="0" b="3175"/>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4808145" cy="4457108"/>
                    </a:xfrm>
                    <a:prstGeom prst="rect">
                      <a:avLst/>
                    </a:prstGeom>
                    <a:ln/>
                  </pic:spPr>
                </pic:pic>
              </a:graphicData>
            </a:graphic>
          </wp:inline>
        </w:drawing>
      </w:r>
    </w:p>
    <w:p w14:paraId="12844CB9" w14:textId="011D8971" w:rsidR="00216F6A" w:rsidRDefault="00AA31BD" w:rsidP="00216F6A">
      <w:pPr>
        <w:spacing w:line="276" w:lineRule="auto"/>
        <w:ind w:firstLine="0"/>
        <w:jc w:val="both"/>
        <w:rPr>
          <w:rFonts w:asciiTheme="majorHAnsi" w:hAnsiTheme="majorHAnsi" w:cstheme="majorHAnsi"/>
          <w:sz w:val="24"/>
          <w:szCs w:val="24"/>
          <w:lang w:val="en-US"/>
        </w:rPr>
      </w:pPr>
      <w:r w:rsidRPr="00A654CF">
        <w:rPr>
          <w:rFonts w:asciiTheme="majorHAnsi" w:hAnsiTheme="majorHAnsi" w:cstheme="majorHAnsi"/>
          <w:b/>
          <w:sz w:val="24"/>
          <w:szCs w:val="24"/>
          <w:lang w:val="en-US"/>
        </w:rPr>
        <w:t>Supplementary Figure 1</w:t>
      </w:r>
      <w:r w:rsidR="00845FEB">
        <w:rPr>
          <w:rFonts w:asciiTheme="majorHAnsi" w:hAnsiTheme="majorHAnsi" w:cstheme="majorHAnsi"/>
          <w:b/>
          <w:sz w:val="24"/>
          <w:szCs w:val="24"/>
          <w:lang w:val="en-US"/>
        </w:rPr>
        <w:t>.</w:t>
      </w:r>
      <w:r w:rsidRPr="00A654CF">
        <w:rPr>
          <w:rFonts w:asciiTheme="majorHAnsi" w:hAnsiTheme="majorHAnsi" w:cstheme="majorHAnsi"/>
          <w:b/>
          <w:sz w:val="24"/>
          <w:szCs w:val="24"/>
          <w:lang w:val="en-US"/>
        </w:rPr>
        <w:t xml:space="preserve"> Fasting serum concen</w:t>
      </w:r>
      <w:r w:rsidR="00325233" w:rsidRPr="00A654CF">
        <w:rPr>
          <w:rFonts w:asciiTheme="majorHAnsi" w:hAnsiTheme="majorHAnsi" w:cstheme="majorHAnsi"/>
          <w:b/>
          <w:sz w:val="24"/>
          <w:szCs w:val="24"/>
          <w:lang w:val="en-US"/>
        </w:rPr>
        <w:t>trations of C-6 hydroxylated bile acids</w:t>
      </w:r>
      <w:r w:rsidRPr="00A654CF">
        <w:rPr>
          <w:rFonts w:asciiTheme="majorHAnsi" w:hAnsiTheme="majorHAnsi" w:cstheme="majorHAnsi"/>
          <w:b/>
          <w:sz w:val="24"/>
          <w:szCs w:val="24"/>
          <w:lang w:val="en-US"/>
        </w:rPr>
        <w:t xml:space="preserve"> in the study population of 283 individuals. </w:t>
      </w:r>
      <w:r w:rsidRPr="00A654CF">
        <w:rPr>
          <w:rFonts w:asciiTheme="majorHAnsi" w:hAnsiTheme="majorHAnsi" w:cstheme="majorHAnsi"/>
          <w:sz w:val="24"/>
          <w:szCs w:val="24"/>
          <w:lang w:val="en-US"/>
        </w:rPr>
        <w:t>Abbreviations and complete compound name are as follows: HCA - Hyocholic acid, GHCA - glycohyocholic acid, THCA - taurocholic acid, T</w:t>
      </w:r>
      <w:r w:rsidR="00E37AAF">
        <w:rPr>
          <w:rFonts w:ascii="Arial" w:hAnsi="Arial" w:cs="Arial"/>
          <w:color w:val="202122"/>
          <w:sz w:val="18"/>
          <w:szCs w:val="18"/>
          <w:shd w:val="clear" w:color="auto" w:fill="F8F9FA"/>
        </w:rPr>
        <w:t>α</w:t>
      </w:r>
      <w:r w:rsidRPr="00A654CF">
        <w:rPr>
          <w:rFonts w:asciiTheme="majorHAnsi" w:hAnsiTheme="majorHAnsi" w:cstheme="majorHAnsi"/>
          <w:sz w:val="24"/>
          <w:szCs w:val="24"/>
          <w:lang w:val="en-US"/>
        </w:rPr>
        <w:t>MCA - tauro-</w:t>
      </w:r>
      <w:r w:rsidR="00E37AAF">
        <w:rPr>
          <w:rFonts w:ascii="Arial" w:hAnsi="Arial" w:cs="Arial"/>
          <w:color w:val="202122"/>
          <w:sz w:val="18"/>
          <w:szCs w:val="18"/>
          <w:shd w:val="clear" w:color="auto" w:fill="F8F9FA"/>
        </w:rPr>
        <w:t>α</w:t>
      </w:r>
      <w:r w:rsidRPr="00A654CF">
        <w:rPr>
          <w:rFonts w:asciiTheme="majorHAnsi" w:hAnsiTheme="majorHAnsi" w:cstheme="majorHAnsi"/>
          <w:sz w:val="24"/>
          <w:szCs w:val="24"/>
          <w:lang w:val="en-US"/>
        </w:rPr>
        <w:t>-muricholic acid, GHDCA - glycohyodeoxycholic acid.</w:t>
      </w:r>
    </w:p>
    <w:p w14:paraId="22B548B3" w14:textId="6BE38578" w:rsidR="0028696C" w:rsidRPr="00216F6A" w:rsidRDefault="00AA31BD" w:rsidP="00216F6A">
      <w:pPr>
        <w:spacing w:line="276" w:lineRule="auto"/>
        <w:ind w:firstLine="0"/>
        <w:jc w:val="both"/>
        <w:rPr>
          <w:rFonts w:asciiTheme="majorHAnsi" w:hAnsiTheme="majorHAnsi" w:cstheme="majorHAnsi"/>
          <w:b/>
          <w:i/>
          <w:sz w:val="24"/>
          <w:szCs w:val="24"/>
          <w:lang w:val="en-US"/>
        </w:rPr>
      </w:pPr>
      <w:r w:rsidRPr="00A654CF">
        <w:rPr>
          <w:rFonts w:asciiTheme="majorHAnsi" w:hAnsiTheme="majorHAnsi" w:cstheme="majorHAnsi"/>
          <w:sz w:val="24"/>
          <w:szCs w:val="24"/>
          <w:lang w:val="en-US"/>
        </w:rPr>
        <w:br w:type="page"/>
      </w:r>
    </w:p>
    <w:p w14:paraId="1FB2D1B9" w14:textId="77777777" w:rsidR="0028696C" w:rsidRPr="00A654CF" w:rsidRDefault="00AA31BD" w:rsidP="000A0FA4">
      <w:pPr>
        <w:spacing w:after="0" w:line="276" w:lineRule="auto"/>
        <w:ind w:firstLine="0"/>
        <w:rPr>
          <w:rFonts w:asciiTheme="majorHAnsi" w:hAnsiTheme="majorHAnsi" w:cstheme="majorHAnsi"/>
          <w:sz w:val="24"/>
          <w:szCs w:val="24"/>
          <w:lang w:val="en-US"/>
        </w:rPr>
      </w:pPr>
      <w:r w:rsidRPr="00A654CF">
        <w:rPr>
          <w:rFonts w:asciiTheme="majorHAnsi" w:hAnsiTheme="majorHAnsi" w:cstheme="majorHAnsi"/>
          <w:sz w:val="24"/>
          <w:szCs w:val="24"/>
          <w:lang w:val="en-US"/>
        </w:rPr>
        <w:lastRenderedPageBreak/>
        <w:t xml:space="preserve"> </w:t>
      </w:r>
    </w:p>
    <w:p w14:paraId="2A245FC1" w14:textId="77777777" w:rsidR="0028696C" w:rsidRPr="00A654CF" w:rsidRDefault="00AA31BD" w:rsidP="000A0FA4">
      <w:pPr>
        <w:spacing w:after="0" w:line="276" w:lineRule="auto"/>
        <w:ind w:firstLine="0"/>
        <w:jc w:val="center"/>
        <w:rPr>
          <w:rFonts w:asciiTheme="majorHAnsi" w:hAnsiTheme="majorHAnsi" w:cstheme="majorHAnsi"/>
          <w:b/>
          <w:sz w:val="24"/>
          <w:szCs w:val="24"/>
          <w:lang w:val="en-US"/>
        </w:rPr>
      </w:pPr>
      <w:r w:rsidRPr="00A654CF">
        <w:rPr>
          <w:rFonts w:asciiTheme="majorHAnsi" w:hAnsiTheme="majorHAnsi" w:cstheme="majorHAnsi"/>
          <w:b/>
          <w:noProof/>
          <w:sz w:val="24"/>
          <w:szCs w:val="24"/>
          <w:lang w:val="da-DK" w:eastAsia="da-DK"/>
        </w:rPr>
        <w:drawing>
          <wp:inline distT="114300" distB="114300" distL="114300" distR="114300" wp14:anchorId="137824D6" wp14:editId="77418CDE">
            <wp:extent cx="5613991" cy="4295554"/>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5619086" cy="4299452"/>
                    </a:xfrm>
                    <a:prstGeom prst="rect">
                      <a:avLst/>
                    </a:prstGeom>
                    <a:ln/>
                  </pic:spPr>
                </pic:pic>
              </a:graphicData>
            </a:graphic>
          </wp:inline>
        </w:drawing>
      </w:r>
    </w:p>
    <w:p w14:paraId="52B66AA6" w14:textId="58699C8A" w:rsidR="000A0FA4" w:rsidRPr="00A654CF" w:rsidRDefault="00AA31BD" w:rsidP="000A0FA4">
      <w:pPr>
        <w:spacing w:after="0" w:line="276" w:lineRule="auto"/>
        <w:ind w:firstLine="0"/>
        <w:rPr>
          <w:rFonts w:asciiTheme="majorHAnsi" w:hAnsiTheme="majorHAnsi" w:cstheme="majorHAnsi"/>
          <w:sz w:val="24"/>
          <w:szCs w:val="24"/>
          <w:lang w:val="en-US"/>
        </w:rPr>
      </w:pPr>
      <w:r w:rsidRPr="00A654CF">
        <w:rPr>
          <w:rFonts w:asciiTheme="majorHAnsi" w:hAnsiTheme="majorHAnsi" w:cstheme="majorHAnsi"/>
          <w:b/>
          <w:sz w:val="24"/>
          <w:szCs w:val="24"/>
          <w:lang w:val="en-US"/>
        </w:rPr>
        <w:t>Supplementary Figure 2</w:t>
      </w:r>
      <w:r w:rsidR="00845FEB">
        <w:rPr>
          <w:rFonts w:asciiTheme="majorHAnsi" w:hAnsiTheme="majorHAnsi" w:cstheme="majorHAnsi"/>
          <w:b/>
          <w:sz w:val="24"/>
          <w:szCs w:val="24"/>
          <w:lang w:val="en-US"/>
        </w:rPr>
        <w:t>.</w:t>
      </w:r>
      <w:r w:rsidRPr="00A654CF">
        <w:rPr>
          <w:rFonts w:asciiTheme="majorHAnsi" w:hAnsiTheme="majorHAnsi" w:cstheme="majorHAnsi"/>
          <w:b/>
          <w:sz w:val="24"/>
          <w:szCs w:val="24"/>
          <w:lang w:val="en-US"/>
        </w:rPr>
        <w:t xml:space="preserve"> Body mass index (BMI) distribution in the study population of 283 individuals. </w:t>
      </w:r>
      <w:r w:rsidRPr="00A654CF">
        <w:rPr>
          <w:rFonts w:asciiTheme="majorHAnsi" w:hAnsiTheme="majorHAnsi" w:cstheme="majorHAnsi"/>
          <w:sz w:val="24"/>
          <w:szCs w:val="24"/>
          <w:lang w:val="en-US"/>
        </w:rPr>
        <w:t>Red vertical line at BMI=27 kg/m</w:t>
      </w:r>
      <w:r w:rsidRPr="00A654CF">
        <w:rPr>
          <w:rFonts w:asciiTheme="majorHAnsi" w:hAnsiTheme="majorHAnsi" w:cstheme="majorHAnsi"/>
          <w:sz w:val="24"/>
          <w:szCs w:val="24"/>
          <w:vertAlign w:val="superscript"/>
          <w:lang w:val="en-US"/>
        </w:rPr>
        <w:t xml:space="preserve">2 </w:t>
      </w:r>
      <w:r w:rsidRPr="00A654CF">
        <w:rPr>
          <w:rFonts w:asciiTheme="majorHAnsi" w:hAnsiTheme="majorHAnsi" w:cstheme="majorHAnsi"/>
          <w:sz w:val="24"/>
          <w:szCs w:val="24"/>
          <w:lang w:val="en-US"/>
        </w:rPr>
        <w:t>is indicating the cut-off between non-obese and obese individuals.</w:t>
      </w:r>
      <w:r w:rsidRPr="00A654CF">
        <w:rPr>
          <w:rFonts w:asciiTheme="majorHAnsi" w:hAnsiTheme="majorHAnsi" w:cstheme="majorHAnsi"/>
          <w:sz w:val="24"/>
          <w:szCs w:val="24"/>
          <w:lang w:val="en-US"/>
        </w:rPr>
        <w:br w:type="page"/>
      </w:r>
    </w:p>
    <w:p w14:paraId="7B6DAB6B" w14:textId="48116441" w:rsidR="0028696C" w:rsidRPr="00A654CF" w:rsidRDefault="00AA31BD" w:rsidP="000A0FA4">
      <w:pPr>
        <w:spacing w:after="0" w:line="276" w:lineRule="auto"/>
        <w:ind w:firstLine="0"/>
        <w:rPr>
          <w:rFonts w:asciiTheme="majorHAnsi" w:hAnsiTheme="majorHAnsi" w:cstheme="majorHAnsi"/>
          <w:sz w:val="24"/>
          <w:szCs w:val="24"/>
          <w:lang w:val="en-US"/>
        </w:rPr>
      </w:pPr>
      <w:r w:rsidRPr="00A654CF">
        <w:rPr>
          <w:rFonts w:asciiTheme="majorHAnsi" w:hAnsiTheme="majorHAnsi" w:cstheme="majorHAnsi"/>
          <w:noProof/>
          <w:sz w:val="24"/>
          <w:szCs w:val="24"/>
          <w:lang w:val="da-DK" w:eastAsia="da-DK"/>
        </w:rPr>
        <w:lastRenderedPageBreak/>
        <w:drawing>
          <wp:inline distT="114300" distB="114300" distL="114300" distR="114300" wp14:anchorId="7AA3E6CD" wp14:editId="5BE4B094">
            <wp:extent cx="5677786" cy="525780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683335" cy="5262939"/>
                    </a:xfrm>
                    <a:prstGeom prst="rect">
                      <a:avLst/>
                    </a:prstGeom>
                    <a:ln/>
                  </pic:spPr>
                </pic:pic>
              </a:graphicData>
            </a:graphic>
          </wp:inline>
        </w:drawing>
      </w:r>
    </w:p>
    <w:p w14:paraId="39561471" w14:textId="76C8CF2B" w:rsidR="0028696C" w:rsidRPr="00A654CF" w:rsidRDefault="00AA31BD" w:rsidP="000A0FA4">
      <w:pPr>
        <w:spacing w:after="0" w:line="276" w:lineRule="auto"/>
        <w:ind w:firstLine="0"/>
        <w:jc w:val="both"/>
        <w:rPr>
          <w:rFonts w:asciiTheme="majorHAnsi" w:hAnsiTheme="majorHAnsi" w:cstheme="majorHAnsi"/>
          <w:sz w:val="24"/>
          <w:szCs w:val="24"/>
          <w:lang w:val="en-US"/>
        </w:rPr>
      </w:pPr>
      <w:r w:rsidRPr="00A654CF">
        <w:rPr>
          <w:rFonts w:asciiTheme="majorHAnsi" w:hAnsiTheme="majorHAnsi" w:cstheme="majorHAnsi"/>
          <w:b/>
          <w:sz w:val="24"/>
          <w:szCs w:val="24"/>
          <w:lang w:val="en-US"/>
        </w:rPr>
        <w:t>Supplementary Figure 3</w:t>
      </w:r>
      <w:r w:rsidR="00845FEB">
        <w:rPr>
          <w:rFonts w:asciiTheme="majorHAnsi" w:hAnsiTheme="majorHAnsi" w:cstheme="majorHAnsi"/>
          <w:b/>
          <w:sz w:val="24"/>
          <w:szCs w:val="24"/>
          <w:lang w:val="en-US"/>
        </w:rPr>
        <w:t>.</w:t>
      </w:r>
      <w:r w:rsidRPr="00A654CF">
        <w:rPr>
          <w:rFonts w:asciiTheme="majorHAnsi" w:hAnsiTheme="majorHAnsi" w:cstheme="majorHAnsi"/>
          <w:b/>
          <w:sz w:val="24"/>
          <w:szCs w:val="24"/>
          <w:lang w:val="en-US"/>
        </w:rPr>
        <w:t xml:space="preserve"> Analyses applying Logistic Ridge Regression (LR) classification models showing that the bile acids pool composition in fasting serum was different between obese and non-obese men and women, respectively, in the study population of 283 individuals. </w:t>
      </w:r>
      <w:r w:rsidRPr="00A654CF">
        <w:rPr>
          <w:rFonts w:asciiTheme="majorHAnsi" w:hAnsiTheme="majorHAnsi" w:cstheme="majorHAnsi"/>
          <w:sz w:val="24"/>
          <w:szCs w:val="24"/>
          <w:lang w:val="en-US"/>
        </w:rPr>
        <w:t>BMI was binarized around 27 kg/m</w:t>
      </w:r>
      <w:r w:rsidRPr="00A654CF">
        <w:rPr>
          <w:rFonts w:asciiTheme="majorHAnsi" w:hAnsiTheme="majorHAnsi" w:cstheme="majorHAnsi"/>
          <w:sz w:val="24"/>
          <w:szCs w:val="24"/>
          <w:vertAlign w:val="superscript"/>
          <w:lang w:val="en-US"/>
        </w:rPr>
        <w:t>2</w:t>
      </w:r>
      <w:r w:rsidRPr="00A654CF">
        <w:rPr>
          <w:rFonts w:asciiTheme="majorHAnsi" w:hAnsiTheme="majorHAnsi" w:cstheme="majorHAnsi"/>
          <w:sz w:val="24"/>
          <w:szCs w:val="24"/>
          <w:lang w:val="en-US"/>
        </w:rPr>
        <w:t xml:space="preserve"> (obese versus non-obese). Upper panel: Quantile of ROC curves for men (left) and women (right) on 10,000 validation subsamples. Lower panel: Model coefficients for the obesity status classification for men (left panel) and women (right panel); the larger absolute value, the more important the given BA is distinguishing obese from non-obese individuals. Bars show the mean value of the 10,000 subsamples, with error bars indicating the standard deviation (SD). When calculating the mean and SD of model coefficients we only included estimates from the subset of the 10,000 models reaching an AUC &gt; 0.65 (7,571 for men, 6,446 for women, </w:t>
      </w:r>
      <w:r w:rsidR="00325233" w:rsidRPr="00A654CF">
        <w:rPr>
          <w:rFonts w:asciiTheme="majorHAnsi" w:hAnsiTheme="majorHAnsi" w:cstheme="majorHAnsi"/>
          <w:sz w:val="24"/>
          <w:szCs w:val="24"/>
          <w:lang w:val="en-US"/>
        </w:rPr>
        <w:t>respectively</w:t>
      </w:r>
      <w:r w:rsidRPr="00A654CF">
        <w:rPr>
          <w:rFonts w:asciiTheme="majorHAnsi" w:hAnsiTheme="majorHAnsi" w:cstheme="majorHAnsi"/>
          <w:sz w:val="24"/>
          <w:szCs w:val="24"/>
          <w:lang w:val="en-US"/>
        </w:rPr>
        <w:t xml:space="preserve">). Predictors were scaled so coefficients directly reflected their importance. BA abbreviations and complete compound name </w:t>
      </w:r>
      <w:r w:rsidR="008C178D" w:rsidRPr="00A654CF">
        <w:rPr>
          <w:rFonts w:asciiTheme="majorHAnsi" w:hAnsiTheme="majorHAnsi" w:cstheme="majorHAnsi"/>
          <w:sz w:val="24"/>
          <w:szCs w:val="24"/>
          <w:lang w:val="en-US"/>
        </w:rPr>
        <w:t>are:</w:t>
      </w:r>
      <w:r w:rsidRPr="00A654CF">
        <w:rPr>
          <w:rFonts w:asciiTheme="majorHAnsi" w:hAnsiTheme="majorHAnsi" w:cstheme="majorHAnsi"/>
          <w:sz w:val="24"/>
          <w:szCs w:val="24"/>
          <w:lang w:val="en-US"/>
        </w:rPr>
        <w:t xml:space="preserve"> HCA - Hyocholic acid, HDCA - Hyodeoxycholic acid, </w:t>
      </w:r>
      <w:r w:rsidR="00E37AAF">
        <w:rPr>
          <w:rFonts w:ascii="Arial" w:hAnsi="Arial" w:cs="Arial"/>
          <w:color w:val="202122"/>
          <w:sz w:val="18"/>
          <w:szCs w:val="18"/>
          <w:shd w:val="clear" w:color="auto" w:fill="F8F9FA"/>
        </w:rPr>
        <w:t>α</w:t>
      </w:r>
      <w:r w:rsidRPr="00A654CF">
        <w:rPr>
          <w:rFonts w:asciiTheme="majorHAnsi" w:hAnsiTheme="majorHAnsi" w:cstheme="majorHAnsi"/>
          <w:sz w:val="24"/>
          <w:szCs w:val="24"/>
          <w:lang w:val="en-US"/>
        </w:rPr>
        <w:t xml:space="preserve">MCA - </w:t>
      </w:r>
      <w:r w:rsidR="00E37AAF">
        <w:rPr>
          <w:rFonts w:ascii="Arial" w:hAnsi="Arial" w:cs="Arial"/>
          <w:color w:val="202122"/>
          <w:sz w:val="18"/>
          <w:szCs w:val="18"/>
          <w:shd w:val="clear" w:color="auto" w:fill="F8F9FA"/>
        </w:rPr>
        <w:t>α</w:t>
      </w:r>
      <w:r w:rsidRPr="00A654CF">
        <w:rPr>
          <w:rFonts w:asciiTheme="majorHAnsi" w:hAnsiTheme="majorHAnsi" w:cstheme="majorHAnsi"/>
          <w:sz w:val="24"/>
          <w:szCs w:val="24"/>
          <w:lang w:val="en-US"/>
        </w:rPr>
        <w:t xml:space="preserve">-muricholic acid, 7oxo-DCA - 7-oxo-deoxycholic acid, DCA - </w:t>
      </w:r>
      <w:r w:rsidRPr="00A654CF">
        <w:rPr>
          <w:rFonts w:asciiTheme="majorHAnsi" w:hAnsiTheme="majorHAnsi" w:cstheme="majorHAnsi"/>
          <w:sz w:val="24"/>
          <w:szCs w:val="24"/>
          <w:lang w:val="en-US"/>
        </w:rPr>
        <w:lastRenderedPageBreak/>
        <w:t>Deoxycholic acid, CA - Cholic acid, LCA - Lithocholic acid, CDCA - Chenodeoxycholic acid, UDCA - Ursodeoxycholic acid). Abbreviated names preceded with G or T indicate that the BA is conjugated with a glycine or a taurine, respectively.</w:t>
      </w:r>
      <w:r w:rsidRPr="00A654CF">
        <w:rPr>
          <w:rFonts w:asciiTheme="majorHAnsi" w:hAnsiTheme="majorHAnsi" w:cstheme="majorHAnsi"/>
          <w:sz w:val="24"/>
          <w:szCs w:val="24"/>
          <w:lang w:val="en-US"/>
        </w:rPr>
        <w:br w:type="page"/>
      </w:r>
    </w:p>
    <w:p w14:paraId="365B1489" w14:textId="77777777" w:rsidR="0028696C" w:rsidRPr="00A654CF" w:rsidRDefault="00AA31BD" w:rsidP="000A0FA4">
      <w:pPr>
        <w:spacing w:after="0" w:line="276" w:lineRule="auto"/>
        <w:ind w:firstLine="0"/>
        <w:rPr>
          <w:rFonts w:asciiTheme="majorHAnsi" w:hAnsiTheme="majorHAnsi" w:cstheme="majorHAnsi"/>
          <w:b/>
          <w:sz w:val="24"/>
          <w:szCs w:val="24"/>
          <w:lang w:val="en-US"/>
        </w:rPr>
      </w:pPr>
      <w:r w:rsidRPr="00A654CF">
        <w:rPr>
          <w:rFonts w:asciiTheme="majorHAnsi" w:hAnsiTheme="majorHAnsi" w:cstheme="majorHAnsi"/>
          <w:b/>
          <w:sz w:val="24"/>
          <w:szCs w:val="24"/>
          <w:lang w:val="en-US"/>
        </w:rPr>
        <w:lastRenderedPageBreak/>
        <w:t xml:space="preserve"> </w:t>
      </w:r>
      <w:r w:rsidRPr="00A654CF">
        <w:rPr>
          <w:rFonts w:asciiTheme="majorHAnsi" w:hAnsiTheme="majorHAnsi" w:cstheme="majorHAnsi"/>
          <w:b/>
          <w:noProof/>
          <w:sz w:val="24"/>
          <w:szCs w:val="24"/>
          <w:lang w:val="da-DK" w:eastAsia="da-DK"/>
        </w:rPr>
        <w:drawing>
          <wp:inline distT="114300" distB="114300" distL="114300" distR="114300" wp14:anchorId="5C520978" wp14:editId="5242351B">
            <wp:extent cx="5943600" cy="53848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943600" cy="5384800"/>
                    </a:xfrm>
                    <a:prstGeom prst="rect">
                      <a:avLst/>
                    </a:prstGeom>
                    <a:ln/>
                  </pic:spPr>
                </pic:pic>
              </a:graphicData>
            </a:graphic>
          </wp:inline>
        </w:drawing>
      </w:r>
    </w:p>
    <w:p w14:paraId="5F2F8B4F" w14:textId="4F249EEC" w:rsidR="0028696C" w:rsidRPr="00A654CF" w:rsidRDefault="00AA31BD" w:rsidP="000A0FA4">
      <w:pPr>
        <w:spacing w:after="0" w:line="276" w:lineRule="auto"/>
        <w:ind w:firstLine="0"/>
        <w:jc w:val="both"/>
        <w:rPr>
          <w:rFonts w:asciiTheme="majorHAnsi" w:hAnsiTheme="majorHAnsi" w:cstheme="majorHAnsi"/>
          <w:sz w:val="24"/>
          <w:szCs w:val="24"/>
          <w:lang w:val="en-US"/>
        </w:rPr>
      </w:pPr>
      <w:r w:rsidRPr="00A654CF">
        <w:rPr>
          <w:rFonts w:asciiTheme="majorHAnsi" w:hAnsiTheme="majorHAnsi" w:cstheme="majorHAnsi"/>
          <w:b/>
          <w:sz w:val="24"/>
          <w:szCs w:val="24"/>
          <w:lang w:val="en-US"/>
        </w:rPr>
        <w:t>Supplementary Figure 4</w:t>
      </w:r>
      <w:r w:rsidR="00845FEB">
        <w:rPr>
          <w:rFonts w:asciiTheme="majorHAnsi" w:hAnsiTheme="majorHAnsi" w:cstheme="majorHAnsi"/>
          <w:b/>
          <w:sz w:val="24"/>
          <w:szCs w:val="24"/>
          <w:lang w:val="en-US"/>
        </w:rPr>
        <w:t>.</w:t>
      </w:r>
      <w:r w:rsidRPr="00A654CF">
        <w:rPr>
          <w:rFonts w:asciiTheme="majorHAnsi" w:hAnsiTheme="majorHAnsi" w:cstheme="majorHAnsi"/>
          <w:sz w:val="24"/>
          <w:szCs w:val="24"/>
          <w:lang w:val="en-US"/>
        </w:rPr>
        <w:t xml:space="preserve"> </w:t>
      </w:r>
      <w:r w:rsidRPr="00A654CF">
        <w:rPr>
          <w:rFonts w:asciiTheme="majorHAnsi" w:hAnsiTheme="majorHAnsi" w:cstheme="majorHAnsi"/>
          <w:b/>
          <w:sz w:val="24"/>
          <w:szCs w:val="24"/>
          <w:lang w:val="en-US"/>
        </w:rPr>
        <w:t>Analyses applying Logistic Ridge Regression (LR) classification models showing that the bile acids pool composition in fasting serum was different between men and women with high and low insulin resistance (HOMA-IR), respectively, in the study population of 283 individuals.</w:t>
      </w:r>
      <w:r w:rsidRPr="00A654CF">
        <w:rPr>
          <w:rFonts w:asciiTheme="majorHAnsi" w:hAnsiTheme="majorHAnsi" w:cstheme="majorHAnsi"/>
          <w:sz w:val="24"/>
          <w:szCs w:val="24"/>
          <w:lang w:val="en-US"/>
        </w:rPr>
        <w:t xml:space="preserve"> HOMA-IR was binarized around its median value.  Upper panel: Quantile of ROC curves for men (left) and women (right) on 10,000 validation subsamples. Lower panel: Model coefficients for the HOMA-IR status classification for men (left panel) and women (right panel); the larger absolute value, the more important the given BA is distinguishing HOMA-IR score above the median (1.6) from individuals with HOMA-IR score below the median. Bars show the mean value of the 10,000 subsamples, with error bars indicating the standard deviation (SD). When calculating the mean and SD of model coefficients we only included estimates from the subset of the 10,000 models reaching an AUC &gt; 0.65 (6,626 for men, 7,077 for women).</w:t>
      </w:r>
      <w:r w:rsidR="000A0FA4" w:rsidRPr="00A654CF">
        <w:rPr>
          <w:rFonts w:asciiTheme="majorHAnsi" w:hAnsiTheme="majorHAnsi" w:cstheme="majorHAnsi"/>
          <w:sz w:val="24"/>
          <w:szCs w:val="24"/>
          <w:lang w:val="en-US"/>
        </w:rPr>
        <w:t xml:space="preserve"> </w:t>
      </w:r>
      <w:r w:rsidRPr="00A654CF">
        <w:rPr>
          <w:rFonts w:asciiTheme="majorHAnsi" w:hAnsiTheme="majorHAnsi" w:cstheme="majorHAnsi"/>
          <w:sz w:val="24"/>
          <w:szCs w:val="24"/>
          <w:lang w:val="en-US"/>
        </w:rPr>
        <w:t xml:space="preserve">Predictors were scaled so coefficients directly reflected their importance. BA abbreviations and complete </w:t>
      </w:r>
      <w:r w:rsidRPr="00A654CF">
        <w:rPr>
          <w:rFonts w:asciiTheme="majorHAnsi" w:hAnsiTheme="majorHAnsi" w:cstheme="majorHAnsi"/>
          <w:sz w:val="24"/>
          <w:szCs w:val="24"/>
          <w:lang w:val="en-US"/>
        </w:rPr>
        <w:lastRenderedPageBreak/>
        <w:t xml:space="preserve">compound </w:t>
      </w:r>
      <w:r w:rsidR="008C178D" w:rsidRPr="00A654CF">
        <w:rPr>
          <w:rFonts w:asciiTheme="majorHAnsi" w:hAnsiTheme="majorHAnsi" w:cstheme="majorHAnsi"/>
          <w:sz w:val="24"/>
          <w:szCs w:val="24"/>
          <w:lang w:val="en-US"/>
        </w:rPr>
        <w:t>are</w:t>
      </w:r>
      <w:r w:rsidR="008C178D">
        <w:rPr>
          <w:rFonts w:asciiTheme="majorHAnsi" w:hAnsiTheme="majorHAnsi" w:cstheme="majorHAnsi"/>
          <w:sz w:val="24"/>
          <w:szCs w:val="24"/>
          <w:lang w:val="en-US"/>
        </w:rPr>
        <w:t>:</w:t>
      </w:r>
      <w:r w:rsidRPr="00A654CF">
        <w:rPr>
          <w:rFonts w:asciiTheme="majorHAnsi" w:hAnsiTheme="majorHAnsi" w:cstheme="majorHAnsi"/>
          <w:sz w:val="24"/>
          <w:szCs w:val="24"/>
          <w:lang w:val="en-US"/>
        </w:rPr>
        <w:t xml:space="preserve"> HCA - Hyocholic acid, HDCA - Hyodeoxycholic acid, </w:t>
      </w:r>
      <w:r w:rsidR="00E37AAF">
        <w:rPr>
          <w:rFonts w:ascii="Arial" w:hAnsi="Arial" w:cs="Arial"/>
          <w:color w:val="202122"/>
          <w:sz w:val="18"/>
          <w:szCs w:val="18"/>
          <w:shd w:val="clear" w:color="auto" w:fill="F8F9FA"/>
        </w:rPr>
        <w:t>α</w:t>
      </w:r>
      <w:r w:rsidRPr="00A654CF">
        <w:rPr>
          <w:rFonts w:asciiTheme="majorHAnsi" w:hAnsiTheme="majorHAnsi" w:cstheme="majorHAnsi"/>
          <w:sz w:val="24"/>
          <w:szCs w:val="24"/>
          <w:lang w:val="en-US"/>
        </w:rPr>
        <w:t xml:space="preserve">MCA - </w:t>
      </w:r>
      <w:r w:rsidR="00E37AAF">
        <w:rPr>
          <w:rFonts w:ascii="Arial" w:hAnsi="Arial" w:cs="Arial"/>
          <w:color w:val="202122"/>
          <w:sz w:val="18"/>
          <w:szCs w:val="18"/>
          <w:shd w:val="clear" w:color="auto" w:fill="F8F9FA"/>
        </w:rPr>
        <w:t>α</w:t>
      </w:r>
      <w:r w:rsidRPr="00A654CF">
        <w:rPr>
          <w:rFonts w:asciiTheme="majorHAnsi" w:hAnsiTheme="majorHAnsi" w:cstheme="majorHAnsi"/>
          <w:sz w:val="24"/>
          <w:szCs w:val="24"/>
          <w:lang w:val="en-US"/>
        </w:rPr>
        <w:t>-muricholic acid, 7oxo-DCA - 7-oxo-deoxycholic acid, DCA - Deoxycholic acid, CA - Cholic acid, LCA - Lithocholic acid, CDCA - Chenodeoxycholic acid, UDCA - Ursodeoxycholic acid). Abbreviated names preceded with G or T indicate that the BA is conjugated with a glycine or a taurine, respectively.</w:t>
      </w:r>
      <w:r w:rsidRPr="00A654CF">
        <w:rPr>
          <w:rFonts w:asciiTheme="majorHAnsi" w:hAnsiTheme="majorHAnsi" w:cstheme="majorHAnsi"/>
          <w:sz w:val="24"/>
          <w:szCs w:val="24"/>
          <w:lang w:val="en-US"/>
        </w:rPr>
        <w:br w:type="page"/>
      </w:r>
    </w:p>
    <w:p w14:paraId="3E0030BD" w14:textId="330C294F" w:rsidR="0028696C" w:rsidRPr="00A654CF" w:rsidRDefault="00AA31BD" w:rsidP="000A0FA4">
      <w:pPr>
        <w:spacing w:after="0" w:line="276" w:lineRule="auto"/>
        <w:ind w:firstLine="0"/>
        <w:rPr>
          <w:rFonts w:asciiTheme="majorHAnsi" w:hAnsiTheme="majorHAnsi" w:cstheme="majorHAnsi"/>
          <w:sz w:val="24"/>
          <w:szCs w:val="24"/>
          <w:lang w:val="en-US"/>
        </w:rPr>
      </w:pPr>
      <w:r w:rsidRPr="00A654CF">
        <w:rPr>
          <w:rFonts w:asciiTheme="majorHAnsi" w:hAnsiTheme="majorHAnsi" w:cstheme="majorHAnsi"/>
          <w:noProof/>
          <w:sz w:val="24"/>
          <w:szCs w:val="24"/>
          <w:lang w:val="da-DK" w:eastAsia="da-DK"/>
        </w:rPr>
        <w:lastRenderedPageBreak/>
        <w:drawing>
          <wp:inline distT="114300" distB="114300" distL="114300" distR="114300" wp14:anchorId="50FC37F5" wp14:editId="1CD6F651">
            <wp:extent cx="5943600" cy="441960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946128" cy="4421480"/>
                    </a:xfrm>
                    <a:prstGeom prst="rect">
                      <a:avLst/>
                    </a:prstGeom>
                    <a:ln/>
                  </pic:spPr>
                </pic:pic>
              </a:graphicData>
            </a:graphic>
          </wp:inline>
        </w:drawing>
      </w:r>
    </w:p>
    <w:p w14:paraId="7499898C" w14:textId="77777777" w:rsidR="000A0FA4" w:rsidRPr="00A654CF" w:rsidRDefault="000A0FA4" w:rsidP="000A0FA4">
      <w:pPr>
        <w:spacing w:after="0" w:line="276" w:lineRule="auto"/>
        <w:ind w:firstLine="0"/>
        <w:rPr>
          <w:rFonts w:asciiTheme="majorHAnsi" w:hAnsiTheme="majorHAnsi" w:cstheme="majorHAnsi"/>
          <w:sz w:val="24"/>
          <w:szCs w:val="24"/>
          <w:lang w:val="en-US"/>
        </w:rPr>
      </w:pPr>
    </w:p>
    <w:p w14:paraId="285A90BD" w14:textId="3F76EB67" w:rsidR="0028696C" w:rsidRPr="00A654CF" w:rsidRDefault="00AA31BD" w:rsidP="000A0FA4">
      <w:pPr>
        <w:spacing w:line="276" w:lineRule="auto"/>
        <w:ind w:firstLine="0"/>
        <w:jc w:val="both"/>
        <w:rPr>
          <w:rFonts w:asciiTheme="majorHAnsi" w:hAnsiTheme="majorHAnsi" w:cstheme="majorHAnsi"/>
          <w:sz w:val="24"/>
          <w:szCs w:val="24"/>
          <w:lang w:val="en-US"/>
        </w:rPr>
      </w:pPr>
      <w:r w:rsidRPr="00A654CF">
        <w:rPr>
          <w:rFonts w:asciiTheme="majorHAnsi" w:hAnsiTheme="majorHAnsi" w:cstheme="majorHAnsi"/>
          <w:b/>
          <w:sz w:val="24"/>
          <w:szCs w:val="24"/>
          <w:lang w:val="en-US"/>
        </w:rPr>
        <w:t>Supplementary Figure 5</w:t>
      </w:r>
      <w:r w:rsidR="00845FEB">
        <w:rPr>
          <w:rFonts w:asciiTheme="majorHAnsi" w:hAnsiTheme="majorHAnsi" w:cstheme="majorHAnsi"/>
          <w:b/>
          <w:sz w:val="24"/>
          <w:szCs w:val="24"/>
          <w:lang w:val="en-US"/>
        </w:rPr>
        <w:t>.</w:t>
      </w:r>
      <w:r w:rsidRPr="00A654CF">
        <w:rPr>
          <w:rFonts w:asciiTheme="majorHAnsi" w:hAnsiTheme="majorHAnsi" w:cstheme="majorHAnsi"/>
          <w:sz w:val="24"/>
          <w:szCs w:val="24"/>
          <w:lang w:val="en-US"/>
        </w:rPr>
        <w:t xml:space="preserve"> </w:t>
      </w:r>
      <w:r w:rsidRPr="00A654CF">
        <w:rPr>
          <w:rFonts w:asciiTheme="majorHAnsi" w:hAnsiTheme="majorHAnsi" w:cstheme="majorHAnsi"/>
          <w:b/>
          <w:sz w:val="24"/>
          <w:szCs w:val="24"/>
          <w:lang w:val="en-US"/>
        </w:rPr>
        <w:t xml:space="preserve">Modeling of the potentials of the human intestinal microbiome for de-conjugation and biotransformation of bile acids in 106 non-obese and 177 obese individuals. </w:t>
      </w:r>
      <w:r w:rsidRPr="00A654CF">
        <w:rPr>
          <w:rFonts w:asciiTheme="majorHAnsi" w:hAnsiTheme="majorHAnsi" w:cstheme="majorHAnsi"/>
          <w:sz w:val="24"/>
          <w:szCs w:val="24"/>
          <w:lang w:val="en-US"/>
        </w:rPr>
        <w:t xml:space="preserve">In this figure, non-conjugated secondary BAs are marked with orange </w:t>
      </w:r>
      <w:r w:rsidR="000A0FA4" w:rsidRPr="00A654CF">
        <w:rPr>
          <w:rFonts w:asciiTheme="majorHAnsi" w:hAnsiTheme="majorHAnsi" w:cstheme="majorHAnsi"/>
          <w:sz w:val="24"/>
          <w:szCs w:val="24"/>
          <w:lang w:val="en-US"/>
        </w:rPr>
        <w:t>color</w:t>
      </w:r>
      <w:r w:rsidRPr="00A654CF">
        <w:rPr>
          <w:rFonts w:asciiTheme="majorHAnsi" w:hAnsiTheme="majorHAnsi" w:cstheme="majorHAnsi"/>
          <w:sz w:val="24"/>
          <w:szCs w:val="24"/>
          <w:lang w:val="en-US"/>
        </w:rPr>
        <w:t xml:space="preserve">, conjugated primary BAs and BA intermediates are shown in yellow in the intestinal lumen, and in green color in the liver. The regulation of serum BAs in obese versus non-obese subjects are shown by red color (up-regulated) and blue color (down-regulated). Purple arrow with blue beads denotes transport/secretion of BA to host body fluids. Unknown or putative enzymes/reactions are marked by '?'. The putative/plausible reactions are depicted by dotted lines. BA abbreviations and compound names are as follows: HCA - Hyocholic acid, HDCA - Hyodeoxycholic acid, </w:t>
      </w:r>
      <w:r w:rsidR="00E37AAF">
        <w:rPr>
          <w:rFonts w:ascii="Arial" w:hAnsi="Arial" w:cs="Arial"/>
          <w:color w:val="202122"/>
          <w:sz w:val="18"/>
          <w:szCs w:val="18"/>
          <w:shd w:val="clear" w:color="auto" w:fill="F8F9FA"/>
        </w:rPr>
        <w:t>α</w:t>
      </w:r>
      <w:r w:rsidRPr="00A654CF">
        <w:rPr>
          <w:rFonts w:asciiTheme="majorHAnsi" w:hAnsiTheme="majorHAnsi" w:cstheme="majorHAnsi"/>
          <w:sz w:val="24"/>
          <w:szCs w:val="24"/>
          <w:lang w:val="en-US"/>
        </w:rPr>
        <w:t xml:space="preserve">MCA - </w:t>
      </w:r>
      <w:r w:rsidR="00E37AAF">
        <w:rPr>
          <w:rFonts w:ascii="Arial" w:hAnsi="Arial" w:cs="Arial"/>
          <w:color w:val="202122"/>
          <w:sz w:val="18"/>
          <w:szCs w:val="18"/>
          <w:shd w:val="clear" w:color="auto" w:fill="F8F9FA"/>
        </w:rPr>
        <w:t>α</w:t>
      </w:r>
      <w:r w:rsidRPr="00A654CF">
        <w:rPr>
          <w:rFonts w:asciiTheme="majorHAnsi" w:hAnsiTheme="majorHAnsi" w:cstheme="majorHAnsi"/>
          <w:sz w:val="24"/>
          <w:szCs w:val="24"/>
          <w:lang w:val="en-US"/>
        </w:rPr>
        <w:t>-muricholic acid, 7oxo-DCA - 7-oxo-deoxycholic acid, DCA - Deoxycholic acid, CA - Cholic acid, LCA - Lithocholic acid, CDCA - Chenodeoxycholic acid, UDCA - Ursodeoxycholic acid. Abbreviated names preceded with G or T indicate that the BA is conjugated with glycine or taurine, respectively.</w:t>
      </w:r>
    </w:p>
    <w:p w14:paraId="356F607A" w14:textId="54B50928" w:rsidR="0028696C" w:rsidRPr="00A654CF" w:rsidRDefault="00AA31BD" w:rsidP="000A0FA4">
      <w:pPr>
        <w:spacing w:after="0" w:line="276" w:lineRule="auto"/>
        <w:ind w:firstLine="0"/>
        <w:rPr>
          <w:rFonts w:asciiTheme="majorHAnsi" w:hAnsiTheme="majorHAnsi" w:cstheme="majorHAnsi"/>
          <w:sz w:val="24"/>
          <w:szCs w:val="24"/>
          <w:lang w:val="en-US"/>
        </w:rPr>
      </w:pPr>
      <w:r w:rsidRPr="00A654CF">
        <w:rPr>
          <w:rFonts w:asciiTheme="majorHAnsi" w:hAnsiTheme="majorHAnsi" w:cstheme="majorHAnsi"/>
          <w:sz w:val="24"/>
          <w:szCs w:val="24"/>
          <w:lang w:val="en-US"/>
        </w:rPr>
        <w:lastRenderedPageBreak/>
        <w:t xml:space="preserve"> </w:t>
      </w:r>
      <w:r w:rsidR="0070330D">
        <w:rPr>
          <w:rFonts w:asciiTheme="majorHAnsi" w:hAnsiTheme="majorHAnsi" w:cstheme="majorHAnsi"/>
          <w:noProof/>
          <w:sz w:val="24"/>
          <w:szCs w:val="24"/>
          <w:lang w:val="da-DK" w:eastAsia="da-DK"/>
        </w:rPr>
        <w:drawing>
          <wp:inline distT="0" distB="0" distL="0" distR="0" wp14:anchorId="402D33B3" wp14:editId="26953638">
            <wp:extent cx="5943600" cy="3107690"/>
            <wp:effectExtent l="0" t="0" r="0" b="381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107690"/>
                    </a:xfrm>
                    <a:prstGeom prst="rect">
                      <a:avLst/>
                    </a:prstGeom>
                  </pic:spPr>
                </pic:pic>
              </a:graphicData>
            </a:graphic>
          </wp:inline>
        </w:drawing>
      </w:r>
    </w:p>
    <w:p w14:paraId="6C1585F3" w14:textId="77777777" w:rsidR="000A0FA4" w:rsidRPr="00A654CF" w:rsidRDefault="000A0FA4" w:rsidP="000A0FA4">
      <w:pPr>
        <w:spacing w:after="0" w:line="276" w:lineRule="auto"/>
        <w:ind w:firstLine="0"/>
        <w:rPr>
          <w:rFonts w:asciiTheme="majorHAnsi" w:hAnsiTheme="majorHAnsi" w:cstheme="majorHAnsi"/>
          <w:sz w:val="24"/>
          <w:szCs w:val="24"/>
          <w:lang w:val="en-US"/>
        </w:rPr>
      </w:pPr>
    </w:p>
    <w:p w14:paraId="0CD4FC8B" w14:textId="1E26E560" w:rsidR="0028696C" w:rsidRPr="00A654CF" w:rsidRDefault="00AA31BD" w:rsidP="000A0FA4">
      <w:pPr>
        <w:spacing w:line="276" w:lineRule="auto"/>
        <w:ind w:firstLine="0"/>
        <w:jc w:val="both"/>
        <w:rPr>
          <w:rFonts w:asciiTheme="majorHAnsi" w:hAnsiTheme="majorHAnsi" w:cstheme="majorHAnsi"/>
          <w:sz w:val="24"/>
          <w:szCs w:val="24"/>
          <w:lang w:val="en-US"/>
        </w:rPr>
      </w:pPr>
      <w:r w:rsidRPr="00A654CF">
        <w:rPr>
          <w:rFonts w:asciiTheme="majorHAnsi" w:hAnsiTheme="majorHAnsi" w:cstheme="majorHAnsi"/>
          <w:b/>
          <w:sz w:val="24"/>
          <w:szCs w:val="24"/>
          <w:lang w:val="en-US"/>
        </w:rPr>
        <w:t>Supplementary Figure 6</w:t>
      </w:r>
      <w:r w:rsidR="00845FEB">
        <w:rPr>
          <w:rFonts w:asciiTheme="majorHAnsi" w:hAnsiTheme="majorHAnsi" w:cstheme="majorHAnsi"/>
          <w:b/>
          <w:sz w:val="24"/>
          <w:szCs w:val="24"/>
          <w:lang w:val="en-US"/>
        </w:rPr>
        <w:t>.</w:t>
      </w:r>
      <w:r w:rsidRPr="00A654CF">
        <w:rPr>
          <w:rFonts w:asciiTheme="majorHAnsi" w:hAnsiTheme="majorHAnsi" w:cstheme="majorHAnsi"/>
          <w:sz w:val="24"/>
          <w:szCs w:val="24"/>
          <w:lang w:val="en-US"/>
        </w:rPr>
        <w:t xml:space="preserve"> </w:t>
      </w:r>
      <w:r w:rsidRPr="00A654CF">
        <w:rPr>
          <w:rFonts w:asciiTheme="majorHAnsi" w:hAnsiTheme="majorHAnsi" w:cstheme="majorHAnsi"/>
          <w:b/>
          <w:sz w:val="24"/>
          <w:szCs w:val="24"/>
          <w:lang w:val="en-US"/>
        </w:rPr>
        <w:t>Selection of abundant gut bacterial species/strains in the studied 283 individuals and illustration of their corresponding genome-scale models (GEMs) according to the AGORA compendium</w:t>
      </w:r>
      <w:r w:rsidRPr="00A654CF">
        <w:rPr>
          <w:rFonts w:asciiTheme="majorHAnsi" w:hAnsiTheme="majorHAnsi" w:cstheme="majorHAnsi"/>
          <w:sz w:val="24"/>
          <w:szCs w:val="24"/>
          <w:lang w:val="en-US"/>
        </w:rPr>
        <w:t>. A) Venn diagram comparing metagenomic species (MGS &gt;500 genes) in this study, GEMs from AGORA compendium, and GEMs enhanced with bile acids (BA) biotransformation pathways from 'AGORA_BA' compendium and Virtual Metabolic Human database. B) Bacterial strains and their corresponding GEMs employed in this study.</w:t>
      </w:r>
      <w:r w:rsidRPr="00A654CF">
        <w:rPr>
          <w:rFonts w:asciiTheme="majorHAnsi" w:hAnsiTheme="majorHAnsi" w:cstheme="majorHAnsi"/>
          <w:sz w:val="24"/>
          <w:szCs w:val="24"/>
          <w:lang w:val="en-US"/>
        </w:rPr>
        <w:br w:type="page"/>
      </w:r>
    </w:p>
    <w:p w14:paraId="61E91A44" w14:textId="7C6B049D" w:rsidR="0028696C" w:rsidRPr="00A654CF" w:rsidRDefault="0070330D" w:rsidP="000A0FA4">
      <w:pPr>
        <w:spacing w:line="276" w:lineRule="auto"/>
        <w:ind w:firstLine="0"/>
        <w:jc w:val="both"/>
        <w:rPr>
          <w:rFonts w:asciiTheme="majorHAnsi" w:hAnsiTheme="majorHAnsi" w:cstheme="majorHAnsi"/>
          <w:sz w:val="24"/>
          <w:szCs w:val="24"/>
          <w:lang w:val="en-US"/>
        </w:rPr>
      </w:pPr>
      <w:r>
        <w:rPr>
          <w:rFonts w:asciiTheme="majorHAnsi" w:hAnsiTheme="majorHAnsi" w:cstheme="majorHAnsi"/>
          <w:noProof/>
          <w:sz w:val="24"/>
          <w:szCs w:val="24"/>
          <w:lang w:val="da-DK" w:eastAsia="da-DK"/>
        </w:rPr>
        <w:lastRenderedPageBreak/>
        <w:drawing>
          <wp:inline distT="0" distB="0" distL="0" distR="0" wp14:anchorId="309CF445" wp14:editId="1BDE4165">
            <wp:extent cx="5943600" cy="3147060"/>
            <wp:effectExtent l="0" t="0" r="0" b="2540"/>
            <wp:docPr id="17" name="Picture 1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imeli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147060"/>
                    </a:xfrm>
                    <a:prstGeom prst="rect">
                      <a:avLst/>
                    </a:prstGeom>
                  </pic:spPr>
                </pic:pic>
              </a:graphicData>
            </a:graphic>
          </wp:inline>
        </w:drawing>
      </w:r>
    </w:p>
    <w:p w14:paraId="46A17E44" w14:textId="378B1C79" w:rsidR="0028696C" w:rsidRPr="00A654CF" w:rsidRDefault="00AA31BD" w:rsidP="000A0FA4">
      <w:pPr>
        <w:spacing w:line="276" w:lineRule="auto"/>
        <w:ind w:firstLine="0"/>
        <w:jc w:val="both"/>
        <w:rPr>
          <w:rFonts w:asciiTheme="majorHAnsi" w:hAnsiTheme="majorHAnsi" w:cstheme="majorHAnsi"/>
          <w:sz w:val="24"/>
          <w:szCs w:val="24"/>
          <w:lang w:val="en-US"/>
        </w:rPr>
      </w:pPr>
      <w:r w:rsidRPr="00A654CF">
        <w:rPr>
          <w:rFonts w:asciiTheme="majorHAnsi" w:hAnsiTheme="majorHAnsi" w:cstheme="majorHAnsi"/>
          <w:b/>
          <w:sz w:val="24"/>
          <w:szCs w:val="24"/>
          <w:lang w:val="en-US"/>
        </w:rPr>
        <w:t>Supplementary Figure 7</w:t>
      </w:r>
      <w:r w:rsidR="00845FEB">
        <w:rPr>
          <w:rFonts w:asciiTheme="majorHAnsi" w:hAnsiTheme="majorHAnsi" w:cstheme="majorHAnsi"/>
          <w:b/>
          <w:sz w:val="24"/>
          <w:szCs w:val="24"/>
          <w:lang w:val="en-US"/>
        </w:rPr>
        <w:t>.</w:t>
      </w:r>
      <w:r w:rsidRPr="00A654CF">
        <w:rPr>
          <w:rFonts w:asciiTheme="majorHAnsi" w:hAnsiTheme="majorHAnsi" w:cstheme="majorHAnsi"/>
          <w:sz w:val="24"/>
          <w:szCs w:val="24"/>
          <w:lang w:val="en-US"/>
        </w:rPr>
        <w:t xml:space="preserve"> </w:t>
      </w:r>
      <w:r w:rsidRPr="00A654CF">
        <w:rPr>
          <w:rFonts w:asciiTheme="majorHAnsi" w:hAnsiTheme="majorHAnsi" w:cstheme="majorHAnsi"/>
          <w:b/>
          <w:sz w:val="24"/>
          <w:szCs w:val="24"/>
          <w:lang w:val="en-US"/>
        </w:rPr>
        <w:t>Reaction abundances (RAs) of</w:t>
      </w:r>
      <w:r w:rsidRPr="00A654CF">
        <w:rPr>
          <w:rFonts w:asciiTheme="majorHAnsi" w:hAnsiTheme="majorHAnsi" w:cstheme="majorHAnsi"/>
          <w:sz w:val="24"/>
          <w:szCs w:val="24"/>
          <w:lang w:val="en-US"/>
        </w:rPr>
        <w:t xml:space="preserve"> </w:t>
      </w:r>
      <w:r w:rsidRPr="00A654CF">
        <w:rPr>
          <w:rFonts w:asciiTheme="majorHAnsi" w:hAnsiTheme="majorHAnsi" w:cstheme="majorHAnsi"/>
          <w:b/>
          <w:sz w:val="24"/>
          <w:szCs w:val="24"/>
          <w:lang w:val="en-US"/>
        </w:rPr>
        <w:t>bile acids (BAs) in 106 non-obese and 177 obese individuals</w:t>
      </w:r>
      <w:r w:rsidRPr="00A654CF">
        <w:rPr>
          <w:rFonts w:asciiTheme="majorHAnsi" w:hAnsiTheme="majorHAnsi" w:cstheme="majorHAnsi"/>
          <w:sz w:val="24"/>
          <w:szCs w:val="24"/>
          <w:lang w:val="en-US"/>
        </w:rPr>
        <w:t>. A) Abundances of the BA reactions in non-obese and obese individuals inferred from 26 'AGORA_BA' models. B) Description of BAs reactions as shown in panel 'A'. Each RA was normalized by the maximum abundance in the community. C) Total RA in non-obese and obese subjects evaluated by Mann-Whitney U test.</w:t>
      </w:r>
      <w:r w:rsidRPr="00A654CF">
        <w:rPr>
          <w:rFonts w:asciiTheme="majorHAnsi" w:hAnsiTheme="majorHAnsi" w:cstheme="majorHAnsi"/>
          <w:sz w:val="24"/>
          <w:szCs w:val="24"/>
          <w:lang w:val="en-US"/>
        </w:rPr>
        <w:br w:type="page"/>
      </w:r>
    </w:p>
    <w:p w14:paraId="3C75CF32" w14:textId="77777777" w:rsidR="0028696C" w:rsidRPr="00A654CF" w:rsidRDefault="00AA31BD" w:rsidP="000A0FA4">
      <w:pPr>
        <w:spacing w:line="276" w:lineRule="auto"/>
        <w:ind w:firstLine="0"/>
        <w:jc w:val="both"/>
        <w:rPr>
          <w:rFonts w:asciiTheme="majorHAnsi" w:hAnsiTheme="majorHAnsi" w:cstheme="majorHAnsi"/>
          <w:sz w:val="24"/>
          <w:szCs w:val="24"/>
          <w:lang w:val="en-US"/>
        </w:rPr>
      </w:pPr>
      <w:r w:rsidRPr="00A654CF">
        <w:rPr>
          <w:rFonts w:asciiTheme="majorHAnsi" w:hAnsiTheme="majorHAnsi" w:cstheme="majorHAnsi"/>
          <w:sz w:val="24"/>
          <w:szCs w:val="24"/>
          <w:lang w:val="en-US"/>
        </w:rPr>
        <w:lastRenderedPageBreak/>
        <w:t xml:space="preserve"> </w:t>
      </w:r>
      <w:r w:rsidRPr="00A654CF">
        <w:rPr>
          <w:rFonts w:asciiTheme="majorHAnsi" w:hAnsiTheme="majorHAnsi" w:cstheme="majorHAnsi"/>
          <w:noProof/>
          <w:sz w:val="24"/>
          <w:szCs w:val="24"/>
          <w:lang w:val="da-DK" w:eastAsia="da-DK"/>
        </w:rPr>
        <w:drawing>
          <wp:inline distT="114300" distB="114300" distL="114300" distR="114300" wp14:anchorId="5FD11222" wp14:editId="0B52B4E9">
            <wp:extent cx="5699051" cy="2987749"/>
            <wp:effectExtent l="0" t="0" r="381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5701604" cy="2989088"/>
                    </a:xfrm>
                    <a:prstGeom prst="rect">
                      <a:avLst/>
                    </a:prstGeom>
                    <a:ln/>
                  </pic:spPr>
                </pic:pic>
              </a:graphicData>
            </a:graphic>
          </wp:inline>
        </w:drawing>
      </w:r>
    </w:p>
    <w:p w14:paraId="0E9A7880" w14:textId="40156B7E" w:rsidR="0028696C" w:rsidRPr="00A654CF" w:rsidRDefault="00AA31BD" w:rsidP="000A0FA4">
      <w:pPr>
        <w:spacing w:line="276" w:lineRule="auto"/>
        <w:ind w:firstLine="0"/>
        <w:jc w:val="both"/>
        <w:rPr>
          <w:rFonts w:asciiTheme="majorHAnsi" w:hAnsiTheme="majorHAnsi" w:cstheme="majorHAnsi"/>
          <w:sz w:val="24"/>
          <w:szCs w:val="24"/>
          <w:lang w:val="en-US"/>
        </w:rPr>
      </w:pPr>
      <w:r w:rsidRPr="00A654CF">
        <w:rPr>
          <w:rFonts w:asciiTheme="majorHAnsi" w:hAnsiTheme="majorHAnsi" w:cstheme="majorHAnsi"/>
          <w:b/>
          <w:sz w:val="24"/>
          <w:szCs w:val="24"/>
          <w:lang w:val="en-US"/>
        </w:rPr>
        <w:t>Supplementary Figure 8</w:t>
      </w:r>
      <w:r w:rsidR="00845FEB">
        <w:rPr>
          <w:rFonts w:asciiTheme="majorHAnsi" w:hAnsiTheme="majorHAnsi" w:cstheme="majorHAnsi"/>
          <w:b/>
          <w:sz w:val="24"/>
          <w:szCs w:val="24"/>
          <w:lang w:val="en-US"/>
        </w:rPr>
        <w:t>.</w:t>
      </w:r>
      <w:r w:rsidRPr="00A654CF">
        <w:rPr>
          <w:rFonts w:asciiTheme="majorHAnsi" w:hAnsiTheme="majorHAnsi" w:cstheme="majorHAnsi"/>
          <w:b/>
          <w:sz w:val="24"/>
          <w:szCs w:val="24"/>
          <w:lang w:val="en-US"/>
        </w:rPr>
        <w:t xml:space="preserve"> Illustration of the applied multi-compartment Genome-Scale Metabolic Modeling framework</w:t>
      </w:r>
      <w:r w:rsidRPr="00A654CF">
        <w:rPr>
          <w:rFonts w:asciiTheme="majorHAnsi" w:hAnsiTheme="majorHAnsi" w:cstheme="majorHAnsi"/>
          <w:sz w:val="24"/>
          <w:szCs w:val="24"/>
          <w:lang w:val="en-US"/>
        </w:rPr>
        <w:t>.</w:t>
      </w:r>
      <w:r w:rsidRPr="00A654CF">
        <w:rPr>
          <w:rFonts w:asciiTheme="majorHAnsi" w:hAnsiTheme="majorHAnsi" w:cstheme="majorHAnsi"/>
          <w:b/>
          <w:sz w:val="24"/>
          <w:szCs w:val="24"/>
          <w:lang w:val="en-US"/>
        </w:rPr>
        <w:t xml:space="preserve"> </w:t>
      </w:r>
      <w:r w:rsidRPr="00A654CF">
        <w:rPr>
          <w:rFonts w:asciiTheme="majorHAnsi" w:hAnsiTheme="majorHAnsi" w:cstheme="majorHAnsi"/>
          <w:sz w:val="24"/>
          <w:szCs w:val="24"/>
          <w:lang w:val="en-US"/>
        </w:rPr>
        <w:t>It comprised of 26 selected "AGORA_BA" models with each model having a cytoplasm [c] and an extracellular space [e] for exchange of metabolites. A common lumen compartment [u] that allowed exchange of pooled metabolites between bacteria and gut epithelial cells is shown. The luminal compartment [u] acc</w:t>
      </w:r>
      <w:r w:rsidR="00116396" w:rsidRPr="00A654CF">
        <w:rPr>
          <w:rFonts w:asciiTheme="majorHAnsi" w:hAnsiTheme="majorHAnsi" w:cstheme="majorHAnsi"/>
          <w:sz w:val="24"/>
          <w:szCs w:val="24"/>
          <w:lang w:val="en-US"/>
        </w:rPr>
        <w:t>ommodated dietary fluxes (mm/g dry weight</w:t>
      </w:r>
      <w:r w:rsidRPr="00A654CF">
        <w:rPr>
          <w:rFonts w:asciiTheme="majorHAnsi" w:hAnsiTheme="majorHAnsi" w:cstheme="majorHAnsi"/>
          <w:sz w:val="24"/>
          <w:szCs w:val="24"/>
          <w:lang w:val="en-US"/>
        </w:rPr>
        <w:t>/hr) and faecal secretion. In addition, the lumen could take up and secrete conjugated and non-conjugated BA, respectively, when the bacterial strain and corresponding enzyme(s) were known. The framework was coupled with a host epithelial cell model (</w:t>
      </w:r>
      <w:r w:rsidRPr="00A654CF">
        <w:rPr>
          <w:rFonts w:asciiTheme="majorHAnsi" w:hAnsiTheme="majorHAnsi" w:cstheme="majorHAnsi"/>
          <w:i/>
          <w:sz w:val="24"/>
          <w:szCs w:val="24"/>
          <w:lang w:val="en-US"/>
        </w:rPr>
        <w:t>hLC_001</w:t>
      </w:r>
      <w:r w:rsidRPr="00A654CF">
        <w:rPr>
          <w:rFonts w:asciiTheme="majorHAnsi" w:hAnsiTheme="majorHAnsi" w:cstheme="majorHAnsi"/>
          <w:sz w:val="24"/>
          <w:szCs w:val="24"/>
          <w:lang w:val="en-US"/>
        </w:rPr>
        <w:t>), reconstructed in this study. A compartment simulating host body fluids [b] is also shown.</w:t>
      </w:r>
      <w:r w:rsidRPr="00A654CF">
        <w:rPr>
          <w:rFonts w:asciiTheme="majorHAnsi" w:hAnsiTheme="majorHAnsi" w:cstheme="majorHAnsi"/>
          <w:sz w:val="24"/>
          <w:szCs w:val="24"/>
          <w:lang w:val="en-US"/>
        </w:rPr>
        <w:br w:type="page"/>
      </w:r>
    </w:p>
    <w:p w14:paraId="570D76FA" w14:textId="79F1DBAD" w:rsidR="0028696C" w:rsidRPr="00A654CF" w:rsidRDefault="008F5CBA" w:rsidP="000A0FA4">
      <w:pPr>
        <w:spacing w:line="276" w:lineRule="auto"/>
        <w:ind w:firstLine="0"/>
        <w:jc w:val="both"/>
        <w:rPr>
          <w:rFonts w:asciiTheme="majorHAnsi" w:hAnsiTheme="majorHAnsi" w:cstheme="majorHAnsi"/>
          <w:sz w:val="24"/>
          <w:szCs w:val="24"/>
          <w:lang w:val="en-US"/>
        </w:rPr>
      </w:pPr>
      <w:r>
        <w:rPr>
          <w:rFonts w:asciiTheme="majorHAnsi" w:hAnsiTheme="majorHAnsi" w:cstheme="majorHAnsi"/>
          <w:noProof/>
          <w:sz w:val="24"/>
          <w:szCs w:val="24"/>
          <w:lang w:val="da-DK" w:eastAsia="da-DK"/>
        </w:rPr>
        <w:lastRenderedPageBreak/>
        <w:drawing>
          <wp:inline distT="0" distB="0" distL="0" distR="0" wp14:anchorId="4E857FB9" wp14:editId="1AC38FD5">
            <wp:extent cx="5943600" cy="3251200"/>
            <wp:effectExtent l="0" t="0" r="0" b="0"/>
            <wp:docPr id="19" name="Picture 19"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hematic&#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251200"/>
                    </a:xfrm>
                    <a:prstGeom prst="rect">
                      <a:avLst/>
                    </a:prstGeom>
                  </pic:spPr>
                </pic:pic>
              </a:graphicData>
            </a:graphic>
          </wp:inline>
        </w:drawing>
      </w:r>
    </w:p>
    <w:p w14:paraId="3A9A42AA" w14:textId="19F17618" w:rsidR="0028696C" w:rsidRPr="00A654CF" w:rsidRDefault="00AA31BD" w:rsidP="000A0FA4">
      <w:pPr>
        <w:spacing w:line="276" w:lineRule="auto"/>
        <w:ind w:firstLine="0"/>
        <w:jc w:val="both"/>
        <w:rPr>
          <w:rFonts w:asciiTheme="majorHAnsi" w:hAnsiTheme="majorHAnsi" w:cstheme="majorHAnsi"/>
          <w:sz w:val="24"/>
          <w:szCs w:val="24"/>
          <w:lang w:val="en-US"/>
        </w:rPr>
      </w:pPr>
      <w:r w:rsidRPr="00A654CF">
        <w:rPr>
          <w:rFonts w:asciiTheme="majorHAnsi" w:hAnsiTheme="majorHAnsi" w:cstheme="majorHAnsi"/>
          <w:b/>
          <w:sz w:val="24"/>
          <w:szCs w:val="24"/>
          <w:lang w:val="en-US"/>
        </w:rPr>
        <w:t>Supplementary Figure 9</w:t>
      </w:r>
      <w:r w:rsidR="00845FEB">
        <w:rPr>
          <w:rFonts w:asciiTheme="majorHAnsi" w:hAnsiTheme="majorHAnsi" w:cstheme="majorHAnsi"/>
          <w:b/>
          <w:sz w:val="24"/>
          <w:szCs w:val="24"/>
          <w:lang w:val="en-US"/>
        </w:rPr>
        <w:t>.</w:t>
      </w:r>
      <w:r w:rsidRPr="00A654CF">
        <w:rPr>
          <w:rFonts w:asciiTheme="majorHAnsi" w:hAnsiTheme="majorHAnsi" w:cstheme="majorHAnsi"/>
          <w:sz w:val="24"/>
          <w:szCs w:val="24"/>
          <w:lang w:val="en-US"/>
        </w:rPr>
        <w:t xml:space="preserve"> </w:t>
      </w:r>
      <w:r w:rsidRPr="00A654CF">
        <w:rPr>
          <w:rFonts w:asciiTheme="majorHAnsi" w:hAnsiTheme="majorHAnsi" w:cstheme="majorHAnsi"/>
          <w:b/>
          <w:sz w:val="24"/>
          <w:szCs w:val="24"/>
          <w:lang w:val="en-US"/>
        </w:rPr>
        <w:t>Spearman's rank-based correlation analyses between modeled uptake and/or secretion potentials of bile acids in the intestinal lumen and the measured fasting serum BA levels in 106 non-obese and 177 obese individuals</w:t>
      </w:r>
      <w:r w:rsidRPr="00A654CF">
        <w:rPr>
          <w:rFonts w:asciiTheme="majorHAnsi" w:hAnsiTheme="majorHAnsi" w:cstheme="majorHAnsi"/>
          <w:sz w:val="24"/>
          <w:szCs w:val="24"/>
          <w:lang w:val="en-US"/>
        </w:rPr>
        <w:t xml:space="preserve">. A-B) Correlation between estimated luminal BA exchange potential (uptake/lUP and/or secretion/lSP) and the measured serum BA levels of the non-obese subjects and obese subjects, respectively. Orange and blue color represents positive and negative value of correlation coefficients, respectively. White denotes no correlation, ‘+’ denotes nominal (p-values &lt; 0.05) and ‘**’ denotes FDR adjusted (p-values &lt; 0.05). Prefix </w:t>
      </w:r>
      <w:r w:rsidRPr="00A654CF">
        <w:rPr>
          <w:rFonts w:asciiTheme="majorHAnsi" w:hAnsiTheme="majorHAnsi" w:cstheme="majorHAnsi"/>
          <w:i/>
          <w:sz w:val="24"/>
          <w:szCs w:val="24"/>
          <w:lang w:val="en-US"/>
        </w:rPr>
        <w:t>‘Host_EX’</w:t>
      </w:r>
      <w:r w:rsidRPr="00A654CF">
        <w:rPr>
          <w:rFonts w:asciiTheme="majorHAnsi" w:hAnsiTheme="majorHAnsi" w:cstheme="majorHAnsi"/>
          <w:sz w:val="24"/>
          <w:szCs w:val="24"/>
          <w:lang w:val="en-US"/>
        </w:rPr>
        <w:t xml:space="preserve"> represents the BA secretion potential into the body fluids. BA abbreviations and compound names are: HCA - Hyocholic acid, HDCA - Hyodeoxycholic acid, </w:t>
      </w:r>
      <w:r w:rsidR="00E37AAF">
        <w:rPr>
          <w:rFonts w:ascii="Arial" w:hAnsi="Arial" w:cs="Arial"/>
          <w:color w:val="202122"/>
          <w:sz w:val="18"/>
          <w:szCs w:val="18"/>
          <w:shd w:val="clear" w:color="auto" w:fill="F8F9FA"/>
        </w:rPr>
        <w:t>α</w:t>
      </w:r>
      <w:r w:rsidRPr="00A654CF">
        <w:rPr>
          <w:rFonts w:asciiTheme="majorHAnsi" w:hAnsiTheme="majorHAnsi" w:cstheme="majorHAnsi"/>
          <w:sz w:val="24"/>
          <w:szCs w:val="24"/>
          <w:lang w:val="en-US"/>
        </w:rPr>
        <w:t xml:space="preserve">MCA - </w:t>
      </w:r>
      <w:r w:rsidR="00E37AAF">
        <w:rPr>
          <w:rFonts w:ascii="Arial" w:hAnsi="Arial" w:cs="Arial"/>
          <w:color w:val="202122"/>
          <w:sz w:val="18"/>
          <w:szCs w:val="18"/>
          <w:shd w:val="clear" w:color="auto" w:fill="F8F9FA"/>
        </w:rPr>
        <w:t>α</w:t>
      </w:r>
      <w:r w:rsidRPr="00A654CF">
        <w:rPr>
          <w:rFonts w:asciiTheme="majorHAnsi" w:hAnsiTheme="majorHAnsi" w:cstheme="majorHAnsi"/>
          <w:sz w:val="24"/>
          <w:szCs w:val="24"/>
          <w:lang w:val="en-US"/>
        </w:rPr>
        <w:t>-muricholic acid, 7oxo-DCA - 7-oxo-deoxycholic acid, DCA - Deoxycholic acid, CA - Cholic acid, LCA - Lithocholic acid, CDCA - Chenodeoxycholic acid, UDCA - Ursodeoxycholic acid. Abbreviated names preceded with G or T indicate that the BA is conjugated with glycine or taurine respectively.</w:t>
      </w:r>
      <w:r w:rsidRPr="00A654CF">
        <w:rPr>
          <w:rFonts w:asciiTheme="majorHAnsi" w:hAnsiTheme="majorHAnsi" w:cstheme="majorHAnsi"/>
          <w:sz w:val="24"/>
          <w:szCs w:val="24"/>
          <w:lang w:val="en-US"/>
        </w:rPr>
        <w:br w:type="page"/>
      </w:r>
    </w:p>
    <w:p w14:paraId="4AFC5889" w14:textId="77777777" w:rsidR="0028696C" w:rsidRPr="00A654CF" w:rsidRDefault="00AA31BD" w:rsidP="000A0FA4">
      <w:pPr>
        <w:spacing w:line="276" w:lineRule="auto"/>
        <w:ind w:firstLine="0"/>
        <w:jc w:val="both"/>
        <w:rPr>
          <w:rFonts w:asciiTheme="majorHAnsi" w:hAnsiTheme="majorHAnsi" w:cstheme="majorHAnsi"/>
          <w:sz w:val="24"/>
          <w:szCs w:val="24"/>
          <w:lang w:val="en-US"/>
        </w:rPr>
      </w:pPr>
      <w:r w:rsidRPr="00A654CF">
        <w:rPr>
          <w:rFonts w:asciiTheme="majorHAnsi" w:hAnsiTheme="majorHAnsi" w:cstheme="majorHAnsi"/>
          <w:noProof/>
          <w:sz w:val="24"/>
          <w:szCs w:val="24"/>
          <w:lang w:val="da-DK" w:eastAsia="da-DK"/>
        </w:rPr>
        <w:lastRenderedPageBreak/>
        <w:drawing>
          <wp:inline distT="114300" distB="114300" distL="114300" distR="114300" wp14:anchorId="68A9C715" wp14:editId="16B49DA2">
            <wp:extent cx="5943600" cy="6826102"/>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946019" cy="6828880"/>
                    </a:xfrm>
                    <a:prstGeom prst="rect">
                      <a:avLst/>
                    </a:prstGeom>
                    <a:ln/>
                  </pic:spPr>
                </pic:pic>
              </a:graphicData>
            </a:graphic>
          </wp:inline>
        </w:drawing>
      </w:r>
    </w:p>
    <w:p w14:paraId="4DDD655F" w14:textId="09A7DE92" w:rsidR="0028696C" w:rsidRPr="00A654CF" w:rsidRDefault="00AA31BD" w:rsidP="000A0FA4">
      <w:pPr>
        <w:spacing w:after="0" w:line="276" w:lineRule="auto"/>
        <w:ind w:firstLine="0"/>
        <w:jc w:val="both"/>
        <w:rPr>
          <w:rFonts w:asciiTheme="majorHAnsi" w:hAnsiTheme="majorHAnsi" w:cstheme="majorHAnsi"/>
          <w:sz w:val="24"/>
          <w:szCs w:val="24"/>
          <w:lang w:val="en-US"/>
        </w:rPr>
      </w:pPr>
      <w:r w:rsidRPr="00A654CF">
        <w:rPr>
          <w:rFonts w:asciiTheme="majorHAnsi" w:hAnsiTheme="majorHAnsi" w:cstheme="majorHAnsi"/>
          <w:b/>
          <w:sz w:val="24"/>
          <w:szCs w:val="24"/>
          <w:lang w:val="en-US"/>
        </w:rPr>
        <w:t>Supplementary Figure 10</w:t>
      </w:r>
      <w:r w:rsidR="00845FEB">
        <w:rPr>
          <w:rFonts w:asciiTheme="majorHAnsi" w:hAnsiTheme="majorHAnsi" w:cstheme="majorHAnsi"/>
          <w:b/>
          <w:sz w:val="24"/>
          <w:szCs w:val="24"/>
          <w:lang w:val="en-US"/>
        </w:rPr>
        <w:t>.</w:t>
      </w:r>
      <w:r w:rsidRPr="00A654CF">
        <w:rPr>
          <w:rFonts w:asciiTheme="majorHAnsi" w:hAnsiTheme="majorHAnsi" w:cstheme="majorHAnsi"/>
          <w:sz w:val="24"/>
          <w:szCs w:val="24"/>
          <w:lang w:val="en-US"/>
        </w:rPr>
        <w:t xml:space="preserve"> </w:t>
      </w:r>
      <w:r w:rsidRPr="00A654CF">
        <w:rPr>
          <w:rFonts w:asciiTheme="majorHAnsi" w:hAnsiTheme="majorHAnsi" w:cstheme="majorHAnsi"/>
          <w:b/>
          <w:sz w:val="24"/>
          <w:szCs w:val="24"/>
          <w:lang w:val="en-US"/>
        </w:rPr>
        <w:t>Spearman's rank-based correlation analyses between estimated metabolic potential of gut bacteria and measured serum bile acids in 106 non-obese individuals</w:t>
      </w:r>
      <w:r w:rsidRPr="00A654CF">
        <w:rPr>
          <w:rFonts w:asciiTheme="majorHAnsi" w:hAnsiTheme="majorHAnsi" w:cstheme="majorHAnsi"/>
          <w:sz w:val="24"/>
          <w:szCs w:val="24"/>
          <w:lang w:val="en-US"/>
        </w:rPr>
        <w:t xml:space="preserve">. Red/orange and blue color represents positive and negative value of correlation coefficients, respectively. White represents no correlation, ‘+’ denotes nominal p-values &lt; 0.05 and ‘*’ denotes </w:t>
      </w:r>
      <w:r w:rsidR="0010308F">
        <w:rPr>
          <w:rFonts w:asciiTheme="majorHAnsi" w:hAnsiTheme="majorHAnsi" w:cstheme="majorHAnsi"/>
          <w:sz w:val="24"/>
          <w:szCs w:val="24"/>
          <w:lang w:val="en-US"/>
        </w:rPr>
        <w:t>(</w:t>
      </w:r>
      <w:r w:rsidRPr="00A654CF">
        <w:rPr>
          <w:rFonts w:asciiTheme="majorHAnsi" w:hAnsiTheme="majorHAnsi" w:cstheme="majorHAnsi"/>
          <w:sz w:val="24"/>
          <w:szCs w:val="24"/>
          <w:lang w:val="en-US"/>
        </w:rPr>
        <w:t xml:space="preserve">FDR </w:t>
      </w:r>
      <w:r w:rsidR="0010308F">
        <w:rPr>
          <w:rFonts w:asciiTheme="majorHAnsi" w:hAnsiTheme="majorHAnsi" w:cstheme="majorHAnsi"/>
          <w:sz w:val="24"/>
          <w:szCs w:val="24"/>
          <w:lang w:val="en-US"/>
        </w:rPr>
        <w:t>corrected</w:t>
      </w:r>
      <w:r w:rsidRPr="00A654CF">
        <w:rPr>
          <w:rFonts w:asciiTheme="majorHAnsi" w:hAnsiTheme="majorHAnsi" w:cstheme="majorHAnsi"/>
          <w:sz w:val="24"/>
          <w:szCs w:val="24"/>
          <w:lang w:val="en-US"/>
        </w:rPr>
        <w:t xml:space="preserve"> p &lt; 0.05</w:t>
      </w:r>
      <w:r w:rsidR="0010308F">
        <w:rPr>
          <w:rFonts w:asciiTheme="majorHAnsi" w:hAnsiTheme="majorHAnsi" w:cstheme="majorHAnsi"/>
          <w:sz w:val="24"/>
          <w:szCs w:val="24"/>
          <w:lang w:val="en-US"/>
        </w:rPr>
        <w:t>)</w:t>
      </w:r>
      <w:r w:rsidRPr="00A654CF">
        <w:rPr>
          <w:rFonts w:asciiTheme="majorHAnsi" w:hAnsiTheme="majorHAnsi" w:cstheme="majorHAnsi"/>
          <w:sz w:val="24"/>
          <w:szCs w:val="24"/>
          <w:lang w:val="en-US"/>
        </w:rPr>
        <w:t xml:space="preserve">. Each BA reaction is suffixed with the associated bacterial </w:t>
      </w:r>
      <w:r w:rsidRPr="00A654CF">
        <w:rPr>
          <w:rFonts w:asciiTheme="majorHAnsi" w:hAnsiTheme="majorHAnsi" w:cstheme="majorHAnsi"/>
          <w:sz w:val="24"/>
          <w:szCs w:val="24"/>
          <w:lang w:val="en-US"/>
        </w:rPr>
        <w:lastRenderedPageBreak/>
        <w:t xml:space="preserve">strain. The circulating BAs are color coded by their chemical classes. BA abbreviations and complete compound name are: HCA - Hyocholic acid, HDCA - Hyodeoxycholic acid, </w:t>
      </w:r>
      <w:r w:rsidR="00E37AAF">
        <w:rPr>
          <w:rFonts w:ascii="Arial" w:hAnsi="Arial" w:cs="Arial"/>
          <w:color w:val="202122"/>
          <w:sz w:val="18"/>
          <w:szCs w:val="18"/>
          <w:shd w:val="clear" w:color="auto" w:fill="F8F9FA"/>
        </w:rPr>
        <w:t>α</w:t>
      </w:r>
      <w:r w:rsidRPr="00A654CF">
        <w:rPr>
          <w:rFonts w:asciiTheme="majorHAnsi" w:hAnsiTheme="majorHAnsi" w:cstheme="majorHAnsi"/>
          <w:sz w:val="24"/>
          <w:szCs w:val="24"/>
          <w:lang w:val="en-US"/>
        </w:rPr>
        <w:t xml:space="preserve">MCA - </w:t>
      </w:r>
      <w:r w:rsidR="00E37AAF">
        <w:rPr>
          <w:rFonts w:ascii="Arial" w:hAnsi="Arial" w:cs="Arial"/>
          <w:color w:val="202122"/>
          <w:sz w:val="18"/>
          <w:szCs w:val="18"/>
          <w:shd w:val="clear" w:color="auto" w:fill="F8F9FA"/>
        </w:rPr>
        <w:t>α</w:t>
      </w:r>
      <w:r w:rsidRPr="00A654CF">
        <w:rPr>
          <w:rFonts w:asciiTheme="majorHAnsi" w:hAnsiTheme="majorHAnsi" w:cstheme="majorHAnsi"/>
          <w:sz w:val="24"/>
          <w:szCs w:val="24"/>
          <w:lang w:val="en-US"/>
        </w:rPr>
        <w:t>-muricholic acid, 7oxo-DCA - 7-oxo-deoxycholic acid, DCA - Deoxycholic acid, CA - Cholic acid, LCA - Lithocholic acid, CDCA - Chenodeoxycholic acid, UDCA - Ursodeoxycholic acid). Abbreviated names preceded with G or T indicate that the BA is conjugated with a glycine or a taurine, respectively.</w:t>
      </w:r>
      <w:r w:rsidRPr="00A654CF">
        <w:rPr>
          <w:rFonts w:asciiTheme="majorHAnsi" w:hAnsiTheme="majorHAnsi" w:cstheme="majorHAnsi"/>
          <w:sz w:val="24"/>
          <w:szCs w:val="24"/>
          <w:lang w:val="en-US"/>
        </w:rPr>
        <w:br w:type="page"/>
      </w:r>
    </w:p>
    <w:p w14:paraId="4186D30A" w14:textId="77777777" w:rsidR="0028696C" w:rsidRPr="00A654CF" w:rsidRDefault="00AA31BD" w:rsidP="000A0FA4">
      <w:pPr>
        <w:spacing w:after="0" w:line="276" w:lineRule="auto"/>
        <w:ind w:firstLine="0"/>
        <w:jc w:val="both"/>
        <w:rPr>
          <w:rFonts w:asciiTheme="majorHAnsi" w:hAnsiTheme="majorHAnsi" w:cstheme="majorHAnsi"/>
          <w:b/>
          <w:i/>
          <w:sz w:val="24"/>
          <w:szCs w:val="24"/>
          <w:lang w:val="en-US"/>
        </w:rPr>
      </w:pPr>
      <w:r w:rsidRPr="00A654CF">
        <w:rPr>
          <w:rFonts w:asciiTheme="majorHAnsi" w:hAnsiTheme="majorHAnsi" w:cstheme="majorHAnsi"/>
          <w:b/>
          <w:i/>
          <w:noProof/>
          <w:sz w:val="24"/>
          <w:szCs w:val="24"/>
          <w:lang w:val="da-DK" w:eastAsia="da-DK"/>
        </w:rPr>
        <w:lastRenderedPageBreak/>
        <w:drawing>
          <wp:inline distT="114300" distB="114300" distL="114300" distR="114300" wp14:anchorId="4EBE66BB" wp14:editId="53AE90FD">
            <wp:extent cx="5943600" cy="690880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5946231" cy="6911858"/>
                    </a:xfrm>
                    <a:prstGeom prst="rect">
                      <a:avLst/>
                    </a:prstGeom>
                    <a:ln/>
                  </pic:spPr>
                </pic:pic>
              </a:graphicData>
            </a:graphic>
          </wp:inline>
        </w:drawing>
      </w:r>
    </w:p>
    <w:p w14:paraId="6C5B0531" w14:textId="3E41CCCA" w:rsidR="0028696C" w:rsidRPr="00A654CF" w:rsidRDefault="00AA31BD" w:rsidP="000A0FA4">
      <w:pPr>
        <w:spacing w:after="0" w:line="276" w:lineRule="auto"/>
        <w:ind w:firstLine="0"/>
        <w:jc w:val="both"/>
        <w:rPr>
          <w:rFonts w:asciiTheme="majorHAnsi" w:hAnsiTheme="majorHAnsi" w:cstheme="majorHAnsi"/>
          <w:sz w:val="24"/>
          <w:szCs w:val="24"/>
          <w:lang w:val="en-US"/>
        </w:rPr>
      </w:pPr>
      <w:r w:rsidRPr="00A654CF">
        <w:rPr>
          <w:rFonts w:asciiTheme="majorHAnsi" w:hAnsiTheme="majorHAnsi" w:cstheme="majorHAnsi"/>
          <w:b/>
          <w:sz w:val="24"/>
          <w:szCs w:val="24"/>
          <w:lang w:val="en-US"/>
        </w:rPr>
        <w:t>Supplementary Figure 11</w:t>
      </w:r>
      <w:r w:rsidR="00845FEB">
        <w:rPr>
          <w:rFonts w:asciiTheme="majorHAnsi" w:hAnsiTheme="majorHAnsi" w:cstheme="majorHAnsi"/>
          <w:b/>
          <w:sz w:val="24"/>
          <w:szCs w:val="24"/>
          <w:lang w:val="en-US"/>
        </w:rPr>
        <w:t>.</w:t>
      </w:r>
      <w:r w:rsidRPr="00A654CF">
        <w:rPr>
          <w:rFonts w:asciiTheme="majorHAnsi" w:hAnsiTheme="majorHAnsi" w:cstheme="majorHAnsi"/>
          <w:b/>
          <w:sz w:val="24"/>
          <w:szCs w:val="24"/>
          <w:lang w:val="en-US"/>
        </w:rPr>
        <w:t xml:space="preserve"> Spearman's rank-based correlation analyses between estimated metabolic potentials of gut bacteria and measured serum bile acids in 177 obese individuals</w:t>
      </w:r>
      <w:r w:rsidRPr="00A654CF">
        <w:rPr>
          <w:rFonts w:asciiTheme="majorHAnsi" w:hAnsiTheme="majorHAnsi" w:cstheme="majorHAnsi"/>
          <w:sz w:val="24"/>
          <w:szCs w:val="24"/>
          <w:lang w:val="en-US"/>
        </w:rPr>
        <w:t xml:space="preserve">. Red/orange and blue </w:t>
      </w:r>
      <w:r w:rsidR="0010308F" w:rsidRPr="00A654CF">
        <w:rPr>
          <w:rFonts w:asciiTheme="majorHAnsi" w:hAnsiTheme="majorHAnsi" w:cstheme="majorHAnsi"/>
          <w:sz w:val="24"/>
          <w:szCs w:val="24"/>
          <w:lang w:val="en-US"/>
        </w:rPr>
        <w:t>color</w:t>
      </w:r>
      <w:r w:rsidRPr="00A654CF">
        <w:rPr>
          <w:rFonts w:asciiTheme="majorHAnsi" w:hAnsiTheme="majorHAnsi" w:cstheme="majorHAnsi"/>
          <w:sz w:val="24"/>
          <w:szCs w:val="24"/>
          <w:lang w:val="en-US"/>
        </w:rPr>
        <w:t xml:space="preserve"> represents positive and negative value of correlation coefficients, respectively. White represents no correlation, ‘+’ denotes nominal p-values &lt; 0.05 and ‘*’ denotes </w:t>
      </w:r>
      <w:r w:rsidR="0010308F">
        <w:rPr>
          <w:rFonts w:asciiTheme="majorHAnsi" w:hAnsiTheme="majorHAnsi" w:cstheme="majorHAnsi"/>
          <w:sz w:val="24"/>
          <w:szCs w:val="24"/>
          <w:lang w:val="en-US"/>
        </w:rPr>
        <w:t>(</w:t>
      </w:r>
      <w:r w:rsidRPr="00A654CF">
        <w:rPr>
          <w:rFonts w:asciiTheme="majorHAnsi" w:hAnsiTheme="majorHAnsi" w:cstheme="majorHAnsi"/>
          <w:sz w:val="24"/>
          <w:szCs w:val="24"/>
          <w:lang w:val="en-US"/>
        </w:rPr>
        <w:t xml:space="preserve">FDR </w:t>
      </w:r>
      <w:r w:rsidR="0010308F">
        <w:rPr>
          <w:rFonts w:asciiTheme="majorHAnsi" w:hAnsiTheme="majorHAnsi" w:cstheme="majorHAnsi"/>
          <w:sz w:val="24"/>
          <w:szCs w:val="24"/>
          <w:lang w:val="en-US"/>
        </w:rPr>
        <w:t>corrected</w:t>
      </w:r>
      <w:r w:rsidRPr="00A654CF">
        <w:rPr>
          <w:rFonts w:asciiTheme="majorHAnsi" w:hAnsiTheme="majorHAnsi" w:cstheme="majorHAnsi"/>
          <w:sz w:val="24"/>
          <w:szCs w:val="24"/>
          <w:lang w:val="en-US"/>
        </w:rPr>
        <w:t xml:space="preserve"> p &lt; 0.05</w:t>
      </w:r>
      <w:r w:rsidR="0010308F">
        <w:rPr>
          <w:rFonts w:asciiTheme="majorHAnsi" w:hAnsiTheme="majorHAnsi" w:cstheme="majorHAnsi"/>
          <w:sz w:val="24"/>
          <w:szCs w:val="24"/>
          <w:lang w:val="en-US"/>
        </w:rPr>
        <w:t>)</w:t>
      </w:r>
      <w:r w:rsidRPr="00A654CF">
        <w:rPr>
          <w:rFonts w:asciiTheme="majorHAnsi" w:hAnsiTheme="majorHAnsi" w:cstheme="majorHAnsi"/>
          <w:sz w:val="24"/>
          <w:szCs w:val="24"/>
          <w:lang w:val="en-US"/>
        </w:rPr>
        <w:t xml:space="preserve">. Each BA reaction is suffixed with the associated bacterial strain. The circulating BAs are color coded by their chemical classes.  BA abbreviations and complete </w:t>
      </w:r>
      <w:r w:rsidRPr="00A654CF">
        <w:rPr>
          <w:rFonts w:asciiTheme="majorHAnsi" w:hAnsiTheme="majorHAnsi" w:cstheme="majorHAnsi"/>
          <w:sz w:val="24"/>
          <w:szCs w:val="24"/>
          <w:lang w:val="en-US"/>
        </w:rPr>
        <w:lastRenderedPageBreak/>
        <w:t xml:space="preserve">compound name are as follows: HCA - Hyocholic acid, HDCA - Hyodeoxycholic acid, </w:t>
      </w:r>
      <w:r w:rsidR="00E37AAF">
        <w:rPr>
          <w:rFonts w:ascii="Arial" w:hAnsi="Arial" w:cs="Arial"/>
          <w:color w:val="202122"/>
          <w:sz w:val="18"/>
          <w:szCs w:val="18"/>
          <w:shd w:val="clear" w:color="auto" w:fill="F8F9FA"/>
        </w:rPr>
        <w:t>α</w:t>
      </w:r>
      <w:r w:rsidRPr="00A654CF">
        <w:rPr>
          <w:rFonts w:asciiTheme="majorHAnsi" w:hAnsiTheme="majorHAnsi" w:cstheme="majorHAnsi"/>
          <w:sz w:val="24"/>
          <w:szCs w:val="24"/>
          <w:lang w:val="en-US"/>
        </w:rPr>
        <w:t xml:space="preserve">MCA - </w:t>
      </w:r>
      <w:r w:rsidR="00E37AAF">
        <w:rPr>
          <w:rFonts w:ascii="Arial" w:hAnsi="Arial" w:cs="Arial"/>
          <w:color w:val="202122"/>
          <w:sz w:val="18"/>
          <w:szCs w:val="18"/>
          <w:shd w:val="clear" w:color="auto" w:fill="F8F9FA"/>
        </w:rPr>
        <w:t>α</w:t>
      </w:r>
      <w:r w:rsidRPr="00A654CF">
        <w:rPr>
          <w:rFonts w:asciiTheme="majorHAnsi" w:hAnsiTheme="majorHAnsi" w:cstheme="majorHAnsi"/>
          <w:sz w:val="24"/>
          <w:szCs w:val="24"/>
          <w:lang w:val="en-US"/>
        </w:rPr>
        <w:t>-muricholic acid, 7oxo-DCA - 7-oxo-deoxycholic acid, DCA - Deoxycholic acid, CA - Cholic acid, LCA - Lithocholic acid, CDCA - Chenodeoxycholic acid, UDCA - Ursodeoxycholic acid). Abbreviated names preceded with G or T indicate that the BA is conjugated with a glycine or a taurine, respectively.</w:t>
      </w:r>
      <w:r w:rsidRPr="00A654CF">
        <w:rPr>
          <w:rFonts w:asciiTheme="majorHAnsi" w:hAnsiTheme="majorHAnsi" w:cstheme="majorHAnsi"/>
          <w:sz w:val="24"/>
          <w:szCs w:val="24"/>
          <w:lang w:val="en-US"/>
        </w:rPr>
        <w:br w:type="page"/>
      </w:r>
    </w:p>
    <w:p w14:paraId="7AE30B7A" w14:textId="74018F6E" w:rsidR="0028696C" w:rsidRDefault="00AA31BD" w:rsidP="00CA4FC2">
      <w:pPr>
        <w:spacing w:after="0" w:line="276" w:lineRule="auto"/>
        <w:ind w:firstLine="0"/>
        <w:jc w:val="center"/>
        <w:rPr>
          <w:rFonts w:asciiTheme="majorHAnsi" w:hAnsiTheme="majorHAnsi" w:cstheme="majorHAnsi"/>
          <w:b/>
          <w:i/>
          <w:sz w:val="24"/>
          <w:szCs w:val="24"/>
          <w:lang w:val="en-US"/>
        </w:rPr>
      </w:pPr>
      <w:r w:rsidRPr="00A654CF">
        <w:rPr>
          <w:rFonts w:asciiTheme="majorHAnsi" w:hAnsiTheme="majorHAnsi" w:cstheme="majorHAnsi"/>
          <w:b/>
          <w:i/>
          <w:noProof/>
          <w:sz w:val="24"/>
          <w:szCs w:val="24"/>
          <w:lang w:val="da-DK" w:eastAsia="da-DK"/>
        </w:rPr>
        <w:drawing>
          <wp:inline distT="114300" distB="114300" distL="114300" distR="114300" wp14:anchorId="08541D55" wp14:editId="753D83E8">
            <wp:extent cx="4699591" cy="3561907"/>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4723411" cy="3579961"/>
                    </a:xfrm>
                    <a:prstGeom prst="rect">
                      <a:avLst/>
                    </a:prstGeom>
                    <a:ln/>
                  </pic:spPr>
                </pic:pic>
              </a:graphicData>
            </a:graphic>
          </wp:inline>
        </w:drawing>
      </w:r>
    </w:p>
    <w:p w14:paraId="7AE854EF" w14:textId="77777777" w:rsidR="008F5CBA" w:rsidRPr="008F5CBA" w:rsidRDefault="008F5CBA" w:rsidP="00CA4FC2">
      <w:pPr>
        <w:spacing w:after="0" w:line="276" w:lineRule="auto"/>
        <w:ind w:firstLine="0"/>
        <w:jc w:val="center"/>
        <w:rPr>
          <w:rFonts w:asciiTheme="majorHAnsi" w:hAnsiTheme="majorHAnsi" w:cstheme="majorHAnsi"/>
          <w:b/>
          <w:iCs/>
          <w:sz w:val="24"/>
          <w:szCs w:val="24"/>
          <w:lang w:val="en-US"/>
        </w:rPr>
      </w:pPr>
    </w:p>
    <w:p w14:paraId="733C5010" w14:textId="438B91BF" w:rsidR="0028696C" w:rsidRPr="00A654CF" w:rsidRDefault="00AA31BD" w:rsidP="000A0FA4">
      <w:pPr>
        <w:spacing w:line="276" w:lineRule="auto"/>
        <w:ind w:firstLine="0"/>
        <w:jc w:val="both"/>
        <w:rPr>
          <w:rFonts w:asciiTheme="majorHAnsi" w:hAnsiTheme="majorHAnsi" w:cstheme="majorHAnsi"/>
          <w:sz w:val="24"/>
          <w:szCs w:val="24"/>
          <w:lang w:val="en-US"/>
        </w:rPr>
      </w:pPr>
      <w:r w:rsidRPr="00A654CF">
        <w:rPr>
          <w:rFonts w:asciiTheme="majorHAnsi" w:hAnsiTheme="majorHAnsi" w:cstheme="majorHAnsi"/>
          <w:b/>
          <w:sz w:val="24"/>
          <w:szCs w:val="24"/>
          <w:lang w:val="en-US"/>
        </w:rPr>
        <w:t>Supplementary Figure 12</w:t>
      </w:r>
      <w:r w:rsidR="00845FEB">
        <w:rPr>
          <w:rFonts w:asciiTheme="majorHAnsi" w:hAnsiTheme="majorHAnsi" w:cstheme="majorHAnsi"/>
          <w:sz w:val="24"/>
          <w:szCs w:val="24"/>
          <w:lang w:val="en-US"/>
        </w:rPr>
        <w:t>.</w:t>
      </w:r>
      <w:r w:rsidRPr="00A654CF">
        <w:rPr>
          <w:rFonts w:asciiTheme="majorHAnsi" w:hAnsiTheme="majorHAnsi" w:cstheme="majorHAnsi"/>
          <w:sz w:val="24"/>
          <w:szCs w:val="24"/>
          <w:lang w:val="en-US"/>
        </w:rPr>
        <w:t xml:space="preserve"> </w:t>
      </w:r>
      <w:r w:rsidRPr="00A654CF">
        <w:rPr>
          <w:rFonts w:asciiTheme="majorHAnsi" w:hAnsiTheme="majorHAnsi" w:cstheme="majorHAnsi"/>
          <w:b/>
          <w:sz w:val="24"/>
          <w:szCs w:val="24"/>
          <w:lang w:val="en-US"/>
        </w:rPr>
        <w:t xml:space="preserve">Intestinal bacterial strains that in modeling analyses showed significant differences in the total estimated metabolic potentials) in 106 non-obese and 177 obese individuals. </w:t>
      </w:r>
      <w:r w:rsidRPr="00A654CF">
        <w:rPr>
          <w:rFonts w:asciiTheme="majorHAnsi" w:hAnsiTheme="majorHAnsi" w:cstheme="majorHAnsi"/>
          <w:sz w:val="24"/>
          <w:szCs w:val="24"/>
          <w:lang w:val="en-US"/>
        </w:rPr>
        <w:t>Box plot represents significant difference in the total EMP between non-obese and obese subjects as evaluated by Mann-Whitney U test.</w:t>
      </w:r>
      <w:r w:rsidRPr="00A654CF">
        <w:rPr>
          <w:rFonts w:asciiTheme="majorHAnsi" w:hAnsiTheme="majorHAnsi" w:cstheme="majorHAnsi"/>
          <w:sz w:val="24"/>
          <w:szCs w:val="24"/>
          <w:lang w:val="en-US"/>
        </w:rPr>
        <w:br w:type="page"/>
      </w:r>
    </w:p>
    <w:p w14:paraId="6BD862AE" w14:textId="2F1C1065" w:rsidR="0028696C" w:rsidRPr="00A654CF" w:rsidRDefault="001B1AAE" w:rsidP="000A0FA4">
      <w:pPr>
        <w:spacing w:line="276" w:lineRule="auto"/>
        <w:ind w:firstLine="0"/>
        <w:jc w:val="both"/>
        <w:rPr>
          <w:rFonts w:asciiTheme="majorHAnsi" w:hAnsiTheme="majorHAnsi" w:cstheme="majorHAnsi"/>
          <w:b/>
          <w:i/>
          <w:sz w:val="24"/>
          <w:szCs w:val="24"/>
          <w:lang w:val="en-US"/>
        </w:rPr>
      </w:pPr>
      <w:r>
        <w:rPr>
          <w:rFonts w:asciiTheme="majorHAnsi" w:hAnsiTheme="majorHAnsi" w:cstheme="majorHAnsi"/>
          <w:b/>
          <w:i/>
          <w:noProof/>
          <w:sz w:val="24"/>
          <w:szCs w:val="24"/>
          <w:lang w:val="da-DK" w:eastAsia="da-DK"/>
        </w:rPr>
        <w:drawing>
          <wp:inline distT="0" distB="0" distL="0" distR="0" wp14:anchorId="62ADBE84" wp14:editId="5B05AFBA">
            <wp:extent cx="5943600" cy="2969895"/>
            <wp:effectExtent l="0" t="0" r="0" b="1905"/>
            <wp:docPr id="20" name="Picture 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969895"/>
                    </a:xfrm>
                    <a:prstGeom prst="rect">
                      <a:avLst/>
                    </a:prstGeom>
                  </pic:spPr>
                </pic:pic>
              </a:graphicData>
            </a:graphic>
          </wp:inline>
        </w:drawing>
      </w:r>
    </w:p>
    <w:p w14:paraId="1E471F21" w14:textId="1485A273" w:rsidR="0028696C" w:rsidRDefault="00AA31BD" w:rsidP="00997B40">
      <w:pPr>
        <w:spacing w:after="0" w:line="276" w:lineRule="auto"/>
        <w:ind w:firstLine="0"/>
        <w:jc w:val="both"/>
        <w:rPr>
          <w:rFonts w:asciiTheme="majorHAnsi" w:hAnsiTheme="majorHAnsi" w:cstheme="majorHAnsi"/>
          <w:sz w:val="24"/>
          <w:szCs w:val="24"/>
          <w:lang w:val="en-US"/>
        </w:rPr>
      </w:pPr>
      <w:r w:rsidRPr="00A654CF">
        <w:rPr>
          <w:rFonts w:asciiTheme="majorHAnsi" w:hAnsiTheme="majorHAnsi" w:cstheme="majorHAnsi"/>
          <w:b/>
          <w:sz w:val="24"/>
          <w:szCs w:val="24"/>
          <w:lang w:val="en-US"/>
        </w:rPr>
        <w:t>Supplementary Figure 13</w:t>
      </w:r>
      <w:r w:rsidR="00845FEB">
        <w:rPr>
          <w:rFonts w:asciiTheme="majorHAnsi" w:hAnsiTheme="majorHAnsi" w:cstheme="majorHAnsi"/>
          <w:b/>
          <w:sz w:val="24"/>
          <w:szCs w:val="24"/>
          <w:lang w:val="en-US"/>
        </w:rPr>
        <w:t>.</w:t>
      </w:r>
      <w:r w:rsidRPr="00A654CF">
        <w:rPr>
          <w:rFonts w:asciiTheme="majorHAnsi" w:hAnsiTheme="majorHAnsi" w:cstheme="majorHAnsi"/>
          <w:sz w:val="24"/>
          <w:szCs w:val="24"/>
          <w:lang w:val="en-US"/>
        </w:rPr>
        <w:t xml:space="preserve"> </w:t>
      </w:r>
      <w:r w:rsidRPr="00A654CF">
        <w:rPr>
          <w:rFonts w:asciiTheme="majorHAnsi" w:hAnsiTheme="majorHAnsi" w:cstheme="majorHAnsi"/>
          <w:b/>
          <w:sz w:val="24"/>
          <w:szCs w:val="24"/>
          <w:lang w:val="en-US"/>
        </w:rPr>
        <w:t>Modeling of pairwise interactions between 26 selected gut bacterial strains (</w:t>
      </w:r>
      <w:r w:rsidRPr="00A654CF">
        <w:rPr>
          <w:rFonts w:asciiTheme="majorHAnsi" w:hAnsiTheme="majorHAnsi" w:cstheme="majorHAnsi"/>
          <w:b/>
          <w:i/>
          <w:sz w:val="24"/>
          <w:szCs w:val="24"/>
          <w:lang w:val="en-US"/>
        </w:rPr>
        <w:t>co-growth</w:t>
      </w:r>
      <w:r w:rsidRPr="00A654CF">
        <w:rPr>
          <w:rFonts w:asciiTheme="majorHAnsi" w:hAnsiTheme="majorHAnsi" w:cstheme="majorHAnsi"/>
          <w:b/>
          <w:sz w:val="24"/>
          <w:szCs w:val="24"/>
          <w:lang w:val="en-US"/>
        </w:rPr>
        <w:t>) subjected to Average European Diet (AED)</w:t>
      </w:r>
      <w:r w:rsidRPr="00A654CF">
        <w:rPr>
          <w:rFonts w:asciiTheme="majorHAnsi" w:hAnsiTheme="majorHAnsi" w:cstheme="majorHAnsi"/>
          <w:sz w:val="24"/>
          <w:szCs w:val="24"/>
          <w:lang w:val="en-US"/>
        </w:rPr>
        <w:t xml:space="preserve">. A) Gut bacterial strain pairs that can biotransform BAs were grouped by their genus. Genus with at least two or more strain pairs (&gt;1% of total strain pairs) are shown. B) The predicted relationship between all possible pairs of examined bacteria engaged in BA de-conjugation and BA biotransformation. </w:t>
      </w:r>
      <w:r w:rsidRPr="00A654CF">
        <w:rPr>
          <w:rFonts w:asciiTheme="majorHAnsi" w:hAnsiTheme="majorHAnsi" w:cstheme="majorHAnsi"/>
          <w:i/>
          <w:sz w:val="24"/>
          <w:szCs w:val="24"/>
          <w:lang w:val="en-US"/>
        </w:rPr>
        <w:t>Amensalism</w:t>
      </w:r>
      <w:r w:rsidRPr="00A654CF">
        <w:rPr>
          <w:rFonts w:asciiTheme="majorHAnsi" w:hAnsiTheme="majorHAnsi" w:cstheme="majorHAnsi"/>
          <w:sz w:val="24"/>
          <w:szCs w:val="24"/>
          <w:lang w:val="en-US"/>
        </w:rPr>
        <w:t xml:space="preserve">: In the paired simulation, one microbe grows slower than the other does, but their growth is not mutually dependent. </w:t>
      </w:r>
      <w:r w:rsidRPr="00A654CF">
        <w:rPr>
          <w:rFonts w:asciiTheme="majorHAnsi" w:hAnsiTheme="majorHAnsi" w:cstheme="majorHAnsi"/>
          <w:i/>
          <w:sz w:val="24"/>
          <w:szCs w:val="24"/>
          <w:lang w:val="en-US"/>
        </w:rPr>
        <w:t>Parasitism</w:t>
      </w:r>
      <w:r w:rsidRPr="00A654CF">
        <w:rPr>
          <w:rFonts w:asciiTheme="majorHAnsi" w:hAnsiTheme="majorHAnsi" w:cstheme="majorHAnsi"/>
          <w:sz w:val="24"/>
          <w:szCs w:val="24"/>
          <w:lang w:val="en-US"/>
        </w:rPr>
        <w:t xml:space="preserve">: One microbe grows faster than another does. </w:t>
      </w:r>
      <w:r w:rsidRPr="00A654CF">
        <w:rPr>
          <w:rFonts w:asciiTheme="majorHAnsi" w:hAnsiTheme="majorHAnsi" w:cstheme="majorHAnsi"/>
          <w:i/>
          <w:sz w:val="24"/>
          <w:szCs w:val="24"/>
          <w:lang w:val="en-US"/>
        </w:rPr>
        <w:t>Competition</w:t>
      </w:r>
      <w:r w:rsidRPr="00A654CF">
        <w:rPr>
          <w:rFonts w:asciiTheme="majorHAnsi" w:hAnsiTheme="majorHAnsi" w:cstheme="majorHAnsi"/>
          <w:sz w:val="24"/>
          <w:szCs w:val="24"/>
          <w:lang w:val="en-US"/>
        </w:rPr>
        <w:t xml:space="preserve">: In the paired simulation, both microbes exhibit slower growth as compared with their individual growth. </w:t>
      </w:r>
      <w:r w:rsidRPr="00A654CF">
        <w:rPr>
          <w:rFonts w:asciiTheme="majorHAnsi" w:hAnsiTheme="majorHAnsi" w:cstheme="majorHAnsi"/>
          <w:i/>
          <w:sz w:val="24"/>
          <w:szCs w:val="24"/>
          <w:lang w:val="en-US"/>
        </w:rPr>
        <w:t>Neutralism</w:t>
      </w:r>
      <w:r w:rsidRPr="00A654CF">
        <w:rPr>
          <w:rFonts w:asciiTheme="majorHAnsi" w:hAnsiTheme="majorHAnsi" w:cstheme="majorHAnsi"/>
          <w:sz w:val="24"/>
          <w:szCs w:val="24"/>
          <w:lang w:val="en-US"/>
        </w:rPr>
        <w:t xml:space="preserve">: Independent and unaffected growth of the microbes in the paired simulations. </w:t>
      </w:r>
      <w:r w:rsidRPr="00A654CF">
        <w:rPr>
          <w:rFonts w:asciiTheme="majorHAnsi" w:hAnsiTheme="majorHAnsi" w:cstheme="majorHAnsi"/>
          <w:i/>
          <w:sz w:val="24"/>
          <w:szCs w:val="24"/>
          <w:lang w:val="en-US"/>
        </w:rPr>
        <w:t>Commensalism</w:t>
      </w:r>
      <w:r w:rsidRPr="00A654CF">
        <w:rPr>
          <w:rFonts w:asciiTheme="majorHAnsi" w:hAnsiTheme="majorHAnsi" w:cstheme="majorHAnsi"/>
          <w:sz w:val="24"/>
          <w:szCs w:val="24"/>
          <w:lang w:val="en-US"/>
        </w:rPr>
        <w:t>: Growth of one microbe is faster and unaffected by the other. The definitions of mentioned concepts are derived from Magnúsdóttir, S. et al</w:t>
      </w:r>
      <w:r w:rsidR="003C4892">
        <w:rPr>
          <w:rFonts w:asciiTheme="majorHAnsi" w:hAnsiTheme="majorHAnsi" w:cstheme="majorHAnsi"/>
          <w:sz w:val="24"/>
          <w:szCs w:val="24"/>
          <w:lang w:val="en-US"/>
        </w:rPr>
        <w:fldChar w:fldCharType="begin"/>
      </w:r>
      <w:r w:rsidR="003C4892">
        <w:rPr>
          <w:rFonts w:asciiTheme="majorHAnsi" w:hAnsiTheme="majorHAnsi" w:cstheme="majorHAnsi"/>
          <w:sz w:val="24"/>
          <w:szCs w:val="24"/>
          <w:lang w:val="en-US"/>
        </w:rPr>
        <w:instrText xml:space="preserve"> ADDIN EN.CITE &lt;EndNote&gt;&lt;Cite&gt;&lt;Author&gt;Magnúsdóttir&lt;/Author&gt;&lt;Year&gt;2017&lt;/Year&gt;&lt;RecNum&gt;23&lt;/RecNum&gt;&lt;DisplayText&gt;&lt;style face="superscript"&gt;2&lt;/style&gt;&lt;/DisplayText&gt;&lt;record&gt;&lt;rec-number&gt;23&lt;/rec-number&gt;&lt;foreign-keys&gt;&lt;key app="EN" db-id="wdrzpw5vgw0z07ewf27pdzf7fwpw25pf5d2w" timestamp="1571381982"&gt;23&lt;/key&gt;&lt;/foreign-keys&gt;&lt;ref-type name="Journal Article"&gt;17&lt;/ref-type&gt;&lt;contributors&gt;&lt;authors&gt;&lt;author&gt;Magnúsdóttir, Stefanía&lt;/author&gt;&lt;author&gt;Heinken, Almut&lt;/author&gt;&lt;author&gt;Kutt, Laura&lt;/author&gt;&lt;author&gt;Ravcheev, Dmitry A&lt;/author&gt;&lt;author&gt;Bauer, Eugen&lt;/author&gt;&lt;author&gt;Noronha, Alberto&lt;/author&gt;&lt;author&gt;Greenhalgh, Kacy&lt;/author&gt;&lt;author&gt;Jäger, Christian&lt;/author&gt;&lt;author&gt;Baginska, Joanna&lt;/author&gt;&lt;author&gt;Wilmes, Paul&lt;/author&gt;&lt;/authors&gt;&lt;/contributors&gt;&lt;titles&gt;&lt;title&gt;Generation of genome-scale metabolic reconstructions for 773 members of the human gut microbiota&lt;/title&gt;&lt;secondary-title&gt;Nature biotechnology&lt;/secondary-title&gt;&lt;/titles&gt;&lt;periodical&gt;&lt;full-title&gt;Nature Biotechnology&lt;/full-title&gt;&lt;abbr-1&gt;Nat. Biotechnol.&lt;/abbr-1&gt;&lt;abbr-2&gt;Nat Biotechnol&lt;/abbr-2&gt;&lt;/periodical&gt;&lt;pages&gt;81&lt;/pages&gt;&lt;volume&gt;35&lt;/volume&gt;&lt;number&gt;1&lt;/number&gt;&lt;dates&gt;&lt;year&gt;2017&lt;/year&gt;&lt;/dates&gt;&lt;isbn&gt;1546-1696&lt;/isbn&gt;&lt;urls&gt;&lt;/urls&gt;&lt;/record&gt;&lt;/Cite&gt;&lt;/EndNote&gt;</w:instrText>
      </w:r>
      <w:r w:rsidR="003C4892">
        <w:rPr>
          <w:rFonts w:asciiTheme="majorHAnsi" w:hAnsiTheme="majorHAnsi" w:cstheme="majorHAnsi"/>
          <w:sz w:val="24"/>
          <w:szCs w:val="24"/>
          <w:lang w:val="en-US"/>
        </w:rPr>
        <w:fldChar w:fldCharType="separate"/>
      </w:r>
      <w:r w:rsidR="003C4892" w:rsidRPr="003C4892">
        <w:rPr>
          <w:rFonts w:asciiTheme="majorHAnsi" w:hAnsiTheme="majorHAnsi" w:cstheme="majorHAnsi"/>
          <w:noProof/>
          <w:sz w:val="24"/>
          <w:szCs w:val="24"/>
          <w:vertAlign w:val="superscript"/>
          <w:lang w:val="en-US"/>
        </w:rPr>
        <w:t>2</w:t>
      </w:r>
      <w:r w:rsidR="003C4892">
        <w:rPr>
          <w:rFonts w:asciiTheme="majorHAnsi" w:hAnsiTheme="majorHAnsi" w:cstheme="majorHAnsi"/>
          <w:sz w:val="24"/>
          <w:szCs w:val="24"/>
          <w:lang w:val="en-US"/>
        </w:rPr>
        <w:fldChar w:fldCharType="end"/>
      </w:r>
      <w:r w:rsidRPr="00A654CF">
        <w:rPr>
          <w:rFonts w:asciiTheme="majorHAnsi" w:hAnsiTheme="majorHAnsi" w:cstheme="majorHAnsi"/>
          <w:sz w:val="24"/>
          <w:szCs w:val="24"/>
          <w:lang w:val="en-US"/>
        </w:rPr>
        <w:t>.</w:t>
      </w:r>
    </w:p>
    <w:p w14:paraId="3EDB071D" w14:textId="77777777" w:rsidR="00997B40" w:rsidRPr="00A654CF" w:rsidRDefault="00997B40" w:rsidP="00997B40">
      <w:pPr>
        <w:spacing w:after="0" w:line="276" w:lineRule="auto"/>
        <w:ind w:firstLine="0"/>
        <w:jc w:val="both"/>
        <w:rPr>
          <w:rFonts w:asciiTheme="majorHAnsi" w:hAnsiTheme="majorHAnsi" w:cstheme="majorHAnsi"/>
          <w:sz w:val="24"/>
          <w:szCs w:val="24"/>
          <w:lang w:val="en-US"/>
        </w:rPr>
      </w:pPr>
    </w:p>
    <w:p w14:paraId="4EA0E188" w14:textId="77777777" w:rsidR="00997B40" w:rsidRDefault="00997B40" w:rsidP="00D34F28">
      <w:pPr>
        <w:ind w:firstLine="0"/>
        <w:rPr>
          <w:rFonts w:asciiTheme="majorHAnsi" w:hAnsiTheme="majorHAnsi" w:cstheme="majorHAnsi"/>
          <w:b/>
          <w:sz w:val="24"/>
          <w:szCs w:val="24"/>
          <w:lang w:val="en-US"/>
        </w:rPr>
      </w:pPr>
      <w:r>
        <w:rPr>
          <w:rFonts w:asciiTheme="majorHAnsi" w:hAnsiTheme="majorHAnsi" w:cstheme="majorHAnsi"/>
          <w:b/>
          <w:sz w:val="24"/>
          <w:szCs w:val="24"/>
          <w:lang w:val="en-US"/>
        </w:rPr>
        <w:br w:type="page"/>
      </w:r>
    </w:p>
    <w:p w14:paraId="2981F0DC" w14:textId="64BD5633" w:rsidR="0028696C" w:rsidRPr="00A654CF" w:rsidRDefault="00AA31BD" w:rsidP="000A0FA4">
      <w:pPr>
        <w:spacing w:line="276" w:lineRule="auto"/>
        <w:ind w:firstLine="0"/>
        <w:jc w:val="both"/>
        <w:rPr>
          <w:rFonts w:asciiTheme="majorHAnsi" w:hAnsiTheme="majorHAnsi" w:cstheme="majorHAnsi"/>
          <w:b/>
          <w:sz w:val="24"/>
          <w:szCs w:val="24"/>
          <w:lang w:val="en-US"/>
        </w:rPr>
      </w:pPr>
      <w:r w:rsidRPr="00A654CF">
        <w:rPr>
          <w:rFonts w:asciiTheme="majorHAnsi" w:hAnsiTheme="majorHAnsi" w:cstheme="majorHAnsi"/>
          <w:b/>
          <w:sz w:val="24"/>
          <w:szCs w:val="24"/>
          <w:lang w:val="en-US"/>
        </w:rPr>
        <w:t>REFERENCES</w:t>
      </w:r>
    </w:p>
    <w:p w14:paraId="1377648C" w14:textId="77777777" w:rsidR="00E44F9F" w:rsidRPr="00E44F9F" w:rsidRDefault="00F64FCC" w:rsidP="00E44F9F">
      <w:pPr>
        <w:pStyle w:val="EndNoteBibliography"/>
        <w:spacing w:after="0"/>
        <w:ind w:left="720" w:hanging="720"/>
        <w:rPr>
          <w:noProof/>
        </w:rPr>
      </w:pPr>
      <w:r w:rsidRPr="009024B1">
        <w:rPr>
          <w:sz w:val="24"/>
          <w:szCs w:val="24"/>
        </w:rPr>
        <w:fldChar w:fldCharType="begin"/>
      </w:r>
      <w:r w:rsidRPr="009024B1">
        <w:rPr>
          <w:sz w:val="24"/>
          <w:szCs w:val="24"/>
        </w:rPr>
        <w:instrText xml:space="preserve"> ADDIN EN.REFLIST </w:instrText>
      </w:r>
      <w:r w:rsidRPr="009024B1">
        <w:rPr>
          <w:sz w:val="24"/>
          <w:szCs w:val="24"/>
        </w:rPr>
        <w:fldChar w:fldCharType="separate"/>
      </w:r>
      <w:r w:rsidR="00E44F9F" w:rsidRPr="00E44F9F">
        <w:rPr>
          <w:noProof/>
        </w:rPr>
        <w:t>1.</w:t>
      </w:r>
      <w:r w:rsidR="00E44F9F" w:rsidRPr="00E44F9F">
        <w:rPr>
          <w:noProof/>
        </w:rPr>
        <w:tab/>
        <w:t xml:space="preserve">Qin, N. et al. Alterations of the human gut microbiome in liver cirrhosis. </w:t>
      </w:r>
      <w:r w:rsidR="00E44F9F" w:rsidRPr="00E44F9F">
        <w:rPr>
          <w:i/>
          <w:noProof/>
        </w:rPr>
        <w:t>Nature</w:t>
      </w:r>
      <w:r w:rsidR="00E44F9F" w:rsidRPr="00E44F9F">
        <w:rPr>
          <w:noProof/>
        </w:rPr>
        <w:t xml:space="preserve"> </w:t>
      </w:r>
      <w:r w:rsidR="00E44F9F" w:rsidRPr="00E44F9F">
        <w:rPr>
          <w:b/>
          <w:noProof/>
        </w:rPr>
        <w:t>513</w:t>
      </w:r>
      <w:r w:rsidR="00E44F9F" w:rsidRPr="00E44F9F">
        <w:rPr>
          <w:noProof/>
        </w:rPr>
        <w:t>, 59 (2014).</w:t>
      </w:r>
    </w:p>
    <w:p w14:paraId="6A223EA2" w14:textId="77777777" w:rsidR="00E44F9F" w:rsidRPr="00E44F9F" w:rsidRDefault="00E44F9F" w:rsidP="00E44F9F">
      <w:pPr>
        <w:pStyle w:val="EndNoteBibliography"/>
        <w:spacing w:after="0"/>
        <w:ind w:left="720" w:hanging="720"/>
        <w:rPr>
          <w:noProof/>
        </w:rPr>
      </w:pPr>
      <w:r w:rsidRPr="00E44F9F">
        <w:rPr>
          <w:noProof/>
        </w:rPr>
        <w:t>2.</w:t>
      </w:r>
      <w:r w:rsidRPr="00E44F9F">
        <w:rPr>
          <w:noProof/>
        </w:rPr>
        <w:tab/>
        <w:t xml:space="preserve">Magnúsdóttir, S. et al. Generation of genome-scale metabolic reconstructions for 773 members of the human gut microbiota. </w:t>
      </w:r>
      <w:r w:rsidRPr="00E44F9F">
        <w:rPr>
          <w:i/>
          <w:noProof/>
        </w:rPr>
        <w:t>Nat. Biotechnol.</w:t>
      </w:r>
      <w:r w:rsidRPr="00E44F9F">
        <w:rPr>
          <w:noProof/>
        </w:rPr>
        <w:t xml:space="preserve"> </w:t>
      </w:r>
      <w:r w:rsidRPr="00E44F9F">
        <w:rPr>
          <w:b/>
          <w:noProof/>
        </w:rPr>
        <w:t>35</w:t>
      </w:r>
      <w:r w:rsidRPr="00E44F9F">
        <w:rPr>
          <w:noProof/>
        </w:rPr>
        <w:t>, 81 (2017).</w:t>
      </w:r>
    </w:p>
    <w:p w14:paraId="5B4B9792" w14:textId="77777777" w:rsidR="00E44F9F" w:rsidRPr="00E44F9F" w:rsidRDefault="00E44F9F" w:rsidP="00E44F9F">
      <w:pPr>
        <w:pStyle w:val="EndNoteBibliography"/>
        <w:spacing w:after="0"/>
        <w:ind w:left="720" w:hanging="720"/>
        <w:rPr>
          <w:noProof/>
        </w:rPr>
      </w:pPr>
      <w:r w:rsidRPr="00E44F9F">
        <w:rPr>
          <w:noProof/>
        </w:rPr>
        <w:t>3.</w:t>
      </w:r>
      <w:r w:rsidRPr="00E44F9F">
        <w:rPr>
          <w:noProof/>
        </w:rPr>
        <w:tab/>
        <w:t xml:space="preserve">Noronha, A. et al. The Virtual Metabolic Human database: integrating human and gut microbiome metabolism with nutrition and disease. </w:t>
      </w:r>
      <w:r w:rsidRPr="00E44F9F">
        <w:rPr>
          <w:i/>
          <w:noProof/>
        </w:rPr>
        <w:t>Nucleic Acids Res.</w:t>
      </w:r>
      <w:r w:rsidRPr="00E44F9F">
        <w:rPr>
          <w:noProof/>
        </w:rPr>
        <w:t xml:space="preserve"> </w:t>
      </w:r>
      <w:r w:rsidRPr="00E44F9F">
        <w:rPr>
          <w:b/>
          <w:noProof/>
        </w:rPr>
        <w:t>47</w:t>
      </w:r>
      <w:r w:rsidRPr="00E44F9F">
        <w:rPr>
          <w:noProof/>
        </w:rPr>
        <w:t>, D614-D624 (2018).</w:t>
      </w:r>
    </w:p>
    <w:p w14:paraId="71EACD19" w14:textId="77777777" w:rsidR="00E44F9F" w:rsidRPr="00E44F9F" w:rsidRDefault="00E44F9F" w:rsidP="00E44F9F">
      <w:pPr>
        <w:pStyle w:val="EndNoteBibliography"/>
        <w:spacing w:after="0"/>
        <w:ind w:left="720" w:hanging="720"/>
        <w:rPr>
          <w:noProof/>
        </w:rPr>
      </w:pPr>
      <w:r w:rsidRPr="00E44F9F">
        <w:rPr>
          <w:noProof/>
        </w:rPr>
        <w:t>4.</w:t>
      </w:r>
      <w:r w:rsidRPr="00E44F9F">
        <w:rPr>
          <w:noProof/>
        </w:rPr>
        <w:tab/>
        <w:t xml:space="preserve">Heirendt, L. et al. Creation and analysis of biochemical constraint-based models: the COBRA Toolbox v3. 0. </w:t>
      </w:r>
      <w:r w:rsidRPr="00E44F9F">
        <w:rPr>
          <w:i/>
          <w:noProof/>
        </w:rPr>
        <w:t>arXiv preprint arXiv:1710.04038</w:t>
      </w:r>
      <w:r w:rsidRPr="00E44F9F">
        <w:rPr>
          <w:noProof/>
        </w:rPr>
        <w:t xml:space="preserve"> (2017).</w:t>
      </w:r>
    </w:p>
    <w:p w14:paraId="2683A500" w14:textId="77777777" w:rsidR="00E44F9F" w:rsidRPr="00E44F9F" w:rsidRDefault="00E44F9F" w:rsidP="00E44F9F">
      <w:pPr>
        <w:pStyle w:val="EndNoteBibliography"/>
        <w:spacing w:after="0"/>
        <w:ind w:left="720" w:hanging="720"/>
        <w:rPr>
          <w:noProof/>
        </w:rPr>
      </w:pPr>
      <w:r w:rsidRPr="00E44F9F">
        <w:rPr>
          <w:noProof/>
        </w:rPr>
        <w:t>5.</w:t>
      </w:r>
      <w:r w:rsidRPr="00E44F9F">
        <w:rPr>
          <w:noProof/>
        </w:rPr>
        <w:tab/>
        <w:t xml:space="preserve">Baldini, F. et al. The Microbiome Modeling Toolbox: from microbial interactions to personalized microbial communities. </w:t>
      </w:r>
      <w:r w:rsidRPr="00E44F9F">
        <w:rPr>
          <w:i/>
          <w:noProof/>
        </w:rPr>
        <w:t>Bioinformatics</w:t>
      </w:r>
      <w:r w:rsidRPr="00E44F9F">
        <w:rPr>
          <w:noProof/>
        </w:rPr>
        <w:t xml:space="preserve"> </w:t>
      </w:r>
      <w:r w:rsidRPr="00E44F9F">
        <w:rPr>
          <w:b/>
          <w:noProof/>
        </w:rPr>
        <w:t>35</w:t>
      </w:r>
      <w:r w:rsidRPr="00E44F9F">
        <w:rPr>
          <w:noProof/>
        </w:rPr>
        <w:t>, 2332-2334 (2018).</w:t>
      </w:r>
    </w:p>
    <w:p w14:paraId="048C2A29" w14:textId="77777777" w:rsidR="00E44F9F" w:rsidRPr="00E44F9F" w:rsidRDefault="00E44F9F" w:rsidP="00E44F9F">
      <w:pPr>
        <w:pStyle w:val="EndNoteBibliography"/>
        <w:spacing w:after="0"/>
        <w:ind w:left="720" w:hanging="720"/>
        <w:rPr>
          <w:noProof/>
        </w:rPr>
      </w:pPr>
      <w:r w:rsidRPr="00E44F9F">
        <w:rPr>
          <w:noProof/>
        </w:rPr>
        <w:t>6.</w:t>
      </w:r>
      <w:r w:rsidRPr="00E44F9F">
        <w:rPr>
          <w:noProof/>
        </w:rPr>
        <w:tab/>
        <w:t xml:space="preserve">Gudmundsson, S. &amp; Thiele, I. Computationally efficient flux variability analysis. </w:t>
      </w:r>
      <w:r w:rsidRPr="00E44F9F">
        <w:rPr>
          <w:i/>
          <w:noProof/>
        </w:rPr>
        <w:t>BMC Bioinformatics</w:t>
      </w:r>
      <w:r w:rsidRPr="00E44F9F">
        <w:rPr>
          <w:noProof/>
        </w:rPr>
        <w:t xml:space="preserve"> </w:t>
      </w:r>
      <w:r w:rsidRPr="00E44F9F">
        <w:rPr>
          <w:b/>
          <w:noProof/>
        </w:rPr>
        <w:t>11</w:t>
      </w:r>
      <w:r w:rsidRPr="00E44F9F">
        <w:rPr>
          <w:noProof/>
        </w:rPr>
        <w:t>, 489 (2010).</w:t>
      </w:r>
    </w:p>
    <w:p w14:paraId="227F6440" w14:textId="77777777" w:rsidR="00E44F9F" w:rsidRPr="00E44F9F" w:rsidRDefault="00E44F9F" w:rsidP="00E44F9F">
      <w:pPr>
        <w:pStyle w:val="EndNoteBibliography"/>
        <w:spacing w:after="0"/>
        <w:ind w:left="720" w:hanging="720"/>
        <w:rPr>
          <w:noProof/>
        </w:rPr>
      </w:pPr>
      <w:r w:rsidRPr="00E44F9F">
        <w:rPr>
          <w:noProof/>
        </w:rPr>
        <w:t>7.</w:t>
      </w:r>
      <w:r w:rsidRPr="00E44F9F">
        <w:rPr>
          <w:noProof/>
        </w:rPr>
        <w:tab/>
        <w:t xml:space="preserve">Brunk, E. et al. Recon3D enables a three-dimensional view of gene variation in human metabolism. </w:t>
      </w:r>
      <w:r w:rsidRPr="00E44F9F">
        <w:rPr>
          <w:i/>
          <w:noProof/>
        </w:rPr>
        <w:t>Nat. Biotechnol.</w:t>
      </w:r>
      <w:r w:rsidRPr="00E44F9F">
        <w:rPr>
          <w:noProof/>
        </w:rPr>
        <w:t xml:space="preserve"> </w:t>
      </w:r>
      <w:r w:rsidRPr="00E44F9F">
        <w:rPr>
          <w:b/>
          <w:noProof/>
        </w:rPr>
        <w:t>36</w:t>
      </w:r>
      <w:r w:rsidRPr="00E44F9F">
        <w:rPr>
          <w:noProof/>
        </w:rPr>
        <w:t>, 272 (2018).</w:t>
      </w:r>
    </w:p>
    <w:p w14:paraId="3B75C6F6" w14:textId="77777777" w:rsidR="00E44F9F" w:rsidRPr="00E44F9F" w:rsidRDefault="00E44F9F" w:rsidP="00E44F9F">
      <w:pPr>
        <w:pStyle w:val="EndNoteBibliography"/>
        <w:spacing w:after="0"/>
        <w:ind w:left="720" w:hanging="720"/>
        <w:rPr>
          <w:noProof/>
        </w:rPr>
      </w:pPr>
      <w:r w:rsidRPr="00E44F9F">
        <w:rPr>
          <w:noProof/>
        </w:rPr>
        <w:t>8.</w:t>
      </w:r>
      <w:r w:rsidRPr="00E44F9F">
        <w:rPr>
          <w:noProof/>
        </w:rPr>
        <w:tab/>
        <w:t xml:space="preserve">Sahoo, S. &amp; Thiele, I. Predicting the impact of diet and enzymopathies on human small intestinal epithelial cells. </w:t>
      </w:r>
      <w:r w:rsidRPr="00E44F9F">
        <w:rPr>
          <w:i/>
          <w:noProof/>
        </w:rPr>
        <w:t>Hum. Mol. Genet.</w:t>
      </w:r>
      <w:r w:rsidRPr="00E44F9F">
        <w:rPr>
          <w:noProof/>
        </w:rPr>
        <w:t xml:space="preserve"> </w:t>
      </w:r>
      <w:r w:rsidRPr="00E44F9F">
        <w:rPr>
          <w:b/>
          <w:noProof/>
        </w:rPr>
        <w:t>22</w:t>
      </w:r>
      <w:r w:rsidRPr="00E44F9F">
        <w:rPr>
          <w:noProof/>
        </w:rPr>
        <w:t>, 2705-2722 (2013).</w:t>
      </w:r>
    </w:p>
    <w:p w14:paraId="58918F97" w14:textId="77777777" w:rsidR="00E44F9F" w:rsidRPr="00E44F9F" w:rsidRDefault="00E44F9F" w:rsidP="00E44F9F">
      <w:pPr>
        <w:pStyle w:val="EndNoteBibliography"/>
        <w:spacing w:after="0"/>
        <w:ind w:left="720" w:hanging="720"/>
        <w:rPr>
          <w:noProof/>
        </w:rPr>
      </w:pPr>
      <w:r w:rsidRPr="00E44F9F">
        <w:rPr>
          <w:noProof/>
        </w:rPr>
        <w:t>9.</w:t>
      </w:r>
      <w:r w:rsidRPr="00E44F9F">
        <w:rPr>
          <w:noProof/>
        </w:rPr>
        <w:tab/>
        <w:t xml:space="preserve">Watanabe, M., Fukiya, S. &amp; Yokota, A. Comprehensive evaluation of the bactericidal activities of free bile acids in the large intestine of humans and rodents. </w:t>
      </w:r>
      <w:r w:rsidRPr="00E44F9F">
        <w:rPr>
          <w:i/>
          <w:noProof/>
        </w:rPr>
        <w:t>J. Lipid Res.</w:t>
      </w:r>
      <w:r w:rsidRPr="00E44F9F">
        <w:rPr>
          <w:noProof/>
        </w:rPr>
        <w:t xml:space="preserve"> </w:t>
      </w:r>
      <w:r w:rsidRPr="00E44F9F">
        <w:rPr>
          <w:b/>
          <w:noProof/>
        </w:rPr>
        <w:t>58</w:t>
      </w:r>
      <w:r w:rsidRPr="00E44F9F">
        <w:rPr>
          <w:noProof/>
        </w:rPr>
        <w:t>, 1143-1152 (2017).</w:t>
      </w:r>
    </w:p>
    <w:p w14:paraId="503B6221" w14:textId="77777777" w:rsidR="00E44F9F" w:rsidRPr="00E44F9F" w:rsidRDefault="00E44F9F" w:rsidP="00E44F9F">
      <w:pPr>
        <w:pStyle w:val="EndNoteBibliography"/>
        <w:spacing w:after="0"/>
        <w:ind w:left="720" w:hanging="720"/>
        <w:rPr>
          <w:noProof/>
        </w:rPr>
      </w:pPr>
      <w:r w:rsidRPr="00E44F9F">
        <w:rPr>
          <w:noProof/>
        </w:rPr>
        <w:t>10.</w:t>
      </w:r>
      <w:r w:rsidRPr="00E44F9F">
        <w:rPr>
          <w:noProof/>
        </w:rPr>
        <w:tab/>
        <w:t xml:space="preserve">Heinken, A. et al. Personalized modeling of the human gut microbiome reveals distinct bile acid deconjugation and biotransformation potential in healthy and IBD individuals. </w:t>
      </w:r>
      <w:r w:rsidRPr="00E44F9F">
        <w:rPr>
          <w:i/>
          <w:noProof/>
        </w:rPr>
        <w:t>BioRxiv</w:t>
      </w:r>
      <w:r w:rsidRPr="00E44F9F">
        <w:rPr>
          <w:noProof/>
        </w:rPr>
        <w:t>, 229138 (2017).</w:t>
      </w:r>
    </w:p>
    <w:p w14:paraId="07609778" w14:textId="77777777" w:rsidR="00E44F9F" w:rsidRPr="00E44F9F" w:rsidRDefault="00E44F9F" w:rsidP="00E44F9F">
      <w:pPr>
        <w:pStyle w:val="EndNoteBibliography"/>
        <w:spacing w:after="0"/>
        <w:ind w:left="720" w:hanging="720"/>
        <w:rPr>
          <w:noProof/>
        </w:rPr>
      </w:pPr>
      <w:r w:rsidRPr="00E44F9F">
        <w:rPr>
          <w:noProof/>
        </w:rPr>
        <w:t>11.</w:t>
      </w:r>
      <w:r w:rsidRPr="00E44F9F">
        <w:rPr>
          <w:noProof/>
        </w:rPr>
        <w:tab/>
        <w:t xml:space="preserve">Swann, J.R. et al. Systemic gut microbial modulation of bile acid metabolism in host tissue compartments. </w:t>
      </w:r>
      <w:r w:rsidRPr="00E44F9F">
        <w:rPr>
          <w:i/>
          <w:noProof/>
        </w:rPr>
        <w:t>Proc. Natl. Acad. Sci. U. S. A.</w:t>
      </w:r>
      <w:r w:rsidRPr="00E44F9F">
        <w:rPr>
          <w:noProof/>
        </w:rPr>
        <w:t xml:space="preserve"> </w:t>
      </w:r>
      <w:r w:rsidRPr="00E44F9F">
        <w:rPr>
          <w:b/>
          <w:noProof/>
        </w:rPr>
        <w:t>108</w:t>
      </w:r>
      <w:r w:rsidRPr="00E44F9F">
        <w:rPr>
          <w:noProof/>
        </w:rPr>
        <w:t>, 4523-4530 (2011).</w:t>
      </w:r>
    </w:p>
    <w:p w14:paraId="7DA919C1" w14:textId="77777777" w:rsidR="00E44F9F" w:rsidRPr="00E44F9F" w:rsidRDefault="00E44F9F" w:rsidP="00E44F9F">
      <w:pPr>
        <w:pStyle w:val="EndNoteBibliography"/>
        <w:spacing w:after="0"/>
        <w:ind w:left="720" w:hanging="720"/>
        <w:rPr>
          <w:noProof/>
        </w:rPr>
      </w:pPr>
      <w:r w:rsidRPr="00E44F9F">
        <w:rPr>
          <w:noProof/>
        </w:rPr>
        <w:t>12.</w:t>
      </w:r>
      <w:r w:rsidRPr="00E44F9F">
        <w:rPr>
          <w:noProof/>
        </w:rPr>
        <w:tab/>
        <w:t xml:space="preserve">Kumar, M. et al. Gut microbiota dysbiosis is associated with malnutrition and reduced plasma amino acid levels: lessons from genome-scale metabolic modeling. </w:t>
      </w:r>
      <w:r w:rsidRPr="00E44F9F">
        <w:rPr>
          <w:i/>
          <w:noProof/>
        </w:rPr>
        <w:t>Metab. Eng.</w:t>
      </w:r>
      <w:r w:rsidRPr="00E44F9F">
        <w:rPr>
          <w:noProof/>
        </w:rPr>
        <w:t xml:space="preserve"> </w:t>
      </w:r>
      <w:r w:rsidRPr="00E44F9F">
        <w:rPr>
          <w:b/>
          <w:noProof/>
        </w:rPr>
        <w:t>49</w:t>
      </w:r>
      <w:r w:rsidRPr="00E44F9F">
        <w:rPr>
          <w:noProof/>
        </w:rPr>
        <w:t>, 128-142 (2018).</w:t>
      </w:r>
    </w:p>
    <w:p w14:paraId="4ADC8B2D" w14:textId="77777777" w:rsidR="00E44F9F" w:rsidRPr="00E44F9F" w:rsidRDefault="00E44F9F" w:rsidP="00E44F9F">
      <w:pPr>
        <w:pStyle w:val="EndNoteBibliography"/>
        <w:spacing w:after="0"/>
        <w:ind w:left="720" w:hanging="720"/>
        <w:rPr>
          <w:noProof/>
        </w:rPr>
      </w:pPr>
      <w:r w:rsidRPr="00E44F9F">
        <w:rPr>
          <w:noProof/>
        </w:rPr>
        <w:t>13.</w:t>
      </w:r>
      <w:r w:rsidRPr="00E44F9F">
        <w:rPr>
          <w:noProof/>
        </w:rPr>
        <w:tab/>
        <w:t xml:space="preserve">Lazaridis, K.N., Gores, G.J. &amp; Lindor, K.D. Ursodeoxycholic acid ‘mechanisms of action and clinical use in hepatobiliary disorders’. </w:t>
      </w:r>
      <w:r w:rsidRPr="00E44F9F">
        <w:rPr>
          <w:i/>
          <w:noProof/>
        </w:rPr>
        <w:t>J. Hepatol.</w:t>
      </w:r>
      <w:r w:rsidRPr="00E44F9F">
        <w:rPr>
          <w:noProof/>
        </w:rPr>
        <w:t xml:space="preserve"> </w:t>
      </w:r>
      <w:r w:rsidRPr="00E44F9F">
        <w:rPr>
          <w:b/>
          <w:noProof/>
        </w:rPr>
        <w:t>35</w:t>
      </w:r>
      <w:r w:rsidRPr="00E44F9F">
        <w:rPr>
          <w:noProof/>
        </w:rPr>
        <w:t>, 134-146 (2001).</w:t>
      </w:r>
    </w:p>
    <w:p w14:paraId="2B927B31" w14:textId="77777777" w:rsidR="00E44F9F" w:rsidRPr="00E44F9F" w:rsidRDefault="00E44F9F" w:rsidP="00E44F9F">
      <w:pPr>
        <w:pStyle w:val="EndNoteBibliography"/>
        <w:spacing w:after="0"/>
        <w:ind w:left="720" w:hanging="720"/>
        <w:rPr>
          <w:noProof/>
        </w:rPr>
      </w:pPr>
      <w:r w:rsidRPr="00E44F9F">
        <w:rPr>
          <w:noProof/>
        </w:rPr>
        <w:t>14.</w:t>
      </w:r>
      <w:r w:rsidRPr="00E44F9F">
        <w:rPr>
          <w:noProof/>
        </w:rPr>
        <w:tab/>
        <w:t xml:space="preserve">Wahlström, A., Sayin, S.I., Marschall, H.-U. &amp; Bäckhed, F. Intestinal crosstalk between bile acids and microbiota and its impact on host metabolism. </w:t>
      </w:r>
      <w:r w:rsidRPr="00E44F9F">
        <w:rPr>
          <w:i/>
          <w:noProof/>
        </w:rPr>
        <w:t>Cell Metab.</w:t>
      </w:r>
      <w:r w:rsidRPr="00E44F9F">
        <w:rPr>
          <w:noProof/>
        </w:rPr>
        <w:t xml:space="preserve"> </w:t>
      </w:r>
      <w:r w:rsidRPr="00E44F9F">
        <w:rPr>
          <w:b/>
          <w:noProof/>
        </w:rPr>
        <w:t>24</w:t>
      </w:r>
      <w:r w:rsidRPr="00E44F9F">
        <w:rPr>
          <w:noProof/>
        </w:rPr>
        <w:t>, 41-50 (2016).</w:t>
      </w:r>
    </w:p>
    <w:p w14:paraId="7772B283" w14:textId="77777777" w:rsidR="00E44F9F" w:rsidRPr="00E44F9F" w:rsidRDefault="00E44F9F" w:rsidP="00E44F9F">
      <w:pPr>
        <w:pStyle w:val="EndNoteBibliography"/>
        <w:spacing w:after="0"/>
        <w:ind w:left="720" w:hanging="720"/>
        <w:rPr>
          <w:noProof/>
        </w:rPr>
      </w:pPr>
      <w:r w:rsidRPr="00E44F9F">
        <w:rPr>
          <w:noProof/>
        </w:rPr>
        <w:t>15.</w:t>
      </w:r>
      <w:r w:rsidRPr="00E44F9F">
        <w:rPr>
          <w:noProof/>
        </w:rPr>
        <w:tab/>
        <w:t xml:space="preserve">Ridlon, J.M., Kang, D.-J. &amp; Hylemon, P.B. Bile salt biotransformations by human intestinal bacteria. </w:t>
      </w:r>
      <w:r w:rsidRPr="00E44F9F">
        <w:rPr>
          <w:i/>
          <w:noProof/>
        </w:rPr>
        <w:t>J. Lipid Res.</w:t>
      </w:r>
      <w:r w:rsidRPr="00E44F9F">
        <w:rPr>
          <w:noProof/>
        </w:rPr>
        <w:t xml:space="preserve"> </w:t>
      </w:r>
      <w:r w:rsidRPr="00E44F9F">
        <w:rPr>
          <w:b/>
          <w:noProof/>
        </w:rPr>
        <w:t>47</w:t>
      </w:r>
      <w:r w:rsidRPr="00E44F9F">
        <w:rPr>
          <w:noProof/>
        </w:rPr>
        <w:t>, 241-259 (2006).</w:t>
      </w:r>
    </w:p>
    <w:p w14:paraId="0E064596" w14:textId="77777777" w:rsidR="00E44F9F" w:rsidRPr="00E44F9F" w:rsidRDefault="00E44F9F" w:rsidP="00E44F9F">
      <w:pPr>
        <w:pStyle w:val="EndNoteBibliography"/>
        <w:spacing w:after="0"/>
        <w:ind w:left="720" w:hanging="720"/>
        <w:rPr>
          <w:noProof/>
        </w:rPr>
      </w:pPr>
      <w:r w:rsidRPr="00E44F9F">
        <w:rPr>
          <w:noProof/>
        </w:rPr>
        <w:t>16.</w:t>
      </w:r>
      <w:r w:rsidRPr="00E44F9F">
        <w:rPr>
          <w:noProof/>
        </w:rPr>
        <w:tab/>
        <w:t xml:space="preserve">Doden, H. et al. Metabolism of oxo-bile acids and characterization of recombinant 12α-hydroxysteroid dehydrogenases from bile acid 7α-dehydroxylating human gut bacteria. </w:t>
      </w:r>
      <w:r w:rsidRPr="00E44F9F">
        <w:rPr>
          <w:i/>
          <w:noProof/>
        </w:rPr>
        <w:t>Appl. Environ. Microbiol.</w:t>
      </w:r>
      <w:r w:rsidRPr="00E44F9F">
        <w:rPr>
          <w:noProof/>
        </w:rPr>
        <w:t xml:space="preserve"> </w:t>
      </w:r>
      <w:r w:rsidRPr="00E44F9F">
        <w:rPr>
          <w:b/>
          <w:noProof/>
        </w:rPr>
        <w:t>84</w:t>
      </w:r>
      <w:r w:rsidRPr="00E44F9F">
        <w:rPr>
          <w:noProof/>
        </w:rPr>
        <w:t xml:space="preserve"> (2018).</w:t>
      </w:r>
    </w:p>
    <w:p w14:paraId="4D53CF79" w14:textId="77777777" w:rsidR="00E44F9F" w:rsidRPr="00E44F9F" w:rsidRDefault="00E44F9F" w:rsidP="00E44F9F">
      <w:pPr>
        <w:pStyle w:val="EndNoteBibliography"/>
        <w:spacing w:after="0"/>
        <w:ind w:left="720" w:hanging="720"/>
        <w:rPr>
          <w:noProof/>
        </w:rPr>
      </w:pPr>
      <w:r w:rsidRPr="00E44F9F">
        <w:rPr>
          <w:noProof/>
        </w:rPr>
        <w:t>17.</w:t>
      </w:r>
      <w:r w:rsidRPr="00E44F9F">
        <w:rPr>
          <w:noProof/>
        </w:rPr>
        <w:tab/>
        <w:t xml:space="preserve">Jeffery, I.B., Claesson, M.J., O'toole, P.W. &amp; Shanahan, F. Categorization of the gut microbiota: enterotypes or gradients? </w:t>
      </w:r>
      <w:r w:rsidRPr="00E44F9F">
        <w:rPr>
          <w:i/>
          <w:noProof/>
        </w:rPr>
        <w:t>Nat. Rev. Microbiol.</w:t>
      </w:r>
      <w:r w:rsidRPr="00E44F9F">
        <w:rPr>
          <w:noProof/>
        </w:rPr>
        <w:t xml:space="preserve"> </w:t>
      </w:r>
      <w:r w:rsidRPr="00E44F9F">
        <w:rPr>
          <w:b/>
          <w:noProof/>
        </w:rPr>
        <w:t>10</w:t>
      </w:r>
      <w:r w:rsidRPr="00E44F9F">
        <w:rPr>
          <w:noProof/>
        </w:rPr>
        <w:t>, 591 (2012).</w:t>
      </w:r>
    </w:p>
    <w:p w14:paraId="286C520E" w14:textId="77777777" w:rsidR="00E44F9F" w:rsidRPr="00E44F9F" w:rsidRDefault="00E44F9F" w:rsidP="00E44F9F">
      <w:pPr>
        <w:pStyle w:val="EndNoteBibliography"/>
        <w:spacing w:after="0"/>
        <w:ind w:left="720" w:hanging="720"/>
        <w:rPr>
          <w:noProof/>
        </w:rPr>
      </w:pPr>
      <w:r w:rsidRPr="00E44F9F">
        <w:rPr>
          <w:noProof/>
        </w:rPr>
        <w:t>18.</w:t>
      </w:r>
      <w:r w:rsidRPr="00E44F9F">
        <w:rPr>
          <w:noProof/>
        </w:rPr>
        <w:tab/>
        <w:t xml:space="preserve">Knights, D. et al. Rethinking “enterotypes”. </w:t>
      </w:r>
      <w:r w:rsidRPr="00E44F9F">
        <w:rPr>
          <w:i/>
          <w:noProof/>
        </w:rPr>
        <w:t>Cell Host Microbe</w:t>
      </w:r>
      <w:r w:rsidRPr="00E44F9F">
        <w:rPr>
          <w:noProof/>
        </w:rPr>
        <w:t xml:space="preserve"> </w:t>
      </w:r>
      <w:r w:rsidRPr="00E44F9F">
        <w:rPr>
          <w:b/>
          <w:noProof/>
        </w:rPr>
        <w:t>16</w:t>
      </w:r>
      <w:r w:rsidRPr="00E44F9F">
        <w:rPr>
          <w:noProof/>
        </w:rPr>
        <w:t>, 433-437 (2014).</w:t>
      </w:r>
    </w:p>
    <w:p w14:paraId="27AE45E7" w14:textId="77777777" w:rsidR="00E44F9F" w:rsidRPr="00E44F9F" w:rsidRDefault="00E44F9F" w:rsidP="00E44F9F">
      <w:pPr>
        <w:pStyle w:val="EndNoteBibliography"/>
        <w:spacing w:after="0"/>
        <w:ind w:left="720" w:hanging="720"/>
        <w:rPr>
          <w:noProof/>
        </w:rPr>
      </w:pPr>
      <w:r w:rsidRPr="00E44F9F">
        <w:rPr>
          <w:noProof/>
        </w:rPr>
        <w:t>19.</w:t>
      </w:r>
      <w:r w:rsidRPr="00E44F9F">
        <w:rPr>
          <w:noProof/>
        </w:rPr>
        <w:tab/>
        <w:t xml:space="preserve">Dao, M.C. et al. Akkermansia muciniphila and improved metabolic health during a dietary intervention in obesity: relationship with gut microbiome richness and ecology. </w:t>
      </w:r>
      <w:r w:rsidRPr="00E44F9F">
        <w:rPr>
          <w:i/>
          <w:noProof/>
        </w:rPr>
        <w:t>Gut</w:t>
      </w:r>
      <w:r w:rsidRPr="00E44F9F">
        <w:rPr>
          <w:noProof/>
        </w:rPr>
        <w:t xml:space="preserve"> </w:t>
      </w:r>
      <w:r w:rsidRPr="00E44F9F">
        <w:rPr>
          <w:b/>
          <w:noProof/>
        </w:rPr>
        <w:t>65</w:t>
      </w:r>
      <w:r w:rsidRPr="00E44F9F">
        <w:rPr>
          <w:noProof/>
        </w:rPr>
        <w:t>, 426-436 (2016).</w:t>
      </w:r>
    </w:p>
    <w:p w14:paraId="504DA960" w14:textId="77777777" w:rsidR="00E44F9F" w:rsidRPr="00E44F9F" w:rsidRDefault="00E44F9F" w:rsidP="00E44F9F">
      <w:pPr>
        <w:pStyle w:val="EndNoteBibliography"/>
        <w:spacing w:after="0"/>
        <w:ind w:left="720" w:hanging="720"/>
        <w:rPr>
          <w:noProof/>
        </w:rPr>
      </w:pPr>
      <w:r w:rsidRPr="00E44F9F">
        <w:rPr>
          <w:noProof/>
        </w:rPr>
        <w:t>20.</w:t>
      </w:r>
      <w:r w:rsidRPr="00E44F9F">
        <w:rPr>
          <w:noProof/>
        </w:rPr>
        <w:tab/>
        <w:t xml:space="preserve">Miquel, S. et al. Ecology and metabolism of the beneficial intestinal commensal bacterium Faecalibacterium prausnitzii. </w:t>
      </w:r>
      <w:r w:rsidRPr="00E44F9F">
        <w:rPr>
          <w:i/>
          <w:noProof/>
        </w:rPr>
        <w:t>Gut Microbes</w:t>
      </w:r>
      <w:r w:rsidRPr="00E44F9F">
        <w:rPr>
          <w:noProof/>
        </w:rPr>
        <w:t xml:space="preserve"> </w:t>
      </w:r>
      <w:r w:rsidRPr="00E44F9F">
        <w:rPr>
          <w:b/>
          <w:noProof/>
        </w:rPr>
        <w:t>5</w:t>
      </w:r>
      <w:r w:rsidRPr="00E44F9F">
        <w:rPr>
          <w:noProof/>
        </w:rPr>
        <w:t>, 146-151 (2014).</w:t>
      </w:r>
    </w:p>
    <w:p w14:paraId="3787E1B0" w14:textId="77777777" w:rsidR="00E44F9F" w:rsidRPr="00E44F9F" w:rsidRDefault="00E44F9F" w:rsidP="00E44F9F">
      <w:pPr>
        <w:pStyle w:val="EndNoteBibliography"/>
        <w:spacing w:after="0"/>
        <w:ind w:left="720" w:hanging="720"/>
        <w:rPr>
          <w:noProof/>
        </w:rPr>
      </w:pPr>
      <w:r w:rsidRPr="00E44F9F">
        <w:rPr>
          <w:noProof/>
        </w:rPr>
        <w:t>21.</w:t>
      </w:r>
      <w:r w:rsidRPr="00E44F9F">
        <w:rPr>
          <w:noProof/>
        </w:rPr>
        <w:tab/>
        <w:t>Friedman, J., Hastie, T. &amp; Tibshirani, R. The elements of statistical learning, Vol. 1. (Springer series in statistics New York, 2001).</w:t>
      </w:r>
    </w:p>
    <w:p w14:paraId="540B0497" w14:textId="77777777" w:rsidR="00E44F9F" w:rsidRPr="00E44F9F" w:rsidRDefault="00E44F9F" w:rsidP="00E44F9F">
      <w:pPr>
        <w:pStyle w:val="EndNoteBibliography"/>
        <w:ind w:left="720" w:hanging="720"/>
        <w:rPr>
          <w:noProof/>
        </w:rPr>
      </w:pPr>
      <w:r w:rsidRPr="00E44F9F">
        <w:rPr>
          <w:noProof/>
        </w:rPr>
        <w:t>22.</w:t>
      </w:r>
      <w:r w:rsidRPr="00E44F9F">
        <w:rPr>
          <w:noProof/>
        </w:rPr>
        <w:tab/>
        <w:t xml:space="preserve">Jäntti, S.E. et al. Quantitative profiling of bile acids in blood, adipose tissue, intestine, and gall bladder samples using ultra high performance liquid chromatography-tandem mass spectrometry. </w:t>
      </w:r>
      <w:r w:rsidRPr="00E44F9F">
        <w:rPr>
          <w:i/>
          <w:noProof/>
        </w:rPr>
        <w:t>Anal. Bioanal. Chem.</w:t>
      </w:r>
      <w:r w:rsidRPr="00E44F9F">
        <w:rPr>
          <w:noProof/>
        </w:rPr>
        <w:t xml:space="preserve"> </w:t>
      </w:r>
      <w:r w:rsidRPr="00E44F9F">
        <w:rPr>
          <w:b/>
          <w:noProof/>
        </w:rPr>
        <w:t>406</w:t>
      </w:r>
      <w:r w:rsidRPr="00E44F9F">
        <w:rPr>
          <w:noProof/>
        </w:rPr>
        <w:t>, 7799-7815 (2014).</w:t>
      </w:r>
    </w:p>
    <w:p w14:paraId="14EEED41" w14:textId="14D54028" w:rsidR="0028696C" w:rsidRPr="00A654CF" w:rsidRDefault="00F64FCC" w:rsidP="00845FEB">
      <w:pPr>
        <w:widowControl w:val="0"/>
        <w:pBdr>
          <w:top w:val="nil"/>
          <w:left w:val="nil"/>
          <w:bottom w:val="nil"/>
          <w:right w:val="nil"/>
          <w:between w:val="nil"/>
        </w:pBdr>
        <w:spacing w:after="0" w:line="276" w:lineRule="auto"/>
        <w:ind w:firstLine="0"/>
        <w:jc w:val="both"/>
        <w:rPr>
          <w:rFonts w:asciiTheme="majorHAnsi" w:hAnsiTheme="majorHAnsi" w:cstheme="majorHAnsi"/>
          <w:sz w:val="24"/>
          <w:szCs w:val="24"/>
          <w:lang w:val="en-US"/>
        </w:rPr>
      </w:pPr>
      <w:r w:rsidRPr="009024B1">
        <w:rPr>
          <w:sz w:val="24"/>
          <w:szCs w:val="24"/>
          <w:lang w:val="en-US"/>
        </w:rPr>
        <w:fldChar w:fldCharType="end"/>
      </w:r>
    </w:p>
    <w:sectPr w:rsidR="0028696C" w:rsidRPr="00A654CF" w:rsidSect="00962B45">
      <w:footerReference w:type="even" r:id="rId25"/>
      <w:footerReference w:type="default" r:id="rId26"/>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934778" w14:textId="77777777" w:rsidR="00D27740" w:rsidRDefault="00D27740">
      <w:pPr>
        <w:spacing w:after="0" w:line="240" w:lineRule="auto"/>
      </w:pPr>
      <w:r>
        <w:separator/>
      </w:r>
    </w:p>
  </w:endnote>
  <w:endnote w:type="continuationSeparator" w:id="0">
    <w:p w14:paraId="171392F7" w14:textId="77777777" w:rsidR="00D27740" w:rsidRDefault="00D27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Noto Sans Symbols">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75754592"/>
      <w:docPartObj>
        <w:docPartGallery w:val="Page Numbers (Bottom of Page)"/>
        <w:docPartUnique/>
      </w:docPartObj>
    </w:sdtPr>
    <w:sdtEndPr>
      <w:rPr>
        <w:rStyle w:val="PageNumber"/>
      </w:rPr>
    </w:sdtEndPr>
    <w:sdtContent>
      <w:p w14:paraId="4BC435D7" w14:textId="0C4AF65A" w:rsidR="008F3160" w:rsidRDefault="008F3160" w:rsidP="00AF4B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ECFD75" w14:textId="77777777" w:rsidR="008F3160" w:rsidRDefault="008F3160" w:rsidP="008F316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51400660"/>
      <w:docPartObj>
        <w:docPartGallery w:val="Page Numbers (Bottom of Page)"/>
        <w:docPartUnique/>
      </w:docPartObj>
    </w:sdtPr>
    <w:sdtEndPr>
      <w:rPr>
        <w:rStyle w:val="PageNumber"/>
      </w:rPr>
    </w:sdtEndPr>
    <w:sdtContent>
      <w:p w14:paraId="7D2FEA8D" w14:textId="037F7626" w:rsidR="008F3160" w:rsidRDefault="008F3160" w:rsidP="00AF4B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F6871">
          <w:rPr>
            <w:rStyle w:val="PageNumber"/>
            <w:noProof/>
          </w:rPr>
          <w:t>20</w:t>
        </w:r>
        <w:r>
          <w:rPr>
            <w:rStyle w:val="PageNumber"/>
          </w:rPr>
          <w:fldChar w:fldCharType="end"/>
        </w:r>
      </w:p>
    </w:sdtContent>
  </w:sdt>
  <w:p w14:paraId="34FC67BE" w14:textId="77777777" w:rsidR="002D209A" w:rsidRDefault="002D209A" w:rsidP="008F3160">
    <w:pPr>
      <w:pBdr>
        <w:top w:val="nil"/>
        <w:left w:val="nil"/>
        <w:bottom w:val="nil"/>
        <w:right w:val="nil"/>
        <w:between w:val="nil"/>
      </w:pBdr>
      <w:tabs>
        <w:tab w:val="center" w:pos="4819"/>
        <w:tab w:val="right" w:pos="9638"/>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F4B2D0" w14:textId="77777777" w:rsidR="00D27740" w:rsidRDefault="00D27740">
      <w:pPr>
        <w:spacing w:after="0" w:line="240" w:lineRule="auto"/>
      </w:pPr>
      <w:r>
        <w:separator/>
      </w:r>
    </w:p>
  </w:footnote>
  <w:footnote w:type="continuationSeparator" w:id="0">
    <w:p w14:paraId="30FD6421" w14:textId="77777777" w:rsidR="00D27740" w:rsidRDefault="00D277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F130E9A"/>
    <w:multiLevelType w:val="multilevel"/>
    <w:tmpl w:val="D8F23F2A"/>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Biotechn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drzpw5vgw0z07ewf27pdzf7fwpw25pf5d2w&quot;&gt;Bile acids references-Converted&lt;record-ids&gt;&lt;item&gt;15&lt;/item&gt;&lt;item&gt;21&lt;/item&gt;&lt;item&gt;23&lt;/item&gt;&lt;item&gt;24&lt;/item&gt;&lt;item&gt;33&lt;/item&gt;&lt;item&gt;35&lt;/item&gt;&lt;item&gt;36&lt;/item&gt;&lt;item&gt;37&lt;/item&gt;&lt;item&gt;40&lt;/item&gt;&lt;item&gt;47&lt;/item&gt;&lt;item&gt;48&lt;/item&gt;&lt;item&gt;51&lt;/item&gt;&lt;item&gt;52&lt;/item&gt;&lt;item&gt;54&lt;/item&gt;&lt;item&gt;55&lt;/item&gt;&lt;item&gt;56&lt;/item&gt;&lt;item&gt;57&lt;/item&gt;&lt;item&gt;58&lt;/item&gt;&lt;item&gt;60&lt;/item&gt;&lt;item&gt;77&lt;/item&gt;&lt;item&gt;95&lt;/item&gt;&lt;item&gt;134&lt;/item&gt;&lt;/record-ids&gt;&lt;/item&gt;&lt;/Libraries&gt;"/>
  </w:docVars>
  <w:rsids>
    <w:rsidRoot w:val="0028696C"/>
    <w:rsid w:val="00007ABF"/>
    <w:rsid w:val="00035F01"/>
    <w:rsid w:val="00042739"/>
    <w:rsid w:val="000450AE"/>
    <w:rsid w:val="00053DCD"/>
    <w:rsid w:val="00060FE8"/>
    <w:rsid w:val="00062907"/>
    <w:rsid w:val="00077CAF"/>
    <w:rsid w:val="000810D3"/>
    <w:rsid w:val="00081CF5"/>
    <w:rsid w:val="0009110C"/>
    <w:rsid w:val="000A0FA4"/>
    <w:rsid w:val="000F2619"/>
    <w:rsid w:val="0010308F"/>
    <w:rsid w:val="00116396"/>
    <w:rsid w:val="00132A87"/>
    <w:rsid w:val="001906B6"/>
    <w:rsid w:val="00192EAA"/>
    <w:rsid w:val="00193FF6"/>
    <w:rsid w:val="001A1302"/>
    <w:rsid w:val="001B1AAE"/>
    <w:rsid w:val="001B2025"/>
    <w:rsid w:val="001F4779"/>
    <w:rsid w:val="0020262B"/>
    <w:rsid w:val="002159F1"/>
    <w:rsid w:val="00216F6A"/>
    <w:rsid w:val="002205F7"/>
    <w:rsid w:val="002303C4"/>
    <w:rsid w:val="00231265"/>
    <w:rsid w:val="00242082"/>
    <w:rsid w:val="0025611C"/>
    <w:rsid w:val="00265F32"/>
    <w:rsid w:val="0028696C"/>
    <w:rsid w:val="002B7442"/>
    <w:rsid w:val="002D209A"/>
    <w:rsid w:val="002D21F6"/>
    <w:rsid w:val="002E0EE1"/>
    <w:rsid w:val="002F228A"/>
    <w:rsid w:val="00325233"/>
    <w:rsid w:val="00327230"/>
    <w:rsid w:val="003330EC"/>
    <w:rsid w:val="00346CAC"/>
    <w:rsid w:val="00391667"/>
    <w:rsid w:val="0039716D"/>
    <w:rsid w:val="003A5620"/>
    <w:rsid w:val="003C4892"/>
    <w:rsid w:val="003D7D74"/>
    <w:rsid w:val="004325B7"/>
    <w:rsid w:val="00432B4B"/>
    <w:rsid w:val="00445E98"/>
    <w:rsid w:val="004651F3"/>
    <w:rsid w:val="004B006F"/>
    <w:rsid w:val="004E2F54"/>
    <w:rsid w:val="00510C4E"/>
    <w:rsid w:val="005346DC"/>
    <w:rsid w:val="005456A6"/>
    <w:rsid w:val="00584856"/>
    <w:rsid w:val="00593BEA"/>
    <w:rsid w:val="005D1BA1"/>
    <w:rsid w:val="005E49D7"/>
    <w:rsid w:val="00605770"/>
    <w:rsid w:val="006124B7"/>
    <w:rsid w:val="00615C42"/>
    <w:rsid w:val="0064622D"/>
    <w:rsid w:val="006754C9"/>
    <w:rsid w:val="00681D6D"/>
    <w:rsid w:val="006C2B49"/>
    <w:rsid w:val="006D0F80"/>
    <w:rsid w:val="007013C8"/>
    <w:rsid w:val="0070330D"/>
    <w:rsid w:val="007124D5"/>
    <w:rsid w:val="00732732"/>
    <w:rsid w:val="00733DEB"/>
    <w:rsid w:val="007563FA"/>
    <w:rsid w:val="00776C65"/>
    <w:rsid w:val="007A4B69"/>
    <w:rsid w:val="007B108F"/>
    <w:rsid w:val="007E1DB9"/>
    <w:rsid w:val="008039C5"/>
    <w:rsid w:val="00806093"/>
    <w:rsid w:val="00822FB3"/>
    <w:rsid w:val="00845FEB"/>
    <w:rsid w:val="00863C65"/>
    <w:rsid w:val="00884975"/>
    <w:rsid w:val="008920DB"/>
    <w:rsid w:val="008A2162"/>
    <w:rsid w:val="008C178D"/>
    <w:rsid w:val="008E5E31"/>
    <w:rsid w:val="008F179C"/>
    <w:rsid w:val="008F3160"/>
    <w:rsid w:val="008F5CBA"/>
    <w:rsid w:val="00902414"/>
    <w:rsid w:val="009024B1"/>
    <w:rsid w:val="009034AD"/>
    <w:rsid w:val="00906356"/>
    <w:rsid w:val="00923D1D"/>
    <w:rsid w:val="009412BC"/>
    <w:rsid w:val="00962B45"/>
    <w:rsid w:val="00962ECA"/>
    <w:rsid w:val="00997B40"/>
    <w:rsid w:val="009A723A"/>
    <w:rsid w:val="009B1E39"/>
    <w:rsid w:val="00A121D4"/>
    <w:rsid w:val="00A21272"/>
    <w:rsid w:val="00A654CF"/>
    <w:rsid w:val="00A91599"/>
    <w:rsid w:val="00A9600D"/>
    <w:rsid w:val="00A97284"/>
    <w:rsid w:val="00AA31BD"/>
    <w:rsid w:val="00AA7600"/>
    <w:rsid w:val="00AC3601"/>
    <w:rsid w:val="00AD06EE"/>
    <w:rsid w:val="00B0434C"/>
    <w:rsid w:val="00B154C8"/>
    <w:rsid w:val="00B32D8C"/>
    <w:rsid w:val="00B82A09"/>
    <w:rsid w:val="00B974F1"/>
    <w:rsid w:val="00BC6112"/>
    <w:rsid w:val="00BD5D3D"/>
    <w:rsid w:val="00BD6D2C"/>
    <w:rsid w:val="00C0231E"/>
    <w:rsid w:val="00C45C57"/>
    <w:rsid w:val="00C54C94"/>
    <w:rsid w:val="00C93343"/>
    <w:rsid w:val="00C93B82"/>
    <w:rsid w:val="00CA48F4"/>
    <w:rsid w:val="00CA4FC2"/>
    <w:rsid w:val="00CA582A"/>
    <w:rsid w:val="00CC1CB6"/>
    <w:rsid w:val="00CD5D8E"/>
    <w:rsid w:val="00CF0DB9"/>
    <w:rsid w:val="00D12A32"/>
    <w:rsid w:val="00D15C70"/>
    <w:rsid w:val="00D27740"/>
    <w:rsid w:val="00D34F28"/>
    <w:rsid w:val="00D548BC"/>
    <w:rsid w:val="00D72BED"/>
    <w:rsid w:val="00D80110"/>
    <w:rsid w:val="00D81DE3"/>
    <w:rsid w:val="00DF12B5"/>
    <w:rsid w:val="00E0116E"/>
    <w:rsid w:val="00E17AD2"/>
    <w:rsid w:val="00E37AAF"/>
    <w:rsid w:val="00E42B70"/>
    <w:rsid w:val="00E44F9F"/>
    <w:rsid w:val="00E5131A"/>
    <w:rsid w:val="00E74B7A"/>
    <w:rsid w:val="00E7730C"/>
    <w:rsid w:val="00E83E40"/>
    <w:rsid w:val="00E8678A"/>
    <w:rsid w:val="00EC0FBD"/>
    <w:rsid w:val="00EC6F8B"/>
    <w:rsid w:val="00ED0523"/>
    <w:rsid w:val="00EE30C0"/>
    <w:rsid w:val="00EF0A25"/>
    <w:rsid w:val="00EF50BD"/>
    <w:rsid w:val="00F20C7D"/>
    <w:rsid w:val="00F24F83"/>
    <w:rsid w:val="00F305C7"/>
    <w:rsid w:val="00F32F6F"/>
    <w:rsid w:val="00F633FD"/>
    <w:rsid w:val="00F64FCC"/>
    <w:rsid w:val="00F652AD"/>
    <w:rsid w:val="00F76E18"/>
    <w:rsid w:val="00F813E6"/>
    <w:rsid w:val="00F862A1"/>
    <w:rsid w:val="00FA2458"/>
    <w:rsid w:val="00FA2671"/>
    <w:rsid w:val="00FD7793"/>
    <w:rsid w:val="00FE3F2D"/>
    <w:rsid w:val="00FF6871"/>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FB549"/>
  <w15:docId w15:val="{66F73248-565C-D744-A7D8-033A8AFDD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US" w:bidi="ar-SA"/>
      </w:rPr>
    </w:rPrDefault>
    <w:pPrDefault>
      <w:pPr>
        <w:spacing w:after="240" w:line="36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spacing w:before="320" w:after="120" w:line="240" w:lineRule="auto"/>
      <w:ind w:firstLine="0"/>
      <w:outlineLvl w:val="1"/>
    </w:pPr>
    <w:rPr>
      <w:b/>
      <w:i/>
      <w:sz w:val="28"/>
      <w:szCs w:val="28"/>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basedOn w:val="Normal"/>
    <w:uiPriority w:val="1"/>
    <w:qFormat/>
    <w:rsid w:val="00FD7793"/>
    <w:pPr>
      <w:spacing w:after="0" w:line="240" w:lineRule="auto"/>
      <w:ind w:firstLine="0"/>
    </w:pPr>
    <w:rPr>
      <w:rFonts w:asciiTheme="minorHAnsi" w:eastAsiaTheme="minorEastAsia" w:hAnsiTheme="minorHAnsi" w:cstheme="minorBidi"/>
      <w:lang w:eastAsia="da-DK"/>
    </w:rPr>
  </w:style>
  <w:style w:type="table" w:styleId="TableGrid">
    <w:name w:val="Table Grid"/>
    <w:basedOn w:val="TableNormal"/>
    <w:uiPriority w:val="39"/>
    <w:rsid w:val="00FD7793"/>
    <w:pPr>
      <w:spacing w:after="0" w:line="240" w:lineRule="auto"/>
      <w:ind w:firstLine="0"/>
    </w:pPr>
    <w:rPr>
      <w:rFonts w:asciiTheme="minorHAnsi" w:eastAsiaTheme="minorHAnsi" w:hAnsiTheme="minorHAnsi" w:cstheme="minorBidi"/>
      <w:sz w:val="24"/>
      <w:szCs w:val="24"/>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F31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3160"/>
  </w:style>
  <w:style w:type="paragraph" w:styleId="Footer">
    <w:name w:val="footer"/>
    <w:basedOn w:val="Normal"/>
    <w:link w:val="FooterChar"/>
    <w:uiPriority w:val="99"/>
    <w:unhideWhenUsed/>
    <w:rsid w:val="008F31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3160"/>
  </w:style>
  <w:style w:type="character" w:styleId="PageNumber">
    <w:name w:val="page number"/>
    <w:basedOn w:val="DefaultParagraphFont"/>
    <w:uiPriority w:val="99"/>
    <w:semiHidden/>
    <w:unhideWhenUsed/>
    <w:rsid w:val="008F3160"/>
  </w:style>
  <w:style w:type="character" w:styleId="LineNumber">
    <w:name w:val="line number"/>
    <w:basedOn w:val="DefaultParagraphFont"/>
    <w:uiPriority w:val="99"/>
    <w:semiHidden/>
    <w:unhideWhenUsed/>
    <w:rsid w:val="008039C5"/>
  </w:style>
  <w:style w:type="character" w:styleId="Hyperlink">
    <w:name w:val="Hyperlink"/>
    <w:basedOn w:val="DefaultParagraphFont"/>
    <w:uiPriority w:val="99"/>
    <w:unhideWhenUsed/>
    <w:rsid w:val="002303C4"/>
    <w:rPr>
      <w:color w:val="0000FF" w:themeColor="hyperlink"/>
      <w:u w:val="single"/>
    </w:rPr>
  </w:style>
  <w:style w:type="character" w:customStyle="1" w:styleId="UnresolvedMention1">
    <w:name w:val="Unresolved Mention1"/>
    <w:basedOn w:val="DefaultParagraphFont"/>
    <w:uiPriority w:val="99"/>
    <w:semiHidden/>
    <w:unhideWhenUsed/>
    <w:rsid w:val="002303C4"/>
    <w:rPr>
      <w:color w:val="605E5C"/>
      <w:shd w:val="clear" w:color="auto" w:fill="E1DFDD"/>
    </w:rPr>
  </w:style>
  <w:style w:type="paragraph" w:styleId="BalloonText">
    <w:name w:val="Balloon Text"/>
    <w:basedOn w:val="Normal"/>
    <w:link w:val="BalloonTextChar"/>
    <w:uiPriority w:val="99"/>
    <w:semiHidden/>
    <w:unhideWhenUsed/>
    <w:rsid w:val="00FF68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6871"/>
    <w:rPr>
      <w:rFonts w:ascii="Segoe UI" w:hAnsi="Segoe UI" w:cs="Segoe UI"/>
      <w:sz w:val="18"/>
      <w:szCs w:val="18"/>
    </w:rPr>
  </w:style>
  <w:style w:type="paragraph" w:customStyle="1" w:styleId="EndNoteBibliographyTitle">
    <w:name w:val="EndNote Bibliography Title"/>
    <w:basedOn w:val="Normal"/>
    <w:link w:val="EndNoteBibliographyTitleChar"/>
    <w:rsid w:val="00F64FCC"/>
    <w:pPr>
      <w:spacing w:after="0"/>
      <w:jc w:val="center"/>
    </w:pPr>
    <w:rPr>
      <w:lang w:val="en-US"/>
    </w:rPr>
  </w:style>
  <w:style w:type="character" w:customStyle="1" w:styleId="EndNoteBibliographyTitleChar">
    <w:name w:val="EndNote Bibliography Title Char"/>
    <w:basedOn w:val="DefaultParagraphFont"/>
    <w:link w:val="EndNoteBibliographyTitle"/>
    <w:rsid w:val="00F64FCC"/>
    <w:rPr>
      <w:lang w:val="en-US"/>
    </w:rPr>
  </w:style>
  <w:style w:type="paragraph" w:customStyle="1" w:styleId="EndNoteBibliography">
    <w:name w:val="EndNote Bibliography"/>
    <w:basedOn w:val="Normal"/>
    <w:link w:val="EndNoteBibliographyChar"/>
    <w:rsid w:val="00F64FCC"/>
    <w:pPr>
      <w:spacing w:line="240" w:lineRule="auto"/>
      <w:jc w:val="both"/>
    </w:pPr>
    <w:rPr>
      <w:lang w:val="en-US"/>
    </w:rPr>
  </w:style>
  <w:style w:type="character" w:customStyle="1" w:styleId="EndNoteBibliographyChar">
    <w:name w:val="EndNote Bibliography Char"/>
    <w:basedOn w:val="DefaultParagraphFont"/>
    <w:link w:val="EndNoteBibliography"/>
    <w:rsid w:val="00F64FCC"/>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oluf@sund.ku.dk"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graph.org/r/"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strimmerlab.org/software/fdrtool/"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vmh.uni.l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8A2743-F4AA-4F0D-AD09-4C7C1DD4E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33</Pages>
  <Words>11089</Words>
  <Characters>63211</Characters>
  <Application>Microsoft Office Word</Application>
  <DocSecurity>0</DocSecurity>
  <Lines>526</Lines>
  <Paragraphs>148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Oluf Borbye Pedersen</dc:creator>
  <cp:lastModifiedBy>Yong Fan</cp:lastModifiedBy>
  <cp:revision>40</cp:revision>
  <dcterms:created xsi:type="dcterms:W3CDTF">2021-05-09T16:07:00Z</dcterms:created>
  <dcterms:modified xsi:type="dcterms:W3CDTF">2021-05-12T09:35:00Z</dcterms:modified>
</cp:coreProperties>
</file>