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0B4C7D" w14:textId="13A3236F" w:rsidR="007726FE" w:rsidRPr="00A03099" w:rsidRDefault="007726FE" w:rsidP="007726FE">
      <w:pPr>
        <w:jc w:val="both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Supplementary Material: Assessment of select synthetic cannabinoid receptor agonist bias and selectivity between the type 1 and type 2 cannabinoid receptor.</w:t>
      </w:r>
    </w:p>
    <w:p w14:paraId="218241CF" w14:textId="77777777" w:rsidR="007726FE" w:rsidRPr="0055271E" w:rsidRDefault="007726FE" w:rsidP="007726FE">
      <w:pPr>
        <w:jc w:val="both"/>
        <w:rPr>
          <w:sz w:val="22"/>
          <w:szCs w:val="22"/>
        </w:rPr>
      </w:pPr>
    </w:p>
    <w:p w14:paraId="1D237958" w14:textId="77777777" w:rsidR="007726FE" w:rsidRPr="0055271E" w:rsidRDefault="007726FE" w:rsidP="007726FE">
      <w:pPr>
        <w:jc w:val="both"/>
        <w:rPr>
          <w:sz w:val="22"/>
          <w:szCs w:val="22"/>
          <w:vertAlign w:val="superscript"/>
        </w:rPr>
      </w:pPr>
      <w:r w:rsidRPr="0055271E">
        <w:rPr>
          <w:sz w:val="22"/>
          <w:szCs w:val="22"/>
        </w:rPr>
        <w:t>Ayat Zagzoog</w:t>
      </w:r>
      <w:r w:rsidRPr="0055271E">
        <w:rPr>
          <w:sz w:val="22"/>
          <w:szCs w:val="22"/>
          <w:vertAlign w:val="superscript"/>
        </w:rPr>
        <w:t>1</w:t>
      </w:r>
      <w:r w:rsidRPr="0055271E">
        <w:rPr>
          <w:sz w:val="22"/>
          <w:szCs w:val="22"/>
        </w:rPr>
        <w:t xml:space="preserve">, </w:t>
      </w:r>
      <w:r>
        <w:rPr>
          <w:sz w:val="22"/>
          <w:szCs w:val="22"/>
        </w:rPr>
        <w:t>Asher L Brandt</w:t>
      </w:r>
      <w:r w:rsidRPr="005A6E6B">
        <w:rPr>
          <w:sz w:val="22"/>
          <w:szCs w:val="22"/>
          <w:vertAlign w:val="superscript"/>
        </w:rPr>
        <w:t>1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Tallan</w:t>
      </w:r>
      <w:proofErr w:type="spellEnd"/>
      <w:r>
        <w:rPr>
          <w:sz w:val="22"/>
          <w:szCs w:val="22"/>
        </w:rPr>
        <w:t xml:space="preserve"> Black</w:t>
      </w:r>
      <w:r w:rsidRPr="005A6E6B">
        <w:rPr>
          <w:sz w:val="22"/>
          <w:szCs w:val="22"/>
          <w:vertAlign w:val="superscript"/>
        </w:rPr>
        <w:t>1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Eunhyun</w:t>
      </w:r>
      <w:proofErr w:type="spellEnd"/>
      <w:r>
        <w:rPr>
          <w:sz w:val="22"/>
          <w:szCs w:val="22"/>
        </w:rPr>
        <w:t xml:space="preserve"> D Kim</w:t>
      </w:r>
      <w:r w:rsidRPr="005A6E6B">
        <w:rPr>
          <w:sz w:val="22"/>
          <w:szCs w:val="22"/>
          <w:vertAlign w:val="superscript"/>
        </w:rPr>
        <w:t>1</w:t>
      </w:r>
      <w:r>
        <w:rPr>
          <w:sz w:val="22"/>
          <w:szCs w:val="22"/>
        </w:rPr>
        <w:t>, Riley Burkart</w:t>
      </w:r>
      <w:r w:rsidRPr="005A6E6B">
        <w:rPr>
          <w:sz w:val="22"/>
          <w:szCs w:val="22"/>
          <w:vertAlign w:val="superscript"/>
        </w:rPr>
        <w:t>1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Mikin</w:t>
      </w:r>
      <w:proofErr w:type="spellEnd"/>
      <w:r>
        <w:rPr>
          <w:sz w:val="22"/>
          <w:szCs w:val="22"/>
        </w:rPr>
        <w:t xml:space="preserve"> Patel</w:t>
      </w:r>
      <w:r>
        <w:rPr>
          <w:sz w:val="22"/>
          <w:szCs w:val="22"/>
          <w:vertAlign w:val="superscript"/>
        </w:rPr>
        <w:t>2</w:t>
      </w:r>
      <w:r w:rsidRPr="0055271E"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Zhiyun</w:t>
      </w:r>
      <w:proofErr w:type="spellEnd"/>
      <w:r>
        <w:rPr>
          <w:sz w:val="22"/>
          <w:szCs w:val="22"/>
        </w:rPr>
        <w:t xml:space="preserve"> Jin</w:t>
      </w:r>
      <w:r w:rsidRPr="00366475">
        <w:rPr>
          <w:sz w:val="22"/>
          <w:szCs w:val="22"/>
          <w:vertAlign w:val="superscript"/>
        </w:rPr>
        <w:t>2</w:t>
      </w:r>
      <w:r w:rsidRPr="0055271E">
        <w:rPr>
          <w:sz w:val="22"/>
          <w:szCs w:val="22"/>
        </w:rPr>
        <w:t xml:space="preserve">, </w:t>
      </w:r>
      <w:r>
        <w:rPr>
          <w:sz w:val="22"/>
          <w:szCs w:val="22"/>
        </w:rPr>
        <w:t>Maria Nikolaeva</w:t>
      </w:r>
      <w:r w:rsidRPr="00777B93"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, </w:t>
      </w:r>
      <w:r w:rsidRPr="0055271E">
        <w:rPr>
          <w:sz w:val="22"/>
          <w:szCs w:val="22"/>
        </w:rPr>
        <w:t>Robert B Laprairie</w:t>
      </w:r>
      <w:r w:rsidRPr="0055271E">
        <w:rPr>
          <w:sz w:val="22"/>
          <w:szCs w:val="22"/>
          <w:vertAlign w:val="superscript"/>
        </w:rPr>
        <w:t>1,</w:t>
      </w:r>
      <w:r>
        <w:rPr>
          <w:sz w:val="22"/>
          <w:szCs w:val="22"/>
          <w:vertAlign w:val="superscript"/>
        </w:rPr>
        <w:t>3</w:t>
      </w:r>
      <w:r w:rsidRPr="0055271E">
        <w:rPr>
          <w:sz w:val="22"/>
          <w:szCs w:val="22"/>
          <w:vertAlign w:val="superscript"/>
        </w:rPr>
        <w:t>*</w:t>
      </w:r>
    </w:p>
    <w:p w14:paraId="77C73B54" w14:textId="7FBAF435" w:rsidR="00583F51" w:rsidRDefault="00E0636C"/>
    <w:p w14:paraId="42378400" w14:textId="6B540FEF" w:rsidR="00FC3C0A" w:rsidRDefault="00FC3C0A">
      <w:r w:rsidRPr="00FC3C0A">
        <w:drawing>
          <wp:inline distT="0" distB="0" distL="0" distR="0" wp14:anchorId="12F4465A" wp14:editId="403BAE5B">
            <wp:extent cx="5702300" cy="16510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02300" cy="165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65357F" w14:textId="39572750" w:rsidR="00FC3C0A" w:rsidRDefault="00187366" w:rsidP="00FC3C0A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Supplementary Figure 1</w:t>
      </w:r>
      <w:r w:rsidR="00FC3C0A" w:rsidRPr="00F95917">
        <w:rPr>
          <w:b/>
          <w:bCs/>
          <w:sz w:val="22"/>
          <w:szCs w:val="22"/>
        </w:rPr>
        <w:t>.</w:t>
      </w:r>
      <w:r w:rsidR="00FC3C0A">
        <w:rPr>
          <w:b/>
          <w:bCs/>
          <w:sz w:val="22"/>
          <w:szCs w:val="22"/>
        </w:rPr>
        <w:t xml:space="preserve"> [</w:t>
      </w:r>
      <w:r w:rsidR="00FC3C0A" w:rsidRPr="00F95917">
        <w:rPr>
          <w:b/>
          <w:bCs/>
          <w:sz w:val="22"/>
          <w:szCs w:val="22"/>
          <w:vertAlign w:val="superscript"/>
        </w:rPr>
        <w:t>3</w:t>
      </w:r>
      <w:r w:rsidR="00FC3C0A">
        <w:rPr>
          <w:b/>
          <w:bCs/>
          <w:sz w:val="22"/>
          <w:szCs w:val="22"/>
        </w:rPr>
        <w:t xml:space="preserve">H]CP55,940 </w:t>
      </w:r>
      <w:r w:rsidR="00FC3C0A">
        <w:rPr>
          <w:b/>
          <w:bCs/>
          <w:sz w:val="22"/>
          <w:szCs w:val="22"/>
        </w:rPr>
        <w:t xml:space="preserve">saturation </w:t>
      </w:r>
      <w:r w:rsidR="00FC3C0A">
        <w:rPr>
          <w:b/>
          <w:bCs/>
          <w:sz w:val="22"/>
          <w:szCs w:val="22"/>
        </w:rPr>
        <w:t>binding to CB1R</w:t>
      </w:r>
      <w:r w:rsidR="00FC3C0A">
        <w:rPr>
          <w:b/>
          <w:bCs/>
          <w:sz w:val="22"/>
          <w:szCs w:val="22"/>
        </w:rPr>
        <w:t xml:space="preserve"> and CB2R</w:t>
      </w:r>
      <w:r w:rsidR="00FC3C0A">
        <w:rPr>
          <w:b/>
          <w:bCs/>
          <w:sz w:val="22"/>
          <w:szCs w:val="22"/>
        </w:rPr>
        <w:t>.</w:t>
      </w:r>
      <w:r w:rsidR="00FC3C0A" w:rsidRPr="00F95917">
        <w:rPr>
          <w:b/>
          <w:bCs/>
          <w:sz w:val="22"/>
          <w:szCs w:val="22"/>
        </w:rPr>
        <w:t xml:space="preserve"> </w:t>
      </w:r>
      <w:r w:rsidR="00FC3C0A">
        <w:rPr>
          <w:sz w:val="22"/>
          <w:szCs w:val="22"/>
        </w:rPr>
        <w:t xml:space="preserve">Binding of 0.1 – 100 </w:t>
      </w:r>
      <w:proofErr w:type="spellStart"/>
      <w:r w:rsidR="00FC3C0A">
        <w:rPr>
          <w:sz w:val="22"/>
          <w:szCs w:val="22"/>
        </w:rPr>
        <w:t>nM</w:t>
      </w:r>
      <w:proofErr w:type="spellEnd"/>
      <w:r w:rsidR="00FC3C0A" w:rsidRPr="00F95917">
        <w:rPr>
          <w:sz w:val="22"/>
          <w:szCs w:val="22"/>
        </w:rPr>
        <w:t xml:space="preserve"> [</w:t>
      </w:r>
      <w:r w:rsidR="00FC3C0A" w:rsidRPr="00F95917">
        <w:rPr>
          <w:sz w:val="22"/>
          <w:szCs w:val="22"/>
          <w:vertAlign w:val="superscript"/>
        </w:rPr>
        <w:t>3</w:t>
      </w:r>
      <w:r w:rsidR="00FC3C0A" w:rsidRPr="00F95917">
        <w:rPr>
          <w:sz w:val="22"/>
          <w:szCs w:val="22"/>
        </w:rPr>
        <w:t>H]CP55,940 to membranes obtained from CHO cells stably-expressing hCB1R</w:t>
      </w:r>
      <w:r w:rsidR="00FC3C0A">
        <w:rPr>
          <w:sz w:val="22"/>
          <w:szCs w:val="22"/>
        </w:rPr>
        <w:t xml:space="preserve"> </w:t>
      </w:r>
      <w:r w:rsidR="00FC3C0A">
        <w:rPr>
          <w:b/>
          <w:bCs/>
          <w:sz w:val="22"/>
          <w:szCs w:val="22"/>
        </w:rPr>
        <w:t>(a)</w:t>
      </w:r>
      <w:r w:rsidR="00FC3C0A">
        <w:rPr>
          <w:sz w:val="22"/>
          <w:szCs w:val="22"/>
        </w:rPr>
        <w:t xml:space="preserve"> or hCB2R </w:t>
      </w:r>
      <w:r w:rsidR="00FC3C0A">
        <w:rPr>
          <w:b/>
          <w:bCs/>
          <w:sz w:val="22"/>
          <w:szCs w:val="22"/>
        </w:rPr>
        <w:t>(b)</w:t>
      </w:r>
      <w:r w:rsidR="00FC3C0A">
        <w:rPr>
          <w:sz w:val="22"/>
          <w:szCs w:val="22"/>
        </w:rPr>
        <w:t xml:space="preserve">. </w:t>
      </w:r>
      <w:r w:rsidR="00B022A2">
        <w:rPr>
          <w:sz w:val="22"/>
          <w:szCs w:val="22"/>
        </w:rPr>
        <w:t xml:space="preserve">Specific binding was estimated by subtracting non-specific binding values – obtained from the membranes of </w:t>
      </w:r>
      <w:proofErr w:type="spellStart"/>
      <w:r w:rsidR="00B022A2">
        <w:rPr>
          <w:sz w:val="22"/>
          <w:szCs w:val="22"/>
        </w:rPr>
        <w:t>untransfected</w:t>
      </w:r>
      <w:proofErr w:type="spellEnd"/>
      <w:r w:rsidR="00B022A2">
        <w:rPr>
          <w:sz w:val="22"/>
          <w:szCs w:val="22"/>
        </w:rPr>
        <w:t xml:space="preserve"> CHO-K1 cells – from the total binding values in either hCB1R CHO-K1 or hCB2R CHO-K1 cells, respectively. </w:t>
      </w:r>
      <w:r w:rsidR="00FC3C0A" w:rsidRPr="005F2A50">
        <w:rPr>
          <w:sz w:val="22"/>
          <w:szCs w:val="22"/>
        </w:rPr>
        <w:t xml:space="preserve">Data were fit to a </w:t>
      </w:r>
      <w:r w:rsidR="00FC3C0A">
        <w:rPr>
          <w:sz w:val="22"/>
          <w:szCs w:val="22"/>
        </w:rPr>
        <w:t>one site total binding non-linear regression using</w:t>
      </w:r>
      <w:r w:rsidR="00FC3C0A" w:rsidRPr="005F2A50">
        <w:rPr>
          <w:sz w:val="22"/>
          <w:szCs w:val="22"/>
        </w:rPr>
        <w:t xml:space="preserve"> GraphPad v. </w:t>
      </w:r>
      <w:r w:rsidR="00FC3C0A">
        <w:rPr>
          <w:sz w:val="22"/>
          <w:szCs w:val="22"/>
        </w:rPr>
        <w:t>9</w:t>
      </w:r>
      <w:r w:rsidR="00FC3C0A" w:rsidRPr="005F2A50">
        <w:rPr>
          <w:sz w:val="22"/>
          <w:szCs w:val="22"/>
        </w:rPr>
        <w:t>. Data are mean ± S.E.M.</w:t>
      </w:r>
      <w:r w:rsidR="00FC3C0A">
        <w:rPr>
          <w:sz w:val="22"/>
          <w:szCs w:val="22"/>
        </w:rPr>
        <w:t>, or mean with 95% C.I. (</w:t>
      </w:r>
      <w:proofErr w:type="spellStart"/>
      <w:r w:rsidR="00FC3C0A">
        <w:rPr>
          <w:i/>
          <w:iCs/>
          <w:sz w:val="22"/>
          <w:szCs w:val="22"/>
        </w:rPr>
        <w:t>K</w:t>
      </w:r>
      <w:r w:rsidR="00FC3C0A" w:rsidRPr="00FC3C0A">
        <w:rPr>
          <w:sz w:val="22"/>
          <w:szCs w:val="22"/>
          <w:vertAlign w:val="subscript"/>
        </w:rPr>
        <w:t>d</w:t>
      </w:r>
      <w:proofErr w:type="spellEnd"/>
      <w:r w:rsidR="00FC3C0A">
        <w:rPr>
          <w:sz w:val="22"/>
          <w:szCs w:val="22"/>
        </w:rPr>
        <w:t>),</w:t>
      </w:r>
      <w:r w:rsidR="00FC3C0A" w:rsidRPr="005F2A50">
        <w:rPr>
          <w:sz w:val="22"/>
          <w:szCs w:val="22"/>
        </w:rPr>
        <w:t xml:space="preserve"> </w:t>
      </w:r>
      <w:r w:rsidR="00FC3C0A" w:rsidRPr="005F2A50">
        <w:rPr>
          <w:i/>
          <w:iCs/>
          <w:sz w:val="22"/>
          <w:szCs w:val="22"/>
        </w:rPr>
        <w:t xml:space="preserve">n </w:t>
      </w:r>
      <w:r w:rsidR="00FC3C0A">
        <w:rPr>
          <w:sz w:val="22"/>
          <w:szCs w:val="22"/>
        </w:rPr>
        <w:t>=</w:t>
      </w:r>
      <w:r w:rsidR="00FC3C0A" w:rsidRPr="005F2A50">
        <w:rPr>
          <w:sz w:val="22"/>
          <w:szCs w:val="22"/>
        </w:rPr>
        <w:t xml:space="preserve"> </w:t>
      </w:r>
      <w:r w:rsidR="00FC3C0A">
        <w:rPr>
          <w:sz w:val="22"/>
          <w:szCs w:val="22"/>
        </w:rPr>
        <w:t>3</w:t>
      </w:r>
      <w:r w:rsidR="00FC3C0A" w:rsidRPr="005F2A50">
        <w:rPr>
          <w:sz w:val="22"/>
          <w:szCs w:val="22"/>
        </w:rPr>
        <w:t xml:space="preserve"> independent experiments performed in </w:t>
      </w:r>
      <w:r w:rsidR="00FC3C0A">
        <w:rPr>
          <w:sz w:val="22"/>
          <w:szCs w:val="22"/>
        </w:rPr>
        <w:t>triplicate</w:t>
      </w:r>
      <w:r w:rsidR="00FC3C0A" w:rsidRPr="005F2A50">
        <w:rPr>
          <w:sz w:val="22"/>
          <w:szCs w:val="22"/>
        </w:rPr>
        <w:t>.</w:t>
      </w:r>
    </w:p>
    <w:p w14:paraId="3C7911EA" w14:textId="77777777" w:rsidR="00FC3C0A" w:rsidRDefault="00FC3C0A"/>
    <w:p w14:paraId="499E0628" w14:textId="47170057" w:rsidR="007726FE" w:rsidRDefault="00FC3C0A">
      <w:r w:rsidRPr="00FC3C0A">
        <w:drawing>
          <wp:inline distT="0" distB="0" distL="0" distR="0" wp14:anchorId="5874D176" wp14:editId="14947D21">
            <wp:extent cx="5283200" cy="1727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83200" cy="172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98DC4B" w14:textId="2C557A0D" w:rsidR="007726FE" w:rsidRDefault="007726FE" w:rsidP="007726FE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Supplementary </w:t>
      </w:r>
      <w:r w:rsidRPr="005F2A50">
        <w:rPr>
          <w:b/>
          <w:bCs/>
          <w:sz w:val="22"/>
          <w:szCs w:val="22"/>
        </w:rPr>
        <w:t xml:space="preserve">Figure </w:t>
      </w:r>
      <w:r w:rsidR="00FC3C0A">
        <w:rPr>
          <w:b/>
          <w:bCs/>
          <w:sz w:val="22"/>
          <w:szCs w:val="22"/>
        </w:rPr>
        <w:t>2</w:t>
      </w:r>
      <w:r w:rsidRPr="005F2A5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 xml:space="preserve"> Cannabinoid receptor-dependent inhibition of FSK-stimulated cAMP.</w:t>
      </w:r>
      <w:r w:rsidRPr="005F2A50">
        <w:rPr>
          <w:b/>
          <w:bCs/>
          <w:sz w:val="22"/>
          <w:szCs w:val="22"/>
        </w:rPr>
        <w:t xml:space="preserve"> </w:t>
      </w:r>
      <w:r w:rsidRPr="005F2A50">
        <w:rPr>
          <w:sz w:val="22"/>
          <w:szCs w:val="22"/>
        </w:rPr>
        <w:t>CHO cells stably-expressing hCB1R</w:t>
      </w:r>
      <w:r>
        <w:rPr>
          <w:sz w:val="22"/>
          <w:szCs w:val="22"/>
        </w:rPr>
        <w:t xml:space="preserve"> (</w:t>
      </w:r>
      <w:r>
        <w:rPr>
          <w:b/>
          <w:bCs/>
          <w:sz w:val="22"/>
          <w:szCs w:val="22"/>
        </w:rPr>
        <w:t>a</w:t>
      </w:r>
      <w:r>
        <w:rPr>
          <w:sz w:val="22"/>
          <w:szCs w:val="22"/>
        </w:rPr>
        <w:t>) or hCB2R (</w:t>
      </w:r>
      <w:r>
        <w:rPr>
          <w:b/>
          <w:bCs/>
          <w:sz w:val="22"/>
          <w:szCs w:val="22"/>
        </w:rPr>
        <w:t>b</w:t>
      </w:r>
      <w:r>
        <w:rPr>
          <w:sz w:val="22"/>
          <w:szCs w:val="22"/>
        </w:rPr>
        <w:t>)</w:t>
      </w:r>
      <w:r w:rsidRPr="005F2A50">
        <w:rPr>
          <w:sz w:val="22"/>
          <w:szCs w:val="22"/>
        </w:rPr>
        <w:t xml:space="preserve"> were treated with</w:t>
      </w:r>
      <w:r>
        <w:rPr>
          <w:sz w:val="22"/>
          <w:szCs w:val="22"/>
        </w:rPr>
        <w:t xml:space="preserve"> vehicle (10% DMSO in PBS), 10 µM FSK, and</w:t>
      </w:r>
      <w:r w:rsidRPr="005F2A50">
        <w:rPr>
          <w:sz w:val="22"/>
          <w:szCs w:val="22"/>
        </w:rPr>
        <w:t xml:space="preserve"> 10 </w:t>
      </w:r>
      <w:proofErr w:type="spellStart"/>
      <w:r w:rsidRPr="005F2A50">
        <w:rPr>
          <w:sz w:val="22"/>
          <w:szCs w:val="22"/>
        </w:rPr>
        <w:t>μM</w:t>
      </w:r>
      <w:proofErr w:type="spellEnd"/>
      <w:r w:rsidRPr="005F2A50">
        <w:rPr>
          <w:sz w:val="22"/>
          <w:szCs w:val="22"/>
        </w:rPr>
        <w:t xml:space="preserve"> </w:t>
      </w:r>
      <w:r>
        <w:rPr>
          <w:sz w:val="22"/>
          <w:szCs w:val="22"/>
        </w:rPr>
        <w:t>CP55,940</w:t>
      </w:r>
      <w:r w:rsidRPr="005F2A5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for </w:t>
      </w:r>
      <w:r w:rsidRPr="005F2A50">
        <w:rPr>
          <w:sz w:val="22"/>
          <w:szCs w:val="22"/>
        </w:rPr>
        <w:t>90 min</w:t>
      </w:r>
      <w:r>
        <w:rPr>
          <w:sz w:val="22"/>
          <w:szCs w:val="22"/>
        </w:rPr>
        <w:t xml:space="preserve"> as indicated above</w:t>
      </w:r>
      <w:r w:rsidRPr="005F2A50">
        <w:rPr>
          <w:sz w:val="22"/>
          <w:szCs w:val="22"/>
        </w:rPr>
        <w:t xml:space="preserve"> and </w:t>
      </w:r>
      <w:r>
        <w:rPr>
          <w:sz w:val="22"/>
          <w:szCs w:val="22"/>
        </w:rPr>
        <w:t>cAMP accumulation was measured</w:t>
      </w:r>
      <w:r w:rsidRPr="005F2A50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Here, cAMP accumulation is expressed as untransformed relative light units from the experiment. In subsequent data analyses, </w:t>
      </w:r>
      <w:r w:rsidRPr="005F2A50">
        <w:rPr>
          <w:sz w:val="22"/>
          <w:szCs w:val="22"/>
        </w:rPr>
        <w:t xml:space="preserve">data are expressed as % </w:t>
      </w:r>
      <w:r>
        <w:rPr>
          <w:sz w:val="22"/>
          <w:szCs w:val="22"/>
        </w:rPr>
        <w:t xml:space="preserve">inhibition relative to the maximal </w:t>
      </w:r>
      <w:r w:rsidRPr="005F2A50">
        <w:rPr>
          <w:sz w:val="22"/>
          <w:szCs w:val="22"/>
        </w:rPr>
        <w:t>CP55,940 response</w:t>
      </w:r>
      <w:r>
        <w:rPr>
          <w:sz w:val="22"/>
          <w:szCs w:val="22"/>
        </w:rPr>
        <w:t xml:space="preserve"> as illustrated above by dotted lines</w:t>
      </w:r>
      <w:r w:rsidRPr="005F2A50">
        <w:rPr>
          <w:sz w:val="22"/>
          <w:szCs w:val="22"/>
        </w:rPr>
        <w:t xml:space="preserve">. Data were </w:t>
      </w:r>
      <w:r>
        <w:rPr>
          <w:sz w:val="22"/>
          <w:szCs w:val="22"/>
        </w:rPr>
        <w:t>analyzed in</w:t>
      </w:r>
      <w:r w:rsidRPr="005F2A50">
        <w:rPr>
          <w:sz w:val="22"/>
          <w:szCs w:val="22"/>
        </w:rPr>
        <w:t xml:space="preserve"> GraphPad v. </w:t>
      </w:r>
      <w:r>
        <w:rPr>
          <w:sz w:val="22"/>
          <w:szCs w:val="22"/>
        </w:rPr>
        <w:t>8</w:t>
      </w:r>
      <w:r w:rsidRPr="005F2A50">
        <w:rPr>
          <w:sz w:val="22"/>
          <w:szCs w:val="22"/>
        </w:rPr>
        <w:t xml:space="preserve">. Data are mean ± S.E.M. </w:t>
      </w:r>
      <w:r w:rsidRPr="005F2A50">
        <w:rPr>
          <w:i/>
          <w:iCs/>
          <w:sz w:val="22"/>
          <w:szCs w:val="22"/>
        </w:rPr>
        <w:t xml:space="preserve">n </w:t>
      </w:r>
      <w:r>
        <w:rPr>
          <w:sz w:val="22"/>
          <w:szCs w:val="22"/>
        </w:rPr>
        <w:t>=</w:t>
      </w:r>
      <w:r w:rsidRPr="005F2A50">
        <w:rPr>
          <w:sz w:val="22"/>
          <w:szCs w:val="22"/>
        </w:rPr>
        <w:t xml:space="preserve"> 6 independent experiments</w:t>
      </w:r>
      <w:r>
        <w:rPr>
          <w:sz w:val="22"/>
          <w:szCs w:val="22"/>
        </w:rPr>
        <w:t xml:space="preserve"> shown with circles (p</w:t>
      </w:r>
      <w:r w:rsidRPr="005F2A50">
        <w:rPr>
          <w:sz w:val="22"/>
          <w:szCs w:val="22"/>
        </w:rPr>
        <w:t>erformed in triplicate</w:t>
      </w:r>
      <w:r>
        <w:rPr>
          <w:sz w:val="22"/>
          <w:szCs w:val="22"/>
        </w:rPr>
        <w:t>)</w:t>
      </w:r>
      <w:r w:rsidRPr="005F2A50">
        <w:rPr>
          <w:sz w:val="22"/>
          <w:szCs w:val="22"/>
        </w:rPr>
        <w:t>.</w:t>
      </w:r>
    </w:p>
    <w:p w14:paraId="66381545" w14:textId="1094DC06" w:rsidR="00187366" w:rsidRDefault="00187366" w:rsidP="007726FE">
      <w:pPr>
        <w:jc w:val="both"/>
        <w:rPr>
          <w:sz w:val="22"/>
          <w:szCs w:val="22"/>
        </w:rPr>
      </w:pPr>
    </w:p>
    <w:p w14:paraId="39C9917F" w14:textId="4800C69F" w:rsidR="00187366" w:rsidRDefault="00187366" w:rsidP="007726FE">
      <w:pPr>
        <w:jc w:val="both"/>
        <w:rPr>
          <w:sz w:val="22"/>
          <w:szCs w:val="22"/>
        </w:rPr>
      </w:pPr>
      <w:r w:rsidRPr="00187366">
        <w:rPr>
          <w:sz w:val="22"/>
          <w:szCs w:val="22"/>
        </w:rPr>
        <w:lastRenderedPageBreak/>
        <w:drawing>
          <wp:inline distT="0" distB="0" distL="0" distR="0" wp14:anchorId="2A97B758" wp14:editId="728FFAA9">
            <wp:extent cx="5705627" cy="2331156"/>
            <wp:effectExtent l="0" t="0" r="0" b="57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29058" cy="2340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D08CEA" w14:textId="0BBC7152" w:rsidR="00187366" w:rsidRPr="005F2A50" w:rsidRDefault="00187366" w:rsidP="007726FE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Supplementary Figure 3</w:t>
      </w:r>
      <w:r w:rsidRPr="005A6E6B">
        <w:rPr>
          <w:b/>
          <w:bCs/>
          <w:sz w:val="22"/>
          <w:szCs w:val="22"/>
        </w:rPr>
        <w:t xml:space="preserve">. </w:t>
      </w:r>
      <w:r w:rsidRPr="005A6E6B">
        <w:rPr>
          <w:b/>
          <w:bCs/>
          <w:i/>
          <w:iCs/>
          <w:sz w:val="22"/>
          <w:szCs w:val="22"/>
        </w:rPr>
        <w:t xml:space="preserve">In vivo </w:t>
      </w:r>
      <w:r>
        <w:rPr>
          <w:b/>
          <w:bCs/>
          <w:sz w:val="22"/>
          <w:szCs w:val="22"/>
        </w:rPr>
        <w:t>time</w:t>
      </w:r>
      <w:r w:rsidR="00E0636C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course</w:t>
      </w:r>
      <w:r w:rsidRPr="005A6E6B">
        <w:rPr>
          <w:b/>
          <w:bCs/>
          <w:sz w:val="22"/>
          <w:szCs w:val="22"/>
        </w:rPr>
        <w:t xml:space="preserve">. </w:t>
      </w:r>
      <w:r w:rsidRPr="005A6E6B">
        <w:rPr>
          <w:spacing w:val="-4"/>
          <w:sz w:val="22"/>
          <w:szCs w:val="22"/>
        </w:rPr>
        <w:t xml:space="preserve">Male C57Bl/6 mice were treated with 10 mg/kg  </w:t>
      </w:r>
      <w:proofErr w:type="spellStart"/>
      <w:r w:rsidRPr="005A6E6B">
        <w:rPr>
          <w:i/>
          <w:iCs/>
          <w:spacing w:val="-4"/>
          <w:sz w:val="22"/>
          <w:szCs w:val="22"/>
        </w:rPr>
        <w:t>i.p.</w:t>
      </w:r>
      <w:proofErr w:type="spellEnd"/>
      <w:r w:rsidRPr="005A6E6B">
        <w:rPr>
          <w:i/>
          <w:iCs/>
          <w:spacing w:val="-4"/>
          <w:sz w:val="22"/>
          <w:szCs w:val="22"/>
        </w:rPr>
        <w:t> </w:t>
      </w:r>
      <w:r w:rsidRPr="005A6E6B">
        <w:rPr>
          <w:spacing w:val="-4"/>
          <w:sz w:val="22"/>
          <w:szCs w:val="22"/>
        </w:rPr>
        <w:t xml:space="preserve"> </w:t>
      </w:r>
      <w:r w:rsidR="00E0636C">
        <w:rPr>
          <w:spacing w:val="-4"/>
          <w:sz w:val="22"/>
          <w:szCs w:val="22"/>
        </w:rPr>
        <w:t xml:space="preserve">CP55,940 and assessed for their catalepsy (ring holding, </w:t>
      </w:r>
      <w:r w:rsidR="00E0636C">
        <w:rPr>
          <w:b/>
          <w:bCs/>
          <w:spacing w:val="-4"/>
          <w:sz w:val="22"/>
          <w:szCs w:val="22"/>
        </w:rPr>
        <w:t>a</w:t>
      </w:r>
      <w:r w:rsidR="00E0636C">
        <w:rPr>
          <w:spacing w:val="-4"/>
          <w:sz w:val="22"/>
          <w:szCs w:val="22"/>
        </w:rPr>
        <w:t xml:space="preserve">), body temperature (rectal thermometer, </w:t>
      </w:r>
      <w:r w:rsidR="00E0636C">
        <w:rPr>
          <w:b/>
          <w:bCs/>
          <w:spacing w:val="-4"/>
          <w:sz w:val="22"/>
          <w:szCs w:val="22"/>
        </w:rPr>
        <w:t>b</w:t>
      </w:r>
      <w:r w:rsidR="00E0636C">
        <w:rPr>
          <w:spacing w:val="-4"/>
          <w:sz w:val="22"/>
          <w:szCs w:val="22"/>
        </w:rPr>
        <w:t xml:space="preserve">), and nociceptive response (warm water tail flick latency, </w:t>
      </w:r>
      <w:r w:rsidR="00E0636C">
        <w:rPr>
          <w:b/>
          <w:bCs/>
          <w:spacing w:val="-4"/>
          <w:sz w:val="22"/>
          <w:szCs w:val="22"/>
        </w:rPr>
        <w:t>c</w:t>
      </w:r>
      <w:r w:rsidR="00E0636C">
        <w:rPr>
          <w:spacing w:val="-4"/>
          <w:sz w:val="22"/>
          <w:szCs w:val="22"/>
        </w:rPr>
        <w:t>)</w:t>
      </w:r>
      <w:r w:rsidRPr="005A6E6B">
        <w:rPr>
          <w:spacing w:val="-4"/>
          <w:sz w:val="22"/>
          <w:szCs w:val="22"/>
        </w:rPr>
        <w:t xml:space="preserve">. </w:t>
      </w:r>
      <w:r w:rsidR="00E0636C">
        <w:rPr>
          <w:spacing w:val="-4"/>
          <w:sz w:val="22"/>
          <w:szCs w:val="22"/>
        </w:rPr>
        <w:t>Based on these data, peak effect times for p</w:t>
      </w:r>
      <w:r w:rsidRPr="005A6E6B">
        <w:rPr>
          <w:spacing w:val="-4"/>
          <w:sz w:val="22"/>
          <w:szCs w:val="22"/>
        </w:rPr>
        <w:t xml:space="preserve">hysiological assessments </w:t>
      </w:r>
      <w:r w:rsidR="00E0636C">
        <w:rPr>
          <w:spacing w:val="-4"/>
          <w:sz w:val="22"/>
          <w:szCs w:val="22"/>
        </w:rPr>
        <w:t>were chosen to be</w:t>
      </w:r>
      <w:r w:rsidRPr="005A6E6B">
        <w:rPr>
          <w:spacing w:val="-4"/>
          <w:sz w:val="22"/>
          <w:szCs w:val="22"/>
        </w:rPr>
        <w:t xml:space="preserve"> (</w:t>
      </w:r>
      <w:r w:rsidRPr="005A6E6B">
        <w:rPr>
          <w:b/>
          <w:bCs/>
          <w:spacing w:val="-4"/>
          <w:sz w:val="22"/>
          <w:szCs w:val="22"/>
        </w:rPr>
        <w:t>a</w:t>
      </w:r>
      <w:r w:rsidRPr="005A6E6B">
        <w:rPr>
          <w:spacing w:val="-4"/>
          <w:sz w:val="22"/>
          <w:szCs w:val="22"/>
        </w:rPr>
        <w:t>) catalepsy</w:t>
      </w:r>
      <w:r w:rsidR="00E0636C">
        <w:rPr>
          <w:spacing w:val="-4"/>
          <w:sz w:val="22"/>
          <w:szCs w:val="22"/>
        </w:rPr>
        <w:t xml:space="preserve">, </w:t>
      </w:r>
      <w:r w:rsidRPr="005A6E6B">
        <w:rPr>
          <w:spacing w:val="-4"/>
          <w:sz w:val="22"/>
          <w:szCs w:val="22"/>
        </w:rPr>
        <w:t>5 min</w:t>
      </w:r>
      <w:r w:rsidR="00E0636C">
        <w:rPr>
          <w:spacing w:val="-4"/>
          <w:sz w:val="22"/>
          <w:szCs w:val="22"/>
        </w:rPr>
        <w:t>;</w:t>
      </w:r>
      <w:r w:rsidRPr="005A6E6B">
        <w:rPr>
          <w:spacing w:val="-4"/>
          <w:sz w:val="22"/>
          <w:szCs w:val="22"/>
        </w:rPr>
        <w:t xml:space="preserve"> (</w:t>
      </w:r>
      <w:r w:rsidRPr="005A6E6B">
        <w:rPr>
          <w:b/>
          <w:bCs/>
          <w:spacing w:val="-4"/>
          <w:sz w:val="22"/>
          <w:szCs w:val="22"/>
        </w:rPr>
        <w:t>b</w:t>
      </w:r>
      <w:r w:rsidRPr="005A6E6B">
        <w:rPr>
          <w:spacing w:val="-4"/>
          <w:sz w:val="22"/>
          <w:szCs w:val="22"/>
        </w:rPr>
        <w:t>) body temperature</w:t>
      </w:r>
      <w:r w:rsidR="00E0636C">
        <w:rPr>
          <w:spacing w:val="-4"/>
          <w:sz w:val="22"/>
          <w:szCs w:val="22"/>
        </w:rPr>
        <w:t xml:space="preserve">, </w:t>
      </w:r>
      <w:r w:rsidRPr="005A6E6B">
        <w:rPr>
          <w:spacing w:val="-4"/>
          <w:sz w:val="22"/>
          <w:szCs w:val="22"/>
        </w:rPr>
        <w:t>15 min</w:t>
      </w:r>
      <w:r w:rsidR="00E0636C">
        <w:rPr>
          <w:spacing w:val="-4"/>
          <w:sz w:val="22"/>
          <w:szCs w:val="22"/>
        </w:rPr>
        <w:t>;</w:t>
      </w:r>
      <w:r w:rsidRPr="005A6E6B">
        <w:rPr>
          <w:spacing w:val="-4"/>
          <w:sz w:val="22"/>
          <w:szCs w:val="22"/>
        </w:rPr>
        <w:t xml:space="preserve"> and (</w:t>
      </w:r>
      <w:r w:rsidRPr="005A6E6B">
        <w:rPr>
          <w:b/>
          <w:bCs/>
          <w:spacing w:val="-4"/>
          <w:sz w:val="22"/>
          <w:szCs w:val="22"/>
        </w:rPr>
        <w:t>c</w:t>
      </w:r>
      <w:r w:rsidRPr="005A6E6B">
        <w:rPr>
          <w:spacing w:val="-4"/>
          <w:sz w:val="22"/>
          <w:szCs w:val="22"/>
        </w:rPr>
        <w:t>) nociception</w:t>
      </w:r>
      <w:r w:rsidR="00E0636C">
        <w:rPr>
          <w:spacing w:val="-4"/>
          <w:sz w:val="22"/>
          <w:szCs w:val="22"/>
        </w:rPr>
        <w:t xml:space="preserve">, </w:t>
      </w:r>
      <w:r w:rsidRPr="005A6E6B">
        <w:rPr>
          <w:spacing w:val="-4"/>
          <w:sz w:val="22"/>
          <w:szCs w:val="22"/>
        </w:rPr>
        <w:t>20 min</w:t>
      </w:r>
      <w:r w:rsidR="00E0636C">
        <w:rPr>
          <w:spacing w:val="-4"/>
          <w:sz w:val="22"/>
          <w:szCs w:val="22"/>
        </w:rPr>
        <w:t xml:space="preserve"> for </w:t>
      </w:r>
      <w:r w:rsidR="00E0636C">
        <w:rPr>
          <w:i/>
          <w:iCs/>
          <w:spacing w:val="-4"/>
          <w:sz w:val="22"/>
          <w:szCs w:val="22"/>
        </w:rPr>
        <w:t>in vivo</w:t>
      </w:r>
      <w:r w:rsidR="00E0636C">
        <w:rPr>
          <w:spacing w:val="-4"/>
          <w:sz w:val="22"/>
          <w:szCs w:val="22"/>
        </w:rPr>
        <w:t xml:space="preserve"> assessments described in figure 11</w:t>
      </w:r>
      <w:r w:rsidRPr="005A6E6B">
        <w:rPr>
          <w:spacing w:val="-4"/>
          <w:sz w:val="22"/>
          <w:szCs w:val="22"/>
        </w:rPr>
        <w:t xml:space="preserve">.  </w:t>
      </w:r>
      <w:r w:rsidRPr="005A6E6B">
        <w:rPr>
          <w:sz w:val="22"/>
          <w:szCs w:val="22"/>
        </w:rPr>
        <w:t xml:space="preserve">Data are mean ± </w:t>
      </w:r>
      <w:r w:rsidR="00E0636C">
        <w:rPr>
          <w:sz w:val="22"/>
          <w:szCs w:val="22"/>
        </w:rPr>
        <w:t>S.E.M.</w:t>
      </w:r>
      <w:r w:rsidRPr="005A6E6B">
        <w:rPr>
          <w:sz w:val="22"/>
          <w:szCs w:val="22"/>
        </w:rPr>
        <w:t>, </w:t>
      </w:r>
      <w:r w:rsidRPr="005A6E6B">
        <w:rPr>
          <w:i/>
          <w:iCs/>
          <w:sz w:val="22"/>
          <w:szCs w:val="22"/>
        </w:rPr>
        <w:t>n</w:t>
      </w:r>
      <w:r w:rsidRPr="005A6E6B">
        <w:rPr>
          <w:sz w:val="22"/>
          <w:szCs w:val="22"/>
        </w:rPr>
        <w:t xml:space="preserve"> = </w:t>
      </w:r>
      <w:r w:rsidR="00E0636C">
        <w:rPr>
          <w:sz w:val="22"/>
          <w:szCs w:val="22"/>
        </w:rPr>
        <w:t>4</w:t>
      </w:r>
      <w:r w:rsidRPr="005A6E6B">
        <w:rPr>
          <w:sz w:val="22"/>
          <w:szCs w:val="22"/>
        </w:rPr>
        <w:t xml:space="preserve"> animals. </w:t>
      </w:r>
    </w:p>
    <w:p w14:paraId="3580E986" w14:textId="77777777" w:rsidR="007726FE" w:rsidRDefault="007726FE"/>
    <w:sectPr w:rsidR="007726FE" w:rsidSect="004C614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FE"/>
    <w:rsid w:val="00187366"/>
    <w:rsid w:val="001D2E8D"/>
    <w:rsid w:val="004C6145"/>
    <w:rsid w:val="00560BAE"/>
    <w:rsid w:val="007726FE"/>
    <w:rsid w:val="00950AD1"/>
    <w:rsid w:val="00B022A2"/>
    <w:rsid w:val="00E0636C"/>
    <w:rsid w:val="00E852B1"/>
    <w:rsid w:val="00EA791F"/>
    <w:rsid w:val="00FC3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EB813F"/>
  <w15:chartTrackingRefBased/>
  <w15:docId w15:val="{E234EC9B-2A50-944C-9729-B321C12D6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26FE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Saskatchewan</Company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Laprairie, Robert</dc:creator>
  <cp:keywords/>
  <dc:description/>
  <cp:lastModifiedBy>Laprairie, Robert</cp:lastModifiedBy>
  <cp:revision>3</cp:revision>
  <dcterms:created xsi:type="dcterms:W3CDTF">2021-03-18T17:07:00Z</dcterms:created>
  <dcterms:modified xsi:type="dcterms:W3CDTF">2021-03-18T17:36:00Z</dcterms:modified>
</cp:coreProperties>
</file>