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A2F54" w14:textId="77777777" w:rsidR="00BE0926" w:rsidRPr="00813446" w:rsidRDefault="00BE0926" w:rsidP="00BE0926">
      <w:pPr>
        <w:rPr>
          <w:rFonts w:ascii="Arial" w:hAnsi="Arial" w:cs="Arial"/>
          <w:b/>
          <w:sz w:val="32"/>
          <w:szCs w:val="32"/>
        </w:rPr>
      </w:pPr>
      <w:r w:rsidRPr="00813446">
        <w:rPr>
          <w:rFonts w:ascii="Arial" w:hAnsi="Arial" w:cs="Arial"/>
          <w:b/>
          <w:sz w:val="32"/>
          <w:szCs w:val="32"/>
        </w:rPr>
        <w:t>Low-Cost Active Thermography using Cellphone Infrared Cameras: from Early Detection of Dental Caries to Quantification of THC in Oral Fluid</w:t>
      </w:r>
    </w:p>
    <w:p w14:paraId="2F86A30D" w14:textId="77777777" w:rsidR="00BE0926" w:rsidRPr="00813446" w:rsidRDefault="00BE0926" w:rsidP="00BE0926">
      <w:pPr>
        <w:contextualSpacing/>
        <w:rPr>
          <w:rFonts w:ascii="Arial" w:hAnsi="Arial" w:cs="Arial"/>
          <w:sz w:val="24"/>
          <w:szCs w:val="24"/>
        </w:rPr>
      </w:pPr>
      <w:proofErr w:type="spellStart"/>
      <w:r w:rsidRPr="00813446">
        <w:rPr>
          <w:rFonts w:ascii="Arial" w:hAnsi="Arial" w:cs="Arial"/>
          <w:sz w:val="24"/>
          <w:szCs w:val="24"/>
        </w:rPr>
        <w:t>Nakisa</w:t>
      </w:r>
      <w:proofErr w:type="spellEnd"/>
      <w:r w:rsidRPr="00813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446">
        <w:rPr>
          <w:rFonts w:ascii="Arial" w:hAnsi="Arial" w:cs="Arial"/>
          <w:sz w:val="24"/>
          <w:szCs w:val="24"/>
        </w:rPr>
        <w:t>Samadi</w:t>
      </w:r>
      <w:proofErr w:type="spellEnd"/>
      <w:r w:rsidRPr="00813446">
        <w:rPr>
          <w:rFonts w:ascii="Arial" w:hAnsi="Arial" w:cs="Arial"/>
          <w:sz w:val="24"/>
          <w:szCs w:val="24"/>
          <w:vertAlign w:val="superscript"/>
        </w:rPr>
        <w:t>+</w:t>
      </w:r>
      <w:r w:rsidRPr="0081344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13446">
        <w:rPr>
          <w:rFonts w:ascii="Arial" w:hAnsi="Arial" w:cs="Arial"/>
          <w:sz w:val="24"/>
          <w:szCs w:val="24"/>
        </w:rPr>
        <w:t>Damber</w:t>
      </w:r>
      <w:proofErr w:type="spellEnd"/>
      <w:r w:rsidRPr="00813446">
        <w:rPr>
          <w:rFonts w:ascii="Arial" w:hAnsi="Arial" w:cs="Arial"/>
          <w:sz w:val="24"/>
          <w:szCs w:val="24"/>
        </w:rPr>
        <w:t xml:space="preserve"> Thapa</w:t>
      </w:r>
      <w:r w:rsidRPr="00813446">
        <w:rPr>
          <w:rFonts w:ascii="Arial" w:hAnsi="Arial" w:cs="Arial"/>
          <w:sz w:val="24"/>
          <w:szCs w:val="24"/>
          <w:vertAlign w:val="superscript"/>
        </w:rPr>
        <w:t>+</w:t>
      </w:r>
      <w:r w:rsidRPr="0081344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13446">
        <w:rPr>
          <w:rFonts w:ascii="Arial" w:hAnsi="Arial" w:cs="Arial"/>
          <w:sz w:val="24"/>
          <w:szCs w:val="24"/>
        </w:rPr>
        <w:t>Mohammadhossein</w:t>
      </w:r>
      <w:proofErr w:type="spellEnd"/>
      <w:r w:rsidRPr="00813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446">
        <w:rPr>
          <w:rFonts w:ascii="Arial" w:hAnsi="Arial" w:cs="Arial"/>
          <w:sz w:val="24"/>
          <w:szCs w:val="24"/>
        </w:rPr>
        <w:t>Salimi</w:t>
      </w:r>
      <w:proofErr w:type="spellEnd"/>
      <w:r w:rsidRPr="00813446">
        <w:rPr>
          <w:rFonts w:ascii="Arial" w:hAnsi="Arial" w:cs="Arial"/>
          <w:sz w:val="24"/>
          <w:szCs w:val="24"/>
        </w:rPr>
        <w:t xml:space="preserve">, Artur </w:t>
      </w:r>
      <w:proofErr w:type="spellStart"/>
      <w:r w:rsidRPr="00813446">
        <w:rPr>
          <w:rFonts w:ascii="Arial" w:hAnsi="Arial" w:cs="Arial"/>
          <w:sz w:val="24"/>
          <w:szCs w:val="24"/>
        </w:rPr>
        <w:t>Parkhimchyk</w:t>
      </w:r>
      <w:proofErr w:type="spellEnd"/>
      <w:r w:rsidRPr="00813446">
        <w:rPr>
          <w:rFonts w:ascii="Arial" w:hAnsi="Arial" w:cs="Arial"/>
          <w:sz w:val="24"/>
          <w:szCs w:val="24"/>
        </w:rPr>
        <w:t>, and Nima Tabatabaei</w:t>
      </w:r>
      <w:r w:rsidRPr="00813446">
        <w:rPr>
          <w:rFonts w:ascii="Arial" w:hAnsi="Arial" w:cs="Arial"/>
          <w:sz w:val="24"/>
          <w:szCs w:val="24"/>
          <w:vertAlign w:val="superscript"/>
        </w:rPr>
        <w:t>*</w:t>
      </w:r>
    </w:p>
    <w:p w14:paraId="5B29F506" w14:textId="77777777" w:rsidR="00BE0926" w:rsidRPr="00813446" w:rsidRDefault="00BE0926" w:rsidP="00BE0926">
      <w:pPr>
        <w:contextualSpacing/>
        <w:rPr>
          <w:rFonts w:ascii="Arial" w:hAnsi="Arial" w:cs="Arial"/>
          <w:sz w:val="24"/>
          <w:szCs w:val="24"/>
        </w:rPr>
      </w:pPr>
      <w:r w:rsidRPr="00813446">
        <w:rPr>
          <w:rFonts w:ascii="Arial" w:hAnsi="Arial" w:cs="Arial"/>
          <w:sz w:val="24"/>
          <w:szCs w:val="24"/>
        </w:rPr>
        <w:t xml:space="preserve">Department of Mechanical Engineering, Lassonde School of Engineering, York University, 4700 </w:t>
      </w:r>
      <w:proofErr w:type="spellStart"/>
      <w:r w:rsidRPr="00813446">
        <w:rPr>
          <w:rFonts w:ascii="Arial" w:hAnsi="Arial" w:cs="Arial"/>
          <w:sz w:val="24"/>
          <w:szCs w:val="24"/>
        </w:rPr>
        <w:t>Keele</w:t>
      </w:r>
      <w:proofErr w:type="spellEnd"/>
      <w:r w:rsidRPr="00813446">
        <w:rPr>
          <w:rFonts w:ascii="Arial" w:hAnsi="Arial" w:cs="Arial"/>
          <w:sz w:val="24"/>
          <w:szCs w:val="24"/>
        </w:rPr>
        <w:t xml:space="preserve"> St., Toronto, ON, M3J 1P3, Canada *Nima.Tabatabaei@Lassonde.YorkU.ca</w:t>
      </w:r>
    </w:p>
    <w:p w14:paraId="73A9D612" w14:textId="77777777" w:rsidR="00BE0926" w:rsidRPr="00813446" w:rsidRDefault="00BE0926" w:rsidP="00BE0926">
      <w:pPr>
        <w:contextualSpacing/>
        <w:rPr>
          <w:rFonts w:ascii="Arial" w:hAnsi="Arial" w:cs="Arial"/>
          <w:sz w:val="24"/>
          <w:szCs w:val="24"/>
        </w:rPr>
      </w:pPr>
      <w:r w:rsidRPr="00813446">
        <w:rPr>
          <w:rFonts w:ascii="Arial" w:hAnsi="Arial" w:cs="Arial"/>
          <w:sz w:val="24"/>
          <w:szCs w:val="24"/>
          <w:vertAlign w:val="superscript"/>
        </w:rPr>
        <w:t>+</w:t>
      </w:r>
      <w:r w:rsidRPr="00813446">
        <w:rPr>
          <w:rFonts w:ascii="Arial" w:hAnsi="Arial" w:cs="Arial"/>
          <w:sz w:val="24"/>
          <w:szCs w:val="24"/>
        </w:rPr>
        <w:t>these</w:t>
      </w:r>
      <w:r w:rsidRPr="00813446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813446">
        <w:rPr>
          <w:rFonts w:ascii="Arial" w:hAnsi="Arial" w:cs="Arial"/>
          <w:sz w:val="24"/>
          <w:szCs w:val="24"/>
        </w:rPr>
        <w:t>authors contributed equally to this work</w:t>
      </w:r>
    </w:p>
    <w:p w14:paraId="32F49FBC" w14:textId="77777777" w:rsidR="00BE0926" w:rsidRDefault="00BE0926">
      <w:pPr>
        <w:rPr>
          <w:rFonts w:asciiTheme="majorBidi" w:hAnsiTheme="majorBidi" w:cstheme="majorBidi"/>
          <w:b/>
          <w:bCs/>
          <w:sz w:val="20"/>
          <w:szCs w:val="20"/>
        </w:rPr>
      </w:pPr>
      <w:bookmarkStart w:id="0" w:name="_GoBack"/>
      <w:bookmarkEnd w:id="0"/>
    </w:p>
    <w:p w14:paraId="2AD95ABC" w14:textId="706D5E1A" w:rsidR="00944158" w:rsidRPr="00AB1CEE" w:rsidRDefault="005265BF" w:rsidP="00944158">
      <w:pPr>
        <w:keepNext/>
        <w:jc w:val="center"/>
        <w:rPr>
          <w:rFonts w:asciiTheme="majorBidi" w:hAnsiTheme="majorBidi" w:cstheme="majorBidi"/>
          <w:sz w:val="20"/>
          <w:szCs w:val="20"/>
        </w:rPr>
      </w:pPr>
      <w:r w:rsidRPr="00AB1CEE">
        <w:rPr>
          <w:rFonts w:asciiTheme="majorBidi" w:hAnsiTheme="majorBidi" w:cstheme="majorBidi"/>
          <w:noProof/>
          <w:sz w:val="20"/>
          <w:szCs w:val="20"/>
        </w:rPr>
        <w:lastRenderedPageBreak/>
        <w:drawing>
          <wp:inline distT="0" distB="0" distL="0" distR="0" wp14:anchorId="2EC00F18" wp14:editId="478982C0">
            <wp:extent cx="4248912" cy="5748528"/>
            <wp:effectExtent l="0" t="0" r="0" b="5080"/>
            <wp:docPr id="1" name="Picture 1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 Fig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912" cy="5748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8F3A4" w14:textId="3B62B37B" w:rsidR="00944158" w:rsidRPr="00AB1CEE" w:rsidRDefault="00944158" w:rsidP="00944158">
      <w:pPr>
        <w:pStyle w:val="Caption"/>
        <w:jc w:val="both"/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0"/>
          <w:szCs w:val="20"/>
        </w:rPr>
      </w:pPr>
      <w:r w:rsidRPr="00AB1CEE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0"/>
          <w:szCs w:val="20"/>
        </w:rPr>
        <w:t xml:space="preserve">Figure </w:t>
      </w:r>
      <w:r w:rsidRPr="00AB1CEE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0"/>
          <w:szCs w:val="20"/>
        </w:rPr>
        <w:fldChar w:fldCharType="begin"/>
      </w:r>
      <w:r w:rsidRPr="00AB1CEE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0"/>
          <w:szCs w:val="20"/>
        </w:rPr>
        <w:instrText xml:space="preserve"> SEQ Figure \* ARABIC </w:instrText>
      </w:r>
      <w:r w:rsidRPr="00AB1CEE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0"/>
          <w:szCs w:val="20"/>
        </w:rPr>
        <w:fldChar w:fldCharType="separate"/>
      </w:r>
      <w:r w:rsidRPr="00AB1CEE">
        <w:rPr>
          <w:rFonts w:asciiTheme="majorBidi" w:hAnsiTheme="majorBidi" w:cstheme="majorBidi"/>
          <w:b/>
          <w:bCs/>
          <w:i w:val="0"/>
          <w:iCs w:val="0"/>
          <w:noProof/>
          <w:color w:val="000000" w:themeColor="text1"/>
          <w:sz w:val="20"/>
          <w:szCs w:val="20"/>
        </w:rPr>
        <w:t>1</w:t>
      </w:r>
      <w:r w:rsidRPr="00AB1CEE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0"/>
          <w:szCs w:val="20"/>
        </w:rPr>
        <w:fldChar w:fldCharType="end"/>
      </w:r>
      <w:r w:rsidRPr="00AB1CEE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0"/>
          <w:szCs w:val="20"/>
        </w:rPr>
        <w:t>. Histograms with probability density function (pdf) of the images at the foreground (</w:t>
      </w:r>
      <w:r w:rsidR="00AB42E3" w:rsidRPr="00AB1CEE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0"/>
          <w:szCs w:val="20"/>
        </w:rPr>
        <w:t>left</w:t>
      </w:r>
      <w:r w:rsidRPr="00AB1CEE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0"/>
          <w:szCs w:val="20"/>
        </w:rPr>
        <w:t>) and background region (right) at camera frame rates of 9, 15 and 33 fps</w:t>
      </w:r>
      <w:r w:rsidR="00D7012D" w:rsidRPr="00AB1CEE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0"/>
          <w:szCs w:val="20"/>
        </w:rPr>
        <w:t xml:space="preserve"> for defects at different depths</w:t>
      </w:r>
      <w:r w:rsidRPr="00AB1CEE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0"/>
          <w:szCs w:val="20"/>
        </w:rPr>
        <w:t xml:space="preserve">. The panel a, b and c are </w:t>
      </w:r>
      <w:r w:rsidR="002B5252" w:rsidRPr="00AB1CEE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0"/>
          <w:szCs w:val="20"/>
        </w:rPr>
        <w:t>corresponding</w:t>
      </w:r>
      <w:r w:rsidRPr="00AB1CEE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0"/>
          <w:szCs w:val="20"/>
        </w:rPr>
        <w:t xml:space="preserve"> to </w:t>
      </w:r>
      <w:r w:rsidR="00D7012D" w:rsidRPr="00AB1CEE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0"/>
          <w:szCs w:val="20"/>
        </w:rPr>
        <w:t xml:space="preserve">defects </w:t>
      </w:r>
      <w:r w:rsidRPr="00AB1CEE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0"/>
          <w:szCs w:val="20"/>
        </w:rPr>
        <w:t>300µm, 500µm and 800µm</w:t>
      </w:r>
      <w:r w:rsidR="00D7012D" w:rsidRPr="00AB1CEE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0"/>
          <w:szCs w:val="20"/>
        </w:rPr>
        <w:t xml:space="preserve"> below intact interrogation surface</w:t>
      </w:r>
      <w:r w:rsidRPr="00AB1CEE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0"/>
          <w:szCs w:val="20"/>
        </w:rPr>
        <w:t xml:space="preserve">, respectively. </w:t>
      </w:r>
      <w:r w:rsidR="004D1404" w:rsidRPr="00AB1CEE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0"/>
          <w:szCs w:val="20"/>
        </w:rPr>
        <w:t>Mean ± STD</w:t>
      </w:r>
      <w:r w:rsidRPr="00AB1CEE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0"/>
          <w:szCs w:val="20"/>
        </w:rPr>
        <w:t xml:space="preserve"> of the </w:t>
      </w:r>
      <w:r w:rsidR="004D1404" w:rsidRPr="00AB1CEE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0"/>
          <w:szCs w:val="20"/>
        </w:rPr>
        <w:t xml:space="preserve">pdf are </w:t>
      </w:r>
      <w:r w:rsidR="002B5252" w:rsidRPr="00AB1CEE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0"/>
          <w:szCs w:val="20"/>
        </w:rPr>
        <w:t>reported in supplementary table 1</w:t>
      </w:r>
      <w:r w:rsidRPr="00AB1CEE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0"/>
          <w:szCs w:val="20"/>
        </w:rPr>
        <w:t>.</w:t>
      </w:r>
    </w:p>
    <w:p w14:paraId="548C421C" w14:textId="77777777" w:rsidR="00AB1CEE" w:rsidRPr="00AB1CEE" w:rsidRDefault="00AB1CEE" w:rsidP="00AB1CEE">
      <w:pPr>
        <w:rPr>
          <w:rFonts w:asciiTheme="majorBidi" w:hAnsiTheme="majorBidi" w:cstheme="majorBid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4"/>
        <w:gridCol w:w="1426"/>
        <w:gridCol w:w="1426"/>
        <w:gridCol w:w="1426"/>
        <w:gridCol w:w="1426"/>
        <w:gridCol w:w="1426"/>
        <w:gridCol w:w="1426"/>
      </w:tblGrid>
      <w:tr w:rsidR="004F2DBB" w:rsidRPr="00AB1CEE" w14:paraId="445C0EDE" w14:textId="77777777" w:rsidTr="00E974A7">
        <w:tc>
          <w:tcPr>
            <w:tcW w:w="794" w:type="dxa"/>
            <w:vMerge w:val="restart"/>
          </w:tcPr>
          <w:p w14:paraId="1CF7B897" w14:textId="297C1574" w:rsidR="004F2DBB" w:rsidRPr="00AB1CEE" w:rsidRDefault="004F2DBB" w:rsidP="004F2D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1CEE">
              <w:rPr>
                <w:rFonts w:asciiTheme="majorBidi" w:hAnsiTheme="majorBidi" w:cstheme="majorBidi"/>
                <w:sz w:val="20"/>
                <w:szCs w:val="20"/>
              </w:rPr>
              <w:t>Depth</w:t>
            </w:r>
          </w:p>
        </w:tc>
        <w:tc>
          <w:tcPr>
            <w:tcW w:w="4278" w:type="dxa"/>
            <w:gridSpan w:val="3"/>
          </w:tcPr>
          <w:p w14:paraId="735BD7F8" w14:textId="53E913A5" w:rsidR="004F2DBB" w:rsidRPr="00AB1CEE" w:rsidRDefault="004F2DBB" w:rsidP="004F2D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1CEE">
              <w:rPr>
                <w:rFonts w:asciiTheme="majorBidi" w:hAnsiTheme="majorBidi" w:cstheme="majorBidi"/>
                <w:sz w:val="20"/>
                <w:szCs w:val="20"/>
              </w:rPr>
              <w:t>Foreground</w:t>
            </w:r>
          </w:p>
        </w:tc>
        <w:tc>
          <w:tcPr>
            <w:tcW w:w="4278" w:type="dxa"/>
            <w:gridSpan w:val="3"/>
          </w:tcPr>
          <w:p w14:paraId="2BE67D27" w14:textId="63CF79AF" w:rsidR="004F2DBB" w:rsidRPr="00AB1CEE" w:rsidRDefault="004F2DBB" w:rsidP="004F2D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1CEE">
              <w:rPr>
                <w:rFonts w:asciiTheme="majorBidi" w:hAnsiTheme="majorBidi" w:cstheme="majorBidi"/>
                <w:sz w:val="20"/>
                <w:szCs w:val="20"/>
              </w:rPr>
              <w:t>Background</w:t>
            </w:r>
          </w:p>
        </w:tc>
      </w:tr>
      <w:tr w:rsidR="004F2DBB" w:rsidRPr="00AB1CEE" w14:paraId="59AA0595" w14:textId="77777777" w:rsidTr="00E974A7">
        <w:tc>
          <w:tcPr>
            <w:tcW w:w="794" w:type="dxa"/>
            <w:vMerge/>
          </w:tcPr>
          <w:p w14:paraId="1AB3425A" w14:textId="77777777" w:rsidR="004F2DBB" w:rsidRPr="00AB1CEE" w:rsidRDefault="004F2DBB" w:rsidP="004F2D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6A053928" w14:textId="62E2AF50" w:rsidR="004F2DBB" w:rsidRPr="00AB1CEE" w:rsidRDefault="004F2DBB" w:rsidP="004F2D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1CEE">
              <w:rPr>
                <w:rFonts w:asciiTheme="majorBidi" w:hAnsiTheme="majorBidi" w:cstheme="majorBidi"/>
                <w:sz w:val="20"/>
                <w:szCs w:val="20"/>
              </w:rPr>
              <w:t>9fps</w:t>
            </w:r>
          </w:p>
        </w:tc>
        <w:tc>
          <w:tcPr>
            <w:tcW w:w="1426" w:type="dxa"/>
          </w:tcPr>
          <w:p w14:paraId="656E91CA" w14:textId="2D6C6E06" w:rsidR="004F2DBB" w:rsidRPr="00AB1CEE" w:rsidRDefault="004F2DBB" w:rsidP="004F2D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1CEE">
              <w:rPr>
                <w:rFonts w:asciiTheme="majorBidi" w:hAnsiTheme="majorBidi" w:cstheme="majorBidi"/>
                <w:sz w:val="20"/>
                <w:szCs w:val="20"/>
              </w:rPr>
              <w:t>15 fps</w:t>
            </w:r>
          </w:p>
        </w:tc>
        <w:tc>
          <w:tcPr>
            <w:tcW w:w="1426" w:type="dxa"/>
          </w:tcPr>
          <w:p w14:paraId="5DDBDF8D" w14:textId="33C5AD7A" w:rsidR="004F2DBB" w:rsidRPr="00AB1CEE" w:rsidRDefault="004F2DBB" w:rsidP="004F2D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1CEE">
              <w:rPr>
                <w:rFonts w:asciiTheme="majorBidi" w:hAnsiTheme="majorBidi" w:cstheme="majorBidi"/>
                <w:sz w:val="20"/>
                <w:szCs w:val="20"/>
              </w:rPr>
              <w:t>33 fps</w:t>
            </w:r>
          </w:p>
        </w:tc>
        <w:tc>
          <w:tcPr>
            <w:tcW w:w="1426" w:type="dxa"/>
          </w:tcPr>
          <w:p w14:paraId="571C1703" w14:textId="3BED584D" w:rsidR="004F2DBB" w:rsidRPr="00AB1CEE" w:rsidRDefault="004F2DBB" w:rsidP="004F2D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1CEE">
              <w:rPr>
                <w:rFonts w:asciiTheme="majorBidi" w:hAnsiTheme="majorBidi" w:cstheme="majorBidi"/>
                <w:sz w:val="20"/>
                <w:szCs w:val="20"/>
              </w:rPr>
              <w:t>9fps</w:t>
            </w:r>
          </w:p>
        </w:tc>
        <w:tc>
          <w:tcPr>
            <w:tcW w:w="1426" w:type="dxa"/>
          </w:tcPr>
          <w:p w14:paraId="6BABB26B" w14:textId="1B614D21" w:rsidR="004F2DBB" w:rsidRPr="00AB1CEE" w:rsidRDefault="004F2DBB" w:rsidP="004F2D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1CEE">
              <w:rPr>
                <w:rFonts w:asciiTheme="majorBidi" w:hAnsiTheme="majorBidi" w:cstheme="majorBidi"/>
                <w:sz w:val="20"/>
                <w:szCs w:val="20"/>
              </w:rPr>
              <w:t>15 fps</w:t>
            </w:r>
          </w:p>
        </w:tc>
        <w:tc>
          <w:tcPr>
            <w:tcW w:w="1426" w:type="dxa"/>
          </w:tcPr>
          <w:p w14:paraId="34E89507" w14:textId="7ED8A594" w:rsidR="004F2DBB" w:rsidRPr="00AB1CEE" w:rsidRDefault="004F2DBB" w:rsidP="004F2D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1CEE">
              <w:rPr>
                <w:rFonts w:asciiTheme="majorBidi" w:hAnsiTheme="majorBidi" w:cstheme="majorBidi"/>
                <w:sz w:val="20"/>
                <w:szCs w:val="20"/>
              </w:rPr>
              <w:t>33 fps</w:t>
            </w:r>
          </w:p>
        </w:tc>
      </w:tr>
      <w:tr w:rsidR="004F2DBB" w:rsidRPr="00AB1CEE" w14:paraId="4B1D61D7" w14:textId="77777777" w:rsidTr="00E974A7">
        <w:tc>
          <w:tcPr>
            <w:tcW w:w="794" w:type="dxa"/>
          </w:tcPr>
          <w:p w14:paraId="6AA50F60" w14:textId="38D02853" w:rsidR="004F2DBB" w:rsidRPr="00AB1CEE" w:rsidRDefault="004F2DBB" w:rsidP="004F2D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1CEE">
              <w:rPr>
                <w:rFonts w:asciiTheme="majorBidi" w:hAnsiTheme="majorBidi" w:cstheme="majorBidi"/>
                <w:sz w:val="20"/>
                <w:szCs w:val="20"/>
              </w:rPr>
              <w:t>300µm</w:t>
            </w:r>
          </w:p>
        </w:tc>
        <w:tc>
          <w:tcPr>
            <w:tcW w:w="1426" w:type="dxa"/>
          </w:tcPr>
          <w:p w14:paraId="594BC571" w14:textId="2A5E9FD4" w:rsidR="004F2DBB" w:rsidRPr="00AB1CEE" w:rsidRDefault="00EA7990" w:rsidP="004F2D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1CEE">
              <w:rPr>
                <w:rFonts w:asciiTheme="majorBidi" w:hAnsiTheme="majorBidi" w:cstheme="majorBidi"/>
                <w:sz w:val="20"/>
                <w:szCs w:val="20"/>
              </w:rPr>
              <w:t>0.7230±0.0767</w:t>
            </w:r>
          </w:p>
        </w:tc>
        <w:tc>
          <w:tcPr>
            <w:tcW w:w="1426" w:type="dxa"/>
          </w:tcPr>
          <w:p w14:paraId="4AE26BA6" w14:textId="5D61F779" w:rsidR="004F2DBB" w:rsidRPr="00AB1CEE" w:rsidRDefault="00EA7990" w:rsidP="004F2D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1CEE">
              <w:rPr>
                <w:rFonts w:asciiTheme="majorBidi" w:hAnsiTheme="majorBidi" w:cstheme="majorBidi"/>
                <w:sz w:val="20"/>
                <w:szCs w:val="20"/>
              </w:rPr>
              <w:t>0.7767±0.0680</w:t>
            </w:r>
          </w:p>
        </w:tc>
        <w:tc>
          <w:tcPr>
            <w:tcW w:w="1426" w:type="dxa"/>
          </w:tcPr>
          <w:p w14:paraId="6B4892D9" w14:textId="024007C3" w:rsidR="004F2DBB" w:rsidRPr="00AB1CEE" w:rsidRDefault="00EA7990" w:rsidP="004F2D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1CEE">
              <w:rPr>
                <w:rFonts w:asciiTheme="majorBidi" w:hAnsiTheme="majorBidi" w:cstheme="majorBidi"/>
                <w:sz w:val="20"/>
                <w:szCs w:val="20"/>
              </w:rPr>
              <w:t>0.8308±0.0556</w:t>
            </w:r>
          </w:p>
        </w:tc>
        <w:tc>
          <w:tcPr>
            <w:tcW w:w="1426" w:type="dxa"/>
          </w:tcPr>
          <w:p w14:paraId="5A367CFA" w14:textId="764A7EE6" w:rsidR="004F2DBB" w:rsidRPr="00AB1CEE" w:rsidRDefault="00EA7990" w:rsidP="004F2D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1CEE">
              <w:rPr>
                <w:rFonts w:asciiTheme="majorBidi" w:hAnsiTheme="majorBidi" w:cstheme="majorBidi"/>
                <w:sz w:val="20"/>
                <w:szCs w:val="20"/>
              </w:rPr>
              <w:t>0.4318±0.0621</w:t>
            </w:r>
          </w:p>
        </w:tc>
        <w:tc>
          <w:tcPr>
            <w:tcW w:w="1426" w:type="dxa"/>
          </w:tcPr>
          <w:p w14:paraId="77655D41" w14:textId="648FFB85" w:rsidR="004F2DBB" w:rsidRPr="00AB1CEE" w:rsidRDefault="00EA7990" w:rsidP="004F2D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1CEE">
              <w:rPr>
                <w:rFonts w:asciiTheme="majorBidi" w:hAnsiTheme="majorBidi" w:cstheme="majorBidi"/>
                <w:sz w:val="20"/>
                <w:szCs w:val="20"/>
              </w:rPr>
              <w:t>0.4612±0.0575</w:t>
            </w:r>
          </w:p>
        </w:tc>
        <w:tc>
          <w:tcPr>
            <w:tcW w:w="1426" w:type="dxa"/>
          </w:tcPr>
          <w:p w14:paraId="06B79009" w14:textId="5DA141B0" w:rsidR="004F2DBB" w:rsidRPr="00AB1CEE" w:rsidRDefault="00EA7990" w:rsidP="004F2D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1CEE">
              <w:rPr>
                <w:rFonts w:asciiTheme="majorBidi" w:hAnsiTheme="majorBidi" w:cstheme="majorBidi"/>
                <w:sz w:val="20"/>
                <w:szCs w:val="20"/>
              </w:rPr>
              <w:t>0.4941±0.0553</w:t>
            </w:r>
          </w:p>
        </w:tc>
      </w:tr>
      <w:tr w:rsidR="004F2DBB" w:rsidRPr="00AB1CEE" w14:paraId="49D74ACC" w14:textId="77777777" w:rsidTr="00E974A7">
        <w:tc>
          <w:tcPr>
            <w:tcW w:w="794" w:type="dxa"/>
          </w:tcPr>
          <w:p w14:paraId="413F5444" w14:textId="24A7C10F" w:rsidR="004F2DBB" w:rsidRPr="00AB1CEE" w:rsidRDefault="004F2DBB" w:rsidP="004F2D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1CEE">
              <w:rPr>
                <w:rFonts w:asciiTheme="majorBidi" w:hAnsiTheme="majorBidi" w:cstheme="majorBidi"/>
                <w:sz w:val="20"/>
                <w:szCs w:val="20"/>
              </w:rPr>
              <w:t>500µm</w:t>
            </w:r>
          </w:p>
        </w:tc>
        <w:tc>
          <w:tcPr>
            <w:tcW w:w="1426" w:type="dxa"/>
          </w:tcPr>
          <w:p w14:paraId="35908268" w14:textId="69F70BB4" w:rsidR="004F2DBB" w:rsidRPr="00AB1CEE" w:rsidRDefault="00EA7990" w:rsidP="004F2D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1CEE">
              <w:rPr>
                <w:rFonts w:asciiTheme="majorBidi" w:hAnsiTheme="majorBidi" w:cstheme="majorBidi"/>
                <w:sz w:val="20"/>
                <w:szCs w:val="20"/>
              </w:rPr>
              <w:t>0.6758±0.0988</w:t>
            </w:r>
          </w:p>
        </w:tc>
        <w:tc>
          <w:tcPr>
            <w:tcW w:w="1426" w:type="dxa"/>
          </w:tcPr>
          <w:p w14:paraId="03E7911F" w14:textId="2E0FA66F" w:rsidR="004F2DBB" w:rsidRPr="00AB1CEE" w:rsidRDefault="00EA7990" w:rsidP="004F2D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1CEE">
              <w:rPr>
                <w:rFonts w:asciiTheme="majorBidi" w:hAnsiTheme="majorBidi" w:cstheme="majorBidi"/>
                <w:sz w:val="20"/>
                <w:szCs w:val="20"/>
              </w:rPr>
              <w:t>0.6956±0.0802</w:t>
            </w:r>
          </w:p>
        </w:tc>
        <w:tc>
          <w:tcPr>
            <w:tcW w:w="1426" w:type="dxa"/>
          </w:tcPr>
          <w:p w14:paraId="65B714B9" w14:textId="63EF229F" w:rsidR="004F2DBB" w:rsidRPr="00AB1CEE" w:rsidRDefault="00EA7990" w:rsidP="004F2D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1CEE">
              <w:rPr>
                <w:rFonts w:asciiTheme="majorBidi" w:hAnsiTheme="majorBidi" w:cstheme="majorBidi"/>
                <w:sz w:val="20"/>
                <w:szCs w:val="20"/>
              </w:rPr>
              <w:t>0.7572±0.0604</w:t>
            </w:r>
          </w:p>
        </w:tc>
        <w:tc>
          <w:tcPr>
            <w:tcW w:w="1426" w:type="dxa"/>
          </w:tcPr>
          <w:p w14:paraId="3BA2DB78" w14:textId="4DA98675" w:rsidR="004F2DBB" w:rsidRPr="00AB1CEE" w:rsidRDefault="00EA7990" w:rsidP="004F2D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1CEE">
              <w:rPr>
                <w:rFonts w:asciiTheme="majorBidi" w:hAnsiTheme="majorBidi" w:cstheme="majorBidi"/>
                <w:sz w:val="20"/>
                <w:szCs w:val="20"/>
              </w:rPr>
              <w:t>0.4153±0.0765</w:t>
            </w:r>
          </w:p>
        </w:tc>
        <w:tc>
          <w:tcPr>
            <w:tcW w:w="1426" w:type="dxa"/>
          </w:tcPr>
          <w:p w14:paraId="71CA5166" w14:textId="1389D3B6" w:rsidR="004F2DBB" w:rsidRPr="00AB1CEE" w:rsidRDefault="00EA7990" w:rsidP="004F2D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1CEE">
              <w:rPr>
                <w:rFonts w:asciiTheme="majorBidi" w:hAnsiTheme="majorBidi" w:cstheme="majorBidi"/>
                <w:sz w:val="20"/>
                <w:szCs w:val="20"/>
              </w:rPr>
              <w:t>0.4295±0.0675</w:t>
            </w:r>
          </w:p>
        </w:tc>
        <w:tc>
          <w:tcPr>
            <w:tcW w:w="1426" w:type="dxa"/>
          </w:tcPr>
          <w:p w14:paraId="79A1A8D7" w14:textId="70B309D0" w:rsidR="004F2DBB" w:rsidRPr="00AB1CEE" w:rsidRDefault="00EA7990" w:rsidP="004F2D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1CEE">
              <w:rPr>
                <w:rFonts w:asciiTheme="majorBidi" w:hAnsiTheme="majorBidi" w:cstheme="majorBidi"/>
                <w:sz w:val="20"/>
                <w:szCs w:val="20"/>
              </w:rPr>
              <w:t>0.4674±0.0627</w:t>
            </w:r>
          </w:p>
        </w:tc>
      </w:tr>
      <w:tr w:rsidR="004F2DBB" w:rsidRPr="00AB1CEE" w14:paraId="070136BB" w14:textId="77777777" w:rsidTr="00E974A7">
        <w:tc>
          <w:tcPr>
            <w:tcW w:w="794" w:type="dxa"/>
          </w:tcPr>
          <w:p w14:paraId="635D5657" w14:textId="4488B80A" w:rsidR="004F2DBB" w:rsidRPr="00AB1CEE" w:rsidRDefault="004F2DBB" w:rsidP="004F2D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1CEE">
              <w:rPr>
                <w:rFonts w:asciiTheme="majorBidi" w:hAnsiTheme="majorBidi" w:cstheme="majorBidi"/>
                <w:sz w:val="20"/>
                <w:szCs w:val="20"/>
              </w:rPr>
              <w:t>800µm</w:t>
            </w:r>
          </w:p>
        </w:tc>
        <w:tc>
          <w:tcPr>
            <w:tcW w:w="1426" w:type="dxa"/>
          </w:tcPr>
          <w:p w14:paraId="0EC62678" w14:textId="2A2AA7B2" w:rsidR="004F2DBB" w:rsidRPr="00AB1CEE" w:rsidRDefault="00EA7990" w:rsidP="004F2D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1CEE">
              <w:rPr>
                <w:rFonts w:asciiTheme="majorBidi" w:hAnsiTheme="majorBidi" w:cstheme="majorBidi"/>
                <w:sz w:val="20"/>
                <w:szCs w:val="20"/>
              </w:rPr>
              <w:t>0.5215</w:t>
            </w:r>
            <w:r w:rsidR="008B125E" w:rsidRPr="00AB1CEE">
              <w:rPr>
                <w:rFonts w:asciiTheme="majorBidi" w:hAnsiTheme="majorBidi" w:cstheme="majorBidi"/>
                <w:sz w:val="20"/>
                <w:szCs w:val="20"/>
              </w:rPr>
              <w:t>±</w:t>
            </w:r>
            <w:r w:rsidRPr="00AB1CEE">
              <w:rPr>
                <w:rFonts w:asciiTheme="majorBidi" w:hAnsiTheme="majorBidi" w:cstheme="majorBidi"/>
                <w:sz w:val="20"/>
                <w:szCs w:val="20"/>
              </w:rPr>
              <w:t>0.1109</w:t>
            </w:r>
          </w:p>
        </w:tc>
        <w:tc>
          <w:tcPr>
            <w:tcW w:w="1426" w:type="dxa"/>
          </w:tcPr>
          <w:p w14:paraId="62BE7B6B" w14:textId="02E0F053" w:rsidR="004F2DBB" w:rsidRPr="00AB1CEE" w:rsidRDefault="00EA7990" w:rsidP="004F2D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1CEE">
              <w:rPr>
                <w:rFonts w:asciiTheme="majorBidi" w:hAnsiTheme="majorBidi" w:cstheme="majorBidi"/>
                <w:sz w:val="20"/>
                <w:szCs w:val="20"/>
              </w:rPr>
              <w:t>0.6086</w:t>
            </w:r>
            <w:r w:rsidR="008B125E" w:rsidRPr="00AB1CEE">
              <w:rPr>
                <w:rFonts w:asciiTheme="majorBidi" w:hAnsiTheme="majorBidi" w:cstheme="majorBidi"/>
                <w:sz w:val="20"/>
                <w:szCs w:val="20"/>
              </w:rPr>
              <w:t>±0.1060</w:t>
            </w:r>
          </w:p>
        </w:tc>
        <w:tc>
          <w:tcPr>
            <w:tcW w:w="1426" w:type="dxa"/>
          </w:tcPr>
          <w:p w14:paraId="4091B00E" w14:textId="0F42BBD3" w:rsidR="004F2DBB" w:rsidRPr="00AB1CEE" w:rsidRDefault="008B125E" w:rsidP="004F2D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1CEE">
              <w:rPr>
                <w:rFonts w:asciiTheme="majorBidi" w:hAnsiTheme="majorBidi" w:cstheme="majorBidi"/>
                <w:sz w:val="20"/>
                <w:szCs w:val="20"/>
              </w:rPr>
              <w:t>0.6476±0.0845</w:t>
            </w:r>
          </w:p>
        </w:tc>
        <w:tc>
          <w:tcPr>
            <w:tcW w:w="1426" w:type="dxa"/>
          </w:tcPr>
          <w:p w14:paraId="301BF06A" w14:textId="54F5CBBA" w:rsidR="004F2DBB" w:rsidRPr="00AB1CEE" w:rsidRDefault="008B125E" w:rsidP="004F2D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1CEE">
              <w:rPr>
                <w:rFonts w:asciiTheme="majorBidi" w:hAnsiTheme="majorBidi" w:cstheme="majorBidi"/>
                <w:sz w:val="20"/>
                <w:szCs w:val="20"/>
              </w:rPr>
              <w:t>0.3388±0.0751</w:t>
            </w:r>
          </w:p>
        </w:tc>
        <w:tc>
          <w:tcPr>
            <w:tcW w:w="1426" w:type="dxa"/>
          </w:tcPr>
          <w:p w14:paraId="3AE2D87E" w14:textId="240703A1" w:rsidR="004F2DBB" w:rsidRPr="00AB1CEE" w:rsidRDefault="008B125E" w:rsidP="004F2DB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1CEE">
              <w:rPr>
                <w:rFonts w:asciiTheme="majorBidi" w:hAnsiTheme="majorBidi" w:cstheme="majorBidi"/>
                <w:sz w:val="20"/>
                <w:szCs w:val="20"/>
              </w:rPr>
              <w:t>0.3950±0.0737</w:t>
            </w:r>
          </w:p>
        </w:tc>
        <w:tc>
          <w:tcPr>
            <w:tcW w:w="1426" w:type="dxa"/>
          </w:tcPr>
          <w:p w14:paraId="2B982647" w14:textId="259F34BF" w:rsidR="004F2DBB" w:rsidRPr="00AB1CEE" w:rsidRDefault="008B125E" w:rsidP="00AB1CEE">
            <w:pPr>
              <w:keepNext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B1CEE">
              <w:rPr>
                <w:rFonts w:asciiTheme="majorBidi" w:hAnsiTheme="majorBidi" w:cstheme="majorBidi"/>
                <w:sz w:val="20"/>
                <w:szCs w:val="20"/>
              </w:rPr>
              <w:t>0.4186±0.0610</w:t>
            </w:r>
          </w:p>
        </w:tc>
      </w:tr>
    </w:tbl>
    <w:p w14:paraId="554C2505" w14:textId="3057D9A4" w:rsidR="00944158" w:rsidRPr="00AB1CEE" w:rsidRDefault="00AB1CEE" w:rsidP="00AB1CEE">
      <w:pPr>
        <w:pStyle w:val="Caption"/>
        <w:spacing w:before="100"/>
        <w:rPr>
          <w:rFonts w:asciiTheme="majorBidi" w:hAnsiTheme="majorBidi" w:cstheme="majorBidi"/>
          <w:b/>
          <w:bCs/>
          <w:i w:val="0"/>
          <w:iCs w:val="0"/>
          <w:sz w:val="20"/>
          <w:szCs w:val="20"/>
        </w:rPr>
      </w:pPr>
      <w:r w:rsidRPr="00AB1CEE"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t xml:space="preserve">Table </w:t>
      </w:r>
      <w:r w:rsidRPr="00AB1CEE"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AB1CEE"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instrText xml:space="preserve"> SEQ Table \* ARABIC </w:instrText>
      </w:r>
      <w:r w:rsidRPr="00AB1CEE"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fldChar w:fldCharType="separate"/>
      </w:r>
      <w:r>
        <w:rPr>
          <w:rFonts w:asciiTheme="majorBidi" w:hAnsiTheme="majorBidi" w:cstheme="majorBidi"/>
          <w:b/>
          <w:bCs/>
          <w:i w:val="0"/>
          <w:iCs w:val="0"/>
          <w:noProof/>
          <w:color w:val="auto"/>
          <w:sz w:val="20"/>
          <w:szCs w:val="20"/>
        </w:rPr>
        <w:t>1</w:t>
      </w:r>
      <w:r w:rsidRPr="00AB1CEE"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AB1CEE"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t>. Means and STDs of the probability density functions calculated from the Supplementary Fig. 1.</w:t>
      </w:r>
    </w:p>
    <w:sectPr w:rsidR="00944158" w:rsidRPr="00AB1C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QxMTQzMDY2MDQzNjFT0lEKTi0uzszPAykwrgUA+0+P2iwAAAA="/>
  </w:docVars>
  <w:rsids>
    <w:rsidRoot w:val="00944158"/>
    <w:rsid w:val="00032933"/>
    <w:rsid w:val="001D09DF"/>
    <w:rsid w:val="00220FA2"/>
    <w:rsid w:val="002B5252"/>
    <w:rsid w:val="00363A78"/>
    <w:rsid w:val="003E0BC4"/>
    <w:rsid w:val="004A5D86"/>
    <w:rsid w:val="004D1404"/>
    <w:rsid w:val="004F2DBB"/>
    <w:rsid w:val="005265BF"/>
    <w:rsid w:val="00577923"/>
    <w:rsid w:val="005B4951"/>
    <w:rsid w:val="00894465"/>
    <w:rsid w:val="008B125E"/>
    <w:rsid w:val="00944158"/>
    <w:rsid w:val="00951352"/>
    <w:rsid w:val="009D3C1B"/>
    <w:rsid w:val="00A81A54"/>
    <w:rsid w:val="00AB1CEE"/>
    <w:rsid w:val="00AB42E3"/>
    <w:rsid w:val="00AF3EC4"/>
    <w:rsid w:val="00BE0926"/>
    <w:rsid w:val="00D7012D"/>
    <w:rsid w:val="00DE34BF"/>
    <w:rsid w:val="00DF31C0"/>
    <w:rsid w:val="00E50B21"/>
    <w:rsid w:val="00E974A7"/>
    <w:rsid w:val="00EA7990"/>
    <w:rsid w:val="00FB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8F315"/>
  <w15:chartTrackingRefBased/>
  <w15:docId w15:val="{DEB41008-6698-41B7-8212-1FBFB2E2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94415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44158"/>
    <w:rPr>
      <w:color w:val="808080"/>
    </w:rPr>
  </w:style>
  <w:style w:type="table" w:styleId="TableGrid">
    <w:name w:val="Table Grid"/>
    <w:basedOn w:val="TableNormal"/>
    <w:uiPriority w:val="39"/>
    <w:rsid w:val="0022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70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1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1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Damber Thapa</dc:creator>
  <cp:keywords/>
  <dc:description/>
  <cp:lastModifiedBy>Nima</cp:lastModifiedBy>
  <cp:revision>26</cp:revision>
  <dcterms:created xsi:type="dcterms:W3CDTF">2020-03-23T12:53:00Z</dcterms:created>
  <dcterms:modified xsi:type="dcterms:W3CDTF">2020-04-03T13:42:00Z</dcterms:modified>
</cp:coreProperties>
</file>