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6CE03" w14:textId="77777777" w:rsidR="009C7D2C" w:rsidRDefault="009C7D2C" w:rsidP="009C7D2C">
      <w:pPr>
        <w:spacing w:line="480" w:lineRule="auto"/>
        <w:rPr>
          <w:b/>
        </w:rPr>
      </w:pPr>
      <w:r w:rsidRPr="0033547B">
        <w:rPr>
          <w:b/>
        </w:rPr>
        <w:t xml:space="preserve">Modification of </w:t>
      </w:r>
      <w:r>
        <w:rPr>
          <w:b/>
        </w:rPr>
        <w:t xml:space="preserve">an </w:t>
      </w:r>
      <w:r w:rsidRPr="00215F04">
        <w:rPr>
          <w:b/>
          <w:i/>
        </w:rPr>
        <w:t>Anopheles gambiae</w:t>
      </w:r>
      <w:r w:rsidRPr="0033547B">
        <w:rPr>
          <w:b/>
        </w:rPr>
        <w:t xml:space="preserve"> </w:t>
      </w:r>
      <w:r>
        <w:rPr>
          <w:b/>
        </w:rPr>
        <w:t xml:space="preserve">odorant binding protein </w:t>
      </w:r>
      <w:r w:rsidRPr="0033547B">
        <w:rPr>
          <w:b/>
        </w:rPr>
        <w:t>to create an array of chemical sensors for detection of drugs</w:t>
      </w:r>
    </w:p>
    <w:p w14:paraId="23AA1BAA" w14:textId="77777777" w:rsidR="009C7D2C" w:rsidRPr="00D63094" w:rsidRDefault="009C7D2C" w:rsidP="009C7D2C">
      <w:pPr>
        <w:spacing w:line="480" w:lineRule="auto"/>
        <w:rPr>
          <w:b/>
          <w:vertAlign w:val="superscript"/>
        </w:rPr>
      </w:pPr>
      <w:r>
        <w:rPr>
          <w:b/>
        </w:rPr>
        <w:t>Khasim Cali, Krishna C. Persaud</w:t>
      </w:r>
      <w:r>
        <w:rPr>
          <w:b/>
          <w:vertAlign w:val="superscript"/>
        </w:rPr>
        <w:t>*</w:t>
      </w:r>
    </w:p>
    <w:p w14:paraId="4FF402AD" w14:textId="77777777" w:rsidR="009C7D2C" w:rsidRDefault="009C7D2C" w:rsidP="009C7D2C">
      <w:pPr>
        <w:spacing w:line="480" w:lineRule="auto"/>
        <w:rPr>
          <w:b/>
        </w:rPr>
      </w:pPr>
      <w:r>
        <w:rPr>
          <w:b/>
        </w:rPr>
        <w:t>Department of Chemical Engineering and Analytical Science, The University of Manchester, Manchester M13 9PL, UK</w:t>
      </w:r>
    </w:p>
    <w:p w14:paraId="5F179058" w14:textId="3777F567" w:rsidR="009C7D2C" w:rsidRDefault="009C7D2C" w:rsidP="009C7D2C">
      <w:pPr>
        <w:spacing w:line="480" w:lineRule="auto"/>
        <w:rPr>
          <w:b/>
        </w:rPr>
      </w:pPr>
      <w:r w:rsidRPr="00C7361B">
        <w:rPr>
          <w:b/>
        </w:rPr>
        <w:t xml:space="preserve">*Correspondence to </w:t>
      </w:r>
      <w:hyperlink r:id="rId7" w:history="1">
        <w:r w:rsidR="00C22090" w:rsidRPr="00E54017">
          <w:rPr>
            <w:rStyle w:val="Hyperlink"/>
            <w:b/>
          </w:rPr>
          <w:t>krishna.persaud@manchester.ac.uk</w:t>
        </w:r>
      </w:hyperlink>
    </w:p>
    <w:p w14:paraId="397225CD" w14:textId="067230B7" w:rsidR="00C22090" w:rsidRDefault="00C22090" w:rsidP="009C7D2C">
      <w:pPr>
        <w:spacing w:line="480" w:lineRule="auto"/>
        <w:rPr>
          <w:b/>
        </w:rPr>
      </w:pPr>
    </w:p>
    <w:p w14:paraId="65C394AD" w14:textId="0E2D302A" w:rsidR="00C22090" w:rsidRDefault="00C22090" w:rsidP="009C7D2C">
      <w:pPr>
        <w:spacing w:line="480" w:lineRule="auto"/>
        <w:rPr>
          <w:b/>
        </w:rPr>
      </w:pPr>
    </w:p>
    <w:p w14:paraId="769D6909" w14:textId="12519FD6" w:rsidR="00C22090" w:rsidRDefault="00C22090" w:rsidP="009C7D2C">
      <w:pPr>
        <w:spacing w:line="480" w:lineRule="auto"/>
        <w:rPr>
          <w:b/>
        </w:rPr>
      </w:pPr>
      <w:r>
        <w:rPr>
          <w:b/>
        </w:rPr>
        <w:t>Supplementary Information</w:t>
      </w:r>
      <w:bookmarkStart w:id="0" w:name="_GoBack"/>
      <w:bookmarkEnd w:id="0"/>
    </w:p>
    <w:p w14:paraId="23F11FFB" w14:textId="77777777" w:rsidR="009C7D2C" w:rsidRDefault="009C7D2C">
      <w:pPr>
        <w:rPr>
          <w:rFonts w:eastAsia="Calibri" w:cs="Times New Roman"/>
          <w:b/>
        </w:rPr>
      </w:pPr>
      <w:r>
        <w:rPr>
          <w:rFonts w:eastAsia="Calibri" w:cs="Times New Roman"/>
          <w:b/>
        </w:rPr>
        <w:br w:type="page"/>
      </w:r>
    </w:p>
    <w:p w14:paraId="5A1FC1A4" w14:textId="52ABCD55" w:rsidR="00F86734" w:rsidRDefault="005B06DD" w:rsidP="00F86734">
      <w:pPr>
        <w:spacing w:before="60" w:after="60" w:line="240" w:lineRule="auto"/>
        <w:jc w:val="both"/>
        <w:rPr>
          <w:rFonts w:eastAsia="Calibri" w:cs="Times New Roman"/>
          <w:b/>
        </w:rPr>
      </w:pPr>
      <w:r>
        <w:rPr>
          <w:rFonts w:eastAsia="Calibri" w:cs="Times New Roman"/>
          <w:b/>
        </w:rPr>
        <w:lastRenderedPageBreak/>
        <w:t>Supplemen</w:t>
      </w:r>
      <w:r w:rsidR="003808F0">
        <w:rPr>
          <w:rFonts w:eastAsia="Calibri" w:cs="Times New Roman"/>
          <w:b/>
        </w:rPr>
        <w:t xml:space="preserve">tary </w:t>
      </w:r>
      <w:r w:rsidR="0009345F">
        <w:rPr>
          <w:rFonts w:eastAsia="Calibri" w:cs="Times New Roman"/>
          <w:b/>
        </w:rPr>
        <w:t xml:space="preserve">Material </w:t>
      </w:r>
    </w:p>
    <w:p w14:paraId="03ADF4FD" w14:textId="77777777" w:rsidR="003808F0" w:rsidRPr="00A55DFF" w:rsidRDefault="003808F0" w:rsidP="00F86734">
      <w:pPr>
        <w:spacing w:before="60" w:after="60" w:line="240" w:lineRule="auto"/>
        <w:jc w:val="both"/>
        <w:rPr>
          <w:rFonts w:eastAsia="Calibri" w:cs="Times New Roman"/>
          <w:b/>
        </w:rPr>
      </w:pPr>
    </w:p>
    <w:p w14:paraId="574106D2" w14:textId="77777777" w:rsidR="00F86734" w:rsidRPr="00862643" w:rsidRDefault="00F86734" w:rsidP="00F86734">
      <w:r w:rsidRPr="00862643">
        <w:t xml:space="preserve">                </w:t>
      </w:r>
      <w:r w:rsidRPr="00862643">
        <w:rPr>
          <w:noProof/>
          <w:lang w:eastAsia="en-GB"/>
        </w:rPr>
        <w:drawing>
          <wp:inline distT="0" distB="0" distL="0" distR="0" wp14:anchorId="1976A0B9" wp14:editId="7BEE337C">
            <wp:extent cx="4651673" cy="199534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6629" cy="1997469"/>
                    </a:xfrm>
                    <a:prstGeom prst="rect">
                      <a:avLst/>
                    </a:prstGeom>
                    <a:noFill/>
                  </pic:spPr>
                </pic:pic>
              </a:graphicData>
            </a:graphic>
          </wp:inline>
        </w:drawing>
      </w:r>
    </w:p>
    <w:p w14:paraId="5B55B675" w14:textId="6B20160C" w:rsidR="00EC06C1" w:rsidRDefault="00F86734" w:rsidP="00EC06C1">
      <w:r w:rsidRPr="00862643">
        <w:rPr>
          <w:b/>
        </w:rPr>
        <w:t xml:space="preserve">Suppl. Material Figure </w:t>
      </w:r>
      <w:r w:rsidR="00083110">
        <w:rPr>
          <w:b/>
        </w:rPr>
        <w:t>S</w:t>
      </w:r>
      <w:r w:rsidRPr="00862643">
        <w:rPr>
          <w:b/>
        </w:rPr>
        <w:t>1:</w:t>
      </w:r>
      <w:r w:rsidRPr="00862643">
        <w:t xml:space="preserve"> The X-ray structure of AgamOBP1 (PDB ID: 2ERB). (a) is a cartoon representation Helix and Loop; (b) is a line representation of the molecule complexed w</w:t>
      </w:r>
      <w:r w:rsidR="00EC06C1">
        <w:t xml:space="preserve">ith polyethylene glycol (PEG). </w:t>
      </w:r>
      <w:r w:rsidR="00141D07">
        <w:t xml:space="preserve"> </w:t>
      </w:r>
    </w:p>
    <w:p w14:paraId="11F013C2" w14:textId="77777777" w:rsidR="00FA6A73" w:rsidRDefault="00FA6A73" w:rsidP="00EC06C1"/>
    <w:p w14:paraId="4232C4A1" w14:textId="77777777" w:rsidR="00FA6A73" w:rsidRDefault="00FA6A73" w:rsidP="00EC06C1"/>
    <w:p w14:paraId="30AE3572" w14:textId="77777777" w:rsidR="00FA6A73" w:rsidRDefault="00FA6A73" w:rsidP="00EC06C1"/>
    <w:p w14:paraId="264531E7" w14:textId="77777777" w:rsidR="00FA6A73" w:rsidRDefault="00FA6A73" w:rsidP="00EC06C1"/>
    <w:p w14:paraId="293636DE" w14:textId="77777777" w:rsidR="00FA6A73" w:rsidRDefault="00FA6A73" w:rsidP="00EC06C1"/>
    <w:p w14:paraId="1FE3B8E5" w14:textId="77777777" w:rsidR="00FA6A73" w:rsidRDefault="00FA6A73" w:rsidP="00EC06C1"/>
    <w:p w14:paraId="7E38DF49" w14:textId="77777777" w:rsidR="00FA6A73" w:rsidRDefault="00FA6A73" w:rsidP="00EC06C1"/>
    <w:p w14:paraId="66DAF944" w14:textId="77777777" w:rsidR="00FA6A73" w:rsidRDefault="00FA6A73" w:rsidP="00EC06C1"/>
    <w:p w14:paraId="79998861" w14:textId="77777777" w:rsidR="00FA6A73" w:rsidRDefault="00FA6A73" w:rsidP="00EC06C1"/>
    <w:p w14:paraId="1211F9E9" w14:textId="77777777" w:rsidR="00FA6A73" w:rsidRDefault="00FA6A73" w:rsidP="00EC06C1"/>
    <w:p w14:paraId="5DC5A393" w14:textId="77777777" w:rsidR="00FA6A73" w:rsidRDefault="00FA6A73" w:rsidP="00EC06C1"/>
    <w:p w14:paraId="47983C71" w14:textId="0A71C42B" w:rsidR="00FA6A73" w:rsidRDefault="00FA6A73" w:rsidP="00EC06C1">
      <w:r>
        <w:rPr>
          <w:noProof/>
          <w:lang w:eastAsia="en-GB"/>
        </w:rPr>
        <w:lastRenderedPageBreak/>
        <w:drawing>
          <wp:inline distT="0" distB="0" distL="0" distR="0" wp14:anchorId="781D072B" wp14:editId="4A3B18A4">
            <wp:extent cx="2648310" cy="239823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682" cy="2402196"/>
                    </a:xfrm>
                    <a:prstGeom prst="rect">
                      <a:avLst/>
                    </a:prstGeom>
                    <a:noFill/>
                  </pic:spPr>
                </pic:pic>
              </a:graphicData>
            </a:graphic>
          </wp:inline>
        </w:drawing>
      </w:r>
      <w:r>
        <w:t xml:space="preserve">  </w:t>
      </w:r>
      <w:r>
        <w:rPr>
          <w:noProof/>
          <w:lang w:eastAsia="en-GB"/>
        </w:rPr>
        <w:drawing>
          <wp:inline distT="0" distB="0" distL="0" distR="0" wp14:anchorId="75F9A1B8" wp14:editId="103A1239">
            <wp:extent cx="2645956" cy="2035277"/>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8861" cy="2037512"/>
                    </a:xfrm>
                    <a:prstGeom prst="rect">
                      <a:avLst/>
                    </a:prstGeom>
                    <a:noFill/>
                  </pic:spPr>
                </pic:pic>
              </a:graphicData>
            </a:graphic>
          </wp:inline>
        </w:drawing>
      </w:r>
    </w:p>
    <w:p w14:paraId="36538681" w14:textId="7AB2C5C8" w:rsidR="00FA6A73" w:rsidRDefault="00FA6A73" w:rsidP="00EC06C1">
      <w:r>
        <w:t xml:space="preserve">                      </w:t>
      </w:r>
      <w:r w:rsidR="008C203D">
        <w:t xml:space="preserve">      </w:t>
      </w:r>
      <w:r>
        <w:t xml:space="preserve"> </w:t>
      </w:r>
      <w:r>
        <w:rPr>
          <w:noProof/>
          <w:lang w:eastAsia="en-GB"/>
        </w:rPr>
        <w:drawing>
          <wp:inline distT="0" distB="0" distL="0" distR="0" wp14:anchorId="38200F7C" wp14:editId="68EAFFD1">
            <wp:extent cx="3311658" cy="240502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2513" cy="2405643"/>
                    </a:xfrm>
                    <a:prstGeom prst="rect">
                      <a:avLst/>
                    </a:prstGeom>
                    <a:noFill/>
                  </pic:spPr>
                </pic:pic>
              </a:graphicData>
            </a:graphic>
          </wp:inline>
        </w:drawing>
      </w:r>
    </w:p>
    <w:p w14:paraId="79958F43" w14:textId="48FAAE04" w:rsidR="00FF6D7E" w:rsidRDefault="00141D07" w:rsidP="00EC06C1">
      <w:pPr>
        <w:rPr>
          <w:b/>
        </w:rPr>
      </w:pPr>
      <w:r w:rsidRPr="00141D07">
        <w:rPr>
          <w:b/>
        </w:rPr>
        <w:t xml:space="preserve">Suppl. Material Figure </w:t>
      </w:r>
      <w:r w:rsidR="00083110">
        <w:rPr>
          <w:b/>
        </w:rPr>
        <w:t>S</w:t>
      </w:r>
      <w:r w:rsidR="00FA6A73">
        <w:rPr>
          <w:b/>
        </w:rPr>
        <w:t>2</w:t>
      </w:r>
      <w:r>
        <w:rPr>
          <w:b/>
        </w:rPr>
        <w:t xml:space="preserve">: </w:t>
      </w:r>
      <w:r w:rsidR="00FA6A73">
        <w:rPr>
          <w:b/>
        </w:rPr>
        <w:t>Agam</w:t>
      </w:r>
      <w:r w:rsidR="0076159C">
        <w:rPr>
          <w:b/>
        </w:rPr>
        <w:t>OBP1 active site residues that i</w:t>
      </w:r>
      <w:r w:rsidR="00FA6A73">
        <w:rPr>
          <w:b/>
        </w:rPr>
        <w:t xml:space="preserve">nteract </w:t>
      </w:r>
      <w:r w:rsidR="008C203D" w:rsidRPr="00FA6A73">
        <w:rPr>
          <w:b/>
        </w:rPr>
        <w:t xml:space="preserve">with </w:t>
      </w:r>
      <w:r w:rsidR="00E0446D" w:rsidRPr="00E0446D">
        <w:rPr>
          <w:b/>
        </w:rPr>
        <w:t>polyethylene glycol</w:t>
      </w:r>
      <w:r w:rsidR="00E0446D">
        <w:rPr>
          <w:b/>
        </w:rPr>
        <w:t xml:space="preserve"> (</w:t>
      </w:r>
      <w:r w:rsidR="008C203D" w:rsidRPr="00FA6A73">
        <w:rPr>
          <w:b/>
        </w:rPr>
        <w:t>PEG</w:t>
      </w:r>
      <w:r w:rsidR="00E0446D">
        <w:rPr>
          <w:b/>
        </w:rPr>
        <w:t>)</w:t>
      </w:r>
      <w:r w:rsidR="00E0446D" w:rsidRPr="00FA6A73">
        <w:rPr>
          <w:b/>
        </w:rPr>
        <w:t xml:space="preserve">, </w:t>
      </w:r>
      <w:r w:rsidR="00E0446D">
        <w:rPr>
          <w:b/>
        </w:rPr>
        <w:t>N, N</w:t>
      </w:r>
      <w:r w:rsidR="00E0446D" w:rsidRPr="00E0446D">
        <w:rPr>
          <w:b/>
        </w:rPr>
        <w:t>-diethyl-3-methylbenzamide</w:t>
      </w:r>
      <w:r w:rsidR="00E0446D">
        <w:rPr>
          <w:b/>
        </w:rPr>
        <w:t xml:space="preserve"> (</w:t>
      </w:r>
      <w:r w:rsidRPr="00FA6A73">
        <w:rPr>
          <w:b/>
        </w:rPr>
        <w:t>DEET</w:t>
      </w:r>
      <w:r w:rsidR="00E0446D">
        <w:rPr>
          <w:b/>
        </w:rPr>
        <w:t>)</w:t>
      </w:r>
      <w:r w:rsidRPr="00FA6A73">
        <w:rPr>
          <w:b/>
        </w:rPr>
        <w:t xml:space="preserve">, Icaridin, and </w:t>
      </w:r>
      <w:r w:rsidR="00E0446D" w:rsidRPr="00E0446D">
        <w:rPr>
          <w:b/>
        </w:rPr>
        <w:t>6-methyl-5-heptene-2-one</w:t>
      </w:r>
      <w:r w:rsidR="00E0446D">
        <w:rPr>
          <w:b/>
        </w:rPr>
        <w:t xml:space="preserve"> (</w:t>
      </w:r>
      <w:r w:rsidRPr="00FA6A73">
        <w:rPr>
          <w:b/>
        </w:rPr>
        <w:t>6-MH</w:t>
      </w:r>
      <w:r w:rsidR="00E0446D">
        <w:rPr>
          <w:b/>
        </w:rPr>
        <w:t>)</w:t>
      </w:r>
      <w:r w:rsidRPr="00FA6A73">
        <w:rPr>
          <w:b/>
        </w:rPr>
        <w:t>.</w:t>
      </w:r>
    </w:p>
    <w:p w14:paraId="21F2DDFA" w14:textId="5A408E07" w:rsidR="00B45162" w:rsidRDefault="00141D07" w:rsidP="00EC06C1">
      <w:pPr>
        <w:rPr>
          <w:rFonts w:eastAsia="Geneva" w:cs="Times New Roman"/>
          <w:color w:val="000000" w:themeColor="text1"/>
          <w:kern w:val="24"/>
          <w:lang w:eastAsia="en-GB"/>
        </w:rPr>
      </w:pPr>
      <w:r w:rsidRPr="00FA6A73">
        <w:rPr>
          <w:b/>
        </w:rPr>
        <w:t xml:space="preserve"> </w:t>
      </w:r>
      <w:r w:rsidR="00E0446D">
        <w:rPr>
          <w:b/>
        </w:rPr>
        <w:t xml:space="preserve">(a) </w:t>
      </w:r>
      <w:r w:rsidR="00E0446D" w:rsidRPr="00E0446D">
        <w:t>the active site of AgamOBP1, w</w:t>
      </w:r>
      <w:r w:rsidR="00C2376E">
        <w:t>here all residues that interact</w:t>
      </w:r>
      <w:r w:rsidR="00E0446D" w:rsidRPr="00E0446D">
        <w:t xml:space="preserve"> with PEG, DEET, Icaridin, and 6-MH) are labelled</w:t>
      </w:r>
      <w:r w:rsidR="00E0446D">
        <w:rPr>
          <w:b/>
        </w:rPr>
        <w:t xml:space="preserve">.  </w:t>
      </w:r>
      <w:r w:rsidR="005666F6">
        <w:t xml:space="preserve">The </w:t>
      </w:r>
      <w:r w:rsidR="00212FF4">
        <w:t>interact</w:t>
      </w:r>
      <w:r w:rsidR="00ED7144">
        <w:t>ing</w:t>
      </w:r>
      <w:r w:rsidR="00212FF4">
        <w:t xml:space="preserve"> residues in AgamOBP1_PEG complex structure </w:t>
      </w:r>
      <w:r w:rsidR="005666F6">
        <w:t>(</w:t>
      </w:r>
      <w:r w:rsidR="002C72B0">
        <w:t>P</w:t>
      </w:r>
      <w:r w:rsidR="00212FF4">
        <w:t>D</w:t>
      </w:r>
      <w:r w:rsidR="002C72B0">
        <w:t>B ID</w:t>
      </w:r>
      <w:r w:rsidR="00212FF4">
        <w:t>: 2ERB)</w:t>
      </w:r>
      <w:r w:rsidR="005666F6">
        <w:t xml:space="preserve"> </w:t>
      </w:r>
      <w:r w:rsidR="00212FF4">
        <w:t xml:space="preserve">are </w:t>
      </w:r>
      <w:r w:rsidR="009E62E0" w:rsidRPr="009E62E0">
        <w:t>Y10</w:t>
      </w:r>
      <w:r w:rsidR="009E62E0">
        <w:t xml:space="preserve">, </w:t>
      </w:r>
      <w:r w:rsidR="009E62E0" w:rsidRPr="009E62E0">
        <w:t>G14</w:t>
      </w:r>
      <w:r w:rsidR="009E62E0">
        <w:t xml:space="preserve">, L15,A18, L19, </w:t>
      </w:r>
      <w:r w:rsidR="009E62E0" w:rsidRPr="009E62E0">
        <w:t>L22</w:t>
      </w:r>
      <w:r w:rsidR="005666F6">
        <w:t>,</w:t>
      </w:r>
      <w:r w:rsidR="009E62E0">
        <w:t xml:space="preserve">L58, F59, A62, V64, </w:t>
      </w:r>
      <w:r w:rsidR="009E62E0" w:rsidRPr="009E62E0">
        <w:t>L73</w:t>
      </w:r>
      <w:r w:rsidR="005666F6">
        <w:t>,</w:t>
      </w:r>
      <w:r w:rsidR="009E62E0">
        <w:t xml:space="preserve">L76, H77, D78, S79, </w:t>
      </w:r>
      <w:r w:rsidR="009E62E0" w:rsidRPr="009E62E0">
        <w:t>L80</w:t>
      </w:r>
      <w:r w:rsidR="009E62E0">
        <w:t xml:space="preserve">, </w:t>
      </w:r>
      <w:r w:rsidR="009E62E0" w:rsidRPr="009E62E0">
        <w:t>P81</w:t>
      </w:r>
      <w:r w:rsidR="009E62E0">
        <w:t xml:space="preserve">, S82, </w:t>
      </w:r>
      <w:r w:rsidR="009E62E0" w:rsidRPr="009E62E0">
        <w:t>M84</w:t>
      </w:r>
      <w:r w:rsidR="009E62E0">
        <w:t xml:space="preserve">,A88, M89, M91, </w:t>
      </w:r>
      <w:r w:rsidR="009E62E0" w:rsidRPr="009E62E0">
        <w:t>G92</w:t>
      </w:r>
      <w:r w:rsidR="009E62E0">
        <w:t xml:space="preserve">,K93, L96, </w:t>
      </w:r>
      <w:r w:rsidR="009E62E0" w:rsidRPr="009E62E0">
        <w:t>H111</w:t>
      </w:r>
      <w:r w:rsidR="009E62E0">
        <w:t>,</w:t>
      </w:r>
      <w:r w:rsidR="0076159C">
        <w:t xml:space="preserve"> </w:t>
      </w:r>
      <w:r w:rsidR="009E62E0" w:rsidRPr="009E62E0">
        <w:t>W114</w:t>
      </w:r>
      <w:r w:rsidR="009E62E0">
        <w:t>,</w:t>
      </w:r>
      <w:r w:rsidR="0076159C">
        <w:t xml:space="preserve"> </w:t>
      </w:r>
      <w:r w:rsidR="009E62E0" w:rsidRPr="009E62E0">
        <w:t>H121</w:t>
      </w:r>
      <w:r w:rsidR="009E62E0">
        <w:t>,</w:t>
      </w:r>
      <w:r w:rsidR="0076159C">
        <w:t xml:space="preserve"> </w:t>
      </w:r>
      <w:r w:rsidR="009E62E0" w:rsidRPr="009E62E0">
        <w:t>Y122</w:t>
      </w:r>
      <w:r w:rsidR="009E62E0">
        <w:t>,</w:t>
      </w:r>
      <w:r w:rsidR="0076159C">
        <w:t xml:space="preserve"> </w:t>
      </w:r>
      <w:r w:rsidR="009E62E0" w:rsidRPr="009E62E0">
        <w:t>F123</w:t>
      </w:r>
      <w:r w:rsidR="009E62E0">
        <w:t>,</w:t>
      </w:r>
      <w:r w:rsidR="0076159C">
        <w:t xml:space="preserve"> </w:t>
      </w:r>
      <w:r w:rsidR="009E62E0" w:rsidRPr="009E62E0">
        <w:t>L124</w:t>
      </w:r>
      <w:r w:rsidR="009E62E0">
        <w:t>,</w:t>
      </w:r>
      <w:r w:rsidR="005666F6">
        <w:t xml:space="preserve"> and </w:t>
      </w:r>
      <w:r w:rsidR="009E62E0" w:rsidRPr="009E62E0">
        <w:t>V125</w:t>
      </w:r>
      <w:r w:rsidR="009E62E0">
        <w:t xml:space="preserve">.  In AgamOBP1_DEET complex </w:t>
      </w:r>
      <w:r w:rsidR="005666F6">
        <w:t>structure (</w:t>
      </w:r>
      <w:r w:rsidR="002C72B0">
        <w:t xml:space="preserve">PDB ID: </w:t>
      </w:r>
      <w:r w:rsidR="0076159C">
        <w:t>3N7H)</w:t>
      </w:r>
      <w:r w:rsidR="005666F6">
        <w:t xml:space="preserve"> the interacti</w:t>
      </w:r>
      <w:r w:rsidR="00ED7144">
        <w:t>ng</w:t>
      </w:r>
      <w:r w:rsidR="005666F6">
        <w:t xml:space="preserve"> residues are </w:t>
      </w:r>
      <w:r w:rsidR="005666F6" w:rsidRPr="005666F6">
        <w:t>L15</w:t>
      </w:r>
      <w:r w:rsidR="005666F6">
        <w:t xml:space="preserve">, </w:t>
      </w:r>
      <w:r w:rsidR="005666F6" w:rsidRPr="005666F6">
        <w:t>A18</w:t>
      </w:r>
      <w:r w:rsidR="005666F6">
        <w:t xml:space="preserve">, </w:t>
      </w:r>
      <w:r w:rsidR="005666F6" w:rsidRPr="005666F6">
        <w:t>L19</w:t>
      </w:r>
      <w:r w:rsidR="005666F6">
        <w:t xml:space="preserve">, </w:t>
      </w:r>
      <w:r w:rsidR="005666F6" w:rsidRPr="005666F6">
        <w:t>L22</w:t>
      </w:r>
      <w:r w:rsidR="005666F6">
        <w:t>,</w:t>
      </w:r>
      <w:r w:rsidR="005666F6" w:rsidRPr="005666F6">
        <w:t>A62</w:t>
      </w:r>
      <w:r w:rsidR="005666F6">
        <w:t>,</w:t>
      </w:r>
      <w:r w:rsidR="005666F6" w:rsidRPr="005666F6">
        <w:t>K63</w:t>
      </w:r>
      <w:r w:rsidR="005666F6">
        <w:t>,</w:t>
      </w:r>
      <w:r w:rsidR="005666F6" w:rsidRPr="005666F6">
        <w:t>L73</w:t>
      </w:r>
      <w:r w:rsidR="005666F6">
        <w:t>,</w:t>
      </w:r>
      <w:r w:rsidR="005666F6" w:rsidRPr="005666F6">
        <w:t>L76</w:t>
      </w:r>
      <w:r w:rsidR="005666F6">
        <w:t xml:space="preserve">, </w:t>
      </w:r>
      <w:r w:rsidR="005666F6" w:rsidRPr="005666F6">
        <w:t>H77</w:t>
      </w:r>
      <w:r w:rsidR="005666F6">
        <w:t xml:space="preserve">, </w:t>
      </w:r>
      <w:r w:rsidR="005666F6" w:rsidRPr="005666F6">
        <w:t>L80</w:t>
      </w:r>
      <w:r w:rsidR="005666F6">
        <w:t>,</w:t>
      </w:r>
      <w:r w:rsidR="005666F6" w:rsidRPr="005666F6">
        <w:t>A88</w:t>
      </w:r>
      <w:r w:rsidR="005666F6">
        <w:t>,</w:t>
      </w:r>
      <w:r w:rsidR="005666F6" w:rsidRPr="005666F6">
        <w:t>M89</w:t>
      </w:r>
      <w:r w:rsidR="005666F6">
        <w:t>,</w:t>
      </w:r>
      <w:r w:rsidR="005666F6" w:rsidRPr="005666F6">
        <w:t>M91</w:t>
      </w:r>
      <w:r w:rsidR="005666F6">
        <w:t>,</w:t>
      </w:r>
      <w:r w:rsidR="005666F6" w:rsidRPr="005666F6">
        <w:t>G92</w:t>
      </w:r>
      <w:r w:rsidR="005666F6">
        <w:t xml:space="preserve">, </w:t>
      </w:r>
      <w:r w:rsidR="005666F6" w:rsidRPr="005666F6">
        <w:t>K93</w:t>
      </w:r>
      <w:r w:rsidR="005666F6">
        <w:t xml:space="preserve">, </w:t>
      </w:r>
      <w:r w:rsidR="005666F6" w:rsidRPr="005666F6">
        <w:t>R94</w:t>
      </w:r>
      <w:r w:rsidR="005666F6">
        <w:t xml:space="preserve">, </w:t>
      </w:r>
      <w:r w:rsidR="005666F6" w:rsidRPr="005666F6">
        <w:t>L96</w:t>
      </w:r>
      <w:r w:rsidR="005666F6">
        <w:t xml:space="preserve">, </w:t>
      </w:r>
      <w:r w:rsidR="005666F6" w:rsidRPr="005666F6">
        <w:t>H111</w:t>
      </w:r>
      <w:r w:rsidR="005666F6">
        <w:t xml:space="preserve">,W114, and.  </w:t>
      </w:r>
      <w:r w:rsidR="005666F6" w:rsidRPr="005666F6">
        <w:t>F123</w:t>
      </w:r>
      <w:r w:rsidR="005666F6">
        <w:t>. In AgamOBP1_</w:t>
      </w:r>
      <w:r w:rsidR="00302FD8">
        <w:t>6-MH</w:t>
      </w:r>
      <w:r w:rsidR="0076159C">
        <w:t xml:space="preserve"> </w:t>
      </w:r>
      <w:r w:rsidR="00ED7144">
        <w:t>(</w:t>
      </w:r>
      <w:r w:rsidR="002C72B0">
        <w:t xml:space="preserve">PDB ID: </w:t>
      </w:r>
      <w:r w:rsidR="00302FD8">
        <w:t>4FQT</w:t>
      </w:r>
      <w:r w:rsidR="0076159C">
        <w:t>)</w:t>
      </w:r>
      <w:r w:rsidR="00ED7144">
        <w:t xml:space="preserve"> the interacting residues are </w:t>
      </w:r>
      <w:r w:rsidR="00302FD8" w:rsidRPr="00302FD8">
        <w:t>L73</w:t>
      </w:r>
      <w:r w:rsidR="00302FD8">
        <w:t xml:space="preserve">, </w:t>
      </w:r>
      <w:r w:rsidR="00302FD8" w:rsidRPr="00302FD8">
        <w:t>L76</w:t>
      </w:r>
      <w:r w:rsidR="00302FD8">
        <w:t xml:space="preserve">, </w:t>
      </w:r>
      <w:r w:rsidR="00302FD8" w:rsidRPr="00302FD8">
        <w:t>H77</w:t>
      </w:r>
      <w:r w:rsidR="00302FD8">
        <w:t xml:space="preserve">, </w:t>
      </w:r>
      <w:r w:rsidR="00302FD8" w:rsidRPr="00302FD8">
        <w:t>L80</w:t>
      </w:r>
      <w:r w:rsidR="00302FD8">
        <w:t xml:space="preserve">, </w:t>
      </w:r>
      <w:r w:rsidR="00302FD8" w:rsidRPr="00302FD8">
        <w:t>A88</w:t>
      </w:r>
      <w:r w:rsidR="00302FD8">
        <w:t xml:space="preserve">, </w:t>
      </w:r>
      <w:r w:rsidR="00302FD8" w:rsidRPr="00302FD8">
        <w:t>M89</w:t>
      </w:r>
      <w:r w:rsidR="00302FD8">
        <w:t xml:space="preserve">, </w:t>
      </w:r>
      <w:r w:rsidR="00302FD8" w:rsidRPr="00302FD8">
        <w:t>M91</w:t>
      </w:r>
      <w:r w:rsidR="00302FD8">
        <w:t xml:space="preserve">, </w:t>
      </w:r>
      <w:r w:rsidR="00302FD8" w:rsidRPr="00302FD8">
        <w:t>G92</w:t>
      </w:r>
      <w:r w:rsidR="00302FD8">
        <w:t xml:space="preserve">, </w:t>
      </w:r>
      <w:r w:rsidR="00302FD8" w:rsidRPr="00302FD8">
        <w:t>K93</w:t>
      </w:r>
      <w:r w:rsidR="00302FD8">
        <w:t xml:space="preserve">, </w:t>
      </w:r>
      <w:r w:rsidR="00302FD8" w:rsidRPr="00302FD8">
        <w:t>L96</w:t>
      </w:r>
      <w:r w:rsidR="00302FD8">
        <w:t xml:space="preserve">, </w:t>
      </w:r>
      <w:r w:rsidR="00302FD8" w:rsidRPr="00302FD8">
        <w:t>W114</w:t>
      </w:r>
      <w:r w:rsidR="00302FD8">
        <w:t xml:space="preserve">. </w:t>
      </w:r>
      <w:r w:rsidR="00E0446D">
        <w:t xml:space="preserve"> In the case of </w:t>
      </w:r>
      <w:r w:rsidR="002C72B0">
        <w:t>AgamOBP1_Icaridin complex</w:t>
      </w:r>
      <w:r w:rsidR="00FF6D7E">
        <w:t>,</w:t>
      </w:r>
      <w:r w:rsidR="002C72B0">
        <w:t xml:space="preserve"> (PDB ID: 5EL2) </w:t>
      </w:r>
      <w:r w:rsidR="00E0446D">
        <w:t>there is no</w:t>
      </w:r>
      <w:r w:rsidR="002C72B0">
        <w:t xml:space="preserve"> agreement</w:t>
      </w:r>
      <w:r w:rsidR="0076159C">
        <w:t xml:space="preserve"> (</w:t>
      </w:r>
      <w:r w:rsidR="00E0446D">
        <w:t>with the exception of L76 and L80)</w:t>
      </w:r>
      <w:r w:rsidR="002C72B0">
        <w:t xml:space="preserve"> between residues identifi</w:t>
      </w:r>
      <w:r w:rsidR="0076159C">
        <w:t>ed</w:t>
      </w:r>
      <w:r w:rsidR="002C72B0">
        <w:t xml:space="preserve"> which are  </w:t>
      </w:r>
      <w:r w:rsidR="002C72B0" w:rsidRPr="002C72B0">
        <w:t>L19</w:t>
      </w:r>
      <w:r w:rsidR="002C72B0">
        <w:t xml:space="preserve">, </w:t>
      </w:r>
      <w:r w:rsidR="002C72B0" w:rsidRPr="002C72B0">
        <w:t>L58</w:t>
      </w:r>
      <w:r w:rsidR="002C72B0">
        <w:t xml:space="preserve">, </w:t>
      </w:r>
      <w:r w:rsidR="002C72B0" w:rsidRPr="002C72B0">
        <w:t>F59</w:t>
      </w:r>
      <w:r w:rsidR="002C72B0">
        <w:t xml:space="preserve">, </w:t>
      </w:r>
      <w:r w:rsidR="002C72B0" w:rsidRPr="002C72B0">
        <w:t>A62</w:t>
      </w:r>
      <w:r w:rsidR="002C72B0">
        <w:t xml:space="preserve">, </w:t>
      </w:r>
      <w:r w:rsidR="002C72B0" w:rsidRPr="002C72B0">
        <w:t>L76</w:t>
      </w:r>
      <w:r w:rsidR="002C72B0">
        <w:t xml:space="preserve">, </w:t>
      </w:r>
      <w:r w:rsidR="002C72B0" w:rsidRPr="002C72B0">
        <w:t>S79</w:t>
      </w:r>
      <w:r w:rsidR="002C72B0">
        <w:t xml:space="preserve">, </w:t>
      </w:r>
      <w:r w:rsidR="002C72B0" w:rsidRPr="002C72B0">
        <w:t>L80</w:t>
      </w:r>
      <w:r w:rsidR="002C72B0">
        <w:t xml:space="preserve">, </w:t>
      </w:r>
      <w:r w:rsidR="002C72B0" w:rsidRPr="002C72B0">
        <w:t>H111</w:t>
      </w:r>
      <w:r w:rsidR="002C72B0">
        <w:t xml:space="preserve">,F123, L124, </w:t>
      </w:r>
      <w:r w:rsidR="0076159C">
        <w:t>and</w:t>
      </w:r>
      <w:r w:rsidR="00E0446D">
        <w:t xml:space="preserve"> </w:t>
      </w:r>
      <w:r w:rsidR="002C72B0" w:rsidRPr="002C72B0">
        <w:t>V125</w:t>
      </w:r>
      <w:r w:rsidR="00F131A2">
        <w:fldChar w:fldCharType="begin" w:fldLock="1"/>
      </w:r>
      <w:r w:rsidR="00F131A2">
        <w:instrText>ADDIN CSL_CITATION {"citationItems":[{"id":"ITEM-1","itemData":{"DOI":"10.1007/s00018-016-2335-6","ISSN":"1420-682X","PMID":"27535661","abstract":"Anopheles gambiae Odorant Binding Protein 1 in complex with the most widely used insect repellent DEET, was the first reported crystal structure of an olfactory macromolecule with a repellent, and paved the way for OBP1-structure-based approaches for discovery of new host-seeking disruptors. In this work, we performed STD-NMR experiments to directly monitor and verify the formation of a complex between AgamOBP1 and Icaridin, an efficient DEET alternative. Furthermore, Isothermal Titration Calorimetry experiments provided evidence for two Icaridin-binding sites with different affinities (Kd = 0.034 and 0.714 mM) and thermodynamic profiles of ligand binding. To elucidate the binding mode of Icaridin, the crystal structure of AgamOBP1•Icaridin complex was determined at 1.75 Å resolution. We found that Icaridin binds to the DEET-binding site in two distinct orientations and also to a novel binding site located at the C-terminal region. Importantly, only the most active 1R,2S-isomer of Icaridin's equimolar diastereoisomeric mixture binds to the AgamOBP1 crystal, providing structural evidence for the possible contribution of OBP1 to the stereoselectivity of Icaridin perception in mosquitoes. Structural analysis revealed two ensembles of conformations differing mainly in spatial arrangement of their sec-butyl moieties. Moreover, structural comparison with DEET indicates a common recognition mechanism for these structurally related repellents. Ligand interactions with both sites and binding modes were further confirmed by 2D 1H-15N HSQC NMR spectroscopy. The identification of a novel repellent-binding site in AgamOBP1 and the observed structural conservation and stereoselectivity of its DEET/Icaridin-binding sites open new perspectives for the OBP1-structure-based discovery of next-generation insect repellents.","author":[{"dropping-particle":"","family":"Drakou","given":"Christina E.","non-dropping-particle":"","parse-names":false,"suffix":""},{"dropping-particle":"","family":"Tsitsanou","given":"Katerina E.","non-dropping-particle":"","parse-names":false,"suffix":""},{"dropping-particle":"","family":"Potamitis","given":"Constantinos","non-dropping-particle":"","parse-names":false,"suffix":""},{"dropping-particle":"","family":"Fessas","given":"Dimitrios","non-dropping-particle":"","parse-names":false,"suffix":""},{"dropping-particle":"","family":"Zervou","given":"Maria","non-dropping-particle":"","parse-names":false,"suffix":""},{"dropping-particle":"","family":"Zographos","given":"Spyros E.","non-dropping-particle":"","parse-names":false,"suffix":""}],"container-title":"Cellular and Molecular Life Sciences","id":"ITEM-1","issue":"2","issued":{"date-parts":[["2017","1","17"]]},"page":"319-338","title":"The crystal structure of the AgamOBP1•Icaridin complex reveals alternative binding modes and stereo-selective repellent recognition","type":"article-journal","volume":"74"},"uris":["http://www.mendeley.com/documents/?uuid=1386044d-e7cc-3cb8-9b11-8f0abad04385"]}],"mendeley":{"formattedCitation":"&lt;sup&gt;1&lt;/sup&gt;","plainTextFormattedCitation":"1","previouslyFormattedCitation":"(Drakou et al., 2017)"},"properties":{"noteIndex":0},"schema":"https://github.com/citation-style-language/schema/raw/master/csl-citation.json"}</w:instrText>
      </w:r>
      <w:r w:rsidR="00F131A2">
        <w:fldChar w:fldCharType="separate"/>
      </w:r>
      <w:r w:rsidR="00F131A2" w:rsidRPr="00F131A2">
        <w:rPr>
          <w:noProof/>
          <w:vertAlign w:val="superscript"/>
        </w:rPr>
        <w:t>1</w:t>
      </w:r>
      <w:r w:rsidR="00F131A2">
        <w:fldChar w:fldCharType="end"/>
      </w:r>
      <w:r w:rsidR="00E0446D">
        <w:t xml:space="preserve">; and those </w:t>
      </w:r>
      <w:r w:rsidR="0076159C">
        <w:t xml:space="preserve">found </w:t>
      </w:r>
      <w:r w:rsidR="00E0446D">
        <w:t xml:space="preserve">by LPC/CSU server analysis which are  </w:t>
      </w:r>
      <w:r w:rsidR="00E0446D" w:rsidRPr="00E0446D">
        <w:t>L73</w:t>
      </w:r>
      <w:r w:rsidR="00E0446D">
        <w:t>,</w:t>
      </w:r>
      <w:r w:rsidR="0076159C">
        <w:t xml:space="preserve"> </w:t>
      </w:r>
      <w:r w:rsidR="00E0446D" w:rsidRPr="00E0446D">
        <w:t>L76</w:t>
      </w:r>
      <w:r w:rsidR="00E0446D">
        <w:t>,</w:t>
      </w:r>
      <w:r w:rsidR="0076159C">
        <w:t xml:space="preserve"> </w:t>
      </w:r>
      <w:r w:rsidR="00E0446D" w:rsidRPr="00E0446D">
        <w:t>H77</w:t>
      </w:r>
      <w:r w:rsidR="00E0446D">
        <w:t>,</w:t>
      </w:r>
      <w:r w:rsidR="0076159C">
        <w:t xml:space="preserve"> </w:t>
      </w:r>
      <w:r w:rsidR="00E0446D" w:rsidRPr="00E0446D">
        <w:t>L80</w:t>
      </w:r>
      <w:r w:rsidR="00E0446D">
        <w:t>,</w:t>
      </w:r>
      <w:r w:rsidR="0076159C">
        <w:t xml:space="preserve"> </w:t>
      </w:r>
      <w:r w:rsidR="00E0446D" w:rsidRPr="00E0446D">
        <w:t>A88</w:t>
      </w:r>
      <w:r w:rsidR="00E0446D">
        <w:t xml:space="preserve">, </w:t>
      </w:r>
      <w:r w:rsidR="00E0446D" w:rsidRPr="00E0446D">
        <w:t>M89</w:t>
      </w:r>
      <w:r w:rsidR="00E0446D">
        <w:t xml:space="preserve">, </w:t>
      </w:r>
      <w:r w:rsidR="00E0446D" w:rsidRPr="00E0446D">
        <w:t>M91</w:t>
      </w:r>
      <w:r w:rsidR="00E0446D">
        <w:t xml:space="preserve">, G92, </w:t>
      </w:r>
      <w:r w:rsidR="00E0446D" w:rsidRPr="00E0446D">
        <w:t>K93</w:t>
      </w:r>
      <w:r w:rsidR="00E0446D">
        <w:t>,</w:t>
      </w:r>
      <w:r w:rsidR="0076159C">
        <w:t xml:space="preserve"> </w:t>
      </w:r>
      <w:r w:rsidR="00E0446D" w:rsidRPr="00E0446D">
        <w:t>R95</w:t>
      </w:r>
      <w:r w:rsidR="00E0446D">
        <w:t>,</w:t>
      </w:r>
      <w:r w:rsidR="0076159C">
        <w:t xml:space="preserve"> </w:t>
      </w:r>
      <w:r w:rsidR="00E0446D" w:rsidRPr="00E0446D">
        <w:t>L96</w:t>
      </w:r>
      <w:r w:rsidR="00E0446D">
        <w:t>,</w:t>
      </w:r>
      <w:r w:rsidR="0076159C">
        <w:t xml:space="preserve"> </w:t>
      </w:r>
      <w:r w:rsidR="00E0446D" w:rsidRPr="00E0446D">
        <w:t>W114</w:t>
      </w:r>
      <w:r w:rsidR="00E0446D">
        <w:t xml:space="preserve">.  </w:t>
      </w:r>
      <w:r w:rsidR="00E0446D" w:rsidRPr="00E0446D">
        <w:rPr>
          <w:b/>
        </w:rPr>
        <w:t>(b</w:t>
      </w:r>
      <w:r w:rsidR="007D2806">
        <w:rPr>
          <w:b/>
        </w:rPr>
        <w:t>1 and b2</w:t>
      </w:r>
      <w:r w:rsidR="00E0446D" w:rsidRPr="00E0446D">
        <w:rPr>
          <w:b/>
        </w:rPr>
        <w:t>)</w:t>
      </w:r>
      <w:r w:rsidR="00E0446D">
        <w:t xml:space="preserve"> </w:t>
      </w:r>
      <w:r w:rsidR="009E7B7F">
        <w:t>b</w:t>
      </w:r>
      <w:r w:rsidR="00E0446D">
        <w:t>inding of</w:t>
      </w:r>
      <w:r w:rsidR="008B7171">
        <w:rPr>
          <w:color w:val="33FFFF"/>
        </w:rPr>
        <w:t xml:space="preserve"> PEG,</w:t>
      </w:r>
      <w:r w:rsidR="00E0446D">
        <w:t xml:space="preserve"> </w:t>
      </w:r>
      <w:r w:rsidR="008B7171" w:rsidRPr="008B7171">
        <w:rPr>
          <w:color w:val="00FF99"/>
        </w:rPr>
        <w:t>DEET</w:t>
      </w:r>
      <w:r w:rsidR="008B7171">
        <w:rPr>
          <w:color w:val="00B050"/>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path w14:path="circle">
                <w14:fillToRect w14:l="100000" w14:t="100000" w14:r="0" w14:b="0"/>
              </w14:path>
            </w14:gradFill>
          </w14:textFill>
        </w:rPr>
        <w:t xml:space="preserve">, </w:t>
      </w:r>
      <w:r w:rsidR="00E0446D" w:rsidRPr="008B7171">
        <w:rPr>
          <w:color w:val="CC3399"/>
        </w:rPr>
        <w:t>Icaridin</w:t>
      </w:r>
      <w:r w:rsidR="00E0446D">
        <w:t xml:space="preserve">, and </w:t>
      </w:r>
      <w:r w:rsidR="008B7171" w:rsidRPr="008B7171">
        <w:rPr>
          <w:color w:val="C00000"/>
        </w:rPr>
        <w:t>6-MH</w:t>
      </w:r>
      <w:r w:rsidR="009E7B7F">
        <w:rPr>
          <w:color w:val="C00000"/>
        </w:rPr>
        <w:t>,</w:t>
      </w:r>
      <w:r w:rsidR="008B7171">
        <w:rPr>
          <w:color w:val="C00000"/>
        </w:rPr>
        <w:t xml:space="preserve">  </w:t>
      </w:r>
      <w:r w:rsidR="008B7171" w:rsidRPr="008B7171">
        <w:rPr>
          <w:color w:val="C00000"/>
        </w:rPr>
        <w:t xml:space="preserve"> </w:t>
      </w:r>
      <w:r w:rsidR="009E7B7F">
        <w:rPr>
          <w:rFonts w:eastAsia="Geneva" w:cs="Times New Roman"/>
          <w:color w:val="000000" w:themeColor="text1"/>
          <w:kern w:val="24"/>
          <w:lang w:eastAsia="en-GB"/>
        </w:rPr>
        <w:t>w</w:t>
      </w:r>
      <w:r w:rsidR="008B7171">
        <w:rPr>
          <w:rFonts w:eastAsia="Geneva" w:cs="Times New Roman"/>
          <w:color w:val="000000" w:themeColor="text1"/>
          <w:kern w:val="24"/>
          <w:lang w:eastAsia="en-GB"/>
        </w:rPr>
        <w:t>here</w:t>
      </w:r>
      <w:r w:rsidR="008B7171" w:rsidRPr="00285AF5">
        <w:rPr>
          <w:rFonts w:eastAsia="Geneva" w:cs="Times New Roman"/>
          <w:color w:val="000000" w:themeColor="text1"/>
          <w:kern w:val="24"/>
          <w:lang w:eastAsia="en-GB"/>
        </w:rPr>
        <w:t xml:space="preserve"> </w:t>
      </w:r>
      <w:r w:rsidR="008B7171" w:rsidRPr="00285AF5">
        <w:rPr>
          <w:rFonts w:eastAsia="Geneva" w:cs="Times New Roman"/>
          <w:b/>
          <w:color w:val="000000" w:themeColor="text1"/>
          <w:kern w:val="24"/>
          <w:lang w:eastAsia="en-GB"/>
        </w:rPr>
        <w:t>b1</w:t>
      </w:r>
      <w:r w:rsidR="008B7171" w:rsidRPr="00285AF5">
        <w:rPr>
          <w:rFonts w:eastAsia="Geneva" w:cs="Times New Roman"/>
          <w:color w:val="000000" w:themeColor="text1"/>
          <w:kern w:val="24"/>
          <w:lang w:eastAsia="en-GB"/>
        </w:rPr>
        <w:t xml:space="preserve"> </w:t>
      </w:r>
      <w:r w:rsidR="008B7171">
        <w:rPr>
          <w:rFonts w:eastAsia="Geneva" w:cs="Times New Roman"/>
          <w:color w:val="000000" w:themeColor="text1"/>
          <w:kern w:val="24"/>
          <w:lang w:eastAsia="en-GB"/>
        </w:rPr>
        <w:t>is the</w:t>
      </w:r>
      <w:r w:rsidR="008B7171" w:rsidRPr="00285AF5">
        <w:rPr>
          <w:rFonts w:eastAsia="Geneva" w:cs="Times New Roman"/>
          <w:color w:val="000000" w:themeColor="text1"/>
          <w:kern w:val="24"/>
          <w:lang w:eastAsia="en-GB"/>
        </w:rPr>
        <w:t xml:space="preserve"> </w:t>
      </w:r>
      <w:r w:rsidR="008B7171">
        <w:rPr>
          <w:rFonts w:eastAsia="Geneva" w:cs="Times New Roman"/>
          <w:color w:val="000000" w:themeColor="text1"/>
          <w:kern w:val="24"/>
          <w:lang w:eastAsia="en-GB"/>
        </w:rPr>
        <w:t>cartoon representation of the X-R</w:t>
      </w:r>
      <w:r w:rsidR="008B7171" w:rsidRPr="00285AF5">
        <w:rPr>
          <w:rFonts w:eastAsia="Geneva" w:cs="Times New Roman"/>
          <w:color w:val="000000" w:themeColor="text1"/>
          <w:kern w:val="24"/>
          <w:lang w:eastAsia="en-GB"/>
        </w:rPr>
        <w:t xml:space="preserve">ay structure while </w:t>
      </w:r>
      <w:r w:rsidR="008B7171" w:rsidRPr="00285AF5">
        <w:rPr>
          <w:rFonts w:eastAsia="Geneva" w:cs="Times New Roman"/>
          <w:b/>
          <w:color w:val="000000" w:themeColor="text1"/>
          <w:kern w:val="24"/>
          <w:lang w:eastAsia="en-GB"/>
        </w:rPr>
        <w:t>b</w:t>
      </w:r>
      <w:r w:rsidR="008B7171">
        <w:rPr>
          <w:rFonts w:eastAsia="Geneva" w:cs="Times New Roman"/>
          <w:b/>
          <w:color w:val="000000" w:themeColor="text1"/>
          <w:kern w:val="24"/>
          <w:lang w:eastAsia="en-GB"/>
        </w:rPr>
        <w:t>2</w:t>
      </w:r>
      <w:r w:rsidR="008B7171" w:rsidRPr="00285AF5">
        <w:rPr>
          <w:rFonts w:eastAsia="Geneva" w:cs="Times New Roman"/>
          <w:b/>
          <w:color w:val="000000" w:themeColor="text1"/>
          <w:kern w:val="24"/>
          <w:lang w:eastAsia="en-GB"/>
        </w:rPr>
        <w:t xml:space="preserve"> </w:t>
      </w:r>
      <w:r w:rsidR="008B7171">
        <w:rPr>
          <w:rFonts w:eastAsia="Geneva" w:cs="Times New Roman"/>
          <w:color w:val="000000" w:themeColor="text1"/>
          <w:kern w:val="24"/>
          <w:lang w:eastAsia="en-GB"/>
        </w:rPr>
        <w:t>is</w:t>
      </w:r>
      <w:r w:rsidR="008B7171" w:rsidRPr="00285AF5">
        <w:rPr>
          <w:rFonts w:eastAsia="Geneva" w:cs="Times New Roman"/>
          <w:color w:val="000000" w:themeColor="text1"/>
          <w:kern w:val="24"/>
          <w:lang w:eastAsia="en-GB"/>
        </w:rPr>
        <w:t xml:space="preserve"> the interactive (hydroph</w:t>
      </w:r>
      <w:r w:rsidR="008B7171">
        <w:rPr>
          <w:rFonts w:eastAsia="Geneva" w:cs="Times New Roman"/>
          <w:color w:val="000000" w:themeColor="text1"/>
          <w:kern w:val="24"/>
          <w:lang w:eastAsia="en-GB"/>
        </w:rPr>
        <w:t>obicity surface) representation</w:t>
      </w:r>
      <w:r w:rsidR="008B7171" w:rsidRPr="00285AF5">
        <w:rPr>
          <w:rFonts w:eastAsia="Geneva" w:cs="Times New Roman"/>
          <w:color w:val="000000" w:themeColor="text1"/>
          <w:kern w:val="24"/>
          <w:lang w:eastAsia="en-GB"/>
        </w:rPr>
        <w:t xml:space="preserve">. </w:t>
      </w:r>
      <w:r w:rsidR="008B7171">
        <w:rPr>
          <w:rFonts w:eastAsia="Geneva" w:cs="Times New Roman"/>
          <w:color w:val="000000" w:themeColor="text1"/>
          <w:kern w:val="24"/>
          <w:lang w:eastAsia="en-GB"/>
        </w:rPr>
        <w:t xml:space="preserve"> </w:t>
      </w:r>
    </w:p>
    <w:p w14:paraId="1852C464" w14:textId="4CC9EE29" w:rsidR="00F131A2" w:rsidRPr="00F131A2" w:rsidRDefault="00F131A2" w:rsidP="00F131A2">
      <w:pPr>
        <w:widowControl w:val="0"/>
        <w:autoSpaceDE w:val="0"/>
        <w:autoSpaceDN w:val="0"/>
        <w:adjustRightInd w:val="0"/>
        <w:spacing w:line="240" w:lineRule="auto"/>
        <w:ind w:left="640" w:hanging="640"/>
        <w:rPr>
          <w:rFonts w:ascii="Calibri" w:hAnsi="Calibri" w:cs="Calibri"/>
          <w:noProof/>
        </w:rPr>
      </w:pPr>
      <w:r>
        <w:rPr>
          <w:b/>
        </w:rPr>
        <w:fldChar w:fldCharType="begin" w:fldLock="1"/>
      </w:r>
      <w:r>
        <w:rPr>
          <w:b/>
        </w:rPr>
        <w:instrText xml:space="preserve">ADDIN Mendeley Bibliography CSL_BIBLIOGRAPHY </w:instrText>
      </w:r>
      <w:r>
        <w:rPr>
          <w:b/>
        </w:rPr>
        <w:fldChar w:fldCharType="separate"/>
      </w:r>
      <w:r w:rsidRPr="00F131A2">
        <w:rPr>
          <w:rFonts w:ascii="Calibri" w:hAnsi="Calibri" w:cs="Calibri"/>
          <w:noProof/>
          <w:szCs w:val="24"/>
        </w:rPr>
        <w:t>1.</w:t>
      </w:r>
      <w:r w:rsidRPr="00F131A2">
        <w:rPr>
          <w:rFonts w:ascii="Calibri" w:hAnsi="Calibri" w:cs="Calibri"/>
          <w:noProof/>
          <w:szCs w:val="24"/>
        </w:rPr>
        <w:tab/>
        <w:t xml:space="preserve">Drakou, C. E. </w:t>
      </w:r>
      <w:r w:rsidRPr="00F131A2">
        <w:rPr>
          <w:rFonts w:ascii="Calibri" w:hAnsi="Calibri" w:cs="Calibri"/>
          <w:i/>
          <w:iCs/>
          <w:noProof/>
          <w:szCs w:val="24"/>
        </w:rPr>
        <w:t>et al.</w:t>
      </w:r>
      <w:r w:rsidRPr="00F131A2">
        <w:rPr>
          <w:rFonts w:ascii="Calibri" w:hAnsi="Calibri" w:cs="Calibri"/>
          <w:noProof/>
          <w:szCs w:val="24"/>
        </w:rPr>
        <w:t xml:space="preserve"> The cr</w:t>
      </w:r>
      <w:r w:rsidR="00FF6D7E">
        <w:rPr>
          <w:rFonts w:ascii="Calibri" w:hAnsi="Calibri" w:cs="Calibri"/>
          <w:noProof/>
          <w:szCs w:val="24"/>
        </w:rPr>
        <w:t xml:space="preserve">ystal structure of the AgamOBP1 </w:t>
      </w:r>
      <w:r w:rsidRPr="00F131A2">
        <w:rPr>
          <w:rFonts w:ascii="Calibri" w:hAnsi="Calibri" w:cs="Calibri"/>
          <w:noProof/>
          <w:szCs w:val="24"/>
        </w:rPr>
        <w:t xml:space="preserve">Icaridin complex reveals alternative binding modes and stereo-selective repellent recognition. </w:t>
      </w:r>
      <w:r w:rsidRPr="00F131A2">
        <w:rPr>
          <w:rFonts w:ascii="Calibri" w:hAnsi="Calibri" w:cs="Calibri"/>
          <w:i/>
          <w:iCs/>
          <w:noProof/>
          <w:szCs w:val="24"/>
        </w:rPr>
        <w:t>Cell. Mol. Life Sci.</w:t>
      </w:r>
      <w:r w:rsidRPr="00F131A2">
        <w:rPr>
          <w:rFonts w:ascii="Calibri" w:hAnsi="Calibri" w:cs="Calibri"/>
          <w:noProof/>
          <w:szCs w:val="24"/>
        </w:rPr>
        <w:t xml:space="preserve"> </w:t>
      </w:r>
      <w:r w:rsidRPr="00F131A2">
        <w:rPr>
          <w:rFonts w:ascii="Calibri" w:hAnsi="Calibri" w:cs="Calibri"/>
          <w:b/>
          <w:bCs/>
          <w:noProof/>
          <w:szCs w:val="24"/>
        </w:rPr>
        <w:t>74</w:t>
      </w:r>
      <w:r w:rsidRPr="00F131A2">
        <w:rPr>
          <w:rFonts w:ascii="Calibri" w:hAnsi="Calibri" w:cs="Calibri"/>
          <w:noProof/>
          <w:szCs w:val="24"/>
        </w:rPr>
        <w:t>, 319–338 (2017).</w:t>
      </w:r>
    </w:p>
    <w:p w14:paraId="76FB5C77" w14:textId="6026C952" w:rsidR="00F131A2" w:rsidRPr="0076159C" w:rsidRDefault="00F131A2" w:rsidP="00EC06C1">
      <w:pPr>
        <w:rPr>
          <w:b/>
        </w:rPr>
      </w:pPr>
      <w:r>
        <w:rPr>
          <w:b/>
        </w:rPr>
        <w:lastRenderedPageBreak/>
        <w:fldChar w:fldCharType="end"/>
      </w:r>
    </w:p>
    <w:p w14:paraId="061AFA15" w14:textId="77777777" w:rsidR="00EE56A5" w:rsidRDefault="00EE56A5" w:rsidP="00EC06C1"/>
    <w:p w14:paraId="2C0D0F23" w14:textId="52DBB48F" w:rsidR="005F408A" w:rsidRDefault="00EE56A5" w:rsidP="00EC06C1">
      <w:r>
        <w:t xml:space="preserve">    </w:t>
      </w:r>
      <w:r>
        <w:rPr>
          <w:noProof/>
          <w:lang w:eastAsia="en-GB"/>
        </w:rPr>
        <w:drawing>
          <wp:inline distT="0" distB="0" distL="0" distR="0" wp14:anchorId="7AB6A8E2" wp14:editId="4908F669">
            <wp:extent cx="2593204" cy="294380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81" cy="2962737"/>
                    </a:xfrm>
                    <a:prstGeom prst="rect">
                      <a:avLst/>
                    </a:prstGeom>
                    <a:noFill/>
                  </pic:spPr>
                </pic:pic>
              </a:graphicData>
            </a:graphic>
          </wp:inline>
        </w:drawing>
      </w:r>
      <w:r>
        <w:t xml:space="preserve">      </w:t>
      </w:r>
      <w:r>
        <w:rPr>
          <w:noProof/>
          <w:lang w:eastAsia="en-GB"/>
        </w:rPr>
        <w:drawing>
          <wp:inline distT="0" distB="0" distL="0" distR="0" wp14:anchorId="0C13BBE4" wp14:editId="4784D7C9">
            <wp:extent cx="2225217" cy="295713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3946" cy="2968738"/>
                    </a:xfrm>
                    <a:prstGeom prst="rect">
                      <a:avLst/>
                    </a:prstGeom>
                    <a:noFill/>
                  </pic:spPr>
                </pic:pic>
              </a:graphicData>
            </a:graphic>
          </wp:inline>
        </w:drawing>
      </w:r>
    </w:p>
    <w:p w14:paraId="32CE69A6" w14:textId="255F38DD" w:rsidR="00B45162" w:rsidRDefault="00C364D4" w:rsidP="00EC06C1">
      <w:r>
        <w:t xml:space="preserve">      </w:t>
      </w:r>
      <w:r w:rsidR="00EE56A5">
        <w:rPr>
          <w:noProof/>
          <w:lang w:eastAsia="en-GB"/>
        </w:rPr>
        <w:drawing>
          <wp:inline distT="0" distB="0" distL="0" distR="0" wp14:anchorId="5D6080A5" wp14:editId="7F239373">
            <wp:extent cx="2573027" cy="268447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2364" cy="2683785"/>
                    </a:xfrm>
                    <a:prstGeom prst="rect">
                      <a:avLst/>
                    </a:prstGeom>
                    <a:noFill/>
                  </pic:spPr>
                </pic:pic>
              </a:graphicData>
            </a:graphic>
          </wp:inline>
        </w:drawing>
      </w:r>
      <w:r>
        <w:t xml:space="preserve">   </w:t>
      </w:r>
      <w:r w:rsidR="005F408A">
        <w:t xml:space="preserve">  </w:t>
      </w:r>
      <w:r w:rsidR="005F408A">
        <w:rPr>
          <w:noProof/>
          <w:lang w:eastAsia="en-GB"/>
        </w:rPr>
        <w:drawing>
          <wp:inline distT="0" distB="0" distL="0" distR="0" wp14:anchorId="54C1E641" wp14:editId="5530F960">
            <wp:extent cx="2228277" cy="2653164"/>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9616" cy="2654759"/>
                    </a:xfrm>
                    <a:prstGeom prst="rect">
                      <a:avLst/>
                    </a:prstGeom>
                    <a:noFill/>
                  </pic:spPr>
                </pic:pic>
              </a:graphicData>
            </a:graphic>
          </wp:inline>
        </w:drawing>
      </w:r>
    </w:p>
    <w:p w14:paraId="2EC7ADD3" w14:textId="53F29968" w:rsidR="00B45162" w:rsidRPr="00E142E3" w:rsidRDefault="005F408A" w:rsidP="005F408A">
      <w:pPr>
        <w:pStyle w:val="Default"/>
        <w:rPr>
          <w:rFonts w:asciiTheme="minorHAnsi" w:hAnsiTheme="minorHAnsi" w:cstheme="minorBidi"/>
          <w:color w:val="auto"/>
          <w:sz w:val="22"/>
          <w:szCs w:val="22"/>
        </w:rPr>
      </w:pPr>
      <w:r w:rsidRPr="001B293B">
        <w:rPr>
          <w:rFonts w:asciiTheme="minorHAnsi" w:hAnsiTheme="minorHAnsi" w:cstheme="minorBidi"/>
          <w:b/>
          <w:color w:val="auto"/>
          <w:sz w:val="22"/>
          <w:szCs w:val="22"/>
        </w:rPr>
        <w:t xml:space="preserve">Suppl. Material Figure </w:t>
      </w:r>
      <w:r w:rsidR="00083110">
        <w:rPr>
          <w:rFonts w:asciiTheme="minorHAnsi" w:hAnsiTheme="minorHAnsi" w:cstheme="minorBidi"/>
          <w:b/>
          <w:color w:val="auto"/>
          <w:sz w:val="22"/>
          <w:szCs w:val="22"/>
        </w:rPr>
        <w:t>S</w:t>
      </w:r>
      <w:r w:rsidR="00AF0C66">
        <w:rPr>
          <w:rFonts w:asciiTheme="minorHAnsi" w:hAnsiTheme="minorHAnsi" w:cstheme="minorBidi"/>
          <w:b/>
          <w:color w:val="auto"/>
          <w:sz w:val="22"/>
          <w:szCs w:val="22"/>
        </w:rPr>
        <w:t>3</w:t>
      </w:r>
      <w:r w:rsidR="001B293B">
        <w:rPr>
          <w:rFonts w:asciiTheme="minorHAnsi" w:hAnsiTheme="minorHAnsi" w:cstheme="minorBidi"/>
          <w:b/>
          <w:color w:val="auto"/>
          <w:sz w:val="22"/>
          <w:szCs w:val="22"/>
        </w:rPr>
        <w:t>:</w:t>
      </w:r>
      <w:r w:rsidRPr="001B293B">
        <w:rPr>
          <w:rFonts w:asciiTheme="minorHAnsi" w:hAnsiTheme="minorHAnsi" w:cstheme="minorBidi"/>
          <w:b/>
          <w:color w:val="auto"/>
          <w:sz w:val="22"/>
          <w:szCs w:val="22"/>
        </w:rPr>
        <w:t xml:space="preserve"> </w:t>
      </w:r>
      <w:r w:rsidR="00FF6D7E" w:rsidRPr="00FF6D7E">
        <w:rPr>
          <w:rFonts w:asciiTheme="minorHAnsi" w:hAnsiTheme="minorHAnsi" w:cstheme="minorBidi"/>
          <w:color w:val="auto"/>
          <w:sz w:val="22"/>
          <w:szCs w:val="22"/>
        </w:rPr>
        <w:t>P</w:t>
      </w:r>
      <w:r w:rsidR="001B293B" w:rsidRPr="00E142E3">
        <w:rPr>
          <w:rFonts w:asciiTheme="minorHAnsi" w:hAnsiTheme="minorHAnsi" w:cstheme="minorBidi"/>
          <w:color w:val="auto"/>
          <w:sz w:val="22"/>
          <w:szCs w:val="22"/>
        </w:rPr>
        <w:t xml:space="preserve">otential binding pockets in </w:t>
      </w:r>
      <w:r w:rsidR="00E142E3" w:rsidRPr="00E142E3">
        <w:rPr>
          <w:rFonts w:asciiTheme="minorHAnsi" w:hAnsiTheme="minorHAnsi" w:cstheme="minorBidi"/>
          <w:b/>
          <w:color w:val="auto"/>
          <w:sz w:val="22"/>
          <w:szCs w:val="22"/>
        </w:rPr>
        <w:t>(a1)</w:t>
      </w:r>
      <w:r w:rsidR="00E142E3" w:rsidRPr="00E142E3">
        <w:rPr>
          <w:rFonts w:asciiTheme="minorHAnsi" w:hAnsiTheme="minorHAnsi" w:cstheme="minorBidi"/>
          <w:color w:val="auto"/>
          <w:sz w:val="22"/>
          <w:szCs w:val="22"/>
        </w:rPr>
        <w:t xml:space="preserve"> </w:t>
      </w:r>
      <w:r w:rsidR="001B293B" w:rsidRPr="00E142E3">
        <w:rPr>
          <w:rFonts w:asciiTheme="minorHAnsi" w:hAnsiTheme="minorHAnsi" w:cstheme="minorBidi"/>
          <w:color w:val="auto"/>
          <w:sz w:val="22"/>
          <w:szCs w:val="22"/>
        </w:rPr>
        <w:t xml:space="preserve">AgamOBP1 and </w:t>
      </w:r>
      <w:r w:rsidR="00E142E3">
        <w:rPr>
          <w:rFonts w:asciiTheme="minorHAnsi" w:hAnsiTheme="minorHAnsi" w:cstheme="minorBidi"/>
          <w:color w:val="auto"/>
          <w:sz w:val="22"/>
          <w:szCs w:val="22"/>
        </w:rPr>
        <w:t xml:space="preserve">in </w:t>
      </w:r>
      <w:r w:rsidR="00E142E3" w:rsidRPr="00E142E3">
        <w:rPr>
          <w:rFonts w:asciiTheme="minorHAnsi" w:hAnsiTheme="minorHAnsi" w:cstheme="minorBidi"/>
          <w:b/>
          <w:color w:val="auto"/>
          <w:sz w:val="22"/>
          <w:szCs w:val="22"/>
        </w:rPr>
        <w:t xml:space="preserve">(b1) </w:t>
      </w:r>
      <w:r w:rsidR="001B293B" w:rsidRPr="00E142E3">
        <w:rPr>
          <w:rFonts w:asciiTheme="minorHAnsi" w:hAnsiTheme="minorHAnsi" w:cstheme="minorBidi"/>
          <w:color w:val="auto"/>
          <w:sz w:val="22"/>
          <w:szCs w:val="22"/>
        </w:rPr>
        <w:t xml:space="preserve">AgamOBP47. The X-ray structures of AgamOBP1 </w:t>
      </w:r>
      <w:r w:rsidR="00E142E3" w:rsidRPr="00E142E3">
        <w:rPr>
          <w:rFonts w:asciiTheme="minorHAnsi" w:hAnsiTheme="minorHAnsi" w:cstheme="minorBidi"/>
          <w:color w:val="auto"/>
          <w:sz w:val="22"/>
          <w:szCs w:val="22"/>
        </w:rPr>
        <w:t>(PDB1D:</w:t>
      </w:r>
      <w:r w:rsidR="001B293B" w:rsidRPr="00E142E3">
        <w:rPr>
          <w:rFonts w:asciiTheme="minorHAnsi" w:hAnsiTheme="minorHAnsi" w:cstheme="minorBidi"/>
          <w:color w:val="auto"/>
          <w:sz w:val="22"/>
          <w:szCs w:val="22"/>
        </w:rPr>
        <w:t>2ERB</w:t>
      </w:r>
      <w:r w:rsidR="00E142E3" w:rsidRPr="00E142E3">
        <w:rPr>
          <w:rFonts w:asciiTheme="minorHAnsi" w:hAnsiTheme="minorHAnsi" w:cstheme="minorBidi"/>
          <w:color w:val="auto"/>
          <w:sz w:val="22"/>
          <w:szCs w:val="22"/>
        </w:rPr>
        <w:t>) and AgamOBP47</w:t>
      </w:r>
      <w:r w:rsidRPr="00E142E3">
        <w:rPr>
          <w:rFonts w:asciiTheme="minorHAnsi" w:hAnsiTheme="minorHAnsi" w:cstheme="minorBidi"/>
          <w:color w:val="auto"/>
          <w:sz w:val="22"/>
          <w:szCs w:val="22"/>
        </w:rPr>
        <w:t xml:space="preserve"> </w:t>
      </w:r>
      <w:r w:rsidR="001B293B" w:rsidRPr="00E142E3">
        <w:rPr>
          <w:rFonts w:asciiTheme="minorHAnsi" w:hAnsiTheme="minorHAnsi" w:cstheme="minorBidi"/>
          <w:color w:val="auto"/>
          <w:sz w:val="22"/>
          <w:szCs w:val="22"/>
        </w:rPr>
        <w:t xml:space="preserve">(PDB ID: 3PM2) were analysed using CASTp server to </w:t>
      </w:r>
      <w:r w:rsidR="00E142E3" w:rsidRPr="00E142E3">
        <w:rPr>
          <w:rFonts w:asciiTheme="minorHAnsi" w:hAnsiTheme="minorHAnsi" w:cstheme="minorBidi"/>
          <w:color w:val="auto"/>
          <w:sz w:val="22"/>
          <w:szCs w:val="22"/>
        </w:rPr>
        <w:t>identified the</w:t>
      </w:r>
      <w:r w:rsidR="001B293B" w:rsidRPr="00E142E3">
        <w:rPr>
          <w:rFonts w:asciiTheme="minorHAnsi" w:hAnsiTheme="minorHAnsi" w:cstheme="minorBidi"/>
          <w:color w:val="auto"/>
          <w:sz w:val="22"/>
          <w:szCs w:val="22"/>
        </w:rPr>
        <w:t xml:space="preserve"> pockets</w:t>
      </w:r>
      <w:r w:rsidR="00E142E3" w:rsidRPr="00E142E3">
        <w:rPr>
          <w:rFonts w:asciiTheme="minorHAnsi" w:hAnsiTheme="minorHAnsi" w:cstheme="minorBidi"/>
          <w:color w:val="auto"/>
          <w:sz w:val="22"/>
          <w:szCs w:val="22"/>
        </w:rPr>
        <w:t xml:space="preserve">. </w:t>
      </w:r>
      <w:r w:rsidR="00E142E3">
        <w:rPr>
          <w:rFonts w:asciiTheme="minorHAnsi" w:hAnsiTheme="minorHAnsi" w:cstheme="minorBidi"/>
          <w:color w:val="auto"/>
          <w:sz w:val="22"/>
          <w:szCs w:val="22"/>
        </w:rPr>
        <w:t xml:space="preserve">In </w:t>
      </w:r>
      <w:r w:rsidR="00E142E3" w:rsidRPr="00BB7A5A">
        <w:rPr>
          <w:rFonts w:asciiTheme="minorHAnsi" w:hAnsiTheme="minorHAnsi" w:cstheme="minorBidi"/>
          <w:b/>
          <w:color w:val="auto"/>
          <w:sz w:val="22"/>
          <w:szCs w:val="22"/>
        </w:rPr>
        <w:t>(a1)</w:t>
      </w:r>
      <w:r w:rsidR="00E142E3">
        <w:rPr>
          <w:rFonts w:asciiTheme="minorHAnsi" w:hAnsiTheme="minorHAnsi" w:cstheme="minorBidi"/>
          <w:color w:val="auto"/>
          <w:sz w:val="22"/>
          <w:szCs w:val="22"/>
        </w:rPr>
        <w:t xml:space="preserve"> AgamOBP1</w:t>
      </w:r>
      <w:r w:rsidR="00FF6D7E">
        <w:rPr>
          <w:rFonts w:asciiTheme="minorHAnsi" w:hAnsiTheme="minorHAnsi" w:cstheme="minorBidi"/>
          <w:color w:val="auto"/>
          <w:sz w:val="22"/>
          <w:szCs w:val="22"/>
        </w:rPr>
        <w:t>,</w:t>
      </w:r>
      <w:r w:rsidR="00E142E3">
        <w:rPr>
          <w:rFonts w:asciiTheme="minorHAnsi" w:hAnsiTheme="minorHAnsi" w:cstheme="minorBidi"/>
          <w:color w:val="auto"/>
          <w:sz w:val="22"/>
          <w:szCs w:val="22"/>
        </w:rPr>
        <w:t xml:space="preserve"> seventeen potential pockets were identified and the main pocket (the active site) is the pocket number 17 labelled </w:t>
      </w:r>
      <w:r w:rsidR="00E142E3" w:rsidRPr="00E142E3">
        <w:rPr>
          <w:rFonts w:asciiTheme="minorHAnsi" w:hAnsiTheme="minorHAnsi" w:cstheme="minorBidi"/>
          <w:color w:val="FF00FF"/>
          <w:sz w:val="22"/>
          <w:szCs w:val="22"/>
        </w:rPr>
        <w:t>in pink</w:t>
      </w:r>
      <w:r w:rsidR="00E142E3">
        <w:rPr>
          <w:rFonts w:asciiTheme="minorHAnsi" w:hAnsiTheme="minorHAnsi" w:cstheme="minorBidi"/>
          <w:color w:val="FF00FF"/>
          <w:sz w:val="22"/>
          <w:szCs w:val="22"/>
        </w:rPr>
        <w:t xml:space="preserve">.  </w:t>
      </w:r>
      <w:r w:rsidR="00E142E3" w:rsidRPr="00E142E3">
        <w:rPr>
          <w:rFonts w:asciiTheme="minorHAnsi" w:hAnsiTheme="minorHAnsi" w:cstheme="minorBidi"/>
          <w:color w:val="auto"/>
          <w:sz w:val="22"/>
          <w:szCs w:val="22"/>
        </w:rPr>
        <w:t>In (</w:t>
      </w:r>
      <w:r w:rsidR="00E142E3" w:rsidRPr="00BB7A5A">
        <w:rPr>
          <w:rFonts w:asciiTheme="minorHAnsi" w:hAnsiTheme="minorHAnsi" w:cstheme="minorBidi"/>
          <w:b/>
          <w:color w:val="auto"/>
          <w:sz w:val="22"/>
          <w:szCs w:val="22"/>
        </w:rPr>
        <w:t>b1)</w:t>
      </w:r>
      <w:r w:rsidR="00E142E3">
        <w:rPr>
          <w:rFonts w:asciiTheme="minorHAnsi" w:hAnsiTheme="minorHAnsi" w:cstheme="minorBidi"/>
          <w:color w:val="auto"/>
          <w:sz w:val="22"/>
          <w:szCs w:val="22"/>
        </w:rPr>
        <w:t xml:space="preserve"> AgamOBP47</w:t>
      </w:r>
      <w:r w:rsidR="00FF6D7E">
        <w:rPr>
          <w:rFonts w:asciiTheme="minorHAnsi" w:hAnsiTheme="minorHAnsi" w:cstheme="minorBidi"/>
          <w:color w:val="auto"/>
          <w:sz w:val="22"/>
          <w:szCs w:val="22"/>
        </w:rPr>
        <w:t>,</w:t>
      </w:r>
      <w:r w:rsidR="00E142E3">
        <w:rPr>
          <w:rFonts w:asciiTheme="minorHAnsi" w:hAnsiTheme="minorHAnsi" w:cstheme="minorBidi"/>
          <w:color w:val="auto"/>
          <w:sz w:val="22"/>
          <w:szCs w:val="22"/>
        </w:rPr>
        <w:t xml:space="preserve"> fifteen potential pockets were identified and the main </w:t>
      </w:r>
      <w:r w:rsidR="00BB7A5A">
        <w:rPr>
          <w:rFonts w:asciiTheme="minorHAnsi" w:hAnsiTheme="minorHAnsi" w:cstheme="minorBidi"/>
          <w:color w:val="auto"/>
          <w:sz w:val="22"/>
          <w:szCs w:val="22"/>
        </w:rPr>
        <w:t xml:space="preserve">binding </w:t>
      </w:r>
      <w:r w:rsidR="00E142E3">
        <w:rPr>
          <w:rFonts w:asciiTheme="minorHAnsi" w:hAnsiTheme="minorHAnsi" w:cstheme="minorBidi"/>
          <w:color w:val="auto"/>
          <w:sz w:val="22"/>
          <w:szCs w:val="22"/>
        </w:rPr>
        <w:t>pocke</w:t>
      </w:r>
      <w:r w:rsidR="00FF6D7E">
        <w:rPr>
          <w:rFonts w:asciiTheme="minorHAnsi" w:hAnsiTheme="minorHAnsi" w:cstheme="minorBidi"/>
          <w:color w:val="auto"/>
          <w:sz w:val="22"/>
          <w:szCs w:val="22"/>
        </w:rPr>
        <w:t>t (the active site) is pocket</w:t>
      </w:r>
      <w:r w:rsidR="00E142E3">
        <w:rPr>
          <w:rFonts w:asciiTheme="minorHAnsi" w:hAnsiTheme="minorHAnsi" w:cstheme="minorBidi"/>
          <w:color w:val="auto"/>
          <w:sz w:val="22"/>
          <w:szCs w:val="22"/>
        </w:rPr>
        <w:t xml:space="preserve"> number 15 labelled </w:t>
      </w:r>
      <w:r w:rsidR="00E142E3" w:rsidRPr="00E142E3">
        <w:rPr>
          <w:rFonts w:asciiTheme="minorHAnsi" w:hAnsiTheme="minorHAnsi" w:cstheme="minorBidi"/>
          <w:color w:val="FF00FF"/>
          <w:sz w:val="22"/>
          <w:szCs w:val="22"/>
        </w:rPr>
        <w:t>in pink</w:t>
      </w:r>
      <w:r w:rsidR="00E142E3">
        <w:rPr>
          <w:rFonts w:asciiTheme="minorHAnsi" w:hAnsiTheme="minorHAnsi" w:cstheme="minorBidi"/>
          <w:color w:val="FF00FF"/>
          <w:sz w:val="22"/>
          <w:szCs w:val="22"/>
        </w:rPr>
        <w:t xml:space="preserve">. </w:t>
      </w:r>
      <w:r w:rsidR="00E142E3">
        <w:rPr>
          <w:rFonts w:asciiTheme="minorHAnsi" w:hAnsiTheme="minorHAnsi" w:cstheme="minorBidi"/>
          <w:color w:val="auto"/>
          <w:sz w:val="22"/>
          <w:szCs w:val="22"/>
        </w:rPr>
        <w:t xml:space="preserve">  In (a2 and b2)</w:t>
      </w:r>
      <w:r w:rsidRPr="00E142E3">
        <w:rPr>
          <w:rFonts w:asciiTheme="minorHAnsi" w:hAnsiTheme="minorHAnsi" w:cstheme="minorBidi"/>
          <w:color w:val="auto"/>
          <w:sz w:val="22"/>
          <w:szCs w:val="22"/>
        </w:rPr>
        <w:t xml:space="preserve"> the main binding pockets (active sites) </w:t>
      </w:r>
      <w:r w:rsidR="00FF6D7E">
        <w:rPr>
          <w:rFonts w:asciiTheme="minorHAnsi" w:hAnsiTheme="minorHAnsi" w:cstheme="minorBidi"/>
          <w:color w:val="auto"/>
          <w:sz w:val="22"/>
          <w:szCs w:val="22"/>
        </w:rPr>
        <w:t xml:space="preserve">are highlighted </w:t>
      </w:r>
      <w:r w:rsidRPr="00E142E3">
        <w:rPr>
          <w:rFonts w:asciiTheme="minorHAnsi" w:hAnsiTheme="minorHAnsi" w:cstheme="minorBidi"/>
          <w:color w:val="FF00FF"/>
          <w:sz w:val="22"/>
          <w:szCs w:val="22"/>
        </w:rPr>
        <w:t>in pink</w:t>
      </w:r>
      <w:r w:rsidRPr="00E142E3">
        <w:rPr>
          <w:rFonts w:asciiTheme="minorHAnsi" w:hAnsiTheme="minorHAnsi" w:cstheme="minorBidi"/>
          <w:color w:val="auto"/>
          <w:sz w:val="22"/>
          <w:szCs w:val="22"/>
        </w:rPr>
        <w:t xml:space="preserve"> (a</w:t>
      </w:r>
      <w:r w:rsidR="00E142E3">
        <w:rPr>
          <w:rFonts w:asciiTheme="minorHAnsi" w:hAnsiTheme="minorHAnsi" w:cstheme="minorBidi"/>
          <w:color w:val="auto"/>
          <w:sz w:val="22"/>
          <w:szCs w:val="22"/>
        </w:rPr>
        <w:t>2</w:t>
      </w:r>
      <w:r w:rsidRPr="00E142E3">
        <w:rPr>
          <w:rFonts w:asciiTheme="minorHAnsi" w:hAnsiTheme="minorHAnsi" w:cstheme="minorBidi"/>
          <w:color w:val="auto"/>
          <w:sz w:val="22"/>
          <w:szCs w:val="22"/>
        </w:rPr>
        <w:t>) AgamOBP1 Pocket 17</w:t>
      </w:r>
      <w:r w:rsidR="00E142E3">
        <w:rPr>
          <w:rFonts w:asciiTheme="minorHAnsi" w:hAnsiTheme="minorHAnsi" w:cstheme="minorBidi"/>
          <w:color w:val="auto"/>
          <w:sz w:val="22"/>
          <w:szCs w:val="22"/>
        </w:rPr>
        <w:t>,</w:t>
      </w:r>
      <w:r w:rsidRPr="00E142E3">
        <w:rPr>
          <w:rFonts w:asciiTheme="minorHAnsi" w:hAnsiTheme="minorHAnsi" w:cstheme="minorBidi"/>
          <w:color w:val="auto"/>
          <w:sz w:val="22"/>
          <w:szCs w:val="22"/>
        </w:rPr>
        <w:t xml:space="preserve"> and (b1) AgamOBP47 Pocket 15 and their constituent amino acid residues. </w:t>
      </w:r>
      <w:r w:rsidR="00E142E3">
        <w:rPr>
          <w:rFonts w:asciiTheme="minorHAnsi" w:hAnsiTheme="minorHAnsi" w:cstheme="minorBidi"/>
          <w:color w:val="auto"/>
          <w:sz w:val="22"/>
          <w:szCs w:val="22"/>
        </w:rPr>
        <w:t>The figures we</w:t>
      </w:r>
      <w:r w:rsidR="00FF6D7E">
        <w:rPr>
          <w:rFonts w:asciiTheme="minorHAnsi" w:hAnsiTheme="minorHAnsi" w:cstheme="minorBidi"/>
          <w:color w:val="auto"/>
          <w:sz w:val="22"/>
          <w:szCs w:val="22"/>
        </w:rPr>
        <w:t xml:space="preserve">re rendered </w:t>
      </w:r>
      <w:r w:rsidR="00E142E3">
        <w:rPr>
          <w:rFonts w:asciiTheme="minorHAnsi" w:hAnsiTheme="minorHAnsi" w:cstheme="minorBidi"/>
          <w:color w:val="auto"/>
          <w:sz w:val="22"/>
          <w:szCs w:val="22"/>
        </w:rPr>
        <w:t xml:space="preserve"> using UCSF Chimera software from the potential binding pockets data generated by CASTp. </w:t>
      </w:r>
      <w:r w:rsidR="00FF6D7E">
        <w:rPr>
          <w:rFonts w:asciiTheme="minorHAnsi" w:hAnsiTheme="minorHAnsi" w:cstheme="minorBidi"/>
          <w:color w:val="auto"/>
          <w:sz w:val="22"/>
          <w:szCs w:val="22"/>
        </w:rPr>
        <w:t xml:space="preserve"> The characteristic</w:t>
      </w:r>
      <w:r w:rsidR="00BB7A5A">
        <w:rPr>
          <w:rFonts w:asciiTheme="minorHAnsi" w:hAnsiTheme="minorHAnsi" w:cstheme="minorBidi"/>
          <w:color w:val="auto"/>
          <w:sz w:val="22"/>
          <w:szCs w:val="22"/>
        </w:rPr>
        <w:t xml:space="preserve"> features of the main binding pockets (the active sites) for both proteins are summarised in </w:t>
      </w:r>
      <w:r w:rsidR="00BB7A5A" w:rsidRPr="00BB7A5A">
        <w:rPr>
          <w:rFonts w:asciiTheme="minorHAnsi" w:hAnsiTheme="minorHAnsi" w:cstheme="minorBidi"/>
          <w:b/>
          <w:color w:val="auto"/>
          <w:sz w:val="22"/>
          <w:szCs w:val="22"/>
        </w:rPr>
        <w:t>Table 2.</w:t>
      </w:r>
      <w:r w:rsidR="00BB7A5A">
        <w:rPr>
          <w:rFonts w:asciiTheme="minorHAnsi" w:hAnsiTheme="minorHAnsi" w:cstheme="minorBidi"/>
          <w:color w:val="auto"/>
          <w:sz w:val="22"/>
          <w:szCs w:val="22"/>
        </w:rPr>
        <w:t xml:space="preserve"> </w:t>
      </w:r>
    </w:p>
    <w:p w14:paraId="3D643984" w14:textId="77777777" w:rsidR="00B45162" w:rsidRPr="00E142E3" w:rsidRDefault="00B45162" w:rsidP="00EC06C1"/>
    <w:p w14:paraId="48FF49D4" w14:textId="77777777" w:rsidR="00B45162" w:rsidRDefault="00B45162" w:rsidP="00EC06C1"/>
    <w:p w14:paraId="04C031CC" w14:textId="77777777" w:rsidR="00B45162" w:rsidRDefault="00B45162" w:rsidP="00EC06C1"/>
    <w:p w14:paraId="5C43022D" w14:textId="77777777" w:rsidR="00B45162" w:rsidRPr="00EC06C1" w:rsidRDefault="00B45162" w:rsidP="00EC06C1"/>
    <w:p w14:paraId="4341D4A3" w14:textId="234EA4F7" w:rsidR="00EC06C1" w:rsidRPr="00EC06C1" w:rsidRDefault="00EC06C1" w:rsidP="00EC06C1">
      <w:pPr>
        <w:spacing w:before="60" w:after="60" w:line="240" w:lineRule="auto"/>
        <w:jc w:val="both"/>
        <w:rPr>
          <w:rFonts w:ascii="Calibri" w:eastAsia="Calibri" w:hAnsi="Calibri" w:cs="Arial"/>
          <w:noProof/>
          <w:lang w:eastAsia="en-GB"/>
        </w:rPr>
      </w:pPr>
      <w:r w:rsidRPr="00EC06C1">
        <w:rPr>
          <w:rFonts w:ascii="Calibri" w:eastAsia="Calibri" w:hAnsi="Calibri" w:cs="Arial"/>
          <w:noProof/>
          <w:lang w:eastAsia="en-GB"/>
        </w:rPr>
        <w:t xml:space="preserve">   </w:t>
      </w:r>
      <w:r w:rsidRPr="00EC06C1">
        <w:rPr>
          <w:rFonts w:ascii="Calibri" w:eastAsia="Calibri" w:hAnsi="Calibri" w:cs="Arial"/>
          <w:noProof/>
          <w:lang w:eastAsia="en-GB"/>
        </w:rPr>
        <w:drawing>
          <wp:inline distT="0" distB="0" distL="0" distR="0" wp14:anchorId="6ECCBB3F" wp14:editId="39AEF7E7">
            <wp:extent cx="1673628" cy="193154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585" cy="1931491"/>
                    </a:xfrm>
                    <a:prstGeom prst="rect">
                      <a:avLst/>
                    </a:prstGeom>
                    <a:noFill/>
                  </pic:spPr>
                </pic:pic>
              </a:graphicData>
            </a:graphic>
          </wp:inline>
        </w:drawing>
      </w:r>
      <w:r w:rsidRPr="00EC06C1">
        <w:rPr>
          <w:rFonts w:ascii="Calibri" w:eastAsia="Calibri" w:hAnsi="Calibri" w:cs="Arial"/>
          <w:noProof/>
          <w:lang w:eastAsia="en-GB"/>
        </w:rPr>
        <w:t xml:space="preserve">    </w:t>
      </w:r>
      <w:r w:rsidRPr="00EC06C1">
        <w:rPr>
          <w:rFonts w:ascii="Calibri" w:eastAsia="Calibri" w:hAnsi="Calibri" w:cs="Arial"/>
          <w:noProof/>
          <w:lang w:eastAsia="en-GB"/>
        </w:rPr>
        <w:drawing>
          <wp:inline distT="0" distB="0" distL="0" distR="0" wp14:anchorId="6F5574E9" wp14:editId="44514A39">
            <wp:extent cx="1648437" cy="1940110"/>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7525" cy="1939036"/>
                    </a:xfrm>
                    <a:prstGeom prst="rect">
                      <a:avLst/>
                    </a:prstGeom>
                    <a:noFill/>
                  </pic:spPr>
                </pic:pic>
              </a:graphicData>
            </a:graphic>
          </wp:inline>
        </w:drawing>
      </w:r>
      <w:r w:rsidRPr="00EC06C1">
        <w:rPr>
          <w:rFonts w:ascii="Calibri" w:eastAsia="Calibri" w:hAnsi="Calibri" w:cs="Arial"/>
          <w:noProof/>
          <w:lang w:eastAsia="en-GB"/>
        </w:rPr>
        <w:t xml:space="preserve">   </w:t>
      </w:r>
      <w:r w:rsidRPr="00EC06C1">
        <w:rPr>
          <w:rFonts w:ascii="Calibri" w:eastAsia="Calibri" w:hAnsi="Calibri" w:cs="Arial"/>
          <w:noProof/>
          <w:lang w:eastAsia="en-GB"/>
        </w:rPr>
        <w:drawing>
          <wp:inline distT="0" distB="0" distL="0" distR="0" wp14:anchorId="25D3C395" wp14:editId="09E7F92B">
            <wp:extent cx="1678448" cy="19332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4449" cy="1940133"/>
                    </a:xfrm>
                    <a:prstGeom prst="rect">
                      <a:avLst/>
                    </a:prstGeom>
                    <a:noFill/>
                  </pic:spPr>
                </pic:pic>
              </a:graphicData>
            </a:graphic>
          </wp:inline>
        </w:drawing>
      </w:r>
    </w:p>
    <w:p w14:paraId="42DBD8ED" w14:textId="77777777" w:rsidR="00B45162" w:rsidRDefault="00B45162" w:rsidP="00EC06C1">
      <w:pPr>
        <w:spacing w:before="60" w:after="60" w:line="240" w:lineRule="auto"/>
        <w:jc w:val="both"/>
        <w:rPr>
          <w:rFonts w:ascii="Arial" w:eastAsia="Calibri" w:hAnsi="Arial" w:cs="Arial"/>
          <w:b/>
          <w:iCs/>
        </w:rPr>
      </w:pPr>
    </w:p>
    <w:p w14:paraId="56DD1DDD" w14:textId="4BCEC335" w:rsidR="00EC06C1" w:rsidRPr="000D3896" w:rsidRDefault="000D3896" w:rsidP="00B45162">
      <w:r w:rsidRPr="00862643">
        <w:rPr>
          <w:b/>
        </w:rPr>
        <w:t xml:space="preserve">Suppl. Material Figure </w:t>
      </w:r>
      <w:r w:rsidR="00083110">
        <w:rPr>
          <w:b/>
        </w:rPr>
        <w:t>S</w:t>
      </w:r>
      <w:r w:rsidR="00AF0C66">
        <w:rPr>
          <w:b/>
        </w:rPr>
        <w:t>4</w:t>
      </w:r>
      <w:r w:rsidR="00EC06C1" w:rsidRPr="00EC06C1">
        <w:rPr>
          <w:b/>
        </w:rPr>
        <w:t xml:space="preserve">: </w:t>
      </w:r>
      <w:r w:rsidR="00FF6D7E">
        <w:rPr>
          <w:b/>
        </w:rPr>
        <w:t>V</w:t>
      </w:r>
      <w:r w:rsidR="00EC06C1" w:rsidRPr="00EC06C1">
        <w:rPr>
          <w:b/>
        </w:rPr>
        <w:t xml:space="preserve">isualisation of the docking outcomes using UCF Chimera: </w:t>
      </w:r>
      <w:r w:rsidR="00FF6D7E">
        <w:t>The d</w:t>
      </w:r>
      <w:r w:rsidR="00EC06C1" w:rsidRPr="00EC06C1">
        <w:t>ocking outcome for AgamOBP1_ S82P mutant with a cocaine molecule i</w:t>
      </w:r>
      <w:r w:rsidR="00FF6D7E">
        <w:t>s presented as an example. (a) all predicted clusters; (b) b</w:t>
      </w:r>
      <w:r w:rsidR="00EC06C1" w:rsidRPr="00EC06C1">
        <w:t xml:space="preserve">inding pocket clusters, (c) the most energetic cluster rank (binding mode) at the binding pocket. For docking experiments, target drug molecules in addition to the fluorescence probe 1-NPN were investigated.  The latter is used in displacement binding experiments to determine the affinities of binding of target ligands. The docking </w:t>
      </w:r>
      <w:r w:rsidR="00F131A2">
        <w:t>tool was</w:t>
      </w:r>
      <w:r w:rsidR="00EC06C1" w:rsidRPr="00EC06C1">
        <w:t xml:space="preserve"> the Swissdock server (Swiss Institute of Bioinformatics (http://swissdock.vital-it.ch/docking) which operates using “EADock DSS software”. Each of the 28 potential mutants for AgamOBP1 plus the WT was dock</w:t>
      </w:r>
      <w:r w:rsidR="00F131A2">
        <w:t xml:space="preserve">ed with </w:t>
      </w:r>
      <w:r w:rsidR="00FF6D7E">
        <w:t>each</w:t>
      </w:r>
      <w:r w:rsidR="00F131A2">
        <w:t xml:space="preserve"> of the seven drug</w:t>
      </w:r>
      <w:r w:rsidR="00EC06C1" w:rsidRPr="00EC06C1">
        <w:t xml:space="preserve"> target ligands. During the docking procedure, the software generates many binding modes simultaneously and their energies are estimated. The binding modes with the most favourable energies were evaluated and clustered. For each docking outcome up to 42 clusters were generated, each with several rankings, a cluster is a binding mode and within it there are several ranks, each rank  has slightly different energy value compar</w:t>
      </w:r>
      <w:r w:rsidR="00FF6D7E">
        <w:t>ed to  another rank, some of the</w:t>
      </w:r>
      <w:r w:rsidR="00EC06C1" w:rsidRPr="00EC06C1">
        <w:t xml:space="preserve">se ranks are just repetitions, </w:t>
      </w:r>
      <w:r w:rsidR="00FF6D7E">
        <w:t>a much bigger energy difference</w:t>
      </w:r>
      <w:r w:rsidR="00EC06C1" w:rsidRPr="00EC06C1">
        <w:t xml:space="preserve"> occurs betwee</w:t>
      </w:r>
      <w:r w:rsidR="00C364D4">
        <w:t>n one binding mode to the other</w:t>
      </w:r>
      <w:r w:rsidR="00EC06C1" w:rsidRPr="00EC06C1">
        <w:t>. The data were visualised using the plug in “U</w:t>
      </w:r>
      <w:r w:rsidR="00FF6D7E">
        <w:t>CF Chimera”. Initially all non-</w:t>
      </w:r>
      <w:r w:rsidR="00EC06C1" w:rsidRPr="00EC06C1">
        <w:t>binding pocket clusters were eliminated. Then the most energetic binding pocket cluster was selected and refined by</w:t>
      </w:r>
      <w:r w:rsidR="00FF6D7E">
        <w:t xml:space="preserve"> eliminating any repeated ranks</w:t>
      </w:r>
      <w:r w:rsidR="00EC06C1" w:rsidRPr="00EC06C1">
        <w:t xml:space="preserve"> and (for each ligand against each protein variant) this value was then recorded in</w:t>
      </w:r>
      <w:r w:rsidR="00F131A2">
        <w:t xml:space="preserve"> </w:t>
      </w:r>
      <w:r w:rsidR="00EC06C1" w:rsidRPr="00EC06C1">
        <w:t xml:space="preserve">Supplementary Material Table </w:t>
      </w:r>
      <w:r w:rsidR="00C10A59">
        <w:t>S</w:t>
      </w:r>
      <w:r w:rsidR="00EC06C1" w:rsidRPr="00EC06C1">
        <w:t xml:space="preserve">2.  </w:t>
      </w:r>
    </w:p>
    <w:p w14:paraId="11B7527D" w14:textId="77777777" w:rsidR="00B45162" w:rsidRDefault="00B45162" w:rsidP="00EC06C1">
      <w:pPr>
        <w:spacing w:before="60" w:after="60" w:line="240" w:lineRule="auto"/>
        <w:jc w:val="both"/>
        <w:rPr>
          <w:rFonts w:ascii="Arial" w:eastAsia="Calibri" w:hAnsi="Arial" w:cs="Arial"/>
          <w:iCs/>
        </w:rPr>
      </w:pPr>
    </w:p>
    <w:p w14:paraId="40E44C98" w14:textId="40FD1C41" w:rsidR="00B45162" w:rsidRDefault="00861FDD" w:rsidP="00EC06C1">
      <w:pPr>
        <w:spacing w:before="60" w:after="60" w:line="240" w:lineRule="auto"/>
        <w:jc w:val="both"/>
        <w:rPr>
          <w:rFonts w:ascii="Arial" w:eastAsia="Calibri" w:hAnsi="Arial" w:cs="Arial"/>
          <w:iCs/>
        </w:rPr>
      </w:pPr>
      <w:r>
        <w:rPr>
          <w:rFonts w:ascii="Arial" w:eastAsia="Calibri" w:hAnsi="Arial" w:cs="Arial"/>
          <w:iCs/>
        </w:rPr>
        <w:lastRenderedPageBreak/>
        <w:t xml:space="preserve">      </w:t>
      </w:r>
      <w:r>
        <w:rPr>
          <w:noProof/>
          <w:lang w:eastAsia="en-GB"/>
        </w:rPr>
        <w:drawing>
          <wp:inline distT="0" distB="0" distL="0" distR="0" wp14:anchorId="0E8FDC60" wp14:editId="6652EC2B">
            <wp:extent cx="4231101" cy="33390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511" cy="3337781"/>
                    </a:xfrm>
                    <a:prstGeom prst="rect">
                      <a:avLst/>
                    </a:prstGeom>
                    <a:noFill/>
                    <a:ln>
                      <a:noFill/>
                    </a:ln>
                    <a:effectLst/>
                  </pic:spPr>
                </pic:pic>
              </a:graphicData>
            </a:graphic>
          </wp:inline>
        </w:drawing>
      </w:r>
    </w:p>
    <w:p w14:paraId="115B2C21" w14:textId="77777777" w:rsidR="00B45162" w:rsidRDefault="00B45162" w:rsidP="00EC06C1">
      <w:pPr>
        <w:spacing w:before="60" w:after="60" w:line="240" w:lineRule="auto"/>
        <w:jc w:val="both"/>
        <w:rPr>
          <w:rFonts w:ascii="Arial" w:eastAsia="Calibri" w:hAnsi="Arial" w:cs="Arial"/>
          <w:iCs/>
        </w:rPr>
      </w:pPr>
    </w:p>
    <w:p w14:paraId="71B89759" w14:textId="17183450" w:rsidR="00B45162" w:rsidRDefault="00861FDD" w:rsidP="00EC06C1">
      <w:pPr>
        <w:spacing w:before="60" w:after="60" w:line="240" w:lineRule="auto"/>
        <w:jc w:val="both"/>
        <w:rPr>
          <w:rFonts w:ascii="Arial" w:eastAsia="Calibri" w:hAnsi="Arial" w:cs="Arial"/>
          <w:iCs/>
        </w:rPr>
      </w:pPr>
      <w:r>
        <w:rPr>
          <w:rFonts w:ascii="Arial" w:eastAsia="Calibri" w:hAnsi="Arial" w:cs="Arial"/>
          <w:iCs/>
        </w:rPr>
        <w:t xml:space="preserve">    </w:t>
      </w:r>
      <w:r>
        <w:rPr>
          <w:noProof/>
          <w:lang w:eastAsia="en-GB"/>
        </w:rPr>
        <w:drawing>
          <wp:inline distT="0" distB="0" distL="0" distR="0" wp14:anchorId="5923FDCC" wp14:editId="5C832BA2">
            <wp:extent cx="4292438" cy="3562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8812" cy="3567750"/>
                    </a:xfrm>
                    <a:prstGeom prst="rect">
                      <a:avLst/>
                    </a:prstGeom>
                    <a:noFill/>
                  </pic:spPr>
                </pic:pic>
              </a:graphicData>
            </a:graphic>
          </wp:inline>
        </w:drawing>
      </w:r>
    </w:p>
    <w:p w14:paraId="5193155C" w14:textId="77777777" w:rsidR="00B45162" w:rsidRDefault="00B45162" w:rsidP="00EC06C1">
      <w:pPr>
        <w:spacing w:before="60" w:after="60" w:line="240" w:lineRule="auto"/>
        <w:jc w:val="both"/>
        <w:rPr>
          <w:rFonts w:ascii="Arial" w:eastAsia="Calibri" w:hAnsi="Arial" w:cs="Arial"/>
          <w:iCs/>
        </w:rPr>
      </w:pPr>
    </w:p>
    <w:p w14:paraId="763214BB" w14:textId="253B57B4" w:rsidR="00EC06C1" w:rsidRDefault="00EC06C1" w:rsidP="00F86734">
      <w:r w:rsidRPr="00862643">
        <w:rPr>
          <w:rFonts w:cs="Times New Roman"/>
          <w:b/>
        </w:rPr>
        <w:t xml:space="preserve">Suppl. Material Figure </w:t>
      </w:r>
      <w:r w:rsidR="00083110">
        <w:rPr>
          <w:rFonts w:cs="Times New Roman"/>
          <w:b/>
        </w:rPr>
        <w:t>S</w:t>
      </w:r>
      <w:r w:rsidR="00AF0C66">
        <w:rPr>
          <w:rFonts w:cs="Times New Roman"/>
          <w:b/>
        </w:rPr>
        <w:t>5</w:t>
      </w:r>
      <w:r w:rsidRPr="00862643">
        <w:rPr>
          <w:rFonts w:cs="Times New Roman"/>
          <w:b/>
        </w:rPr>
        <w:t xml:space="preserve">: Mouth openings for the active site of AgamOBP1.  (a1) </w:t>
      </w:r>
      <w:r w:rsidRPr="00862643">
        <w:rPr>
          <w:rFonts w:cs="Times New Roman"/>
        </w:rPr>
        <w:t xml:space="preserve">Mouth openings for the active site of AgamOBP1, residues making </w:t>
      </w:r>
      <w:r>
        <w:rPr>
          <w:rFonts w:cs="Times New Roman"/>
        </w:rPr>
        <w:t xml:space="preserve">up the </w:t>
      </w:r>
      <w:r w:rsidRPr="00862643">
        <w:rPr>
          <w:rFonts w:cs="Times New Roman"/>
        </w:rPr>
        <w:t xml:space="preserve">entry mouth are shown in </w:t>
      </w:r>
      <w:r w:rsidR="00C364D4" w:rsidRPr="00C364D4">
        <w:rPr>
          <w:rFonts w:cs="Times New Roman"/>
          <w:color w:val="FF0000"/>
        </w:rPr>
        <w:t>red</w:t>
      </w:r>
      <w:r w:rsidRPr="00862643">
        <w:rPr>
          <w:rFonts w:cs="Times New Roman"/>
        </w:rPr>
        <w:t xml:space="preserve">, while residues making </w:t>
      </w:r>
      <w:r>
        <w:rPr>
          <w:rFonts w:cs="Times New Roman"/>
        </w:rPr>
        <w:t xml:space="preserve">up </w:t>
      </w:r>
      <w:r w:rsidRPr="00862643">
        <w:rPr>
          <w:rFonts w:cs="Times New Roman"/>
        </w:rPr>
        <w:t xml:space="preserve">the exit mouth are shown in </w:t>
      </w:r>
      <w:r w:rsidRPr="00862643">
        <w:rPr>
          <w:rFonts w:cs="Times New Roman"/>
          <w:color w:val="FF00FF"/>
        </w:rPr>
        <w:t xml:space="preserve">magenta, </w:t>
      </w:r>
      <w:r w:rsidRPr="00862643">
        <w:rPr>
          <w:rFonts w:cs="Times New Roman"/>
        </w:rPr>
        <w:t>while</w:t>
      </w:r>
      <w:r w:rsidR="00C364D4">
        <w:rPr>
          <w:rFonts w:cs="Times New Roman"/>
        </w:rPr>
        <w:t xml:space="preserve"> in</w:t>
      </w:r>
      <w:r w:rsidRPr="00862643">
        <w:rPr>
          <w:rFonts w:cs="Times New Roman"/>
        </w:rPr>
        <w:t xml:space="preserve"> </w:t>
      </w:r>
      <w:r w:rsidRPr="00862643">
        <w:rPr>
          <w:rFonts w:cs="Times New Roman"/>
          <w:b/>
        </w:rPr>
        <w:t>(a2)</w:t>
      </w:r>
      <w:r w:rsidRPr="00862643">
        <w:rPr>
          <w:rFonts w:cs="Times New Roman"/>
        </w:rPr>
        <w:t xml:space="preserve"> the mouths are shown interactively (hydrophobicity surface).</w:t>
      </w:r>
      <w:r w:rsidR="003111BC">
        <w:rPr>
          <w:rFonts w:cs="Times New Roman"/>
        </w:rPr>
        <w:t xml:space="preserve"> </w:t>
      </w:r>
      <w:r w:rsidR="00582AE5">
        <w:rPr>
          <w:rFonts w:cs="Times New Roman"/>
        </w:rPr>
        <w:t>I</w:t>
      </w:r>
      <w:r w:rsidR="003111BC" w:rsidRPr="002F0CB5">
        <w:t xml:space="preserve">n AgamOBP1 the active site </w:t>
      </w:r>
      <w:r w:rsidR="00C364D4">
        <w:t xml:space="preserve">channel </w:t>
      </w:r>
      <w:r w:rsidR="003111BC" w:rsidRPr="002F0CB5">
        <w:t>has a distinct entry mouth and an exit mouth</w:t>
      </w:r>
      <w:r w:rsidR="003111BC">
        <w:rPr>
          <w:b/>
        </w:rPr>
        <w:t xml:space="preserve">. </w:t>
      </w:r>
      <w:r w:rsidR="003111BC" w:rsidRPr="00425C46">
        <w:rPr>
          <w:b/>
        </w:rPr>
        <w:t xml:space="preserve"> </w:t>
      </w:r>
      <w:r w:rsidR="003111BC" w:rsidRPr="0012726E">
        <w:t xml:space="preserve">  </w:t>
      </w:r>
      <w:r w:rsidR="003111BC">
        <w:t>F</w:t>
      </w:r>
      <w:r w:rsidR="003111BC" w:rsidRPr="002F0CB5">
        <w:t>rom</w:t>
      </w:r>
      <w:r w:rsidR="003111BC">
        <w:t xml:space="preserve"> this figure and T</w:t>
      </w:r>
      <w:r w:rsidR="003111BC" w:rsidRPr="002F0CB5">
        <w:t xml:space="preserve">able 1, the residues making </w:t>
      </w:r>
      <w:r w:rsidR="00C364D4">
        <w:t xml:space="preserve">up </w:t>
      </w:r>
      <w:r w:rsidR="003111BC" w:rsidRPr="002F0CB5">
        <w:t xml:space="preserve">the entry mouth are L73, H77, S79, L80, M89, K93, and L96, while those making </w:t>
      </w:r>
      <w:r w:rsidR="00C364D4">
        <w:t xml:space="preserve">up the </w:t>
      </w:r>
      <w:r w:rsidR="003111BC" w:rsidRPr="002F0CB5">
        <w:t>exit mouth are L15, L19, and A62</w:t>
      </w:r>
      <w:r w:rsidR="003111BC">
        <w:t xml:space="preserve">.  </w:t>
      </w:r>
    </w:p>
    <w:p w14:paraId="0ED8269C" w14:textId="77777777" w:rsidR="00EF7A3D" w:rsidRPr="00862643" w:rsidRDefault="00EF7A3D" w:rsidP="00F86734">
      <w:pPr>
        <w:rPr>
          <w:rFonts w:cs="Times New Roman"/>
        </w:rPr>
      </w:pPr>
    </w:p>
    <w:p w14:paraId="785D8995" w14:textId="77777777" w:rsidR="00F86734" w:rsidRPr="00862643" w:rsidRDefault="00F86734" w:rsidP="00F86734">
      <w:r w:rsidRPr="00862643">
        <w:t xml:space="preserve">                   </w:t>
      </w:r>
      <w:r w:rsidRPr="00862643">
        <w:rPr>
          <w:noProof/>
          <w:lang w:eastAsia="en-GB"/>
        </w:rPr>
        <w:drawing>
          <wp:inline distT="0" distB="0" distL="0" distR="0" wp14:anchorId="022DF6A1" wp14:editId="385B2035">
            <wp:extent cx="4121386" cy="28785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5952" cy="2881703"/>
                    </a:xfrm>
                    <a:prstGeom prst="rect">
                      <a:avLst/>
                    </a:prstGeom>
                    <a:noFill/>
                  </pic:spPr>
                </pic:pic>
              </a:graphicData>
            </a:graphic>
          </wp:inline>
        </w:drawing>
      </w:r>
    </w:p>
    <w:p w14:paraId="37740C25" w14:textId="77777777" w:rsidR="00F86734" w:rsidRPr="00862643" w:rsidRDefault="00F86734" w:rsidP="00F86734">
      <w:pPr>
        <w:autoSpaceDE w:val="0"/>
        <w:autoSpaceDN w:val="0"/>
        <w:adjustRightInd w:val="0"/>
        <w:spacing w:after="0"/>
        <w:jc w:val="both"/>
        <w:rPr>
          <w:rFonts w:cs="Times New Roman"/>
          <w:b/>
        </w:rPr>
      </w:pPr>
      <w:r w:rsidRPr="00862643">
        <w:rPr>
          <w:rFonts w:cs="Times New Roman"/>
          <w:b/>
          <w:noProof/>
          <w:lang w:eastAsia="en-GB"/>
        </w:rPr>
        <w:drawing>
          <wp:inline distT="0" distB="0" distL="0" distR="0" wp14:anchorId="1AEF610F" wp14:editId="6C6B31B9">
            <wp:extent cx="5178058" cy="131707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614" cy="1318739"/>
                    </a:xfrm>
                    <a:prstGeom prst="rect">
                      <a:avLst/>
                    </a:prstGeom>
                    <a:noFill/>
                  </pic:spPr>
                </pic:pic>
              </a:graphicData>
            </a:graphic>
          </wp:inline>
        </w:drawing>
      </w:r>
    </w:p>
    <w:p w14:paraId="7A02BA62" w14:textId="77777777" w:rsidR="00F86734" w:rsidRPr="00862643" w:rsidRDefault="00F86734" w:rsidP="00F86734">
      <w:pPr>
        <w:autoSpaceDE w:val="0"/>
        <w:autoSpaceDN w:val="0"/>
        <w:adjustRightInd w:val="0"/>
        <w:spacing w:after="0"/>
        <w:jc w:val="both"/>
        <w:rPr>
          <w:rFonts w:cs="Times New Roman"/>
          <w:b/>
        </w:rPr>
      </w:pPr>
    </w:p>
    <w:p w14:paraId="55B544BA" w14:textId="70A05B45" w:rsidR="00F86734" w:rsidRPr="00862643" w:rsidRDefault="00F86734" w:rsidP="00F86734">
      <w:pPr>
        <w:jc w:val="both"/>
        <w:rPr>
          <w:rFonts w:cs="Times New Roman"/>
        </w:rPr>
      </w:pPr>
      <w:r w:rsidRPr="00862643">
        <w:rPr>
          <w:rFonts w:cs="Times New Roman"/>
          <w:b/>
        </w:rPr>
        <w:t xml:space="preserve">Suppl. Material Figure </w:t>
      </w:r>
      <w:r w:rsidR="00083110">
        <w:rPr>
          <w:rFonts w:cs="Times New Roman"/>
          <w:b/>
        </w:rPr>
        <w:t>S</w:t>
      </w:r>
      <w:r w:rsidR="00AF0C66">
        <w:rPr>
          <w:rFonts w:cs="Times New Roman"/>
          <w:b/>
        </w:rPr>
        <w:t>6</w:t>
      </w:r>
      <w:r w:rsidRPr="00862643">
        <w:rPr>
          <w:rFonts w:cs="Times New Roman"/>
          <w:b/>
        </w:rPr>
        <w:t>: AgamOBP1 Conformational changes due to mutations: Effect on Ligand binding</w:t>
      </w:r>
      <w:r w:rsidRPr="00862643">
        <w:rPr>
          <w:rFonts w:cs="Times New Roman"/>
        </w:rPr>
        <w:t xml:space="preserve">. In </w:t>
      </w:r>
      <w:r w:rsidR="000A783B">
        <w:rPr>
          <w:rFonts w:cs="Times New Roman"/>
          <w:b/>
        </w:rPr>
        <w:t xml:space="preserve">(a </w:t>
      </w:r>
      <w:r w:rsidRPr="00862643">
        <w:rPr>
          <w:rFonts w:cs="Times New Roman"/>
          <w:b/>
        </w:rPr>
        <w:t>and b)</w:t>
      </w:r>
      <w:r w:rsidRPr="00862643">
        <w:rPr>
          <w:rFonts w:cs="Times New Roman"/>
        </w:rPr>
        <w:t xml:space="preserve"> the residues at the mouth of the binding pocket are shown. For WT_AgamO</w:t>
      </w:r>
      <w:r w:rsidR="00DE7F71">
        <w:rPr>
          <w:rFonts w:cs="Times New Roman"/>
        </w:rPr>
        <w:t>BP1</w:t>
      </w:r>
      <w:r w:rsidR="006A300F">
        <w:rPr>
          <w:rFonts w:cs="Times New Roman"/>
        </w:rPr>
        <w:t xml:space="preserve"> </w:t>
      </w:r>
      <w:r w:rsidR="006A300F" w:rsidRPr="006A300F">
        <w:rPr>
          <w:rFonts w:cs="Times New Roman"/>
          <w:b/>
        </w:rPr>
        <w:t>(a)</w:t>
      </w:r>
      <w:r w:rsidR="00DE7F71">
        <w:rPr>
          <w:rFonts w:cs="Times New Roman"/>
        </w:rPr>
        <w:t xml:space="preserve">, the ligands are largely </w:t>
      </w:r>
      <w:r w:rsidR="00C364D4">
        <w:rPr>
          <w:rFonts w:cs="Times New Roman"/>
        </w:rPr>
        <w:t>blocked</w:t>
      </w:r>
      <w:r w:rsidRPr="00862643">
        <w:rPr>
          <w:rFonts w:cs="Times New Roman"/>
        </w:rPr>
        <w:t xml:space="preserve"> at the inlet mouth and interact with the residues surrounding that area.  In the case of </w:t>
      </w:r>
      <w:r w:rsidR="00E24A15">
        <w:rPr>
          <w:rFonts w:cs="Times New Roman"/>
        </w:rPr>
        <w:t>the mutants like AgamOBP1_ S82P</w:t>
      </w:r>
      <w:r w:rsidR="006A300F">
        <w:rPr>
          <w:rFonts w:cs="Times New Roman"/>
        </w:rPr>
        <w:t xml:space="preserve"> </w:t>
      </w:r>
      <w:r w:rsidR="006A300F" w:rsidRPr="006A300F">
        <w:rPr>
          <w:rFonts w:cs="Times New Roman"/>
          <w:b/>
        </w:rPr>
        <w:t>(b)</w:t>
      </w:r>
      <w:r w:rsidR="006A300F">
        <w:rPr>
          <w:rFonts w:cs="Times New Roman"/>
        </w:rPr>
        <w:t xml:space="preserve"> </w:t>
      </w:r>
      <w:r w:rsidRPr="00862643">
        <w:rPr>
          <w:rFonts w:cs="Times New Roman"/>
        </w:rPr>
        <w:t xml:space="preserve">the pocket now appears flexible and ligands like atropine and THC are able to penetrate fully into </w:t>
      </w:r>
      <w:r w:rsidR="006A300F">
        <w:rPr>
          <w:rFonts w:cs="Times New Roman"/>
        </w:rPr>
        <w:t xml:space="preserve">the </w:t>
      </w:r>
      <w:r w:rsidRPr="00862643">
        <w:rPr>
          <w:rFonts w:cs="Times New Roman"/>
        </w:rPr>
        <w:t>binding pocket. In the case of h</w:t>
      </w:r>
      <w:r w:rsidR="00DE7F71">
        <w:rPr>
          <w:rFonts w:cs="Times New Roman"/>
        </w:rPr>
        <w:t>eroin,</w:t>
      </w:r>
      <w:r w:rsidRPr="00862643">
        <w:rPr>
          <w:rFonts w:cs="Times New Roman"/>
        </w:rPr>
        <w:t xml:space="preserve"> </w:t>
      </w:r>
      <w:r w:rsidR="00DE7F71">
        <w:rPr>
          <w:rFonts w:cs="Times New Roman"/>
        </w:rPr>
        <w:t xml:space="preserve">which is </w:t>
      </w:r>
      <w:r w:rsidRPr="00862643">
        <w:rPr>
          <w:rFonts w:cs="Times New Roman"/>
        </w:rPr>
        <w:t xml:space="preserve">a larger molecule compared to other ligands, it still follows the same route as the other ligands for WT but for the mutant the heroin molecule manages to slightly stretch the inlet mouth. In both cases it is just one of the two carboxylic moieties of heroin molecule that is able to penetrate the mouth openings of WT and mutant. The heroin molecule is unable to penetrate the binding pocket fully. In </w:t>
      </w:r>
      <w:r w:rsidRPr="00862643">
        <w:rPr>
          <w:rFonts w:cs="Times New Roman"/>
          <w:b/>
        </w:rPr>
        <w:t>a1</w:t>
      </w:r>
      <w:r w:rsidRPr="00862643">
        <w:rPr>
          <w:rFonts w:cs="Times New Roman"/>
        </w:rPr>
        <w:t xml:space="preserve"> and </w:t>
      </w:r>
      <w:r w:rsidRPr="00862643">
        <w:rPr>
          <w:rFonts w:cs="Times New Roman"/>
          <w:b/>
        </w:rPr>
        <w:t>b1</w:t>
      </w:r>
      <w:r w:rsidRPr="00862643">
        <w:rPr>
          <w:rFonts w:cs="Times New Roman"/>
        </w:rPr>
        <w:t xml:space="preserve">, stick models are illustrated, while in </w:t>
      </w:r>
      <w:r w:rsidRPr="00862643">
        <w:rPr>
          <w:rFonts w:cs="Times New Roman"/>
          <w:b/>
        </w:rPr>
        <w:t xml:space="preserve">a2 </w:t>
      </w:r>
      <w:r w:rsidRPr="00862643">
        <w:rPr>
          <w:rFonts w:cs="Times New Roman"/>
        </w:rPr>
        <w:t>and</w:t>
      </w:r>
      <w:r w:rsidRPr="00862643">
        <w:rPr>
          <w:rFonts w:cs="Times New Roman"/>
          <w:b/>
        </w:rPr>
        <w:t xml:space="preserve"> b2</w:t>
      </w:r>
      <w:r w:rsidRPr="00862643">
        <w:rPr>
          <w:rFonts w:cs="Times New Roman"/>
        </w:rPr>
        <w:t xml:space="preserve"> the mouths and ligands are shown interactively (hydrophobicity surface). In (</w:t>
      </w:r>
      <w:r w:rsidRPr="00862643">
        <w:rPr>
          <w:rFonts w:cs="Times New Roman"/>
          <w:b/>
        </w:rPr>
        <w:t xml:space="preserve">c </w:t>
      </w:r>
      <w:r w:rsidRPr="00862643">
        <w:rPr>
          <w:rFonts w:cs="Times New Roman"/>
        </w:rPr>
        <w:t xml:space="preserve">and </w:t>
      </w:r>
      <w:r w:rsidRPr="00862643">
        <w:rPr>
          <w:rFonts w:cs="Times New Roman"/>
          <w:b/>
        </w:rPr>
        <w:t>d</w:t>
      </w:r>
      <w:r w:rsidRPr="00862643">
        <w:rPr>
          <w:rFonts w:cs="Times New Roman"/>
        </w:rPr>
        <w:t xml:space="preserve">) the binding of a heroin molecule to the pocket of </w:t>
      </w:r>
      <w:r w:rsidRPr="00862643">
        <w:rPr>
          <w:rFonts w:cs="Times New Roman"/>
          <w:b/>
        </w:rPr>
        <w:t>(c)</w:t>
      </w:r>
      <w:r w:rsidRPr="00862643">
        <w:rPr>
          <w:rFonts w:cs="Times New Roman"/>
        </w:rPr>
        <w:t xml:space="preserve"> WT and </w:t>
      </w:r>
      <w:r w:rsidRPr="00862643">
        <w:rPr>
          <w:rFonts w:cs="Times New Roman"/>
          <w:b/>
        </w:rPr>
        <w:t>(d)</w:t>
      </w:r>
      <w:r w:rsidR="0009345F">
        <w:rPr>
          <w:rFonts w:cs="Times New Roman"/>
        </w:rPr>
        <w:t xml:space="preserve"> AgamOBP1_S82P is</w:t>
      </w:r>
      <w:r w:rsidRPr="00862643">
        <w:rPr>
          <w:rFonts w:cs="Times New Roman"/>
        </w:rPr>
        <w:t xml:space="preserve"> shown in more detail, illustrating in </w:t>
      </w:r>
      <w:r w:rsidRPr="00862643">
        <w:rPr>
          <w:rFonts w:cs="Times New Roman"/>
          <w:b/>
        </w:rPr>
        <w:t>c1,</w:t>
      </w:r>
      <w:r w:rsidR="00745C16">
        <w:rPr>
          <w:rFonts w:cs="Times New Roman"/>
          <w:b/>
        </w:rPr>
        <w:t xml:space="preserve"> </w:t>
      </w:r>
      <w:r w:rsidRPr="00862643">
        <w:rPr>
          <w:rFonts w:cs="Times New Roman"/>
          <w:b/>
        </w:rPr>
        <w:t>c2</w:t>
      </w:r>
      <w:r w:rsidRPr="00862643">
        <w:rPr>
          <w:rFonts w:cs="Times New Roman"/>
        </w:rPr>
        <w:t xml:space="preserve"> – failure to enter the WT binding pocket, </w:t>
      </w:r>
      <w:r w:rsidRPr="00862643">
        <w:rPr>
          <w:rFonts w:cs="Times New Roman"/>
          <w:b/>
        </w:rPr>
        <w:t>d1, d2</w:t>
      </w:r>
      <w:r w:rsidRPr="00862643">
        <w:rPr>
          <w:rFonts w:cs="Times New Roman"/>
        </w:rPr>
        <w:t xml:space="preserve"> – closer proximity of a carboxylic moiety of the heroin molecule to the mouth of the S82P mutant.</w:t>
      </w:r>
    </w:p>
    <w:p w14:paraId="261A689E" w14:textId="77777777" w:rsidR="00F86734" w:rsidRPr="00862643" w:rsidRDefault="00F86734" w:rsidP="00F86734"/>
    <w:p w14:paraId="55F9FFD3" w14:textId="77777777" w:rsidR="00CC5A43" w:rsidRDefault="0081395A" w:rsidP="00D05040">
      <w:pPr>
        <w:jc w:val="center"/>
        <w:rPr>
          <w:b/>
        </w:rPr>
      </w:pPr>
      <w:r>
        <w:rPr>
          <w:noProof/>
          <w:lang w:eastAsia="en-GB"/>
        </w:rPr>
        <w:lastRenderedPageBreak/>
        <w:drawing>
          <wp:inline distT="0" distB="0" distL="0" distR="0" wp14:anchorId="675F65AA" wp14:editId="0F10AA2F">
            <wp:extent cx="4437013" cy="348021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7924" cy="3480927"/>
                    </a:xfrm>
                    <a:prstGeom prst="rect">
                      <a:avLst/>
                    </a:prstGeom>
                    <a:noFill/>
                  </pic:spPr>
                </pic:pic>
              </a:graphicData>
            </a:graphic>
          </wp:inline>
        </w:drawing>
      </w:r>
    </w:p>
    <w:p w14:paraId="60178050" w14:textId="52DA5FD3" w:rsidR="0081395A" w:rsidRPr="00CC5A43" w:rsidRDefault="0081395A" w:rsidP="0081395A">
      <w:r w:rsidRPr="0047772F">
        <w:rPr>
          <w:b/>
        </w:rPr>
        <w:t xml:space="preserve">Suppl. Material Figure </w:t>
      </w:r>
      <w:r w:rsidR="00083110">
        <w:rPr>
          <w:b/>
        </w:rPr>
        <w:t>S</w:t>
      </w:r>
      <w:r w:rsidR="00AF0C66">
        <w:rPr>
          <w:b/>
        </w:rPr>
        <w:t>7</w:t>
      </w:r>
      <w:r w:rsidR="00046619">
        <w:rPr>
          <w:b/>
        </w:rPr>
        <w:t>a</w:t>
      </w:r>
      <w:r w:rsidRPr="0047772F">
        <w:rPr>
          <w:b/>
        </w:rPr>
        <w:t>:</w:t>
      </w:r>
      <w:r>
        <w:rPr>
          <w:b/>
        </w:rPr>
        <w:t xml:space="preserve"> </w:t>
      </w:r>
      <w:r w:rsidRPr="0081395A">
        <w:t>Amino acid sequences of 6-His tagged AgamOBP1 variants that were expressed and tested experimentally.</w:t>
      </w:r>
      <w:r w:rsidRPr="0047772F">
        <w:rPr>
          <w:b/>
        </w:rPr>
        <w:t xml:space="preserve"> </w:t>
      </w:r>
    </w:p>
    <w:p w14:paraId="49730AE4" w14:textId="77777777" w:rsidR="002B615B" w:rsidRDefault="00F210EA" w:rsidP="00F86734">
      <w:pPr>
        <w:rPr>
          <w:b/>
        </w:rPr>
      </w:pPr>
      <w:r>
        <w:rPr>
          <w:b/>
        </w:rPr>
        <w:t xml:space="preserve">                                         </w:t>
      </w:r>
      <w:r>
        <w:rPr>
          <w:b/>
          <w:noProof/>
          <w:lang w:eastAsia="en-GB"/>
        </w:rPr>
        <w:drawing>
          <wp:inline distT="0" distB="0" distL="0" distR="0" wp14:anchorId="5D82152C" wp14:editId="6BD1BE8E">
            <wp:extent cx="3448736" cy="30010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6700" cy="3007988"/>
                    </a:xfrm>
                    <a:prstGeom prst="rect">
                      <a:avLst/>
                    </a:prstGeom>
                    <a:noFill/>
                  </pic:spPr>
                </pic:pic>
              </a:graphicData>
            </a:graphic>
          </wp:inline>
        </w:drawing>
      </w:r>
      <w:r>
        <w:rPr>
          <w:b/>
        </w:rPr>
        <w:t xml:space="preserve">               </w:t>
      </w:r>
    </w:p>
    <w:p w14:paraId="7C08E823" w14:textId="1E9B01F0" w:rsidR="00C2376E" w:rsidRDefault="00046619" w:rsidP="00F86734">
      <w:r w:rsidRPr="00046619">
        <w:rPr>
          <w:b/>
        </w:rPr>
        <w:t>Suppl.</w:t>
      </w:r>
      <w:r w:rsidR="00F131A2">
        <w:rPr>
          <w:b/>
        </w:rPr>
        <w:t xml:space="preserve"> </w:t>
      </w:r>
      <w:r w:rsidRPr="00046619">
        <w:rPr>
          <w:b/>
        </w:rPr>
        <w:t xml:space="preserve">Material Figure </w:t>
      </w:r>
      <w:r w:rsidR="00083110">
        <w:rPr>
          <w:b/>
        </w:rPr>
        <w:t>S</w:t>
      </w:r>
      <w:r w:rsidR="00AF0C66">
        <w:rPr>
          <w:b/>
        </w:rPr>
        <w:t>7</w:t>
      </w:r>
      <w:r w:rsidRPr="00046619">
        <w:rPr>
          <w:b/>
        </w:rPr>
        <w:t xml:space="preserve">b:  </w:t>
      </w:r>
      <w:r w:rsidR="00C2376E">
        <w:t>SDS –PAGE analysis of the purified samples of AgamOBP1 variants.</w:t>
      </w:r>
    </w:p>
    <w:p w14:paraId="03A27157" w14:textId="06080778" w:rsidR="00CC5A43" w:rsidRPr="003B4F6A" w:rsidRDefault="00C364D4" w:rsidP="00F86734">
      <w:pPr>
        <w:rPr>
          <w:b/>
        </w:rPr>
      </w:pPr>
      <w:r>
        <w:rPr>
          <w:b/>
        </w:rPr>
        <w:t xml:space="preserve">All expressed proteins were verified for purity </w:t>
      </w:r>
      <w:r w:rsidR="00C2376E">
        <w:rPr>
          <w:b/>
        </w:rPr>
        <w:t xml:space="preserve">using SDS-PAGE. </w:t>
      </w:r>
      <w:r w:rsidR="00C2376E">
        <w:t xml:space="preserve"> Here as</w:t>
      </w:r>
      <w:r w:rsidR="005B34D3">
        <w:t xml:space="preserve"> an example a gel for AgamOBP1_ S82P is presented.  The 6His-tagged protein was purified by affinity chromatography using </w:t>
      </w:r>
      <w:r w:rsidR="00C2376E">
        <w:t xml:space="preserve">a </w:t>
      </w:r>
      <w:r w:rsidR="005B34D3" w:rsidRPr="00862643">
        <w:rPr>
          <w:rFonts w:eastAsia="Calibri" w:cs="Times New Roman"/>
        </w:rPr>
        <w:t>H</w:t>
      </w:r>
      <w:r w:rsidR="005B34D3">
        <w:rPr>
          <w:rFonts w:eastAsia="Calibri" w:cs="Times New Roman"/>
        </w:rPr>
        <w:t xml:space="preserve">isPrep FF 16/10 column as described in the material and methods section. </w:t>
      </w:r>
      <w:r w:rsidR="00CC5A43">
        <w:rPr>
          <w:rFonts w:eastAsia="Calibri" w:cs="Times New Roman"/>
        </w:rPr>
        <w:t xml:space="preserve">In the gel; </w:t>
      </w:r>
      <w:r w:rsidR="00CC5A43" w:rsidRPr="00A4548C">
        <w:rPr>
          <w:rFonts w:eastAsia="Calibri" w:cs="Times New Roman"/>
          <w:b/>
        </w:rPr>
        <w:t>(1)</w:t>
      </w:r>
      <w:r w:rsidR="00CC5A43">
        <w:rPr>
          <w:rFonts w:eastAsia="Calibri" w:cs="Times New Roman"/>
        </w:rPr>
        <w:t xml:space="preserve"> = </w:t>
      </w:r>
      <w:r w:rsidR="00A4548C">
        <w:rPr>
          <w:rFonts w:eastAsia="Calibri" w:cs="Times New Roman"/>
        </w:rPr>
        <w:t>solubilised</w:t>
      </w:r>
      <w:r w:rsidR="00CC5A43">
        <w:rPr>
          <w:rFonts w:eastAsia="Calibri" w:cs="Times New Roman"/>
        </w:rPr>
        <w:t xml:space="preserve"> inclusion bodies pellet; </w:t>
      </w:r>
      <w:r w:rsidR="00CC5A43" w:rsidRPr="00A4548C">
        <w:rPr>
          <w:rFonts w:eastAsia="Calibri" w:cs="Times New Roman"/>
          <w:b/>
        </w:rPr>
        <w:t>(2)</w:t>
      </w:r>
      <w:r w:rsidR="00CC5A43">
        <w:rPr>
          <w:rFonts w:eastAsia="Calibri" w:cs="Times New Roman"/>
        </w:rPr>
        <w:t xml:space="preserve"> Extracted, urea/treated, </w:t>
      </w:r>
      <w:r w:rsidR="00F210EA">
        <w:rPr>
          <w:rFonts w:eastAsia="Calibri" w:cs="Times New Roman"/>
        </w:rPr>
        <w:t xml:space="preserve">dialysed sample (column input); </w:t>
      </w:r>
      <w:r w:rsidR="00CC5A43" w:rsidRPr="00A4548C">
        <w:rPr>
          <w:rFonts w:eastAsia="Calibri" w:cs="Times New Roman"/>
          <w:b/>
        </w:rPr>
        <w:t>(3</w:t>
      </w:r>
      <w:r w:rsidR="00F210EA" w:rsidRPr="00A4548C">
        <w:rPr>
          <w:rFonts w:eastAsia="Calibri" w:cs="Times New Roman"/>
          <w:b/>
        </w:rPr>
        <w:t>)</w:t>
      </w:r>
      <w:r w:rsidR="00F210EA">
        <w:rPr>
          <w:rFonts w:eastAsia="Calibri" w:cs="Times New Roman"/>
        </w:rPr>
        <w:t xml:space="preserve"> Elution fractions</w:t>
      </w:r>
      <w:r w:rsidR="003B4F6A">
        <w:rPr>
          <w:rFonts w:eastAsia="Calibri" w:cs="Times New Roman"/>
        </w:rPr>
        <w:t xml:space="preserve"> (5 ml each</w:t>
      </w:r>
      <w:r w:rsidR="00A4548C">
        <w:rPr>
          <w:rFonts w:eastAsia="Calibri" w:cs="Times New Roman"/>
        </w:rPr>
        <w:t>) containing</w:t>
      </w:r>
      <w:r w:rsidR="00F210EA">
        <w:rPr>
          <w:rFonts w:eastAsia="Calibri" w:cs="Times New Roman"/>
        </w:rPr>
        <w:t xml:space="preserve"> purified AgamOBP1_ S82P (</w:t>
      </w:r>
      <w:r w:rsidR="00210949">
        <w:rPr>
          <w:rFonts w:eastAsia="Calibri" w:cs="Times New Roman"/>
        </w:rPr>
        <w:t>Expected MW</w:t>
      </w:r>
      <w:r w:rsidR="00A4548C">
        <w:rPr>
          <w:rFonts w:eastAsia="Calibri" w:cs="Times New Roman"/>
        </w:rPr>
        <w:t>:</w:t>
      </w:r>
      <w:r w:rsidR="00F210EA">
        <w:rPr>
          <w:rFonts w:eastAsia="Calibri" w:cs="Times New Roman"/>
        </w:rPr>
        <w:t xml:space="preserve"> </w:t>
      </w:r>
      <w:r w:rsidR="003B4F6A">
        <w:rPr>
          <w:rFonts w:eastAsia="Calibri" w:cs="Times New Roman"/>
        </w:rPr>
        <w:t>1</w:t>
      </w:r>
      <w:r w:rsidR="00B826CE">
        <w:rPr>
          <w:rFonts w:eastAsia="Calibri" w:cs="Times New Roman"/>
        </w:rPr>
        <w:t>5.72</w:t>
      </w:r>
      <w:r w:rsidR="003B4F6A">
        <w:rPr>
          <w:rFonts w:eastAsia="Calibri" w:cs="Times New Roman"/>
        </w:rPr>
        <w:t>KD)</w:t>
      </w:r>
      <w:r w:rsidR="00A4548C">
        <w:rPr>
          <w:rFonts w:eastAsia="Calibri" w:cs="Times New Roman"/>
        </w:rPr>
        <w:t xml:space="preserve">; </w:t>
      </w:r>
      <w:r w:rsidR="00A4548C" w:rsidRPr="00A4548C">
        <w:rPr>
          <w:rFonts w:eastAsia="Calibri" w:cs="Times New Roman"/>
          <w:b/>
        </w:rPr>
        <w:t>(4)</w:t>
      </w:r>
      <w:r w:rsidR="00A4548C">
        <w:rPr>
          <w:rFonts w:eastAsia="Calibri" w:cs="Times New Roman"/>
        </w:rPr>
        <w:t xml:space="preserve"> BSA </w:t>
      </w:r>
      <w:r w:rsidR="00A4548C">
        <w:rPr>
          <w:rFonts w:eastAsia="Calibri" w:cs="Times New Roman"/>
        </w:rPr>
        <w:lastRenderedPageBreak/>
        <w:t xml:space="preserve">standard (66.7 KD); </w:t>
      </w:r>
      <w:r w:rsidR="00A4548C" w:rsidRPr="00A4548C">
        <w:rPr>
          <w:rFonts w:eastAsia="Calibri" w:cs="Times New Roman"/>
          <w:b/>
        </w:rPr>
        <w:t>(5)</w:t>
      </w:r>
      <w:r w:rsidR="00A4548C">
        <w:rPr>
          <w:rFonts w:eastAsia="Calibri" w:cs="Times New Roman"/>
        </w:rPr>
        <w:t xml:space="preserve"> Molecular weight protein standards; </w:t>
      </w:r>
      <w:r w:rsidR="00F91523">
        <w:rPr>
          <w:rFonts w:eastAsia="Calibri" w:cs="Times New Roman"/>
        </w:rPr>
        <w:t xml:space="preserve">and </w:t>
      </w:r>
      <w:r w:rsidR="00A4548C" w:rsidRPr="00A4548C">
        <w:rPr>
          <w:rFonts w:eastAsia="Calibri" w:cs="Times New Roman"/>
          <w:b/>
        </w:rPr>
        <w:t>(X)</w:t>
      </w:r>
      <w:r w:rsidR="00A4548C">
        <w:rPr>
          <w:rFonts w:eastAsia="Calibri" w:cs="Times New Roman"/>
        </w:rPr>
        <w:t xml:space="preserve"> an artefact – a piece of </w:t>
      </w:r>
      <w:r w:rsidR="00C2376E">
        <w:rPr>
          <w:rFonts w:eastAsia="Calibri" w:cs="Times New Roman"/>
        </w:rPr>
        <w:t>detached</w:t>
      </w:r>
      <w:r w:rsidR="00A4548C">
        <w:rPr>
          <w:rFonts w:eastAsia="Calibri" w:cs="Times New Roman"/>
        </w:rPr>
        <w:t xml:space="preserve"> gel </w:t>
      </w:r>
      <w:r w:rsidR="00E072B2">
        <w:rPr>
          <w:rFonts w:eastAsia="Calibri" w:cs="Times New Roman"/>
        </w:rPr>
        <w:t xml:space="preserve">under the </w:t>
      </w:r>
      <w:r w:rsidR="00C2376E">
        <w:rPr>
          <w:rFonts w:eastAsia="Calibri" w:cs="Times New Roman"/>
        </w:rPr>
        <w:t xml:space="preserve">main </w:t>
      </w:r>
      <w:r w:rsidR="00E072B2">
        <w:rPr>
          <w:rFonts w:eastAsia="Calibri" w:cs="Times New Roman"/>
        </w:rPr>
        <w:t xml:space="preserve">gel. </w:t>
      </w:r>
    </w:p>
    <w:p w14:paraId="7EE4A20A" w14:textId="77777777" w:rsidR="00A4548C" w:rsidRDefault="00A4548C" w:rsidP="00F86734"/>
    <w:p w14:paraId="6034BFE3" w14:textId="562BE8F2" w:rsidR="00A4548C" w:rsidRPr="00862643" w:rsidRDefault="0030407A" w:rsidP="00A4548C">
      <w:pPr>
        <w:autoSpaceDE w:val="0"/>
        <w:autoSpaceDN w:val="0"/>
        <w:adjustRightInd w:val="0"/>
        <w:spacing w:after="0"/>
        <w:jc w:val="both"/>
      </w:pPr>
      <w:r w:rsidRPr="00862643">
        <w:rPr>
          <w:noProof/>
          <w:lang w:eastAsia="en-GB"/>
        </w:rPr>
        <mc:AlternateContent>
          <mc:Choice Requires="wps">
            <w:drawing>
              <wp:anchor distT="0" distB="0" distL="114300" distR="114300" simplePos="0" relativeHeight="251659264" behindDoc="0" locked="0" layoutInCell="1" allowOverlap="1" wp14:anchorId="39DAAB0F" wp14:editId="6FBD3E0B">
                <wp:simplePos x="0" y="0"/>
                <wp:positionH relativeFrom="column">
                  <wp:posOffset>2350135</wp:posOffset>
                </wp:positionH>
                <wp:positionV relativeFrom="paragraph">
                  <wp:posOffset>50800</wp:posOffset>
                </wp:positionV>
                <wp:extent cx="322580" cy="245745"/>
                <wp:effectExtent l="0" t="0" r="20320" b="20955"/>
                <wp:wrapNone/>
                <wp:docPr id="21" name="Text Box 21"/>
                <wp:cNvGraphicFramePr/>
                <a:graphic xmlns:a="http://schemas.openxmlformats.org/drawingml/2006/main">
                  <a:graphicData uri="http://schemas.microsoft.com/office/word/2010/wordprocessingShape">
                    <wps:wsp>
                      <wps:cNvSpPr txBox="1"/>
                      <wps:spPr>
                        <a:xfrm>
                          <a:off x="0" y="0"/>
                          <a:ext cx="322580" cy="245745"/>
                        </a:xfrm>
                        <a:prstGeom prst="rect">
                          <a:avLst/>
                        </a:prstGeom>
                        <a:solidFill>
                          <a:sysClr val="window" lastClr="FFFFFF"/>
                        </a:solidFill>
                        <a:ln w="6350">
                          <a:solidFill>
                            <a:prstClr val="black"/>
                          </a:solidFill>
                        </a:ln>
                        <a:effectLst/>
                      </wps:spPr>
                      <wps:txbx>
                        <w:txbxContent>
                          <w:p w14:paraId="314A440E" w14:textId="77777777" w:rsidR="00394B78" w:rsidRPr="008353A8" w:rsidRDefault="00394B78" w:rsidP="00A4548C">
                            <w:pPr>
                              <w:rPr>
                                <w:b/>
                                <w:sz w:val="16"/>
                                <w:szCs w:val="16"/>
                              </w:rPr>
                            </w:pPr>
                            <w:r w:rsidRPr="008353A8">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AAB0F" id="_x0000_t202" coordsize="21600,21600" o:spt="202" path="m,l,21600r21600,l21600,xe">
                <v:stroke joinstyle="miter"/>
                <v:path gradientshapeok="t" o:connecttype="rect"/>
              </v:shapetype>
              <v:shape id="Text Box 21" o:spid="_x0000_s1026" type="#_x0000_t202" style="position:absolute;left:0;text-align:left;margin-left:185.05pt;margin-top:4pt;width:25.4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" fillcolor="window" strokeweight=".5pt">
                <v:textbox>
                  <w:txbxContent>
                    <w:p w14:paraId="314A440E" w14:textId="77777777" w:rsidR="00394B78" w:rsidRPr="008353A8" w:rsidRDefault="00394B78" w:rsidP="00A4548C">
                      <w:pPr>
                        <w:rPr>
                          <w:b/>
                          <w:sz w:val="16"/>
                          <w:szCs w:val="16"/>
                        </w:rPr>
                      </w:pPr>
                      <w:r w:rsidRPr="008353A8">
                        <w:rPr>
                          <w:b/>
                          <w:sz w:val="16"/>
                          <w:szCs w:val="16"/>
                        </w:rPr>
                        <w:t>(a)</w:t>
                      </w:r>
                    </w:p>
                  </w:txbxContent>
                </v:textbox>
              </v:shape>
            </w:pict>
          </mc:Fallback>
        </mc:AlternateContent>
      </w:r>
      <w:r w:rsidRPr="00862643">
        <w:rPr>
          <w:noProof/>
          <w:lang w:eastAsia="en-GB"/>
        </w:rPr>
        <mc:AlternateContent>
          <mc:Choice Requires="wps">
            <w:drawing>
              <wp:anchor distT="0" distB="0" distL="114300" distR="114300" simplePos="0" relativeHeight="251660288" behindDoc="0" locked="0" layoutInCell="1" allowOverlap="1" wp14:anchorId="77B6B409" wp14:editId="6D945CE9">
                <wp:simplePos x="0" y="0"/>
                <wp:positionH relativeFrom="column">
                  <wp:posOffset>2988945</wp:posOffset>
                </wp:positionH>
                <wp:positionV relativeFrom="paragraph">
                  <wp:posOffset>73505</wp:posOffset>
                </wp:positionV>
                <wp:extent cx="306070" cy="227965"/>
                <wp:effectExtent l="0" t="0" r="17780" b="19685"/>
                <wp:wrapNone/>
                <wp:docPr id="22" name="Text Box 22"/>
                <wp:cNvGraphicFramePr/>
                <a:graphic xmlns:a="http://schemas.openxmlformats.org/drawingml/2006/main">
                  <a:graphicData uri="http://schemas.microsoft.com/office/word/2010/wordprocessingShape">
                    <wps:wsp>
                      <wps:cNvSpPr txBox="1"/>
                      <wps:spPr>
                        <a:xfrm>
                          <a:off x="0" y="0"/>
                          <a:ext cx="306070" cy="227965"/>
                        </a:xfrm>
                        <a:prstGeom prst="rect">
                          <a:avLst/>
                        </a:prstGeom>
                        <a:solidFill>
                          <a:sysClr val="window" lastClr="FFFFFF"/>
                        </a:solidFill>
                        <a:ln w="6350">
                          <a:solidFill>
                            <a:prstClr val="black"/>
                          </a:solidFill>
                        </a:ln>
                        <a:effectLst/>
                      </wps:spPr>
                      <wps:txbx>
                        <w:txbxContent>
                          <w:p w14:paraId="6ECC5E4B" w14:textId="77777777" w:rsidR="00394B78" w:rsidRPr="008353A8" w:rsidRDefault="00394B78" w:rsidP="00A4548C">
                            <w:pPr>
                              <w:rPr>
                                <w:b/>
                                <w:sz w:val="16"/>
                                <w:szCs w:val="16"/>
                              </w:rPr>
                            </w:pPr>
                            <w:r w:rsidRPr="008353A8">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B409" id="Text Box 22" o:spid="_x0000_s1027" type="#_x0000_t202" style="position:absolute;left:0;text-align:left;margin-left:235.35pt;margin-top:5.8pt;width:24.1pt;height:1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" fillcolor="window" strokeweight=".5pt">
                <v:textbox>
                  <w:txbxContent>
                    <w:p w14:paraId="6ECC5E4B" w14:textId="77777777" w:rsidR="00394B78" w:rsidRPr="008353A8" w:rsidRDefault="00394B78" w:rsidP="00A4548C">
                      <w:pPr>
                        <w:rPr>
                          <w:b/>
                          <w:sz w:val="16"/>
                          <w:szCs w:val="16"/>
                        </w:rPr>
                      </w:pPr>
                      <w:r w:rsidRPr="008353A8">
                        <w:rPr>
                          <w:b/>
                          <w:sz w:val="16"/>
                          <w:szCs w:val="16"/>
                        </w:rPr>
                        <w:t>(a)</w:t>
                      </w:r>
                    </w:p>
                  </w:txbxContent>
                </v:textbox>
              </v:shape>
            </w:pict>
          </mc:Fallback>
        </mc:AlternateContent>
      </w:r>
      <w:r w:rsidR="00A4548C" w:rsidRPr="00862643">
        <w:rPr>
          <w:noProof/>
          <w:lang w:eastAsia="en-GB"/>
        </w:rPr>
        <w:drawing>
          <wp:inline distT="0" distB="0" distL="0" distR="0" wp14:anchorId="1CA6FE2C" wp14:editId="4D71A803">
            <wp:extent cx="2713838" cy="2743822"/>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8300" cy="2758444"/>
                    </a:xfrm>
                    <a:prstGeom prst="rect">
                      <a:avLst/>
                    </a:prstGeom>
                    <a:noFill/>
                    <a:ln>
                      <a:noFill/>
                    </a:ln>
                    <a:effectLst/>
                  </pic:spPr>
                </pic:pic>
              </a:graphicData>
            </a:graphic>
          </wp:inline>
        </w:drawing>
      </w:r>
      <w:r w:rsidR="00A4548C" w:rsidRPr="00862643">
        <w:t xml:space="preserve">        </w:t>
      </w:r>
      <w:r w:rsidR="00A4548C" w:rsidRPr="00862643">
        <w:rPr>
          <w:noProof/>
          <w:lang w:eastAsia="en-GB"/>
        </w:rPr>
        <w:drawing>
          <wp:inline distT="0" distB="0" distL="0" distR="0" wp14:anchorId="1C47669D" wp14:editId="6554DC94">
            <wp:extent cx="2740784" cy="2744047"/>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0128" cy="2753402"/>
                    </a:xfrm>
                    <a:prstGeom prst="rect">
                      <a:avLst/>
                    </a:prstGeom>
                    <a:noFill/>
                  </pic:spPr>
                </pic:pic>
              </a:graphicData>
            </a:graphic>
          </wp:inline>
        </w:drawing>
      </w:r>
      <w:r w:rsidR="00A4548C" w:rsidRPr="00862643">
        <w:t xml:space="preserve">  </w:t>
      </w:r>
    </w:p>
    <w:p w14:paraId="62B244F9" w14:textId="163C5489" w:rsidR="00A4548C" w:rsidRPr="00862643" w:rsidRDefault="00300338" w:rsidP="00A4548C">
      <w:pPr>
        <w:autoSpaceDE w:val="0"/>
        <w:autoSpaceDN w:val="0"/>
        <w:adjustRightInd w:val="0"/>
        <w:spacing w:after="0"/>
        <w:jc w:val="both"/>
        <w:rPr>
          <w:rFonts w:cs="Times New Roman"/>
        </w:rPr>
      </w:pPr>
      <w:r w:rsidRPr="00862643">
        <w:rPr>
          <w:noProof/>
          <w:lang w:eastAsia="en-GB"/>
        </w:rPr>
        <mc:AlternateContent>
          <mc:Choice Requires="wps">
            <w:drawing>
              <wp:anchor distT="0" distB="0" distL="114300" distR="114300" simplePos="0" relativeHeight="251661312" behindDoc="0" locked="0" layoutInCell="1" allowOverlap="1" wp14:anchorId="6AC5D1F4" wp14:editId="32D6F043">
                <wp:simplePos x="0" y="0"/>
                <wp:positionH relativeFrom="column">
                  <wp:posOffset>2371725</wp:posOffset>
                </wp:positionH>
                <wp:positionV relativeFrom="paragraph">
                  <wp:posOffset>229259</wp:posOffset>
                </wp:positionV>
                <wp:extent cx="340384" cy="232913"/>
                <wp:effectExtent l="0" t="0" r="21590" b="15240"/>
                <wp:wrapNone/>
                <wp:docPr id="4099" name="Text Box 4099"/>
                <wp:cNvGraphicFramePr/>
                <a:graphic xmlns:a="http://schemas.openxmlformats.org/drawingml/2006/main">
                  <a:graphicData uri="http://schemas.microsoft.com/office/word/2010/wordprocessingShape">
                    <wps:wsp>
                      <wps:cNvSpPr txBox="1"/>
                      <wps:spPr>
                        <a:xfrm>
                          <a:off x="0" y="0"/>
                          <a:ext cx="340384" cy="232913"/>
                        </a:xfrm>
                        <a:prstGeom prst="rect">
                          <a:avLst/>
                        </a:prstGeom>
                        <a:solidFill>
                          <a:sysClr val="window" lastClr="FFFFFF"/>
                        </a:solidFill>
                        <a:ln w="6350">
                          <a:solidFill>
                            <a:prstClr val="black"/>
                          </a:solidFill>
                        </a:ln>
                        <a:effectLst/>
                      </wps:spPr>
                      <wps:txbx>
                        <w:txbxContent>
                          <w:p w14:paraId="693638FA" w14:textId="4E211D79" w:rsidR="00394B78" w:rsidRPr="006C10F6" w:rsidRDefault="006C10F6" w:rsidP="00A4548C">
                            <w:pPr>
                              <w:rPr>
                                <w:b/>
                                <w:sz w:val="16"/>
                                <w:szCs w:val="16"/>
                              </w:rPr>
                            </w:pPr>
                            <w:r>
                              <w:rPr>
                                <w:b/>
                                <w:sz w:val="16"/>
                                <w:szCs w:val="16"/>
                              </w:rPr>
                              <w:t xml:space="preserve"> </w:t>
                            </w:r>
                            <w:r w:rsidR="00394B78" w:rsidRPr="006C10F6">
                              <w:rPr>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5D1F4" id="Text Box 4099" o:spid="_x0000_s1028" type="#_x0000_t202" style="position:absolute;left:0;text-align:left;margin-left:186.75pt;margin-top:18.05pt;width:26.8pt;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" fillcolor="window" strokeweight=".5pt">
                <v:textbox>
                  <w:txbxContent>
                    <w:p w14:paraId="693638FA" w14:textId="4E211D79" w:rsidR="00394B78" w:rsidRPr="006C10F6" w:rsidRDefault="006C10F6" w:rsidP="00A4548C">
                      <w:pPr>
                        <w:rPr>
                          <w:b/>
                          <w:sz w:val="16"/>
                          <w:szCs w:val="16"/>
                        </w:rPr>
                      </w:pPr>
                      <w:r>
                        <w:rPr>
                          <w:b/>
                          <w:sz w:val="16"/>
                          <w:szCs w:val="16"/>
                        </w:rPr>
                        <w:t xml:space="preserve"> </w:t>
                      </w:r>
                      <w:r w:rsidR="00394B78" w:rsidRPr="006C10F6">
                        <w:rPr>
                          <w:b/>
                          <w:sz w:val="16"/>
                          <w:szCs w:val="16"/>
                        </w:rPr>
                        <w:t>(b)</w:t>
                      </w:r>
                    </w:p>
                  </w:txbxContent>
                </v:textbox>
              </v:shape>
            </w:pict>
          </mc:Fallback>
        </mc:AlternateContent>
      </w:r>
      <w:r w:rsidRPr="00862643">
        <w:rPr>
          <w:noProof/>
          <w:lang w:eastAsia="en-GB"/>
        </w:rPr>
        <mc:AlternateContent>
          <mc:Choice Requires="wps">
            <w:drawing>
              <wp:anchor distT="0" distB="0" distL="114300" distR="114300" simplePos="0" relativeHeight="251662336" behindDoc="0" locked="0" layoutInCell="1" allowOverlap="1" wp14:anchorId="60058FF0" wp14:editId="2383C444">
                <wp:simplePos x="0" y="0"/>
                <wp:positionH relativeFrom="column">
                  <wp:posOffset>3075317</wp:posOffset>
                </wp:positionH>
                <wp:positionV relativeFrom="paragraph">
                  <wp:posOffset>225043</wp:posOffset>
                </wp:positionV>
                <wp:extent cx="330835" cy="224286"/>
                <wp:effectExtent l="0" t="0" r="12065" b="23495"/>
                <wp:wrapNone/>
                <wp:docPr id="4101" name="Text Box 4101"/>
                <wp:cNvGraphicFramePr/>
                <a:graphic xmlns:a="http://schemas.openxmlformats.org/drawingml/2006/main">
                  <a:graphicData uri="http://schemas.microsoft.com/office/word/2010/wordprocessingShape">
                    <wps:wsp>
                      <wps:cNvSpPr txBox="1"/>
                      <wps:spPr>
                        <a:xfrm>
                          <a:off x="0" y="0"/>
                          <a:ext cx="330835" cy="224286"/>
                        </a:xfrm>
                        <a:prstGeom prst="rect">
                          <a:avLst/>
                        </a:prstGeom>
                        <a:solidFill>
                          <a:sysClr val="window" lastClr="FFFFFF"/>
                        </a:solidFill>
                        <a:ln w="6350">
                          <a:solidFill>
                            <a:prstClr val="black"/>
                          </a:solidFill>
                        </a:ln>
                        <a:effectLst/>
                      </wps:spPr>
                      <wps:txbx>
                        <w:txbxContent>
                          <w:p w14:paraId="09219AA4" w14:textId="45CFC0B8" w:rsidR="00394B78" w:rsidRPr="006C10F6" w:rsidRDefault="006C10F6" w:rsidP="00A4548C">
                            <w:pPr>
                              <w:rPr>
                                <w:b/>
                                <w:sz w:val="16"/>
                                <w:szCs w:val="16"/>
                              </w:rPr>
                            </w:pPr>
                            <w:r>
                              <w:rPr>
                                <w:b/>
                                <w:sz w:val="16"/>
                                <w:szCs w:val="16"/>
                              </w:rPr>
                              <w:t xml:space="preserve"> </w:t>
                            </w:r>
                            <w:r w:rsidR="00394B78" w:rsidRPr="006C10F6">
                              <w:rPr>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8FF0" id="Text Box 4101" o:spid="_x0000_s1029" type="#_x0000_t202" style="position:absolute;left:0;text-align:left;margin-left:242.15pt;margin-top:17.7pt;width:26.0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" fillcolor="window" strokeweight=".5pt">
                <v:textbox>
                  <w:txbxContent>
                    <w:p w14:paraId="09219AA4" w14:textId="45CFC0B8" w:rsidR="00394B78" w:rsidRPr="006C10F6" w:rsidRDefault="006C10F6" w:rsidP="00A4548C">
                      <w:pPr>
                        <w:rPr>
                          <w:b/>
                          <w:sz w:val="16"/>
                          <w:szCs w:val="16"/>
                        </w:rPr>
                      </w:pPr>
                      <w:r>
                        <w:rPr>
                          <w:b/>
                          <w:sz w:val="16"/>
                          <w:szCs w:val="16"/>
                        </w:rPr>
                        <w:t xml:space="preserve"> </w:t>
                      </w:r>
                      <w:r w:rsidR="00394B78" w:rsidRPr="006C10F6">
                        <w:rPr>
                          <w:b/>
                          <w:sz w:val="16"/>
                          <w:szCs w:val="16"/>
                        </w:rPr>
                        <w:t>(b)</w:t>
                      </w:r>
                    </w:p>
                  </w:txbxContent>
                </v:textbox>
              </v:shape>
            </w:pict>
          </mc:Fallback>
        </mc:AlternateContent>
      </w:r>
      <w:r w:rsidR="00A4548C" w:rsidRPr="00862643">
        <w:rPr>
          <w:rFonts w:cs="Times New Roman"/>
        </w:rPr>
        <w:t xml:space="preserve">   </w:t>
      </w:r>
      <w:r w:rsidR="00A4548C" w:rsidRPr="00862643">
        <w:rPr>
          <w:noProof/>
          <w:lang w:eastAsia="en-GB"/>
        </w:rPr>
        <w:drawing>
          <wp:inline distT="0" distB="0" distL="0" distR="0" wp14:anchorId="25DF2838" wp14:editId="7D16B805">
            <wp:extent cx="5731510" cy="2881064"/>
            <wp:effectExtent l="0" t="0" r="254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881064"/>
                    </a:xfrm>
                    <a:prstGeom prst="rect">
                      <a:avLst/>
                    </a:prstGeom>
                    <a:noFill/>
                    <a:ln>
                      <a:noFill/>
                    </a:ln>
                    <a:effectLst/>
                  </pic:spPr>
                </pic:pic>
              </a:graphicData>
            </a:graphic>
          </wp:inline>
        </w:drawing>
      </w:r>
      <w:r w:rsidR="00A4548C" w:rsidRPr="00862643">
        <w:rPr>
          <w:rFonts w:cs="Times New Roman"/>
        </w:rPr>
        <w:t xml:space="preserve">             </w:t>
      </w:r>
    </w:p>
    <w:p w14:paraId="6C0CF8AB" w14:textId="3BA61753" w:rsidR="00A4548C" w:rsidRPr="00862643" w:rsidRDefault="00A4548C" w:rsidP="00A4548C">
      <w:pPr>
        <w:autoSpaceDE w:val="0"/>
        <w:autoSpaceDN w:val="0"/>
        <w:adjustRightInd w:val="0"/>
        <w:spacing w:after="0"/>
        <w:jc w:val="both"/>
        <w:rPr>
          <w:rFonts w:cs="Times New Roman"/>
        </w:rPr>
      </w:pPr>
      <w:r>
        <w:rPr>
          <w:b/>
        </w:rPr>
        <w:t xml:space="preserve">Suppl. Material Figure </w:t>
      </w:r>
      <w:r w:rsidR="00083110">
        <w:rPr>
          <w:b/>
        </w:rPr>
        <w:t>S</w:t>
      </w:r>
      <w:r>
        <w:rPr>
          <w:b/>
        </w:rPr>
        <w:t>8:</w:t>
      </w:r>
      <w:r w:rsidRPr="00862643">
        <w:t xml:space="preserve"> </w:t>
      </w:r>
      <w:r w:rsidRPr="00745C16">
        <w:rPr>
          <w:b/>
        </w:rPr>
        <w:t>(a)</w:t>
      </w:r>
      <w:r>
        <w:t xml:space="preserve"> </w:t>
      </w:r>
      <w:r w:rsidRPr="00862643">
        <w:t>Structural analysis, contacts (</w:t>
      </w:r>
      <w:r w:rsidRPr="00862643">
        <w:rPr>
          <w:rFonts w:eastAsiaTheme="majorEastAsia" w:cstheme="majorBidi"/>
          <w:b/>
          <w:bCs/>
          <w:color w:val="00FF00"/>
          <w:sz w:val="26"/>
          <w:szCs w:val="26"/>
        </w:rPr>
        <w:t>green</w:t>
      </w:r>
      <w:r w:rsidRPr="00862643">
        <w:t>/</w:t>
      </w:r>
      <w:r w:rsidRPr="00862643">
        <w:rPr>
          <w:color w:val="FF33CC"/>
        </w:rPr>
        <w:t>pink Highlight)</w:t>
      </w:r>
      <w:r w:rsidRPr="00862643">
        <w:t xml:space="preserve"> between cocaine ligand and mouth residues.  </w:t>
      </w:r>
      <w:r w:rsidRPr="00862643">
        <w:rPr>
          <w:b/>
        </w:rPr>
        <w:t>Left is</w:t>
      </w:r>
      <w:r w:rsidRPr="00862643">
        <w:rPr>
          <w:i/>
          <w:color w:val="00B0F0"/>
        </w:rPr>
        <w:t xml:space="preserve"> </w:t>
      </w:r>
      <w:r w:rsidRPr="00862643">
        <w:t xml:space="preserve">WTAgamOBP1 and </w:t>
      </w:r>
      <w:r w:rsidRPr="00862643">
        <w:rPr>
          <w:b/>
        </w:rPr>
        <w:t>right is</w:t>
      </w:r>
      <w:r w:rsidRPr="00862643">
        <w:rPr>
          <w:i/>
          <w:color w:val="00B0F0"/>
        </w:rPr>
        <w:t xml:space="preserve"> </w:t>
      </w:r>
      <w:r w:rsidRPr="00862643">
        <w:t xml:space="preserve">AgamOBP1_S82P. The analysis was carried out using </w:t>
      </w:r>
      <w:r>
        <w:t xml:space="preserve">the </w:t>
      </w:r>
      <w:r w:rsidRPr="00862643">
        <w:t>Structural analysis/Find Clashes/Contacts tool of UCSF Chimera.</w:t>
      </w:r>
    </w:p>
    <w:p w14:paraId="48ACADC2" w14:textId="77777777" w:rsidR="00A4548C" w:rsidRPr="00862643" w:rsidRDefault="00A4548C" w:rsidP="00A4548C">
      <w:pPr>
        <w:tabs>
          <w:tab w:val="left" w:pos="528"/>
        </w:tabs>
        <w:spacing w:after="0"/>
      </w:pPr>
      <w:r>
        <w:rPr>
          <w:b/>
        </w:rPr>
        <w:t>(b)</w:t>
      </w:r>
      <w:r w:rsidRPr="00862643">
        <w:t xml:space="preserve"> Structural analysis, distance between cocaine ligand and mouth residues.  </w:t>
      </w:r>
      <w:r w:rsidRPr="00862643">
        <w:rPr>
          <w:b/>
        </w:rPr>
        <w:t>Left is WTAgamOBP1</w:t>
      </w:r>
      <w:r w:rsidRPr="00862643">
        <w:t xml:space="preserve"> and </w:t>
      </w:r>
      <w:r w:rsidRPr="00862643">
        <w:rPr>
          <w:b/>
        </w:rPr>
        <w:t xml:space="preserve">right </w:t>
      </w:r>
      <w:r w:rsidRPr="00862643">
        <w:t>is AgamOBP1_S82P. The analysis was carried out using the Structural analysis/Distances tool of UCSF Chimera. #0 = mouth residues in the model, while #1.1 = ligand number –there is only one ligand in this case, cocaine.</w:t>
      </w:r>
    </w:p>
    <w:p w14:paraId="2392CC10" w14:textId="77777777" w:rsidR="00A4548C" w:rsidRPr="00862643" w:rsidRDefault="00A4548C" w:rsidP="00A4548C"/>
    <w:p w14:paraId="51AB3A75" w14:textId="77777777" w:rsidR="00A4548C" w:rsidRDefault="00A4548C" w:rsidP="00A4548C">
      <w:pPr>
        <w:tabs>
          <w:tab w:val="left" w:pos="1123"/>
        </w:tabs>
      </w:pPr>
      <w:r>
        <w:tab/>
      </w:r>
    </w:p>
    <w:p w14:paraId="6992773D" w14:textId="29848A69" w:rsidR="006C10F6" w:rsidRDefault="006C10F6" w:rsidP="00A4548C">
      <w:pPr>
        <w:tabs>
          <w:tab w:val="left" w:pos="1123"/>
        </w:tabs>
      </w:pPr>
    </w:p>
    <w:p w14:paraId="356DE765" w14:textId="269C9A25" w:rsidR="008E61ED" w:rsidRDefault="00CA2632" w:rsidP="008E61ED">
      <w:pPr>
        <w:tabs>
          <w:tab w:val="left" w:pos="1123"/>
        </w:tabs>
      </w:pPr>
      <w:r>
        <w:t xml:space="preserve">                       </w:t>
      </w:r>
      <w:r w:rsidR="00532A52" w:rsidRPr="00532A52">
        <w:rPr>
          <w:noProof/>
          <w:lang w:eastAsia="en-GB"/>
        </w:rPr>
        <w:drawing>
          <wp:inline distT="0" distB="0" distL="0" distR="0" wp14:anchorId="60D23663" wp14:editId="01A6F2D2">
            <wp:extent cx="4107260" cy="3388037"/>
            <wp:effectExtent l="0" t="0" r="762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stretch>
                      <a:fillRect/>
                    </a:stretch>
                  </pic:blipFill>
                  <pic:spPr>
                    <a:xfrm>
                      <a:off x="0" y="0"/>
                      <a:ext cx="4116263" cy="3395464"/>
                    </a:xfrm>
                    <a:prstGeom prst="rect">
                      <a:avLst/>
                    </a:prstGeom>
                  </pic:spPr>
                </pic:pic>
              </a:graphicData>
            </a:graphic>
          </wp:inline>
        </w:drawing>
      </w:r>
    </w:p>
    <w:p w14:paraId="03345B20" w14:textId="0A98942C" w:rsidR="00D32B96" w:rsidRDefault="008B2C4A" w:rsidP="008E61ED">
      <w:pPr>
        <w:tabs>
          <w:tab w:val="left" w:pos="1123"/>
        </w:tabs>
      </w:pPr>
      <w:r>
        <w:rPr>
          <w:noProof/>
          <w:lang w:eastAsia="en-GB"/>
        </w:rPr>
        <w:drawing>
          <wp:inline distT="0" distB="0" distL="0" distR="0" wp14:anchorId="2A47E20F" wp14:editId="31F85989">
            <wp:extent cx="5167659" cy="1953883"/>
            <wp:effectExtent l="0" t="0" r="0" b="889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4553" cy="1956490"/>
                    </a:xfrm>
                    <a:prstGeom prst="rect">
                      <a:avLst/>
                    </a:prstGeom>
                    <a:noFill/>
                    <a:ln>
                      <a:noFill/>
                    </a:ln>
                    <a:effectLst/>
                  </pic:spPr>
                </pic:pic>
              </a:graphicData>
            </a:graphic>
          </wp:inline>
        </w:drawing>
      </w:r>
    </w:p>
    <w:p w14:paraId="46189C69" w14:textId="342BEA78" w:rsidR="008E61ED" w:rsidRDefault="008E61ED" w:rsidP="008371D1">
      <w:pPr>
        <w:jc w:val="both"/>
        <w:rPr>
          <w:b/>
        </w:rPr>
      </w:pPr>
      <w:r>
        <w:rPr>
          <w:noProof/>
          <w:lang w:eastAsia="en-GB"/>
        </w:rPr>
        <w:drawing>
          <wp:inline distT="0" distB="0" distL="0" distR="0" wp14:anchorId="13CED63D" wp14:editId="6F0EA574">
            <wp:extent cx="5114925" cy="1978208"/>
            <wp:effectExtent l="0" t="0" r="0" b="3175"/>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3463" cy="1985378"/>
                    </a:xfrm>
                    <a:prstGeom prst="rect">
                      <a:avLst/>
                    </a:prstGeom>
                    <a:noFill/>
                    <a:ln>
                      <a:noFill/>
                    </a:ln>
                    <a:effectLst/>
                  </pic:spPr>
                </pic:pic>
              </a:graphicData>
            </a:graphic>
          </wp:inline>
        </w:drawing>
      </w:r>
    </w:p>
    <w:p w14:paraId="26EAC3F7" w14:textId="6DD99B66" w:rsidR="007C5236" w:rsidRDefault="008E61ED" w:rsidP="008371D1">
      <w:pPr>
        <w:jc w:val="both"/>
      </w:pPr>
      <w:r>
        <w:rPr>
          <w:b/>
        </w:rPr>
        <w:t xml:space="preserve">Suppl. Material Figure </w:t>
      </w:r>
      <w:r w:rsidR="00083110">
        <w:rPr>
          <w:b/>
        </w:rPr>
        <w:t>S</w:t>
      </w:r>
      <w:r>
        <w:rPr>
          <w:b/>
        </w:rPr>
        <w:t>9: GC-MS analysis of</w:t>
      </w:r>
      <w:r w:rsidR="00392716">
        <w:rPr>
          <w:b/>
        </w:rPr>
        <w:t xml:space="preserve"> Headspace of </w:t>
      </w:r>
      <w:r w:rsidR="00A23418">
        <w:rPr>
          <w:b/>
        </w:rPr>
        <w:t>Cocaine-</w:t>
      </w:r>
      <w:r>
        <w:rPr>
          <w:b/>
        </w:rPr>
        <w:t xml:space="preserve">HCl sample.  (a) </w:t>
      </w:r>
      <w:r w:rsidRPr="00A42064">
        <w:t xml:space="preserve">GC Chromatogram showing two </w:t>
      </w:r>
      <w:r w:rsidR="00532A52">
        <w:t>major peaks</w:t>
      </w:r>
      <w:r w:rsidR="00A42064" w:rsidRPr="00A42064">
        <w:t>,</w:t>
      </w:r>
      <w:r w:rsidRPr="00A42064">
        <w:t xml:space="preserve"> </w:t>
      </w:r>
      <w:r w:rsidR="00BF3028">
        <w:t>10.</w:t>
      </w:r>
      <w:r w:rsidRPr="00A42064">
        <w:t>13 minutes</w:t>
      </w:r>
      <w:r w:rsidR="00532A52">
        <w:t xml:space="preserve"> (cocaine HCl) (mass spectrum </w:t>
      </w:r>
      <w:r w:rsidR="00532A52" w:rsidRPr="00532A52">
        <w:rPr>
          <w:b/>
        </w:rPr>
        <w:t>b1</w:t>
      </w:r>
      <w:r w:rsidR="005E098E">
        <w:rPr>
          <w:b/>
        </w:rPr>
        <w:t xml:space="preserve">, </w:t>
      </w:r>
      <w:r w:rsidR="005E098E">
        <w:rPr>
          <w:b/>
        </w:rPr>
        <w:lastRenderedPageBreak/>
        <w:t>molecular ion 337.7</w:t>
      </w:r>
      <w:r w:rsidR="00532A52">
        <w:t>), 6.867 minutes (thermal decomposition product attributed to cocaine HCl minus COOCH</w:t>
      </w:r>
      <w:r w:rsidR="00532A52">
        <w:rPr>
          <w:vertAlign w:val="subscript"/>
        </w:rPr>
        <w:t>3</w:t>
      </w:r>
      <w:r w:rsidR="00532A52">
        <w:t xml:space="preserve"> (mass spectrum </w:t>
      </w:r>
      <w:r w:rsidR="00532A52" w:rsidRPr="00532A52">
        <w:rPr>
          <w:b/>
        </w:rPr>
        <w:t>b2</w:t>
      </w:r>
      <w:r w:rsidR="005E098E">
        <w:rPr>
          <w:b/>
        </w:rPr>
        <w:t>, molecular ion 278.1</w:t>
      </w:r>
      <w:r w:rsidR="00532A52">
        <w:t>).</w:t>
      </w:r>
      <w:r w:rsidRPr="00A42064">
        <w:t xml:space="preserve"> </w:t>
      </w:r>
    </w:p>
    <w:p w14:paraId="1657A12F" w14:textId="438B8A59" w:rsidR="00F86734" w:rsidRPr="007C5236" w:rsidRDefault="008371D1" w:rsidP="008371D1">
      <w:pPr>
        <w:jc w:val="both"/>
      </w:pPr>
      <w:r>
        <w:rPr>
          <w:b/>
        </w:rPr>
        <w:t xml:space="preserve">Supplementary Material Table </w:t>
      </w:r>
      <w:r w:rsidR="00083110">
        <w:rPr>
          <w:b/>
        </w:rPr>
        <w:t>S</w:t>
      </w:r>
      <w:r>
        <w:rPr>
          <w:b/>
        </w:rPr>
        <w:t xml:space="preserve">1: Potential stable mutants around the active site of AgamOBP1. </w:t>
      </w:r>
      <w:r w:rsidRPr="008371D1">
        <w:t xml:space="preserve">These mutants were identified by analysis the X- ray structure of AgamOBP1 (PDB ID: 2ERB) using </w:t>
      </w:r>
      <w:r w:rsidRPr="008371D1">
        <w:rPr>
          <w:rFonts w:eastAsia="Calibri" w:cs="Times New Roman"/>
        </w:rPr>
        <w:t>Prediction of Protein Mutants Stability Changes (PoPMuSiC) server.</w:t>
      </w:r>
      <w:r>
        <w:rPr>
          <w:rFonts w:eastAsia="Calibri" w:cs="Times New Roman"/>
          <w:b/>
        </w:rPr>
        <w:t xml:space="preserve"> </w:t>
      </w:r>
    </w:p>
    <w:p w14:paraId="3ACF53C1" w14:textId="6CC256DB" w:rsidR="00F86734" w:rsidRPr="00862643" w:rsidRDefault="00F131A2" w:rsidP="00F86734">
      <w:r w:rsidRPr="00F131A2">
        <w:rPr>
          <w:noProof/>
          <w:lang w:eastAsia="en-GB"/>
        </w:rPr>
        <w:drawing>
          <wp:inline distT="0" distB="0" distL="0" distR="0" wp14:anchorId="442AACBB" wp14:editId="12CF15A8">
            <wp:extent cx="5731510" cy="4361478"/>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361478"/>
                    </a:xfrm>
                    <a:prstGeom prst="rect">
                      <a:avLst/>
                    </a:prstGeom>
                    <a:noFill/>
                    <a:ln>
                      <a:noFill/>
                    </a:ln>
                  </pic:spPr>
                </pic:pic>
              </a:graphicData>
            </a:graphic>
          </wp:inline>
        </w:drawing>
      </w:r>
    </w:p>
    <w:p w14:paraId="3ECCD81F" w14:textId="77777777" w:rsidR="00F86734" w:rsidRPr="00862643" w:rsidRDefault="00F86734" w:rsidP="00F86734"/>
    <w:p w14:paraId="538C0244" w14:textId="77777777" w:rsidR="00F86734" w:rsidRPr="00862643" w:rsidRDefault="00F86734" w:rsidP="00F86734">
      <w:r w:rsidRPr="00862643">
        <w:br w:type="page"/>
      </w:r>
    </w:p>
    <w:p w14:paraId="3D3FBED9" w14:textId="502B8680" w:rsidR="00F86734" w:rsidRPr="008658A3" w:rsidRDefault="008658A3" w:rsidP="008658A3">
      <w:r>
        <w:rPr>
          <w:b/>
        </w:rPr>
        <w:lastRenderedPageBreak/>
        <w:t>Suppl</w:t>
      </w:r>
      <w:r w:rsidR="00042645">
        <w:rPr>
          <w:b/>
        </w:rPr>
        <w:t>ementary</w:t>
      </w:r>
      <w:r>
        <w:rPr>
          <w:b/>
        </w:rPr>
        <w:t xml:space="preserve"> Material </w:t>
      </w:r>
      <w:r w:rsidR="007138C0">
        <w:rPr>
          <w:b/>
        </w:rPr>
        <w:t xml:space="preserve">Table </w:t>
      </w:r>
      <w:r w:rsidR="00083110">
        <w:rPr>
          <w:b/>
        </w:rPr>
        <w:t>S</w:t>
      </w:r>
      <w:r w:rsidR="007138C0">
        <w:rPr>
          <w:b/>
        </w:rPr>
        <w:t>2</w:t>
      </w:r>
      <w:r>
        <w:rPr>
          <w:b/>
        </w:rPr>
        <w:t xml:space="preserve">: </w:t>
      </w:r>
      <w:r w:rsidRPr="006578B4">
        <w:t>For docking experiments, target drug molecules in addition to the fluorescence probe 1-NPN were investigated.  The latter is used in displacement binding experiments to determine the affinities of binding of target ligands. The actual docking was done using the Swissdock server (Swiss Institute of Bioinformatics (http://swissdock.vital-it.ch/docking) which operates using “EADock DSS software”. Each of the 28 potential mutants for AgamOB</w:t>
      </w:r>
      <w:r w:rsidR="001759EF">
        <w:t>P1 plus the WT was docked with each</w:t>
      </w:r>
      <w:r w:rsidR="00EE1A71">
        <w:t xml:space="preserve"> of the seven drug</w:t>
      </w:r>
      <w:r w:rsidRPr="006578B4">
        <w:t xml:space="preserve"> target ligands. During the docking procedure, the software generates many binding modes simultaneously and their energies are estimated. The binding modes with the most favourable energies were evaluated and clustered. For each docking outcome up to 42 clusters were generated, each with several rankings, a cluster is a binding mode and within it there are several ranks, each rank  has slightly   different energy value compared to  another rank, some of those ranks are just repetitions, a much bigger energy differences occurs between</w:t>
      </w:r>
      <w:r w:rsidR="00C2376E">
        <w:t xml:space="preserve"> one binding mode to the other</w:t>
      </w:r>
      <w:r w:rsidRPr="006578B4">
        <w:t>. The data were visualised using the plug in “UCF Chimera”. Initially all non- binding pocket clusters were eliminated. Then the most energetic binding pocket cluster was selected and refined by eliminating any repeated ranks</w:t>
      </w:r>
      <w:r>
        <w:t xml:space="preserve"> </w:t>
      </w:r>
      <w:r w:rsidRPr="00232EFB">
        <w:rPr>
          <w:b/>
        </w:rPr>
        <w:t>(Suppl. Material Figure</w:t>
      </w:r>
      <w:r w:rsidR="00232EFB" w:rsidRPr="00232EFB">
        <w:rPr>
          <w:b/>
        </w:rPr>
        <w:t xml:space="preserve"> 3</w:t>
      </w:r>
      <w:r w:rsidRPr="00232EFB">
        <w:rPr>
          <w:b/>
        </w:rPr>
        <w:t>)</w:t>
      </w:r>
      <w:r>
        <w:t xml:space="preserve"> </w:t>
      </w:r>
      <w:r w:rsidRPr="006578B4">
        <w:t xml:space="preserve">  .  Binding energy values were used to define mutant variants with potentially stronger binding affinity towards a given ligand as the lower the binding energy the stronger the binding and vice versa.</w:t>
      </w:r>
      <w:r>
        <w:t xml:space="preserve"> </w:t>
      </w:r>
      <w:r w:rsidRPr="00EF7F02">
        <w:t xml:space="preserve">The mean value for the binding energy for the drugs for each protein variant was calculated, and the difference between the mean value of a given mutant and the WT mean value was recorded. Any difference value that was ≤ -1.0 kcal/mol was </w:t>
      </w:r>
      <w:r w:rsidR="00C6146B">
        <w:t>used as an indicator of potentially</w:t>
      </w:r>
      <w:r w:rsidRPr="00EF7F02">
        <w:t xml:space="preserve"> stronger binding for that particular mutant than a WT</w:t>
      </w:r>
      <w:r>
        <w:t xml:space="preserve"> across </w:t>
      </w:r>
      <w:r w:rsidR="00C6146B">
        <w:t>all</w:t>
      </w:r>
      <w:r>
        <w:t xml:space="preserve"> of the ligands tested. </w:t>
      </w:r>
    </w:p>
    <w:p w14:paraId="518963FF" w14:textId="4AD7FECB" w:rsidR="00502466" w:rsidRDefault="001759EF" w:rsidP="00F86734">
      <w:r w:rsidRPr="001759EF">
        <w:rPr>
          <w:noProof/>
          <w:lang w:eastAsia="en-GB"/>
        </w:rPr>
        <w:drawing>
          <wp:inline distT="0" distB="0" distL="0" distR="0" wp14:anchorId="224C9674" wp14:editId="5DA0824C">
            <wp:extent cx="4929212" cy="43529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9273" cy="4361809"/>
                    </a:xfrm>
                    <a:prstGeom prst="rect">
                      <a:avLst/>
                    </a:prstGeom>
                    <a:noFill/>
                    <a:ln>
                      <a:noFill/>
                    </a:ln>
                  </pic:spPr>
                </pic:pic>
              </a:graphicData>
            </a:graphic>
          </wp:inline>
        </w:drawing>
      </w:r>
      <w:r w:rsidR="00F86734" w:rsidRPr="00862643">
        <w:br w:type="page"/>
      </w:r>
    </w:p>
    <w:p w14:paraId="1ECE0D53" w14:textId="30D3AC73" w:rsidR="00502466" w:rsidRDefault="00034079" w:rsidP="00F86734">
      <w:r w:rsidRPr="00034079">
        <w:rPr>
          <w:b/>
        </w:rPr>
        <w:lastRenderedPageBreak/>
        <w:t xml:space="preserve">Supplementary Material Table </w:t>
      </w:r>
      <w:r w:rsidR="00083110">
        <w:rPr>
          <w:b/>
        </w:rPr>
        <w:t>S</w:t>
      </w:r>
      <w:r w:rsidRPr="00034079">
        <w:rPr>
          <w:b/>
        </w:rPr>
        <w:t>3</w:t>
      </w:r>
      <w:r>
        <w:t xml:space="preserve">: Summarising the dimensions of the AgamOBP1 mutant variants main binding pockets (active sites) and their respective mouths openings in comparison to the WT protein.  The pockets were generated by analysing the structures of each of the protein using CASTp Server.  </w:t>
      </w:r>
      <w:r w:rsidR="007B3B29">
        <w:t xml:space="preserve">In the Table: </w:t>
      </w:r>
      <w:r w:rsidR="007B3B29" w:rsidRPr="007B3B29">
        <w:rPr>
          <w:b/>
        </w:rPr>
        <w:t xml:space="preserve">(A) </w:t>
      </w:r>
      <w:r w:rsidR="007B3B29">
        <w:t>= Area (Solvent accessible surface-AS) Å</w:t>
      </w:r>
      <w:r w:rsidR="007B3B29" w:rsidRPr="005E098E">
        <w:rPr>
          <w:vertAlign w:val="superscript"/>
        </w:rPr>
        <w:t>2</w:t>
      </w:r>
      <w:r w:rsidR="007B3B29">
        <w:t xml:space="preserve">; </w:t>
      </w:r>
      <w:r w:rsidR="007B3B29" w:rsidRPr="007B3B29">
        <w:rPr>
          <w:b/>
        </w:rPr>
        <w:t>(B</w:t>
      </w:r>
      <w:r w:rsidR="007B3B29">
        <w:rPr>
          <w:b/>
        </w:rPr>
        <w:t>)</w:t>
      </w:r>
      <w:r w:rsidR="007B3B29" w:rsidRPr="007B3B29">
        <w:rPr>
          <w:b/>
        </w:rPr>
        <w:t xml:space="preserve"> </w:t>
      </w:r>
      <w:r w:rsidR="007B3B29">
        <w:t>= Area (Molecular surface-MS) Å</w:t>
      </w:r>
      <w:r w:rsidR="007B3B29" w:rsidRPr="005E098E">
        <w:rPr>
          <w:vertAlign w:val="superscript"/>
        </w:rPr>
        <w:t>2</w:t>
      </w:r>
      <w:r w:rsidR="007B3B29">
        <w:t xml:space="preserve">; </w:t>
      </w:r>
      <w:r w:rsidR="007B3B29" w:rsidRPr="007B3B29">
        <w:rPr>
          <w:b/>
        </w:rPr>
        <w:t>(C</w:t>
      </w:r>
      <w:r w:rsidR="007B3B29">
        <w:rPr>
          <w:b/>
        </w:rPr>
        <w:t>)</w:t>
      </w:r>
      <w:r w:rsidR="007B3B29">
        <w:t xml:space="preserve"> = Volume (Solvent accessible surface-AS) Å</w:t>
      </w:r>
      <w:r w:rsidR="007B3B29" w:rsidRPr="005E098E">
        <w:rPr>
          <w:vertAlign w:val="superscript"/>
        </w:rPr>
        <w:t>3</w:t>
      </w:r>
      <w:r w:rsidR="007B3B29">
        <w:t xml:space="preserve">;  </w:t>
      </w:r>
      <w:r w:rsidR="007B3B29" w:rsidRPr="007B3B29">
        <w:rPr>
          <w:b/>
        </w:rPr>
        <w:t>(D)</w:t>
      </w:r>
      <w:r w:rsidR="007B3B29">
        <w:t xml:space="preserve"> = Volume (Molecular surface-MS)Å</w:t>
      </w:r>
      <w:r w:rsidR="007B3B29" w:rsidRPr="005E098E">
        <w:rPr>
          <w:vertAlign w:val="superscript"/>
        </w:rPr>
        <w:t>3</w:t>
      </w:r>
      <w:r w:rsidR="007B3B29">
        <w:t xml:space="preserve">; </w:t>
      </w:r>
      <w:r w:rsidR="007B3B29" w:rsidRPr="007B3B29">
        <w:rPr>
          <w:b/>
        </w:rPr>
        <w:t>(E)</w:t>
      </w:r>
      <w:r w:rsidR="007B3B29">
        <w:t xml:space="preserve"> = Pocket length (Å), </w:t>
      </w:r>
      <w:r w:rsidR="007B3B29" w:rsidRPr="007B3B29">
        <w:rPr>
          <w:b/>
        </w:rPr>
        <w:t>(F)</w:t>
      </w:r>
      <w:r w:rsidR="007B3B29">
        <w:t xml:space="preserve"> = Number of mouth openings;  </w:t>
      </w:r>
      <w:r w:rsidR="007B3B29" w:rsidRPr="007B3B29">
        <w:rPr>
          <w:b/>
        </w:rPr>
        <w:t>(G)</w:t>
      </w:r>
      <w:r w:rsidR="007B3B29">
        <w:t xml:space="preserve"> = Mouth area (Solvent accessible surface-AS)Å</w:t>
      </w:r>
      <w:r w:rsidR="007B3B29" w:rsidRPr="005E098E">
        <w:rPr>
          <w:vertAlign w:val="superscript"/>
        </w:rPr>
        <w:t>2</w:t>
      </w:r>
      <w:r w:rsidR="007B3B29">
        <w:t xml:space="preserve">; </w:t>
      </w:r>
      <w:r w:rsidR="007B3B29" w:rsidRPr="007B3B29">
        <w:rPr>
          <w:b/>
        </w:rPr>
        <w:t>(H)</w:t>
      </w:r>
      <w:r w:rsidR="007B3B29">
        <w:t xml:space="preserve"> = Mouth area (Molecular surface-MS)Å</w:t>
      </w:r>
      <w:r w:rsidR="007B3B29" w:rsidRPr="005E098E">
        <w:rPr>
          <w:vertAlign w:val="superscript"/>
        </w:rPr>
        <w:t>2</w:t>
      </w:r>
      <w:r w:rsidR="007B3B29">
        <w:t xml:space="preserve">; </w:t>
      </w:r>
      <w:r w:rsidR="007B3B29" w:rsidRPr="007B3B29">
        <w:rPr>
          <w:b/>
        </w:rPr>
        <w:t>(I)</w:t>
      </w:r>
      <w:r w:rsidR="007B3B29">
        <w:t xml:space="preserve"> = Mouth Length (Solvent accessible surface-AS)Å; </w:t>
      </w:r>
      <w:r w:rsidR="007B3B29" w:rsidRPr="007B3B29">
        <w:rPr>
          <w:b/>
        </w:rPr>
        <w:t>(J)</w:t>
      </w:r>
      <w:r w:rsidR="007B3B29">
        <w:t xml:space="preserve"> = Mouth Length (Molecular surface-MS)Å .  Highlighted variants were expressed and tested experimentally</w:t>
      </w:r>
      <w:r w:rsidR="005E098E">
        <w:t>.</w:t>
      </w:r>
      <w:r w:rsidR="007B3B29">
        <w:tab/>
      </w:r>
      <w:r w:rsidR="007B3B29">
        <w:tab/>
      </w:r>
    </w:p>
    <w:p w14:paraId="61E1DAE7" w14:textId="62638591" w:rsidR="00502466" w:rsidRDefault="00B17DD6" w:rsidP="00F86734">
      <w:r w:rsidRPr="00B17DD6">
        <w:rPr>
          <w:noProof/>
          <w:lang w:eastAsia="en-GB"/>
        </w:rPr>
        <w:drawing>
          <wp:inline distT="0" distB="0" distL="0" distR="0" wp14:anchorId="0CCC6302" wp14:editId="1734390C">
            <wp:extent cx="6263074" cy="3934870"/>
            <wp:effectExtent l="0" t="0" r="444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8471" cy="3938261"/>
                    </a:xfrm>
                    <a:prstGeom prst="rect">
                      <a:avLst/>
                    </a:prstGeom>
                    <a:noFill/>
                    <a:ln>
                      <a:noFill/>
                    </a:ln>
                  </pic:spPr>
                </pic:pic>
              </a:graphicData>
            </a:graphic>
          </wp:inline>
        </w:drawing>
      </w:r>
    </w:p>
    <w:p w14:paraId="42D145A7" w14:textId="7E6CB602" w:rsidR="00A8462A" w:rsidRDefault="00A8462A">
      <w:r>
        <w:br w:type="page"/>
      </w:r>
    </w:p>
    <w:p w14:paraId="2B8F5D98" w14:textId="5B47589D" w:rsidR="00034079" w:rsidRPr="0009345F" w:rsidRDefault="0009345F" w:rsidP="00F86734">
      <w:pPr>
        <w:rPr>
          <w:b/>
        </w:rPr>
      </w:pPr>
      <w:r w:rsidRPr="0009345F">
        <w:rPr>
          <w:b/>
        </w:rPr>
        <w:lastRenderedPageBreak/>
        <w:t xml:space="preserve">Supplementary Material Table </w:t>
      </w:r>
      <w:r w:rsidR="00083110">
        <w:rPr>
          <w:b/>
        </w:rPr>
        <w:t>S</w:t>
      </w:r>
      <w:r w:rsidRPr="0009345F">
        <w:rPr>
          <w:b/>
        </w:rPr>
        <w:t>4: Saturated Vapour Pressures of Drugs under investigation</w:t>
      </w:r>
    </w:p>
    <w:p w14:paraId="64A2202B" w14:textId="7943B72F" w:rsidR="00864271" w:rsidRDefault="0009345F" w:rsidP="00F86734">
      <w:r w:rsidRPr="0009345F">
        <w:rPr>
          <w:noProof/>
          <w:lang w:eastAsia="en-GB"/>
        </w:rPr>
        <w:drawing>
          <wp:inline distT="0" distB="0" distL="0" distR="0" wp14:anchorId="2567474F" wp14:editId="4ACC2634">
            <wp:extent cx="5731510" cy="209923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099239"/>
                    </a:xfrm>
                    <a:prstGeom prst="rect">
                      <a:avLst/>
                    </a:prstGeom>
                    <a:noFill/>
                    <a:ln>
                      <a:noFill/>
                    </a:ln>
                  </pic:spPr>
                </pic:pic>
              </a:graphicData>
            </a:graphic>
          </wp:inline>
        </w:drawing>
      </w:r>
    </w:p>
    <w:p w14:paraId="3AB8FE6B" w14:textId="77777777" w:rsidR="00864271" w:rsidRDefault="00864271" w:rsidP="00F86734"/>
    <w:p w14:paraId="66051ED1" w14:textId="77777777" w:rsidR="00864271" w:rsidRDefault="00864271" w:rsidP="00F86734"/>
    <w:p w14:paraId="6D7C30DC" w14:textId="77777777" w:rsidR="00864271" w:rsidRDefault="00864271" w:rsidP="00F86734"/>
    <w:p w14:paraId="506B4834" w14:textId="77777777" w:rsidR="00864271" w:rsidRDefault="00864271" w:rsidP="00F86734"/>
    <w:p w14:paraId="3EBDDC77" w14:textId="77777777" w:rsidR="00864271" w:rsidRDefault="00864271" w:rsidP="00F86734"/>
    <w:p w14:paraId="14BF9873" w14:textId="77777777" w:rsidR="00864271" w:rsidRDefault="00864271" w:rsidP="00F86734"/>
    <w:p w14:paraId="154837BE" w14:textId="77777777" w:rsidR="00864271" w:rsidRDefault="00864271" w:rsidP="00F86734"/>
    <w:p w14:paraId="0E8F1DD6" w14:textId="77777777" w:rsidR="00864271" w:rsidRDefault="00864271" w:rsidP="00F86734"/>
    <w:p w14:paraId="23785BDB" w14:textId="77777777" w:rsidR="00864271" w:rsidRDefault="00864271" w:rsidP="00F86734"/>
    <w:p w14:paraId="5B68B47A" w14:textId="77777777" w:rsidR="00864271" w:rsidRDefault="00864271" w:rsidP="00F86734"/>
    <w:p w14:paraId="5AE096F1" w14:textId="77777777" w:rsidR="00864271" w:rsidRDefault="00864271" w:rsidP="00F86734"/>
    <w:p w14:paraId="750B8798" w14:textId="77777777" w:rsidR="00864271" w:rsidRDefault="00864271" w:rsidP="00F86734"/>
    <w:p w14:paraId="565DCF93" w14:textId="77777777" w:rsidR="00864271" w:rsidRDefault="00864271" w:rsidP="00F86734"/>
    <w:p w14:paraId="67F10FE5" w14:textId="77777777" w:rsidR="00864271" w:rsidRDefault="00864271" w:rsidP="00F86734"/>
    <w:p w14:paraId="4F50BD74" w14:textId="77777777" w:rsidR="00502466" w:rsidRDefault="00502466" w:rsidP="00F86734">
      <w:pPr>
        <w:rPr>
          <w:b/>
        </w:rPr>
      </w:pPr>
    </w:p>
    <w:sectPr w:rsidR="00502466">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023CB" w14:textId="77777777" w:rsidR="001F6EE3" w:rsidRDefault="001F6EE3" w:rsidP="001F25A0">
      <w:pPr>
        <w:spacing w:after="0" w:line="240" w:lineRule="auto"/>
      </w:pPr>
      <w:r>
        <w:separator/>
      </w:r>
    </w:p>
  </w:endnote>
  <w:endnote w:type="continuationSeparator" w:id="0">
    <w:p w14:paraId="1102549A" w14:textId="77777777" w:rsidR="001F6EE3" w:rsidRDefault="001F6EE3" w:rsidP="001F2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695256"/>
      <w:docPartObj>
        <w:docPartGallery w:val="Page Numbers (Bottom of Page)"/>
        <w:docPartUnique/>
      </w:docPartObj>
    </w:sdtPr>
    <w:sdtEndPr>
      <w:rPr>
        <w:noProof/>
      </w:rPr>
    </w:sdtEndPr>
    <w:sdtContent>
      <w:p w14:paraId="0B381972" w14:textId="421606DC" w:rsidR="00394B78" w:rsidRDefault="00394B78" w:rsidP="00A4548C">
        <w:pPr>
          <w:pStyle w:val="Footer"/>
          <w:jc w:val="right"/>
        </w:pPr>
        <w:r>
          <w:fldChar w:fldCharType="begin"/>
        </w:r>
        <w:r>
          <w:instrText xml:space="preserve"> PAGE   \* MERGEFORMAT </w:instrText>
        </w:r>
        <w:r>
          <w:fldChar w:fldCharType="separate"/>
        </w:r>
        <w:r w:rsidR="00C22090">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FED09" w14:textId="77777777" w:rsidR="001F6EE3" w:rsidRDefault="001F6EE3" w:rsidP="001F25A0">
      <w:pPr>
        <w:spacing w:after="0" w:line="240" w:lineRule="auto"/>
      </w:pPr>
      <w:r>
        <w:separator/>
      </w:r>
    </w:p>
  </w:footnote>
  <w:footnote w:type="continuationSeparator" w:id="0">
    <w:p w14:paraId="6564A716" w14:textId="77777777" w:rsidR="001F6EE3" w:rsidRDefault="001F6EE3" w:rsidP="001F25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Bio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rsrdtza5pwtfretden5psp6e0ztprpf92dz&quot;&gt;OBPS&lt;record-ids&gt;&lt;item&gt;2&lt;/item&gt;&lt;item&gt;448&lt;/item&gt;&lt;item&gt;484&lt;/item&gt;&lt;item&gt;508&lt;/item&gt;&lt;item&gt;628&lt;/item&gt;&lt;item&gt;651&lt;/item&gt;&lt;item&gt;655&lt;/item&gt;&lt;item&gt;659&lt;/item&gt;&lt;item&gt;662&lt;/item&gt;&lt;item&gt;664&lt;/item&gt;&lt;item&gt;669&lt;/item&gt;&lt;item&gt;676&lt;/item&gt;&lt;item&gt;3732&lt;/item&gt;&lt;item&gt;8284&lt;/item&gt;&lt;item&gt;8286&lt;/item&gt;&lt;item&gt;8289&lt;/item&gt;&lt;/record-ids&gt;&lt;/item&gt;&lt;/Libraries&gt;"/>
  </w:docVars>
  <w:rsids>
    <w:rsidRoot w:val="00F86734"/>
    <w:rsid w:val="00012D26"/>
    <w:rsid w:val="00032DA8"/>
    <w:rsid w:val="00034079"/>
    <w:rsid w:val="00042645"/>
    <w:rsid w:val="00046619"/>
    <w:rsid w:val="00054686"/>
    <w:rsid w:val="00074178"/>
    <w:rsid w:val="00083110"/>
    <w:rsid w:val="0009345F"/>
    <w:rsid w:val="000969CA"/>
    <w:rsid w:val="000A783B"/>
    <w:rsid w:val="000B1125"/>
    <w:rsid w:val="000C70BC"/>
    <w:rsid w:val="000D3896"/>
    <w:rsid w:val="00102902"/>
    <w:rsid w:val="00114894"/>
    <w:rsid w:val="00125212"/>
    <w:rsid w:val="00140CBF"/>
    <w:rsid w:val="00141D07"/>
    <w:rsid w:val="00145AA8"/>
    <w:rsid w:val="00150AF9"/>
    <w:rsid w:val="00154E20"/>
    <w:rsid w:val="00160AE7"/>
    <w:rsid w:val="001759EF"/>
    <w:rsid w:val="001822EA"/>
    <w:rsid w:val="001A1644"/>
    <w:rsid w:val="001B293B"/>
    <w:rsid w:val="001D7A81"/>
    <w:rsid w:val="001F0DBB"/>
    <w:rsid w:val="001F25A0"/>
    <w:rsid w:val="001F271A"/>
    <w:rsid w:val="001F6EE3"/>
    <w:rsid w:val="00206458"/>
    <w:rsid w:val="00210949"/>
    <w:rsid w:val="00212FF4"/>
    <w:rsid w:val="00213519"/>
    <w:rsid w:val="00232EFB"/>
    <w:rsid w:val="00253A2C"/>
    <w:rsid w:val="00264974"/>
    <w:rsid w:val="00276F81"/>
    <w:rsid w:val="002829C6"/>
    <w:rsid w:val="0028643C"/>
    <w:rsid w:val="00291AF0"/>
    <w:rsid w:val="002B615B"/>
    <w:rsid w:val="002B6413"/>
    <w:rsid w:val="002C72B0"/>
    <w:rsid w:val="00300338"/>
    <w:rsid w:val="00302FD8"/>
    <w:rsid w:val="00303170"/>
    <w:rsid w:val="0030407A"/>
    <w:rsid w:val="003104D4"/>
    <w:rsid w:val="003111BC"/>
    <w:rsid w:val="00330D7B"/>
    <w:rsid w:val="00333FD7"/>
    <w:rsid w:val="00336D41"/>
    <w:rsid w:val="00343B11"/>
    <w:rsid w:val="0035153A"/>
    <w:rsid w:val="00361F46"/>
    <w:rsid w:val="003629B8"/>
    <w:rsid w:val="003808F0"/>
    <w:rsid w:val="003924FE"/>
    <w:rsid w:val="00392716"/>
    <w:rsid w:val="00394B78"/>
    <w:rsid w:val="003B4F6A"/>
    <w:rsid w:val="003B5C2E"/>
    <w:rsid w:val="003B5C8F"/>
    <w:rsid w:val="003B7054"/>
    <w:rsid w:val="003D3798"/>
    <w:rsid w:val="003E3475"/>
    <w:rsid w:val="003E49BC"/>
    <w:rsid w:val="004140A6"/>
    <w:rsid w:val="00433D30"/>
    <w:rsid w:val="00434D0B"/>
    <w:rsid w:val="00436766"/>
    <w:rsid w:val="00451621"/>
    <w:rsid w:val="004559FC"/>
    <w:rsid w:val="00456407"/>
    <w:rsid w:val="004B7D46"/>
    <w:rsid w:val="004C2673"/>
    <w:rsid w:val="004E3827"/>
    <w:rsid w:val="004E5949"/>
    <w:rsid w:val="004F1438"/>
    <w:rsid w:val="00502466"/>
    <w:rsid w:val="0052057C"/>
    <w:rsid w:val="00522FD9"/>
    <w:rsid w:val="00527F01"/>
    <w:rsid w:val="00532A52"/>
    <w:rsid w:val="00534834"/>
    <w:rsid w:val="00535C99"/>
    <w:rsid w:val="00545383"/>
    <w:rsid w:val="0055628D"/>
    <w:rsid w:val="00561412"/>
    <w:rsid w:val="005666F6"/>
    <w:rsid w:val="00567711"/>
    <w:rsid w:val="00570B70"/>
    <w:rsid w:val="00571A40"/>
    <w:rsid w:val="00582AE5"/>
    <w:rsid w:val="005A0988"/>
    <w:rsid w:val="005A4B92"/>
    <w:rsid w:val="005B06DD"/>
    <w:rsid w:val="005B33E0"/>
    <w:rsid w:val="005B34D3"/>
    <w:rsid w:val="005D0285"/>
    <w:rsid w:val="005D629B"/>
    <w:rsid w:val="005E098E"/>
    <w:rsid w:val="005E0DAC"/>
    <w:rsid w:val="005F2710"/>
    <w:rsid w:val="005F408A"/>
    <w:rsid w:val="006047B8"/>
    <w:rsid w:val="00632527"/>
    <w:rsid w:val="006559CB"/>
    <w:rsid w:val="006666EB"/>
    <w:rsid w:val="00677673"/>
    <w:rsid w:val="00680046"/>
    <w:rsid w:val="006A300F"/>
    <w:rsid w:val="006B4999"/>
    <w:rsid w:val="006C10F6"/>
    <w:rsid w:val="006C2F79"/>
    <w:rsid w:val="006E4591"/>
    <w:rsid w:val="006E52ED"/>
    <w:rsid w:val="006E6C0D"/>
    <w:rsid w:val="006F1901"/>
    <w:rsid w:val="006F5A84"/>
    <w:rsid w:val="007138C0"/>
    <w:rsid w:val="00720FB0"/>
    <w:rsid w:val="00723E24"/>
    <w:rsid w:val="0072676D"/>
    <w:rsid w:val="00745C16"/>
    <w:rsid w:val="00752B1F"/>
    <w:rsid w:val="00752FD1"/>
    <w:rsid w:val="0076000C"/>
    <w:rsid w:val="007608FE"/>
    <w:rsid w:val="0076159C"/>
    <w:rsid w:val="00761725"/>
    <w:rsid w:val="00770DD5"/>
    <w:rsid w:val="00792D5B"/>
    <w:rsid w:val="007A4187"/>
    <w:rsid w:val="007B3B29"/>
    <w:rsid w:val="007C5236"/>
    <w:rsid w:val="007D2806"/>
    <w:rsid w:val="007F2DD8"/>
    <w:rsid w:val="007F3692"/>
    <w:rsid w:val="0081018D"/>
    <w:rsid w:val="0081395A"/>
    <w:rsid w:val="0082714A"/>
    <w:rsid w:val="008353A8"/>
    <w:rsid w:val="008371D1"/>
    <w:rsid w:val="008443BF"/>
    <w:rsid w:val="008546A3"/>
    <w:rsid w:val="00861FDD"/>
    <w:rsid w:val="00862643"/>
    <w:rsid w:val="00864271"/>
    <w:rsid w:val="008658A3"/>
    <w:rsid w:val="008667CC"/>
    <w:rsid w:val="00866B39"/>
    <w:rsid w:val="008A3A3E"/>
    <w:rsid w:val="008B1D16"/>
    <w:rsid w:val="008B2C4A"/>
    <w:rsid w:val="008B6C45"/>
    <w:rsid w:val="008B7171"/>
    <w:rsid w:val="008C203D"/>
    <w:rsid w:val="008C7500"/>
    <w:rsid w:val="008E4A6D"/>
    <w:rsid w:val="008E61ED"/>
    <w:rsid w:val="00900F7C"/>
    <w:rsid w:val="00916C33"/>
    <w:rsid w:val="00917412"/>
    <w:rsid w:val="00931A96"/>
    <w:rsid w:val="00944D6C"/>
    <w:rsid w:val="009471C4"/>
    <w:rsid w:val="0094759F"/>
    <w:rsid w:val="009554A6"/>
    <w:rsid w:val="00957FF1"/>
    <w:rsid w:val="00976ECF"/>
    <w:rsid w:val="009B1115"/>
    <w:rsid w:val="009C428F"/>
    <w:rsid w:val="009C49FE"/>
    <w:rsid w:val="009C7D2C"/>
    <w:rsid w:val="009E01AC"/>
    <w:rsid w:val="009E62E0"/>
    <w:rsid w:val="009E7B7F"/>
    <w:rsid w:val="009F6103"/>
    <w:rsid w:val="00A10D8B"/>
    <w:rsid w:val="00A13FC3"/>
    <w:rsid w:val="00A23418"/>
    <w:rsid w:val="00A41A54"/>
    <w:rsid w:val="00A42064"/>
    <w:rsid w:val="00A4548C"/>
    <w:rsid w:val="00A53BFE"/>
    <w:rsid w:val="00A55DFF"/>
    <w:rsid w:val="00A565D7"/>
    <w:rsid w:val="00A771A2"/>
    <w:rsid w:val="00A8462A"/>
    <w:rsid w:val="00A95B14"/>
    <w:rsid w:val="00A96507"/>
    <w:rsid w:val="00AC57CD"/>
    <w:rsid w:val="00AE2ECF"/>
    <w:rsid w:val="00AE3244"/>
    <w:rsid w:val="00AF0C66"/>
    <w:rsid w:val="00B12CF1"/>
    <w:rsid w:val="00B17DD6"/>
    <w:rsid w:val="00B31043"/>
    <w:rsid w:val="00B37143"/>
    <w:rsid w:val="00B45162"/>
    <w:rsid w:val="00B5584D"/>
    <w:rsid w:val="00B63D7E"/>
    <w:rsid w:val="00B712BB"/>
    <w:rsid w:val="00B712E7"/>
    <w:rsid w:val="00B76B07"/>
    <w:rsid w:val="00B826CE"/>
    <w:rsid w:val="00B93496"/>
    <w:rsid w:val="00BA37D1"/>
    <w:rsid w:val="00BB7A5A"/>
    <w:rsid w:val="00BC4DD1"/>
    <w:rsid w:val="00BD1297"/>
    <w:rsid w:val="00BD6529"/>
    <w:rsid w:val="00BF3028"/>
    <w:rsid w:val="00BF603D"/>
    <w:rsid w:val="00C00898"/>
    <w:rsid w:val="00C10A59"/>
    <w:rsid w:val="00C14FBF"/>
    <w:rsid w:val="00C22090"/>
    <w:rsid w:val="00C2376E"/>
    <w:rsid w:val="00C306B7"/>
    <w:rsid w:val="00C335CD"/>
    <w:rsid w:val="00C340D9"/>
    <w:rsid w:val="00C364D4"/>
    <w:rsid w:val="00C468EA"/>
    <w:rsid w:val="00C51511"/>
    <w:rsid w:val="00C57D9C"/>
    <w:rsid w:val="00C60BB2"/>
    <w:rsid w:val="00C6144F"/>
    <w:rsid w:val="00C6146B"/>
    <w:rsid w:val="00C61823"/>
    <w:rsid w:val="00C62D4E"/>
    <w:rsid w:val="00C755D4"/>
    <w:rsid w:val="00C91882"/>
    <w:rsid w:val="00C970BC"/>
    <w:rsid w:val="00CA005C"/>
    <w:rsid w:val="00CA2632"/>
    <w:rsid w:val="00CC5A43"/>
    <w:rsid w:val="00CD1FBF"/>
    <w:rsid w:val="00CD513F"/>
    <w:rsid w:val="00CD5438"/>
    <w:rsid w:val="00CD556F"/>
    <w:rsid w:val="00D05040"/>
    <w:rsid w:val="00D221F7"/>
    <w:rsid w:val="00D32B96"/>
    <w:rsid w:val="00D35F78"/>
    <w:rsid w:val="00D608CA"/>
    <w:rsid w:val="00D75A96"/>
    <w:rsid w:val="00D83803"/>
    <w:rsid w:val="00D83C23"/>
    <w:rsid w:val="00DA17E8"/>
    <w:rsid w:val="00DB3D0D"/>
    <w:rsid w:val="00DC2A2E"/>
    <w:rsid w:val="00DC72A5"/>
    <w:rsid w:val="00DD781F"/>
    <w:rsid w:val="00DE29F0"/>
    <w:rsid w:val="00DE7F71"/>
    <w:rsid w:val="00E0446D"/>
    <w:rsid w:val="00E072B2"/>
    <w:rsid w:val="00E13D42"/>
    <w:rsid w:val="00E142E3"/>
    <w:rsid w:val="00E230AA"/>
    <w:rsid w:val="00E24A15"/>
    <w:rsid w:val="00E75859"/>
    <w:rsid w:val="00EC06C1"/>
    <w:rsid w:val="00ED7144"/>
    <w:rsid w:val="00EE0BC7"/>
    <w:rsid w:val="00EE1A71"/>
    <w:rsid w:val="00EE56A5"/>
    <w:rsid w:val="00EF1770"/>
    <w:rsid w:val="00EF7A3D"/>
    <w:rsid w:val="00F10E99"/>
    <w:rsid w:val="00F131A2"/>
    <w:rsid w:val="00F210EA"/>
    <w:rsid w:val="00F4135D"/>
    <w:rsid w:val="00F41C19"/>
    <w:rsid w:val="00F45B1C"/>
    <w:rsid w:val="00F574C1"/>
    <w:rsid w:val="00F86734"/>
    <w:rsid w:val="00F91523"/>
    <w:rsid w:val="00F97FF0"/>
    <w:rsid w:val="00FA6A73"/>
    <w:rsid w:val="00FB2290"/>
    <w:rsid w:val="00FD2262"/>
    <w:rsid w:val="00FF470F"/>
    <w:rsid w:val="00FF6C3D"/>
    <w:rsid w:val="00FF6D7E"/>
    <w:rsid w:val="00FF6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4EC0D"/>
  <w15:docId w15:val="{CBA1FBA1-3CD6-4464-A252-CDC7C4BC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6734"/>
    <w:rPr>
      <w:color w:val="0000FF" w:themeColor="hyperlink"/>
      <w:u w:val="single"/>
    </w:rPr>
  </w:style>
  <w:style w:type="paragraph" w:styleId="BalloonText">
    <w:name w:val="Balloon Text"/>
    <w:basedOn w:val="Normal"/>
    <w:link w:val="BalloonTextChar"/>
    <w:uiPriority w:val="99"/>
    <w:semiHidden/>
    <w:unhideWhenUsed/>
    <w:rsid w:val="00F86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34"/>
    <w:rPr>
      <w:rFonts w:ascii="Tahoma" w:hAnsi="Tahoma" w:cs="Tahoma"/>
      <w:sz w:val="16"/>
      <w:szCs w:val="16"/>
    </w:rPr>
  </w:style>
  <w:style w:type="paragraph" w:styleId="Header">
    <w:name w:val="header"/>
    <w:basedOn w:val="Normal"/>
    <w:link w:val="HeaderChar"/>
    <w:uiPriority w:val="99"/>
    <w:unhideWhenUsed/>
    <w:rsid w:val="001F25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5A0"/>
  </w:style>
  <w:style w:type="paragraph" w:styleId="Footer">
    <w:name w:val="footer"/>
    <w:basedOn w:val="Normal"/>
    <w:link w:val="FooterChar"/>
    <w:uiPriority w:val="99"/>
    <w:unhideWhenUsed/>
    <w:rsid w:val="001F25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5A0"/>
  </w:style>
  <w:style w:type="paragraph" w:customStyle="1" w:styleId="Default">
    <w:name w:val="Default"/>
    <w:rsid w:val="005F408A"/>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9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32707">
      <w:bodyDiv w:val="1"/>
      <w:marLeft w:val="0"/>
      <w:marRight w:val="0"/>
      <w:marTop w:val="0"/>
      <w:marBottom w:val="0"/>
      <w:divBdr>
        <w:top w:val="none" w:sz="0" w:space="0" w:color="auto"/>
        <w:left w:val="none" w:sz="0" w:space="0" w:color="auto"/>
        <w:bottom w:val="none" w:sz="0" w:space="0" w:color="auto"/>
        <w:right w:val="none" w:sz="0" w:space="0" w:color="auto"/>
      </w:divBdr>
      <w:divsChild>
        <w:div w:id="1406992955">
          <w:marLeft w:val="0"/>
          <w:marRight w:val="0"/>
          <w:marTop w:val="0"/>
          <w:marBottom w:val="0"/>
          <w:divBdr>
            <w:top w:val="none" w:sz="0" w:space="0" w:color="auto"/>
            <w:left w:val="none" w:sz="0" w:space="0" w:color="auto"/>
            <w:bottom w:val="none" w:sz="0" w:space="0" w:color="auto"/>
            <w:right w:val="none" w:sz="0" w:space="0" w:color="auto"/>
          </w:divBdr>
          <w:divsChild>
            <w:div w:id="18864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3432">
      <w:bodyDiv w:val="1"/>
      <w:marLeft w:val="0"/>
      <w:marRight w:val="0"/>
      <w:marTop w:val="0"/>
      <w:marBottom w:val="0"/>
      <w:divBdr>
        <w:top w:val="none" w:sz="0" w:space="0" w:color="auto"/>
        <w:left w:val="none" w:sz="0" w:space="0" w:color="auto"/>
        <w:bottom w:val="none" w:sz="0" w:space="0" w:color="auto"/>
        <w:right w:val="none" w:sz="0" w:space="0" w:color="auto"/>
      </w:divBdr>
    </w:div>
    <w:div w:id="715203681">
      <w:bodyDiv w:val="1"/>
      <w:marLeft w:val="0"/>
      <w:marRight w:val="0"/>
      <w:marTop w:val="0"/>
      <w:marBottom w:val="0"/>
      <w:divBdr>
        <w:top w:val="none" w:sz="0" w:space="0" w:color="auto"/>
        <w:left w:val="none" w:sz="0" w:space="0" w:color="auto"/>
        <w:bottom w:val="none" w:sz="0" w:space="0" w:color="auto"/>
        <w:right w:val="none" w:sz="0" w:space="0" w:color="auto"/>
      </w:divBdr>
    </w:div>
    <w:div w:id="1008823522">
      <w:bodyDiv w:val="1"/>
      <w:marLeft w:val="0"/>
      <w:marRight w:val="0"/>
      <w:marTop w:val="0"/>
      <w:marBottom w:val="0"/>
      <w:divBdr>
        <w:top w:val="none" w:sz="0" w:space="0" w:color="auto"/>
        <w:left w:val="none" w:sz="0" w:space="0" w:color="auto"/>
        <w:bottom w:val="none" w:sz="0" w:space="0" w:color="auto"/>
        <w:right w:val="none" w:sz="0" w:space="0" w:color="auto"/>
      </w:divBdr>
    </w:div>
    <w:div w:id="1194345929">
      <w:bodyDiv w:val="1"/>
      <w:marLeft w:val="0"/>
      <w:marRight w:val="0"/>
      <w:marTop w:val="0"/>
      <w:marBottom w:val="0"/>
      <w:divBdr>
        <w:top w:val="none" w:sz="0" w:space="0" w:color="auto"/>
        <w:left w:val="none" w:sz="0" w:space="0" w:color="auto"/>
        <w:bottom w:val="none" w:sz="0" w:space="0" w:color="auto"/>
        <w:right w:val="none" w:sz="0" w:space="0" w:color="auto"/>
      </w:divBdr>
    </w:div>
    <w:div w:id="1298993236">
      <w:bodyDiv w:val="1"/>
      <w:marLeft w:val="0"/>
      <w:marRight w:val="0"/>
      <w:marTop w:val="0"/>
      <w:marBottom w:val="0"/>
      <w:divBdr>
        <w:top w:val="none" w:sz="0" w:space="0" w:color="auto"/>
        <w:left w:val="none" w:sz="0" w:space="0" w:color="auto"/>
        <w:bottom w:val="none" w:sz="0" w:space="0" w:color="auto"/>
        <w:right w:val="none" w:sz="0" w:space="0" w:color="auto"/>
      </w:divBdr>
    </w:div>
    <w:div w:id="1678338708">
      <w:bodyDiv w:val="1"/>
      <w:marLeft w:val="0"/>
      <w:marRight w:val="0"/>
      <w:marTop w:val="0"/>
      <w:marBottom w:val="0"/>
      <w:divBdr>
        <w:top w:val="none" w:sz="0" w:space="0" w:color="auto"/>
        <w:left w:val="none" w:sz="0" w:space="0" w:color="auto"/>
        <w:bottom w:val="none" w:sz="0" w:space="0" w:color="auto"/>
        <w:right w:val="none" w:sz="0" w:space="0" w:color="auto"/>
      </w:divBdr>
    </w:div>
    <w:div w:id="1858614296">
      <w:bodyDiv w:val="1"/>
      <w:marLeft w:val="0"/>
      <w:marRight w:val="0"/>
      <w:marTop w:val="0"/>
      <w:marBottom w:val="0"/>
      <w:divBdr>
        <w:top w:val="none" w:sz="0" w:space="0" w:color="auto"/>
        <w:left w:val="none" w:sz="0" w:space="0" w:color="auto"/>
        <w:bottom w:val="none" w:sz="0" w:space="0" w:color="auto"/>
        <w:right w:val="none" w:sz="0" w:space="0" w:color="auto"/>
      </w:divBdr>
    </w:div>
    <w:div w:id="1884905965">
      <w:bodyDiv w:val="1"/>
      <w:marLeft w:val="0"/>
      <w:marRight w:val="0"/>
      <w:marTop w:val="0"/>
      <w:marBottom w:val="0"/>
      <w:divBdr>
        <w:top w:val="none" w:sz="0" w:space="0" w:color="auto"/>
        <w:left w:val="none" w:sz="0" w:space="0" w:color="auto"/>
        <w:bottom w:val="none" w:sz="0" w:space="0" w:color="auto"/>
        <w:right w:val="none" w:sz="0" w:space="0" w:color="auto"/>
      </w:divBdr>
    </w:div>
    <w:div w:id="194623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hyperlink" Target="mailto:krishna.persaud@manchester.ac.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14CE3-B659-4570-88F2-F23EC12A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Pages>
  <Words>2291</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Khasim Cali</dc:creator>
  <cp:lastModifiedBy>Krishna Persaud</cp:lastModifiedBy>
  <cp:revision>75</cp:revision>
  <cp:lastPrinted>2019-02-05T22:16:00Z</cp:lastPrinted>
  <dcterms:created xsi:type="dcterms:W3CDTF">2019-08-21T15:54:00Z</dcterms:created>
  <dcterms:modified xsi:type="dcterms:W3CDTF">2019-10-09T10:20:00Z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22cb72e9-b9ba-3334-9b98-99ad280b15fd</vt:lpwstr>
  </property>
  <property fmtid="{D5CDD505-2E9C-101B-9397-08002B2CF9AE}" pid="4" name="Mendeley Citation Style_1">
    <vt:lpwstr>http://www.zotero.org/styles/scientific-reports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http://www.zotero.org/styles/nature-biotechnology</vt:lpwstr>
  </property>
  <property fmtid="{D5CDD505-2E9C-101B-9397-08002B2CF9AE}" pid="22" name="Mendeley Recent Style Name 8_1">
    <vt:lpwstr>Nature Biotechnology</vt:lpwstr>
  </property>
  <property fmtid="{D5CDD505-2E9C-101B-9397-08002B2CF9AE}" pid="23" name="Mendeley Recent Style Id 9_1">
    <vt:lpwstr>http://www.zotero.org/styles/scientific-reports</vt:lpwstr>
  </property>
  <property fmtid="{D5CDD505-2E9C-101B-9397-08002B2CF9AE}" pid="24" name="Mendeley Recent Style Name 9_1">
    <vt:lpwstr>Scientific Reports</vt:lpwstr>
  </property>
</Properties>
</file>