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C03" w:rsidRDefault="00917C03" w:rsidP="00917C03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</w:t>
      </w:r>
    </w:p>
    <w:p w:rsidR="00917C03" w:rsidRPr="00827523" w:rsidRDefault="00917C03" w:rsidP="00917C03">
      <w:pPr>
        <w:spacing w:line="480" w:lineRule="auto"/>
        <w:jc w:val="center"/>
        <w:rPr>
          <w:rFonts w:ascii="Arial" w:hAnsi="Arial" w:cs="Arial"/>
          <w:b/>
        </w:rPr>
      </w:pPr>
      <w:bookmarkStart w:id="0" w:name="_Hlk1478731"/>
      <w:bookmarkStart w:id="1" w:name="_Hlk7094931"/>
      <w:bookmarkStart w:id="2" w:name="_Hlk7519098"/>
      <w:r w:rsidRPr="00827523">
        <w:rPr>
          <w:rFonts w:ascii="Arial" w:hAnsi="Arial" w:cs="Arial"/>
          <w:b/>
        </w:rPr>
        <w:t>Single</w:t>
      </w:r>
      <w:r>
        <w:rPr>
          <w:rFonts w:ascii="Arial" w:hAnsi="Arial" w:cs="Arial"/>
          <w:b/>
        </w:rPr>
        <w:t>-cell T</w:t>
      </w:r>
      <w:r w:rsidRPr="00827523">
        <w:rPr>
          <w:rFonts w:ascii="Arial" w:hAnsi="Arial" w:cs="Arial"/>
          <w:b/>
        </w:rPr>
        <w:t xml:space="preserve">ranscriptome </w:t>
      </w:r>
      <w:r>
        <w:rPr>
          <w:rFonts w:ascii="Arial" w:hAnsi="Arial" w:cs="Arial"/>
          <w:b/>
        </w:rPr>
        <w:t>Mapping Identifies Common and Cell-type Specific Genes Affected by</w:t>
      </w:r>
      <w:r w:rsidRPr="001C567D">
        <w:t xml:space="preserve"> </w:t>
      </w:r>
      <w:r>
        <w:rPr>
          <w:rFonts w:ascii="Arial" w:hAnsi="Arial" w:cs="Arial"/>
          <w:b/>
        </w:rPr>
        <w:t>A</w:t>
      </w:r>
      <w:r w:rsidRPr="005D01CF">
        <w:rPr>
          <w:rFonts w:ascii="Arial" w:hAnsi="Arial" w:cs="Arial"/>
          <w:b/>
        </w:rPr>
        <w:t xml:space="preserve">cute </w:t>
      </w:r>
      <w:r>
        <w:rPr>
          <w:rFonts w:ascii="Arial" w:hAnsi="Arial" w:cs="Arial"/>
          <w:b/>
        </w:rPr>
        <w:t>Delta9-t</w:t>
      </w:r>
      <w:r w:rsidRPr="001C567D">
        <w:rPr>
          <w:rFonts w:ascii="Arial" w:hAnsi="Arial" w:cs="Arial"/>
          <w:b/>
        </w:rPr>
        <w:t>etrahydrocannabinol</w:t>
      </w:r>
      <w:r w:rsidRPr="00827523">
        <w:rPr>
          <w:rFonts w:ascii="Arial" w:hAnsi="Arial" w:cs="Arial"/>
          <w:b/>
        </w:rPr>
        <w:t xml:space="preserve"> </w:t>
      </w:r>
      <w:bookmarkEnd w:id="0"/>
      <w:r>
        <w:rPr>
          <w:rFonts w:ascii="Arial" w:hAnsi="Arial" w:cs="Arial"/>
          <w:b/>
        </w:rPr>
        <w:t>in H</w:t>
      </w:r>
      <w:r w:rsidRPr="00827523">
        <w:rPr>
          <w:rFonts w:ascii="Arial" w:hAnsi="Arial" w:cs="Arial"/>
          <w:b/>
        </w:rPr>
        <w:t>uman</w:t>
      </w:r>
      <w:r>
        <w:rPr>
          <w:rFonts w:ascii="Arial" w:hAnsi="Arial" w:cs="Arial"/>
          <w:b/>
        </w:rPr>
        <w:t>s</w:t>
      </w:r>
      <w:r w:rsidRPr="0082752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bookmarkStart w:id="3" w:name="_GoBack"/>
      <w:bookmarkEnd w:id="3"/>
    </w:p>
    <w:bookmarkEnd w:id="1"/>
    <w:bookmarkEnd w:id="2"/>
    <w:p w:rsidR="00917C03" w:rsidRPr="00827523" w:rsidRDefault="00917C03" w:rsidP="00917C03">
      <w:pPr>
        <w:spacing w:line="480" w:lineRule="auto"/>
        <w:rPr>
          <w:rFonts w:ascii="Arial" w:eastAsia="Times New Roman" w:hAnsi="Arial" w:cs="Arial"/>
        </w:rPr>
      </w:pPr>
      <w:r w:rsidRPr="00827523">
        <w:rPr>
          <w:rFonts w:ascii="Arial" w:hAnsi="Arial" w:cs="Arial"/>
        </w:rPr>
        <w:t>Ying Hu</w:t>
      </w:r>
      <w:r w:rsidRPr="0082752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</w:t>
      </w:r>
      <w:r w:rsidRPr="00827523">
        <w:rPr>
          <w:rFonts w:ascii="Arial" w:hAnsi="Arial" w:cs="Arial"/>
        </w:rPr>
        <w:t xml:space="preserve"> Mohini Ranganathan </w:t>
      </w:r>
      <w:r w:rsidRPr="00827523">
        <w:rPr>
          <w:rFonts w:ascii="Arial" w:hAnsi="Arial" w:cs="Arial"/>
          <w:vertAlign w:val="superscript"/>
        </w:rPr>
        <w:t>2,3</w:t>
      </w:r>
      <w:r w:rsidRPr="00827523">
        <w:rPr>
          <w:rFonts w:ascii="Arial" w:hAnsi="Arial" w:cs="Arial"/>
        </w:rPr>
        <w:t>,</w:t>
      </w:r>
      <w:r w:rsidRPr="006D5B09">
        <w:rPr>
          <w:rFonts w:ascii="Arial" w:hAnsi="Arial" w:cs="Arial"/>
        </w:rPr>
        <w:t xml:space="preserve"> </w:t>
      </w:r>
      <w:r w:rsidRPr="00827523">
        <w:rPr>
          <w:rFonts w:ascii="Arial" w:hAnsi="Arial" w:cs="Arial"/>
        </w:rPr>
        <w:t xml:space="preserve">Chang Shu </w:t>
      </w:r>
      <w:r>
        <w:rPr>
          <w:rFonts w:ascii="Arial" w:hAnsi="Arial" w:cs="Arial"/>
          <w:vertAlign w:val="superscript"/>
        </w:rPr>
        <w:t>2,3</w:t>
      </w:r>
      <w:r>
        <w:rPr>
          <w:rFonts w:ascii="Arial" w:hAnsi="Arial" w:cs="Arial"/>
        </w:rPr>
        <w:t xml:space="preserve">, </w:t>
      </w:r>
      <w:r w:rsidRPr="000A277D">
        <w:rPr>
          <w:rFonts w:ascii="Arial" w:hAnsi="Arial" w:cs="Arial"/>
        </w:rPr>
        <w:t xml:space="preserve">Xiaoyu Liang </w:t>
      </w:r>
      <w:r w:rsidRPr="000A277D">
        <w:rPr>
          <w:rFonts w:ascii="Arial" w:hAnsi="Arial" w:cs="Arial"/>
          <w:vertAlign w:val="superscript"/>
        </w:rPr>
        <w:t>2,3</w:t>
      </w:r>
      <w:r>
        <w:rPr>
          <w:rFonts w:ascii="Arial" w:hAnsi="Arial" w:cs="Arial"/>
        </w:rPr>
        <w:t xml:space="preserve">, </w:t>
      </w:r>
      <w:r w:rsidRPr="00827523">
        <w:rPr>
          <w:rFonts w:ascii="Arial" w:hAnsi="Arial" w:cs="Arial"/>
        </w:rPr>
        <w:t xml:space="preserve">Suhas Ganesh </w:t>
      </w:r>
      <w:r w:rsidRPr="00827523">
        <w:rPr>
          <w:rFonts w:ascii="Arial" w:hAnsi="Arial" w:cs="Arial"/>
          <w:vertAlign w:val="superscript"/>
        </w:rPr>
        <w:t>2,3</w:t>
      </w:r>
      <w:r w:rsidRPr="00917C03">
        <w:rPr>
          <w:rFonts w:ascii="Arial" w:hAnsi="Arial" w:cs="Arial"/>
        </w:rPr>
        <w:t xml:space="preserve">, Awo Osafo-Addo </w:t>
      </w:r>
      <w:r w:rsidRPr="00917C03">
        <w:rPr>
          <w:rFonts w:ascii="Arial" w:hAnsi="Arial" w:cs="Arial"/>
          <w:vertAlign w:val="superscript"/>
        </w:rPr>
        <w:t>2,3</w:t>
      </w:r>
      <w:r w:rsidRPr="00917C0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E6BE8">
        <w:rPr>
          <w:rFonts w:ascii="Arial" w:hAnsi="Arial" w:cs="Arial"/>
        </w:rPr>
        <w:t>Chunhua Yan</w:t>
      </w:r>
      <w:r w:rsidRPr="00827523">
        <w:rPr>
          <w:rFonts w:ascii="Arial" w:hAnsi="Arial" w:cs="Arial"/>
        </w:rPr>
        <w:t xml:space="preserve"> </w:t>
      </w:r>
      <w:r w:rsidRPr="00827523">
        <w:rPr>
          <w:rFonts w:ascii="Arial" w:hAnsi="Arial" w:cs="Arial"/>
          <w:vertAlign w:val="superscript"/>
        </w:rPr>
        <w:t>1</w:t>
      </w:r>
      <w:r w:rsidRPr="0082752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Xinyu Zhang </w:t>
      </w:r>
      <w:r w:rsidRPr="001807D8">
        <w:rPr>
          <w:rFonts w:ascii="Arial" w:hAnsi="Arial" w:cs="Arial"/>
          <w:vertAlign w:val="superscript"/>
        </w:rPr>
        <w:t>2,3</w:t>
      </w:r>
      <w:r>
        <w:rPr>
          <w:rFonts w:ascii="Arial" w:hAnsi="Arial" w:cs="Arial"/>
        </w:rPr>
        <w:t xml:space="preserve">, </w:t>
      </w:r>
      <w:r w:rsidRPr="00827523">
        <w:rPr>
          <w:rFonts w:ascii="Arial" w:eastAsia="Times New Roman" w:hAnsi="Arial" w:cs="Arial"/>
          <w:color w:val="000000"/>
        </w:rPr>
        <w:t>Bradley E Aouizerat</w:t>
      </w:r>
      <w:r w:rsidRPr="00827523">
        <w:rPr>
          <w:rFonts w:ascii="Arial" w:eastAsia="Times New Roman" w:hAnsi="Arial" w:cs="Arial"/>
        </w:rPr>
        <w:t xml:space="preserve"> </w:t>
      </w:r>
      <w:r w:rsidRPr="0060489C">
        <w:rPr>
          <w:rFonts w:ascii="Arial" w:eastAsia="Times New Roman" w:hAnsi="Arial" w:cs="Arial"/>
          <w:vertAlign w:val="superscript"/>
        </w:rPr>
        <w:t>4</w:t>
      </w:r>
      <w:r>
        <w:rPr>
          <w:rFonts w:ascii="Arial" w:eastAsia="Times New Roman" w:hAnsi="Arial" w:cs="Arial"/>
          <w:vertAlign w:val="superscript"/>
        </w:rPr>
        <w:t>,5</w:t>
      </w:r>
      <w:r w:rsidRPr="00827523">
        <w:rPr>
          <w:rFonts w:ascii="Arial" w:eastAsia="Times New Roman" w:hAnsi="Arial" w:cs="Arial"/>
        </w:rPr>
        <w:t xml:space="preserve">, </w:t>
      </w:r>
      <w:r w:rsidRPr="00827523">
        <w:rPr>
          <w:rFonts w:ascii="Arial" w:hAnsi="Arial" w:cs="Arial"/>
        </w:rPr>
        <w:t xml:space="preserve">John H Krystal </w:t>
      </w:r>
      <w:r w:rsidRPr="00827523">
        <w:rPr>
          <w:rFonts w:ascii="Arial" w:hAnsi="Arial" w:cs="Arial"/>
          <w:vertAlign w:val="superscript"/>
        </w:rPr>
        <w:t>2,3</w:t>
      </w:r>
      <w:r w:rsidRPr="00827523">
        <w:rPr>
          <w:rFonts w:ascii="Arial" w:hAnsi="Arial" w:cs="Arial"/>
        </w:rPr>
        <w:t xml:space="preserve">, </w:t>
      </w:r>
      <w:r w:rsidRPr="008C4FCE">
        <w:rPr>
          <w:rFonts w:ascii="Arial" w:hAnsi="Arial" w:cs="Arial"/>
        </w:rPr>
        <w:t xml:space="preserve">Deepak </w:t>
      </w:r>
      <w:r>
        <w:rPr>
          <w:rFonts w:ascii="Arial" w:hAnsi="Arial" w:cs="Arial"/>
        </w:rPr>
        <w:t xml:space="preserve">C. </w:t>
      </w:r>
      <w:r w:rsidRPr="008C4FCE">
        <w:rPr>
          <w:rFonts w:ascii="Arial" w:hAnsi="Arial" w:cs="Arial"/>
        </w:rPr>
        <w:t>D’Souza</w:t>
      </w:r>
      <w:r w:rsidRPr="008C4FCE">
        <w:rPr>
          <w:rFonts w:ascii="Arial" w:hAnsi="Arial" w:cs="Arial"/>
          <w:vertAlign w:val="superscript"/>
        </w:rPr>
        <w:t>2,3</w:t>
      </w:r>
      <w:r>
        <w:rPr>
          <w:rFonts w:ascii="Arial" w:hAnsi="Arial" w:cs="Arial"/>
        </w:rPr>
        <w:t xml:space="preserve">, </w:t>
      </w:r>
      <w:r w:rsidRPr="00827523">
        <w:rPr>
          <w:rFonts w:ascii="Arial" w:hAnsi="Arial" w:cs="Arial"/>
        </w:rPr>
        <w:t xml:space="preserve">Ke Xu </w:t>
      </w:r>
      <w:r w:rsidRPr="00827523">
        <w:rPr>
          <w:rFonts w:ascii="Arial" w:hAnsi="Arial" w:cs="Arial"/>
          <w:vertAlign w:val="superscript"/>
        </w:rPr>
        <w:t>2,3</w:t>
      </w:r>
      <w:r>
        <w:rPr>
          <w:rFonts w:ascii="Arial" w:hAnsi="Arial" w:cs="Arial"/>
          <w:vertAlign w:val="superscript"/>
        </w:rPr>
        <w:t>*</w:t>
      </w:r>
    </w:p>
    <w:p w:rsidR="00917C03" w:rsidRPr="00827523" w:rsidRDefault="00917C03" w:rsidP="00917C03">
      <w:pPr>
        <w:spacing w:line="480" w:lineRule="auto"/>
        <w:contextualSpacing/>
        <w:rPr>
          <w:rFonts w:ascii="Arial" w:hAnsi="Arial" w:cs="Arial"/>
        </w:rPr>
      </w:pPr>
      <w:r w:rsidRPr="00827523">
        <w:rPr>
          <w:rFonts w:ascii="Arial" w:hAnsi="Arial" w:cs="Arial"/>
        </w:rPr>
        <w:t>1. Center for Biomedical Information and Information Technology, National Cancer Institute, MD, U.S.A.</w:t>
      </w:r>
    </w:p>
    <w:p w:rsidR="00917C03" w:rsidRPr="00827523" w:rsidRDefault="00917C03" w:rsidP="00917C03">
      <w:pPr>
        <w:spacing w:line="480" w:lineRule="auto"/>
        <w:contextualSpacing/>
        <w:rPr>
          <w:rFonts w:ascii="Arial" w:hAnsi="Arial" w:cs="Arial"/>
        </w:rPr>
      </w:pPr>
      <w:r w:rsidRPr="00827523">
        <w:rPr>
          <w:rFonts w:ascii="Arial" w:hAnsi="Arial" w:cs="Arial"/>
        </w:rPr>
        <w:t>2. Department of Psychiatry, Yale School of Medicine, New Haven, CT, 06516</w:t>
      </w:r>
    </w:p>
    <w:p w:rsidR="00917C03" w:rsidRPr="00827523" w:rsidRDefault="00917C03" w:rsidP="00917C03">
      <w:pPr>
        <w:spacing w:line="480" w:lineRule="auto"/>
        <w:contextualSpacing/>
        <w:rPr>
          <w:rFonts w:ascii="Arial" w:hAnsi="Arial" w:cs="Arial"/>
        </w:rPr>
      </w:pPr>
      <w:r w:rsidRPr="00827523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 xml:space="preserve">Connecticut Veteran Healthcare </w:t>
      </w:r>
      <w:r w:rsidRPr="00827523">
        <w:rPr>
          <w:rFonts w:ascii="Arial" w:hAnsi="Arial" w:cs="Arial"/>
        </w:rPr>
        <w:t>System, West Haven, CT, 06515</w:t>
      </w:r>
    </w:p>
    <w:p w:rsidR="00917C03" w:rsidRDefault="00917C03" w:rsidP="00917C03">
      <w:pPr>
        <w:spacing w:line="480" w:lineRule="auto"/>
        <w:contextualSpacing/>
        <w:rPr>
          <w:rFonts w:ascii="Arial" w:eastAsia="Times New Roman" w:hAnsi="Arial" w:cs="Arial"/>
          <w:color w:val="000000"/>
        </w:rPr>
      </w:pPr>
      <w:r w:rsidRPr="00827523">
        <w:rPr>
          <w:rFonts w:ascii="Arial" w:hAnsi="Arial" w:cs="Arial"/>
        </w:rPr>
        <w:t xml:space="preserve">4. </w:t>
      </w:r>
      <w:r w:rsidRPr="00B52A34">
        <w:rPr>
          <w:rFonts w:ascii="Arial" w:eastAsia="Times New Roman" w:hAnsi="Arial" w:cs="Arial"/>
          <w:color w:val="000000"/>
        </w:rPr>
        <w:t>Bluestone Center for Clinical Research</w:t>
      </w:r>
      <w:r w:rsidRPr="00827523">
        <w:rPr>
          <w:rFonts w:ascii="Arial" w:eastAsia="Times New Roman" w:hAnsi="Arial" w:cs="Arial"/>
          <w:color w:val="000000"/>
        </w:rPr>
        <w:t xml:space="preserve">, </w:t>
      </w:r>
      <w:r w:rsidRPr="00B52A34">
        <w:rPr>
          <w:rFonts w:ascii="Arial" w:eastAsia="Times New Roman" w:hAnsi="Arial" w:cs="Arial"/>
          <w:color w:val="000000"/>
        </w:rPr>
        <w:t>College of Dentistry</w:t>
      </w:r>
      <w:r w:rsidRPr="00827523">
        <w:rPr>
          <w:rFonts w:ascii="Arial" w:eastAsia="Times New Roman" w:hAnsi="Arial" w:cs="Arial"/>
          <w:color w:val="000000"/>
        </w:rPr>
        <w:t xml:space="preserve">, </w:t>
      </w:r>
      <w:r w:rsidRPr="00B52A34">
        <w:rPr>
          <w:rFonts w:ascii="Arial" w:eastAsia="Times New Roman" w:hAnsi="Arial" w:cs="Arial"/>
          <w:color w:val="000000"/>
        </w:rPr>
        <w:t>New York University</w:t>
      </w:r>
      <w:r w:rsidRPr="00827523">
        <w:rPr>
          <w:rFonts w:ascii="Arial" w:eastAsia="Times New Roman" w:hAnsi="Arial" w:cs="Arial"/>
          <w:color w:val="000000"/>
        </w:rPr>
        <w:t>, NY</w:t>
      </w:r>
      <w:r>
        <w:rPr>
          <w:rFonts w:ascii="Arial" w:eastAsia="Times New Roman" w:hAnsi="Arial" w:cs="Arial"/>
          <w:color w:val="000000"/>
        </w:rPr>
        <w:t>, 10010</w:t>
      </w:r>
    </w:p>
    <w:p w:rsidR="00917C03" w:rsidRDefault="00917C03" w:rsidP="00917C03">
      <w:pPr>
        <w:spacing w:line="480" w:lineRule="auto"/>
        <w:contextualSpacing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Pr="00B52A34">
        <w:rPr>
          <w:rFonts w:ascii="Arial" w:eastAsia="Times New Roman" w:hAnsi="Arial" w:cs="Arial"/>
          <w:color w:val="000000"/>
        </w:rPr>
        <w:t>Department of Oral and Maxillofacial Surgery</w:t>
      </w:r>
      <w:r>
        <w:rPr>
          <w:rFonts w:ascii="Arial" w:eastAsia="Times New Roman" w:hAnsi="Arial" w:cs="Arial"/>
          <w:color w:val="000000"/>
        </w:rPr>
        <w:t xml:space="preserve">, </w:t>
      </w:r>
      <w:r w:rsidRPr="00B52A34">
        <w:rPr>
          <w:rFonts w:ascii="Arial" w:eastAsia="Times New Roman" w:hAnsi="Arial" w:cs="Arial"/>
          <w:color w:val="000000"/>
        </w:rPr>
        <w:t>College of Dentistry</w:t>
      </w:r>
      <w:r w:rsidRPr="00827523">
        <w:rPr>
          <w:rFonts w:ascii="Arial" w:eastAsia="Times New Roman" w:hAnsi="Arial" w:cs="Arial"/>
          <w:color w:val="000000"/>
        </w:rPr>
        <w:t xml:space="preserve">, </w:t>
      </w:r>
      <w:r w:rsidRPr="00B52A34">
        <w:rPr>
          <w:rFonts w:ascii="Arial" w:eastAsia="Times New Roman" w:hAnsi="Arial" w:cs="Arial"/>
          <w:color w:val="000000"/>
        </w:rPr>
        <w:t>New York University</w:t>
      </w:r>
      <w:r w:rsidRPr="00827523">
        <w:rPr>
          <w:rFonts w:ascii="Arial" w:eastAsia="Times New Roman" w:hAnsi="Arial" w:cs="Arial"/>
          <w:color w:val="000000"/>
        </w:rPr>
        <w:t>, NY</w:t>
      </w:r>
      <w:r>
        <w:rPr>
          <w:rFonts w:ascii="Arial" w:eastAsia="Times New Roman" w:hAnsi="Arial" w:cs="Arial"/>
          <w:color w:val="000000"/>
        </w:rPr>
        <w:t>, 10010</w:t>
      </w:r>
    </w:p>
    <w:p w:rsidR="00917C03" w:rsidRPr="0095717B" w:rsidRDefault="00917C03" w:rsidP="00917C03">
      <w:pPr>
        <w:spacing w:line="480" w:lineRule="auto"/>
        <w:rPr>
          <w:rFonts w:ascii="Arial" w:eastAsia="Times New Roman" w:hAnsi="Arial" w:cs="Arial"/>
          <w:color w:val="000000"/>
        </w:rPr>
      </w:pPr>
    </w:p>
    <w:p w:rsidR="00917C03" w:rsidRPr="0095717B" w:rsidRDefault="00917C03" w:rsidP="00917C03">
      <w:pPr>
        <w:spacing w:line="480" w:lineRule="auto"/>
        <w:rPr>
          <w:rFonts w:ascii="Arial" w:hAnsi="Arial" w:cs="Arial"/>
        </w:rPr>
      </w:pPr>
      <w:r w:rsidRPr="0095717B">
        <w:rPr>
          <w:rFonts w:ascii="Arial" w:hAnsi="Arial" w:cs="Arial"/>
        </w:rPr>
        <w:t>Please direct all correspondence to:</w:t>
      </w:r>
    </w:p>
    <w:p w:rsidR="00917C03" w:rsidRPr="0095717B" w:rsidRDefault="00917C03" w:rsidP="00917C0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Pr="0095717B">
        <w:rPr>
          <w:rFonts w:ascii="Arial" w:hAnsi="Arial" w:cs="Arial"/>
        </w:rPr>
        <w:t>Ke Xu, MD, PhD</w:t>
      </w:r>
    </w:p>
    <w:p w:rsidR="00917C03" w:rsidRPr="0095717B" w:rsidRDefault="00917C03" w:rsidP="00917C03">
      <w:pPr>
        <w:spacing w:line="480" w:lineRule="auto"/>
        <w:rPr>
          <w:rFonts w:ascii="Arial" w:hAnsi="Arial" w:cs="Arial"/>
        </w:rPr>
      </w:pPr>
      <w:r w:rsidRPr="0095717B">
        <w:rPr>
          <w:rFonts w:ascii="Arial" w:hAnsi="Arial" w:cs="Arial"/>
        </w:rPr>
        <w:t>Associate Professor of Psychiatry</w:t>
      </w:r>
    </w:p>
    <w:p w:rsidR="00917C03" w:rsidRPr="0095717B" w:rsidRDefault="00917C03" w:rsidP="00917C03">
      <w:pPr>
        <w:spacing w:line="480" w:lineRule="auto"/>
        <w:rPr>
          <w:rFonts w:ascii="Arial" w:hAnsi="Arial" w:cs="Arial"/>
        </w:rPr>
      </w:pPr>
      <w:r w:rsidRPr="0095717B">
        <w:rPr>
          <w:rFonts w:ascii="Arial" w:hAnsi="Arial" w:cs="Arial"/>
        </w:rPr>
        <w:t>Yale School of Medicine</w:t>
      </w:r>
    </w:p>
    <w:p w:rsidR="00917C03" w:rsidRPr="0095717B" w:rsidRDefault="00917C03" w:rsidP="00917C03">
      <w:pPr>
        <w:spacing w:line="480" w:lineRule="auto"/>
        <w:rPr>
          <w:rFonts w:ascii="Arial" w:hAnsi="Arial" w:cs="Arial"/>
        </w:rPr>
      </w:pPr>
      <w:r w:rsidRPr="0095717B">
        <w:rPr>
          <w:rFonts w:ascii="Arial" w:hAnsi="Arial" w:cs="Arial"/>
        </w:rPr>
        <w:t>Email: ke.xu@yale.edu</w:t>
      </w:r>
    </w:p>
    <w:p w:rsidR="00917C03" w:rsidRPr="0095717B" w:rsidRDefault="00917C03" w:rsidP="00917C03">
      <w:pPr>
        <w:spacing w:line="480" w:lineRule="auto"/>
        <w:rPr>
          <w:rFonts w:ascii="Arial" w:hAnsi="Arial" w:cs="Arial"/>
        </w:rPr>
      </w:pPr>
      <w:r w:rsidRPr="0095717B">
        <w:rPr>
          <w:rFonts w:ascii="Arial" w:hAnsi="Arial" w:cs="Arial"/>
        </w:rPr>
        <w:t>Telephone: 203-932-5711x7430</w:t>
      </w:r>
    </w:p>
    <w:p w:rsidR="00917C03" w:rsidRDefault="00917C03" w:rsidP="00917C03">
      <w:pPr>
        <w:rPr>
          <w:rFonts w:ascii="Arial" w:hAnsi="Arial" w:cs="Arial"/>
          <w:b/>
        </w:rPr>
      </w:pPr>
    </w:p>
    <w:p w:rsidR="00917C03" w:rsidRDefault="00917C03" w:rsidP="00917C03">
      <w:pPr>
        <w:spacing w:line="480" w:lineRule="auto"/>
        <w:rPr>
          <w:rFonts w:ascii="Arial" w:hAnsi="Arial" w:cs="Arial"/>
          <w:b/>
        </w:rPr>
      </w:pPr>
    </w:p>
    <w:p w:rsidR="00917C03" w:rsidRPr="005C75B7" w:rsidRDefault="00917C03" w:rsidP="00917C03">
      <w:pPr>
        <w:spacing w:line="480" w:lineRule="auto"/>
        <w:rPr>
          <w:rFonts w:ascii="Arial" w:hAnsi="Arial" w:cs="Arial"/>
          <w:b/>
        </w:rPr>
      </w:pPr>
      <w:r w:rsidRPr="005C75B7">
        <w:rPr>
          <w:rFonts w:ascii="Arial" w:hAnsi="Arial" w:cs="Arial"/>
          <w:b/>
        </w:rPr>
        <w:lastRenderedPageBreak/>
        <w:t xml:space="preserve">Supplementary Figures </w:t>
      </w:r>
    </w:p>
    <w:p w:rsidR="00917C03" w:rsidRPr="005C75B7" w:rsidRDefault="00917C03" w:rsidP="00917C03">
      <w:pPr>
        <w:spacing w:line="480" w:lineRule="auto"/>
        <w:rPr>
          <w:rFonts w:ascii="Arial" w:hAnsi="Arial" w:cs="Arial"/>
          <w:b/>
        </w:rPr>
      </w:pPr>
      <w:r w:rsidRPr="005C75B7">
        <w:rPr>
          <w:rFonts w:ascii="Arial" w:hAnsi="Arial" w:cs="Arial"/>
          <w:b/>
        </w:rPr>
        <w:t xml:space="preserve">Figure S1. </w:t>
      </w:r>
      <w:proofErr w:type="spellStart"/>
      <w:r w:rsidRPr="005C75B7">
        <w:rPr>
          <w:rFonts w:ascii="Arial" w:hAnsi="Arial" w:cs="Arial"/>
          <w:b/>
        </w:rPr>
        <w:t>tSNE</w:t>
      </w:r>
      <w:proofErr w:type="spellEnd"/>
      <w:r w:rsidRPr="005C75B7">
        <w:rPr>
          <w:rFonts w:ascii="Arial" w:hAnsi="Arial" w:cs="Arial"/>
          <w:b/>
        </w:rPr>
        <w:t xml:space="preserve"> plot showing cell clusters after removed batch effects </w:t>
      </w:r>
    </w:p>
    <w:p w:rsidR="00917C03" w:rsidRPr="005C75B7" w:rsidRDefault="00917C03" w:rsidP="00917C03">
      <w:pPr>
        <w:spacing w:line="480" w:lineRule="auto"/>
        <w:rPr>
          <w:rFonts w:ascii="Arial" w:hAnsi="Arial" w:cs="Arial"/>
          <w:b/>
        </w:rPr>
      </w:pPr>
      <w:r w:rsidRPr="005C75B7">
        <w:rPr>
          <w:rFonts w:ascii="Arial" w:hAnsi="Arial" w:cs="Arial"/>
          <w:b/>
          <w:noProof/>
          <w:lang w:eastAsia="zh-CN"/>
        </w:rPr>
        <w:drawing>
          <wp:inline distT="0" distB="0" distL="0" distR="0" wp14:anchorId="2D51731B" wp14:editId="28B9A6F4">
            <wp:extent cx="5930265" cy="5503334"/>
            <wp:effectExtent l="0" t="0" r="635" b="0"/>
            <wp:docPr id="24" name="Picture 24" descr="figure_for_submit/png/pdf2png%203/Fig%20S1a/Fig%20S1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gure_for_submit/png/pdf2png%203/Fig%20S1a/Fig%20S1a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0"/>
                    <a:stretch/>
                  </pic:blipFill>
                  <pic:spPr bwMode="auto">
                    <a:xfrm>
                      <a:off x="0" y="0"/>
                      <a:ext cx="5930265" cy="55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53E81">
        <w:rPr>
          <w:rFonts w:ascii="Arial" w:hAnsi="Arial" w:cs="Arial"/>
          <w:b/>
        </w:rPr>
        <w:t>Figure S1a</w:t>
      </w:r>
      <w:r w:rsidRPr="005C75B7">
        <w:rPr>
          <w:rFonts w:ascii="Arial" w:hAnsi="Arial" w:cs="Arial"/>
        </w:rPr>
        <w:t xml:space="preserve">. </w:t>
      </w:r>
      <w:proofErr w:type="spellStart"/>
      <w:r w:rsidRPr="005C75B7">
        <w:rPr>
          <w:rFonts w:ascii="Arial" w:hAnsi="Arial" w:cs="Arial"/>
        </w:rPr>
        <w:t>tSNE</w:t>
      </w:r>
      <w:proofErr w:type="spellEnd"/>
      <w:r w:rsidRPr="005C75B7">
        <w:rPr>
          <w:rFonts w:ascii="Arial" w:hAnsi="Arial" w:cs="Arial"/>
        </w:rPr>
        <w:t xml:space="preserve"> plot for four samples of pre- and post-THC infusion.</w:t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C75B7"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7546B7CD" wp14:editId="35063985">
            <wp:extent cx="5930265" cy="5486400"/>
            <wp:effectExtent l="0" t="0" r="635" b="0"/>
            <wp:docPr id="25" name="Picture 25" descr="figure_for_submit/png/pdf2png%203/Fig%20S1b/Fig%20S1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gure_for_submit/png/pdf2png%203/Fig%20S1b/Fig%20S1b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3"/>
                    <a:stretch/>
                  </pic:blipFill>
                  <pic:spPr bwMode="auto">
                    <a:xfrm>
                      <a:off x="0" y="0"/>
                      <a:ext cx="593026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53E81">
        <w:rPr>
          <w:rFonts w:ascii="Arial" w:hAnsi="Arial" w:cs="Arial"/>
          <w:b/>
        </w:rPr>
        <w:t>Figure S1b</w:t>
      </w:r>
      <w:r w:rsidRPr="005C75B7">
        <w:rPr>
          <w:rFonts w:ascii="Arial" w:hAnsi="Arial" w:cs="Arial"/>
        </w:rPr>
        <w:t xml:space="preserve">. </w:t>
      </w:r>
      <w:proofErr w:type="spellStart"/>
      <w:r w:rsidRPr="005C75B7">
        <w:rPr>
          <w:rFonts w:ascii="Arial" w:hAnsi="Arial" w:cs="Arial"/>
        </w:rPr>
        <w:t>tSNE</w:t>
      </w:r>
      <w:proofErr w:type="spellEnd"/>
      <w:r w:rsidRPr="005C75B7">
        <w:rPr>
          <w:rFonts w:ascii="Arial" w:hAnsi="Arial" w:cs="Arial"/>
        </w:rPr>
        <w:t xml:space="preserve"> plot for pre-THC infusion of subject 1</w:t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C75B7"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4AD97B82" wp14:editId="1463FC0D">
            <wp:extent cx="5930036" cy="5494655"/>
            <wp:effectExtent l="0" t="0" r="1270" b="4445"/>
            <wp:docPr id="26" name="Picture 26" descr="figure_for_submit/png/pdf2png%203/Fig%20S1c/Fig%20S1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gure_for_submit/png/pdf2png%203/Fig%20S1c/Fig%20S1c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-150" r="-4" b="5017"/>
                    <a:stretch/>
                  </pic:blipFill>
                  <pic:spPr bwMode="auto">
                    <a:xfrm>
                      <a:off x="0" y="0"/>
                      <a:ext cx="5930265" cy="54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53E81">
        <w:rPr>
          <w:rFonts w:ascii="Arial" w:hAnsi="Arial" w:cs="Arial"/>
          <w:b/>
        </w:rPr>
        <w:t>Figure S1c</w:t>
      </w:r>
      <w:r w:rsidRPr="005C75B7">
        <w:rPr>
          <w:rFonts w:ascii="Arial" w:hAnsi="Arial" w:cs="Arial"/>
        </w:rPr>
        <w:t xml:space="preserve">. </w:t>
      </w:r>
      <w:proofErr w:type="spellStart"/>
      <w:r w:rsidRPr="005C75B7">
        <w:rPr>
          <w:rFonts w:ascii="Arial" w:hAnsi="Arial" w:cs="Arial"/>
        </w:rPr>
        <w:t>tSNE</w:t>
      </w:r>
      <w:proofErr w:type="spellEnd"/>
      <w:r w:rsidRPr="005C75B7">
        <w:rPr>
          <w:rFonts w:ascii="Arial" w:hAnsi="Arial" w:cs="Arial"/>
        </w:rPr>
        <w:t xml:space="preserve"> plot for post-THC infusion of subject 1</w:t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C75B7"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5AC93FAF" wp14:editId="759D08EB">
            <wp:extent cx="5930265" cy="5477934"/>
            <wp:effectExtent l="0" t="0" r="635" b="0"/>
            <wp:docPr id="27" name="Picture 27" descr="figure_for_submit/png/pdf2png%203/Fig%20S1d/Fig%20S1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gure_for_submit/png/pdf2png%203/Fig%20S1d/Fig%20S1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9"/>
                    <a:stretch/>
                  </pic:blipFill>
                  <pic:spPr bwMode="auto">
                    <a:xfrm>
                      <a:off x="0" y="0"/>
                      <a:ext cx="5930265" cy="54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53E81">
        <w:rPr>
          <w:rFonts w:ascii="Arial" w:hAnsi="Arial" w:cs="Arial"/>
          <w:b/>
        </w:rPr>
        <w:t>Figure S1d</w:t>
      </w:r>
      <w:r w:rsidRPr="005C75B7">
        <w:rPr>
          <w:rFonts w:ascii="Arial" w:hAnsi="Arial" w:cs="Arial"/>
        </w:rPr>
        <w:t xml:space="preserve">. </w:t>
      </w:r>
      <w:proofErr w:type="spellStart"/>
      <w:r w:rsidRPr="005C75B7">
        <w:rPr>
          <w:rFonts w:ascii="Arial" w:hAnsi="Arial" w:cs="Arial"/>
        </w:rPr>
        <w:t>tSNE</w:t>
      </w:r>
      <w:proofErr w:type="spellEnd"/>
      <w:r w:rsidRPr="005C75B7">
        <w:rPr>
          <w:rFonts w:ascii="Arial" w:hAnsi="Arial" w:cs="Arial"/>
        </w:rPr>
        <w:t xml:space="preserve"> plot for pre-THC infusion of subject 2</w:t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C75B7"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246C123D" wp14:editId="6104732B">
            <wp:extent cx="5930265" cy="5477934"/>
            <wp:effectExtent l="0" t="0" r="635" b="0"/>
            <wp:docPr id="28" name="Picture 28" descr="figure_for_submit/png/pdf2png%203/Fig%20S1e/Fig%20S1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e_for_submit/png/pdf2png%203/Fig%20S1e/Fig%20S1e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9"/>
                    <a:stretch/>
                  </pic:blipFill>
                  <pic:spPr bwMode="auto">
                    <a:xfrm>
                      <a:off x="0" y="0"/>
                      <a:ext cx="5930265" cy="54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rPr>
          <w:rFonts w:ascii="Arial" w:hAnsi="Arial" w:cs="Arial"/>
        </w:rPr>
      </w:pPr>
      <w:r w:rsidRPr="00553E81">
        <w:rPr>
          <w:rFonts w:ascii="Arial" w:hAnsi="Arial" w:cs="Arial"/>
          <w:b/>
        </w:rPr>
        <w:t>Figure S1e</w:t>
      </w:r>
      <w:r w:rsidRPr="005C75B7">
        <w:rPr>
          <w:rFonts w:ascii="Arial" w:hAnsi="Arial" w:cs="Arial"/>
        </w:rPr>
        <w:t xml:space="preserve">. </w:t>
      </w:r>
      <w:proofErr w:type="spellStart"/>
      <w:r w:rsidRPr="005C75B7">
        <w:rPr>
          <w:rFonts w:ascii="Arial" w:hAnsi="Arial" w:cs="Arial"/>
        </w:rPr>
        <w:t>tSNE</w:t>
      </w:r>
      <w:proofErr w:type="spellEnd"/>
      <w:r w:rsidRPr="005C75B7">
        <w:rPr>
          <w:rFonts w:ascii="Arial" w:hAnsi="Arial" w:cs="Arial"/>
        </w:rPr>
        <w:t xml:space="preserve"> for post-THC infusion of subject 2. </w:t>
      </w: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5C75B7">
        <w:rPr>
          <w:rFonts w:ascii="Arial" w:hAnsi="Arial" w:cs="Arial"/>
          <w:b/>
        </w:rPr>
        <w:t>Figure S2. Sample marker gene expression in each cell type of 15,973 peripheral blood mononuclear cells</w:t>
      </w: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5C75B7">
        <w:rPr>
          <w:rFonts w:ascii="Arial" w:hAnsi="Arial" w:cs="Arial"/>
          <w:b/>
          <w:noProof/>
          <w:lang w:eastAsia="zh-CN"/>
        </w:rPr>
        <w:lastRenderedPageBreak/>
        <w:drawing>
          <wp:inline distT="0" distB="0" distL="0" distR="0" wp14:anchorId="02C31DA1" wp14:editId="12545746">
            <wp:extent cx="5943600" cy="5943600"/>
            <wp:effectExtent l="0" t="0" r="0" b="0"/>
            <wp:docPr id="30" name="Picture 30" descr="figure_for_submit/png/pdf2png%203/Fig%20S2/Fig%20S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gure_for_submit/png/pdf2png%203/Fig%20S2/Fig%20S2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5C75B7">
        <w:rPr>
          <w:rFonts w:ascii="Arial" w:hAnsi="Arial" w:cs="Arial"/>
          <w:b/>
          <w:noProof/>
          <w:lang w:eastAsia="zh-CN"/>
        </w:rPr>
        <w:lastRenderedPageBreak/>
        <w:drawing>
          <wp:inline distT="0" distB="0" distL="0" distR="0" wp14:anchorId="48A4CB3C" wp14:editId="75158D1E">
            <wp:extent cx="5943600" cy="5943600"/>
            <wp:effectExtent l="0" t="0" r="0" b="0"/>
            <wp:docPr id="29" name="Picture 29" descr="figure_for_submit/png/pdf2png%203/Fig%20S2/Fig%20S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gure_for_submit/png/pdf2png%203/Fig%20S2/Fig%20S2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5C75B7">
        <w:rPr>
          <w:rFonts w:ascii="Arial" w:hAnsi="Arial" w:cs="Arial"/>
          <w:b/>
          <w:noProof/>
          <w:lang w:eastAsia="zh-CN"/>
        </w:rPr>
        <w:lastRenderedPageBreak/>
        <w:drawing>
          <wp:inline distT="0" distB="0" distL="0" distR="0" wp14:anchorId="56D3AD4F" wp14:editId="11ACA1D1">
            <wp:extent cx="5943600" cy="2988310"/>
            <wp:effectExtent l="0" t="0" r="0" b="0"/>
            <wp:docPr id="32" name="Picture 32" descr="figure_for_submit/png/pdf2png%203/Fig%20S2/Fig%20S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gure_for_submit/png/pdf2png%203/Fig%20S2/Fig%20S2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15"/>
                    <a:stretch/>
                  </pic:blipFill>
                  <pic:spPr bwMode="auto"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Figure S3. </w:t>
      </w:r>
      <w:r w:rsidRPr="0023724A">
        <w:rPr>
          <w:rFonts w:ascii="Arial" w:hAnsi="Arial" w:cs="Arial"/>
          <w:b/>
        </w:rPr>
        <w:t xml:space="preserve">Differential gene expression of 13 genes common induced by THC using qPCR in bulk PBMCs and </w:t>
      </w:r>
      <w:proofErr w:type="spellStart"/>
      <w:r w:rsidRPr="0023724A">
        <w:rPr>
          <w:rFonts w:ascii="Arial" w:hAnsi="Arial" w:cs="Arial"/>
          <w:b/>
        </w:rPr>
        <w:t>scRNA</w:t>
      </w:r>
      <w:proofErr w:type="spellEnd"/>
      <w:r w:rsidRPr="0023724A">
        <w:rPr>
          <w:rFonts w:ascii="Arial" w:hAnsi="Arial" w:cs="Arial"/>
          <w:b/>
        </w:rPr>
        <w:t>-seq in six cell types.</w:t>
      </w:r>
      <w:r>
        <w:rPr>
          <w:rFonts w:ascii="Arial" w:hAnsi="Arial" w:cs="Arial"/>
          <w:b/>
        </w:rPr>
        <w:t xml:space="preserve"> </w:t>
      </w:r>
      <w:r w:rsidRPr="0023724A">
        <w:rPr>
          <w:rFonts w:ascii="Arial" w:hAnsi="Arial" w:cs="Arial"/>
          <w:b/>
        </w:rPr>
        <w:t>A. Heatmap of gene expression fold changes in bulk PBMCs and cell types;</w:t>
      </w:r>
      <w:r>
        <w:rPr>
          <w:rFonts w:ascii="Arial" w:hAnsi="Arial" w:cs="Arial"/>
          <w:b/>
        </w:rPr>
        <w:t xml:space="preserve"> </w:t>
      </w:r>
      <w:r w:rsidRPr="0023724A">
        <w:rPr>
          <w:rFonts w:ascii="Arial" w:hAnsi="Arial" w:cs="Arial"/>
          <w:b/>
        </w:rPr>
        <w:t>B. Concordance of fold changes between bulk PBMCs and CD8 cells.</w:t>
      </w:r>
    </w:p>
    <w:p w:rsidR="00917C03" w:rsidRPr="0023724A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23724A">
        <w:rPr>
          <w:rFonts w:ascii="Arial" w:hAnsi="Arial" w:cs="Arial"/>
          <w:b/>
        </w:rPr>
        <w:drawing>
          <wp:anchor distT="0" distB="0" distL="114300" distR="114300" simplePos="0" relativeHeight="251659264" behindDoc="1" locked="0" layoutInCell="1" allowOverlap="1" wp14:anchorId="26C89AE8" wp14:editId="78EB70CC">
            <wp:simplePos x="0" y="0"/>
            <wp:positionH relativeFrom="column">
              <wp:posOffset>3423920</wp:posOffset>
            </wp:positionH>
            <wp:positionV relativeFrom="paragraph">
              <wp:posOffset>514985</wp:posOffset>
            </wp:positionV>
            <wp:extent cx="2626995" cy="1901190"/>
            <wp:effectExtent l="0" t="0" r="1905" b="3810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b="10516"/>
                    <a:stretch/>
                  </pic:blipFill>
                  <pic:spPr bwMode="auto">
                    <a:xfrm>
                      <a:off x="0" y="0"/>
                      <a:ext cx="2626995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24A">
        <w:rPr>
          <w:rFonts w:ascii="Arial" w:hAnsi="Arial" w:cs="Arial"/>
          <w:b/>
        </w:rPr>
        <w:drawing>
          <wp:anchor distT="0" distB="0" distL="114300" distR="114300" simplePos="0" relativeHeight="251660288" behindDoc="1" locked="0" layoutInCell="1" allowOverlap="1" wp14:anchorId="7B533CFD" wp14:editId="4357B1EB">
            <wp:simplePos x="0" y="0"/>
            <wp:positionH relativeFrom="margin">
              <wp:posOffset>0</wp:posOffset>
            </wp:positionH>
            <wp:positionV relativeFrom="paragraph">
              <wp:posOffset>320675</wp:posOffset>
            </wp:positionV>
            <wp:extent cx="3030855" cy="2193290"/>
            <wp:effectExtent l="0" t="0" r="0" b="0"/>
            <wp:wrapTight wrapText="bothSides">
              <wp:wrapPolygon edited="0">
                <wp:start x="0" y="0"/>
                <wp:lineTo x="0" y="21387"/>
                <wp:lineTo x="21451" y="21387"/>
                <wp:lineTo x="214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3728" r="3522" b="5923"/>
                    <a:stretch/>
                  </pic:blipFill>
                  <pic:spPr bwMode="auto">
                    <a:xfrm>
                      <a:off x="0" y="0"/>
                      <a:ext cx="3030855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Figure S4. </w:t>
      </w:r>
      <w:r w:rsidRPr="0023724A">
        <w:rPr>
          <w:rFonts w:ascii="Arial" w:hAnsi="Arial" w:cs="Arial"/>
          <w:b/>
        </w:rPr>
        <w:t>Inferred mechanistic TNF gene networks involving in THC-induced gene expression. The expression of six THC-induced genes regulated by TNF pathway that includes 15 genes participating in signaling transduction</w:t>
      </w: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6514F87" wp14:editId="4864A8A3">
            <wp:extent cx="5305425" cy="458731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06" cy="460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C03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5C75B7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5</w:t>
      </w:r>
      <w:r w:rsidRPr="005C75B7">
        <w:rPr>
          <w:rFonts w:ascii="Arial" w:hAnsi="Arial" w:cs="Arial"/>
          <w:b/>
        </w:rPr>
        <w:t>. Study design and procedure of THC infusion in human subjects.</w:t>
      </w: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5C75B7">
        <w:rPr>
          <w:rFonts w:ascii="Arial" w:hAnsi="Arial" w:cs="Arial"/>
          <w:b/>
          <w:noProof/>
          <w:lang w:eastAsia="zh-CN"/>
        </w:rPr>
        <w:lastRenderedPageBreak/>
        <w:drawing>
          <wp:inline distT="0" distB="0" distL="0" distR="0" wp14:anchorId="58A650B3" wp14:editId="7F72DAE9">
            <wp:extent cx="5930265" cy="2548466"/>
            <wp:effectExtent l="0" t="0" r="635" b="4445"/>
            <wp:docPr id="33" name="Picture 33" descr="figure_for_submit/png/pdf2png%203/Fig%20S3/Fig%20S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gure_for_submit/png/pdf2png%203/Fig%20S3/Fig%20S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12"/>
                    <a:stretch/>
                  </pic:blipFill>
                  <pic:spPr bwMode="auto">
                    <a:xfrm>
                      <a:off x="0" y="0"/>
                      <a:ext cx="5930265" cy="25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03" w:rsidRPr="005C75B7" w:rsidRDefault="00917C03" w:rsidP="00917C03">
      <w:pPr>
        <w:spacing w:line="480" w:lineRule="auto"/>
        <w:contextualSpacing/>
        <w:mirrorIndents/>
        <w:rPr>
          <w:rFonts w:ascii="Arial" w:hAnsi="Arial" w:cs="Arial"/>
        </w:rPr>
      </w:pPr>
      <w:r w:rsidRPr="005C75B7">
        <w:rPr>
          <w:rFonts w:ascii="Arial" w:hAnsi="Arial" w:cs="Arial"/>
        </w:rPr>
        <w:t xml:space="preserve">SA: Substance Abuse; PANSS: Positive and Negative Syndrome Scale; CADSS: Clinician Administered Dissociative States Scale; VAS: Visual Analog Scale; IV: Intravenous Injection; EEG: electroencephalogram. </w:t>
      </w:r>
    </w:p>
    <w:p w:rsidR="00917C03" w:rsidRDefault="00917C03" w:rsidP="00917C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Supplementary T</w:t>
      </w:r>
      <w:r w:rsidRPr="004545C5">
        <w:rPr>
          <w:rFonts w:ascii="Arial" w:hAnsi="Arial" w:cs="Arial"/>
          <w:b/>
        </w:rPr>
        <w:t>ables</w:t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S1. </w:t>
      </w:r>
      <w:r w:rsidRPr="004545C5">
        <w:rPr>
          <w:rFonts w:ascii="Arial" w:hAnsi="Arial" w:cs="Arial"/>
        </w:rPr>
        <w:t>Cell markers for cell type identification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S2. </w:t>
      </w:r>
      <w:r w:rsidRPr="004545C5">
        <w:rPr>
          <w:rFonts w:ascii="Arial" w:hAnsi="Arial" w:cs="Arial"/>
        </w:rPr>
        <w:t>Mapping cell types using generalized linear modelling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S3. </w:t>
      </w:r>
      <w:r w:rsidRPr="004545C5">
        <w:rPr>
          <w:rFonts w:ascii="Arial" w:hAnsi="Arial" w:cs="Arial"/>
        </w:rPr>
        <w:t>Proportion of cell numbers for each sample in a given cell type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S4. </w:t>
      </w:r>
      <w:r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</w:rPr>
        <w:t>A summary of the number of differentially expressed genes between post- and pre-THC samples in each cell type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S5. </w:t>
      </w:r>
      <w:r w:rsidRPr="004545C5">
        <w:rPr>
          <w:rFonts w:ascii="Arial" w:hAnsi="Arial" w:cs="Arial"/>
        </w:rPr>
        <w:t>Dif</w:t>
      </w:r>
      <w:r>
        <w:rPr>
          <w:rFonts w:ascii="Arial" w:hAnsi="Arial" w:cs="Arial"/>
        </w:rPr>
        <w:t>ferentially expressed genes affe</w:t>
      </w:r>
      <w:r w:rsidRPr="004545C5">
        <w:rPr>
          <w:rFonts w:ascii="Arial" w:hAnsi="Arial" w:cs="Arial"/>
        </w:rPr>
        <w:t>cted by THC in CD4+</w:t>
      </w:r>
      <w:r>
        <w:rPr>
          <w:rFonts w:ascii="Arial" w:hAnsi="Arial" w:cs="Arial"/>
        </w:rPr>
        <w:t xml:space="preserve"> T-cell</w:t>
      </w:r>
      <w:r w:rsidRPr="004545C5">
        <w:rPr>
          <w:rFonts w:ascii="Arial" w:hAnsi="Arial" w:cs="Arial"/>
        </w:rPr>
        <w:t>s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S6. </w:t>
      </w:r>
      <w:r w:rsidRPr="00F90ADB">
        <w:rPr>
          <w:rFonts w:ascii="Arial" w:hAnsi="Arial" w:cs="Arial"/>
        </w:rPr>
        <w:t>Differentially expressed genes affected by THC in IL7RCD4+</w:t>
      </w:r>
      <w:r>
        <w:rPr>
          <w:rFonts w:ascii="Arial" w:hAnsi="Arial" w:cs="Arial"/>
        </w:rPr>
        <w:t xml:space="preserve"> T-cell</w:t>
      </w:r>
      <w:r w:rsidRPr="00F90ADB">
        <w:rPr>
          <w:rFonts w:ascii="Arial" w:hAnsi="Arial" w:cs="Arial"/>
        </w:rPr>
        <w:t>s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S7. </w:t>
      </w:r>
      <w:r w:rsidRPr="00F90ADB">
        <w:rPr>
          <w:rFonts w:ascii="Arial" w:hAnsi="Arial" w:cs="Arial"/>
        </w:rPr>
        <w:t>Differentially expressed genes affected by THC in CD8+</w:t>
      </w:r>
      <w:r>
        <w:rPr>
          <w:rFonts w:ascii="Arial" w:hAnsi="Arial" w:cs="Arial"/>
        </w:rPr>
        <w:t xml:space="preserve"> T-cell</w:t>
      </w:r>
      <w:r w:rsidRPr="00F90ADB">
        <w:rPr>
          <w:rFonts w:ascii="Arial" w:hAnsi="Arial" w:cs="Arial"/>
        </w:rPr>
        <w:t>s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S8. </w:t>
      </w:r>
      <w:r w:rsidRPr="00F90ADB">
        <w:rPr>
          <w:rFonts w:ascii="Arial" w:hAnsi="Arial" w:cs="Arial"/>
        </w:rPr>
        <w:t>Differentially expressed genes affected by THC in B cells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S9. </w:t>
      </w:r>
      <w:r w:rsidRPr="00F90ADB">
        <w:rPr>
          <w:rFonts w:ascii="Arial" w:hAnsi="Arial" w:cs="Arial"/>
        </w:rPr>
        <w:t>Differentially expressed genes affected by THC in natural killer cells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S10. </w:t>
      </w:r>
      <w:r w:rsidRPr="00F90ADB">
        <w:rPr>
          <w:rFonts w:ascii="Arial" w:hAnsi="Arial" w:cs="Arial"/>
        </w:rPr>
        <w:t>Differentially expressed genes affected by THC in CD14+ monocytes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S11. </w:t>
      </w:r>
      <w:r w:rsidRPr="00F90ADB">
        <w:rPr>
          <w:rFonts w:ascii="Arial" w:hAnsi="Arial" w:cs="Arial"/>
        </w:rPr>
        <w:t>Dif</w:t>
      </w:r>
      <w:r>
        <w:rPr>
          <w:rFonts w:ascii="Arial" w:hAnsi="Arial" w:cs="Arial"/>
        </w:rPr>
        <w:t>ferentially expressed genes affe</w:t>
      </w:r>
      <w:r w:rsidRPr="00F90ADB">
        <w:rPr>
          <w:rFonts w:ascii="Arial" w:hAnsi="Arial" w:cs="Arial"/>
        </w:rPr>
        <w:t>cted by THC in FCGR3A monocytes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S12. </w:t>
      </w:r>
      <w:r w:rsidRPr="00F90ADB">
        <w:rPr>
          <w:rFonts w:ascii="Arial" w:hAnsi="Arial" w:cs="Arial"/>
        </w:rPr>
        <w:t xml:space="preserve">log2 fold change of top 20 genes </w:t>
      </w:r>
      <w:r>
        <w:rPr>
          <w:rFonts w:ascii="Arial" w:hAnsi="Arial" w:cs="Arial"/>
        </w:rPr>
        <w:t xml:space="preserve">between </w:t>
      </w:r>
      <w:r w:rsidRPr="00F90ADB">
        <w:rPr>
          <w:rFonts w:ascii="Arial" w:hAnsi="Arial" w:cs="Arial"/>
        </w:rPr>
        <w:t>post- and pre-THC infusion in each CD4+</w:t>
      </w:r>
      <w:r>
        <w:rPr>
          <w:rFonts w:ascii="Arial" w:hAnsi="Arial" w:cs="Arial"/>
        </w:rPr>
        <w:t xml:space="preserve"> T-cell</w:t>
      </w:r>
      <w:r w:rsidRPr="00F90ADB">
        <w:rPr>
          <w:rFonts w:ascii="Arial" w:hAnsi="Arial" w:cs="Arial"/>
        </w:rPr>
        <w:t xml:space="preserve"> clusters</w:t>
      </w:r>
      <w:r w:rsidRPr="004545C5">
        <w:rPr>
          <w:rFonts w:ascii="Arial" w:hAnsi="Arial" w:cs="Arial"/>
          <w:b/>
        </w:rPr>
        <w:t xml:space="preserve"> 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>Table S13</w:t>
      </w:r>
      <w:r w:rsidRPr="00F90ADB">
        <w:rPr>
          <w:rFonts w:ascii="Arial" w:hAnsi="Arial" w:cs="Arial"/>
        </w:rPr>
        <w:t>. log2 fold change of top 20 genes between post- and pre-THC infusion in each</w:t>
      </w:r>
      <w:r w:rsidRPr="00203B52">
        <w:rPr>
          <w:rFonts w:ascii="Arial" w:hAnsi="Arial" w:cs="Arial"/>
        </w:rPr>
        <w:t xml:space="preserve"> </w:t>
      </w:r>
      <w:r w:rsidRPr="00F90ADB">
        <w:rPr>
          <w:rFonts w:ascii="Arial" w:hAnsi="Arial" w:cs="Arial"/>
        </w:rPr>
        <w:t>CD8+</w:t>
      </w:r>
      <w:r>
        <w:rPr>
          <w:rFonts w:ascii="Arial" w:hAnsi="Arial" w:cs="Arial"/>
        </w:rPr>
        <w:t xml:space="preserve"> T-cell</w:t>
      </w:r>
      <w:r w:rsidRPr="00F90ADB">
        <w:rPr>
          <w:rFonts w:ascii="Arial" w:hAnsi="Arial" w:cs="Arial"/>
        </w:rPr>
        <w:t xml:space="preserve"> clusters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S14. </w:t>
      </w:r>
      <w:r w:rsidRPr="00F90ADB">
        <w:rPr>
          <w:rFonts w:ascii="Arial" w:hAnsi="Arial" w:cs="Arial"/>
        </w:rPr>
        <w:t>log2 fold change of top 20 genes between post- and pre-THC infusion in each</w:t>
      </w:r>
      <w:r w:rsidRPr="004545C5">
        <w:rPr>
          <w:rFonts w:ascii="Arial" w:hAnsi="Arial" w:cs="Arial"/>
          <w:b/>
        </w:rPr>
        <w:t xml:space="preserve"> </w:t>
      </w:r>
      <w:r w:rsidRPr="00F90ADB">
        <w:rPr>
          <w:rFonts w:ascii="Arial" w:hAnsi="Arial" w:cs="Arial"/>
        </w:rPr>
        <w:t>B cell clusters</w:t>
      </w:r>
      <w:r w:rsidRPr="004545C5">
        <w:rPr>
          <w:rFonts w:ascii="Arial" w:hAnsi="Arial" w:cs="Arial"/>
          <w:b/>
        </w:rPr>
        <w:t xml:space="preserve">  </w:t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 xml:space="preserve">Table S15. </w:t>
      </w:r>
      <w:r w:rsidRPr="00F90ADB">
        <w:rPr>
          <w:rFonts w:ascii="Arial" w:hAnsi="Arial" w:cs="Arial"/>
        </w:rPr>
        <w:t>log2 fold change of top 20 genes between post- and pre-THC infusion in each CD14+ monocytes clusters</w:t>
      </w:r>
      <w:r w:rsidRPr="004545C5">
        <w:rPr>
          <w:rFonts w:ascii="Arial" w:hAnsi="Arial" w:cs="Arial"/>
          <w:b/>
        </w:rPr>
        <w:t xml:space="preserve">  </w:t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Pr="00D6022B" w:rsidRDefault="00917C03" w:rsidP="00917C03">
      <w:pPr>
        <w:contextualSpacing/>
        <w:mirrorIndents/>
        <w:rPr>
          <w:rFonts w:ascii="Arial" w:hAnsi="Arial" w:cs="Arial"/>
          <w:b/>
        </w:rPr>
      </w:pPr>
      <w:r w:rsidRPr="00D6022B">
        <w:rPr>
          <w:rFonts w:ascii="Arial" w:hAnsi="Arial" w:cs="Arial"/>
          <w:b/>
        </w:rPr>
        <w:t xml:space="preserve">Table S16. </w:t>
      </w:r>
      <w:r w:rsidRPr="00D6022B">
        <w:rPr>
          <w:rFonts w:ascii="Arial" w:hAnsi="Arial" w:cs="Arial"/>
        </w:rPr>
        <w:t>Gene Ontology (GO) term enrichment for the co-expression network in CD4+</w:t>
      </w:r>
      <w:r>
        <w:rPr>
          <w:rFonts w:ascii="Arial" w:hAnsi="Arial" w:cs="Arial"/>
        </w:rPr>
        <w:t xml:space="preserve"> T-cell</w:t>
      </w:r>
      <w:r w:rsidRPr="00D6022B">
        <w:rPr>
          <w:rFonts w:ascii="Arial" w:hAnsi="Arial" w:cs="Arial"/>
        </w:rPr>
        <w:t>s</w:t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</w:p>
    <w:p w:rsidR="00917C03" w:rsidRPr="00D6022B" w:rsidRDefault="00917C03" w:rsidP="00917C03">
      <w:pPr>
        <w:contextualSpacing/>
        <w:mirrorIndents/>
        <w:rPr>
          <w:rFonts w:ascii="Arial" w:hAnsi="Arial" w:cs="Arial"/>
          <w:b/>
        </w:rPr>
      </w:pPr>
      <w:r w:rsidRPr="00D6022B">
        <w:rPr>
          <w:rFonts w:ascii="Arial" w:hAnsi="Arial" w:cs="Arial"/>
          <w:b/>
        </w:rPr>
        <w:t xml:space="preserve">Table S17. </w:t>
      </w:r>
      <w:r w:rsidRPr="00D6022B">
        <w:rPr>
          <w:rFonts w:ascii="Arial" w:hAnsi="Arial" w:cs="Arial"/>
        </w:rPr>
        <w:t>Gene Ontology (GO) term enrichment for the co-expression network in CD8+</w:t>
      </w:r>
      <w:r>
        <w:rPr>
          <w:rFonts w:ascii="Arial" w:hAnsi="Arial" w:cs="Arial"/>
        </w:rPr>
        <w:t xml:space="preserve"> T-cell</w:t>
      </w:r>
      <w:r w:rsidRPr="00D6022B">
        <w:rPr>
          <w:rFonts w:ascii="Arial" w:hAnsi="Arial" w:cs="Arial"/>
        </w:rPr>
        <w:t>s</w:t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</w:p>
    <w:p w:rsidR="00917C03" w:rsidRPr="00D6022B" w:rsidRDefault="00917C03" w:rsidP="00917C03">
      <w:pPr>
        <w:contextualSpacing/>
        <w:mirrorIndents/>
        <w:rPr>
          <w:rFonts w:ascii="Arial" w:hAnsi="Arial" w:cs="Arial"/>
          <w:b/>
        </w:rPr>
      </w:pPr>
      <w:r w:rsidRPr="00D6022B">
        <w:rPr>
          <w:rFonts w:ascii="Arial" w:hAnsi="Arial" w:cs="Arial"/>
          <w:b/>
        </w:rPr>
        <w:t xml:space="preserve">Table S18. </w:t>
      </w:r>
      <w:r w:rsidRPr="00D6022B">
        <w:rPr>
          <w:rFonts w:ascii="Arial" w:hAnsi="Arial" w:cs="Arial"/>
        </w:rPr>
        <w:t>Gene Ontology (GO) term enrichment for the co-expression network in B cells</w:t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</w:p>
    <w:p w:rsidR="00917C03" w:rsidRPr="00D6022B" w:rsidRDefault="00917C03" w:rsidP="00917C03">
      <w:pPr>
        <w:contextualSpacing/>
        <w:mirrorIndents/>
        <w:rPr>
          <w:rFonts w:ascii="Arial" w:hAnsi="Arial" w:cs="Arial"/>
          <w:b/>
        </w:rPr>
      </w:pPr>
      <w:r w:rsidRPr="00D6022B">
        <w:rPr>
          <w:rFonts w:ascii="Arial" w:hAnsi="Arial" w:cs="Arial"/>
          <w:b/>
        </w:rPr>
        <w:t xml:space="preserve">Table S19. </w:t>
      </w:r>
      <w:r w:rsidRPr="00D6022B">
        <w:rPr>
          <w:rFonts w:ascii="Arial" w:hAnsi="Arial" w:cs="Arial"/>
        </w:rPr>
        <w:t>Gene Ontology (GO) term enrichment for the co-expression network in natural killer cells</w:t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D6022B">
        <w:rPr>
          <w:rFonts w:ascii="Arial" w:hAnsi="Arial" w:cs="Arial"/>
          <w:b/>
        </w:rPr>
        <w:lastRenderedPageBreak/>
        <w:t xml:space="preserve">Table S20. </w:t>
      </w:r>
      <w:r w:rsidRPr="00D6022B">
        <w:rPr>
          <w:rFonts w:ascii="Arial" w:hAnsi="Arial" w:cs="Arial"/>
        </w:rPr>
        <w:t>Gene Ontology (GO) term enrichment for the co-expression network in CD14+ monocytes</w:t>
      </w:r>
    </w:p>
    <w:p w:rsidR="00917C03" w:rsidRPr="00D6022B" w:rsidRDefault="00917C03" w:rsidP="00917C03">
      <w:pPr>
        <w:contextualSpacing/>
        <w:mirrorIndents/>
        <w:rPr>
          <w:rFonts w:ascii="Arial" w:hAnsi="Arial" w:cs="Arial"/>
          <w:b/>
        </w:rPr>
      </w:pP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  <w:b/>
        </w:rPr>
      </w:pPr>
      <w:r w:rsidRPr="00D6022B">
        <w:rPr>
          <w:rFonts w:ascii="Arial" w:hAnsi="Arial" w:cs="Arial"/>
          <w:b/>
        </w:rPr>
        <w:t xml:space="preserve">Table S21. </w:t>
      </w:r>
      <w:r w:rsidRPr="00D6022B">
        <w:rPr>
          <w:rFonts w:ascii="Arial" w:hAnsi="Arial" w:cs="Arial"/>
        </w:rPr>
        <w:t>Gene Ontology (GO) term enrichment for the co-expression network in FCGR3A monocytes</w:t>
      </w:r>
      <w:r w:rsidRPr="00D6022B">
        <w:rPr>
          <w:rFonts w:ascii="Arial" w:hAnsi="Arial" w:cs="Arial"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  <w:r w:rsidRPr="00D6022B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Table S22</w:t>
      </w:r>
      <w:r w:rsidRPr="004545C5">
        <w:rPr>
          <w:rFonts w:ascii="Arial" w:hAnsi="Arial" w:cs="Arial"/>
          <w:b/>
        </w:rPr>
        <w:t xml:space="preserve">. </w:t>
      </w:r>
      <w:r w:rsidRPr="00F90ADB">
        <w:rPr>
          <w:rFonts w:ascii="Arial" w:hAnsi="Arial" w:cs="Arial"/>
        </w:rPr>
        <w:t xml:space="preserve">A summary of the number of significant </w:t>
      </w:r>
      <w:proofErr w:type="gramStart"/>
      <w:r w:rsidRPr="00F90ADB">
        <w:rPr>
          <w:rFonts w:ascii="Arial" w:hAnsi="Arial" w:cs="Arial"/>
        </w:rPr>
        <w:t>pathway</w:t>
      </w:r>
      <w:proofErr w:type="gramEnd"/>
      <w:r w:rsidRPr="00F90ADB">
        <w:rPr>
          <w:rFonts w:ascii="Arial" w:hAnsi="Arial" w:cs="Arial"/>
        </w:rPr>
        <w:t xml:space="preserve"> in each cell type</w:t>
      </w:r>
      <w:r w:rsidRPr="004545C5">
        <w:rPr>
          <w:rFonts w:ascii="Arial" w:hAnsi="Arial" w:cs="Arial"/>
          <w:b/>
        </w:rPr>
        <w:t xml:space="preserve"> 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BF762B">
        <w:rPr>
          <w:rFonts w:ascii="Arial" w:hAnsi="Arial" w:cs="Arial"/>
          <w:b/>
        </w:rPr>
        <w:t xml:space="preserve">Table S23. </w:t>
      </w:r>
      <w:r w:rsidRPr="00BF762B">
        <w:rPr>
          <w:rFonts w:ascii="Arial" w:hAnsi="Arial" w:cs="Arial"/>
        </w:rPr>
        <w:t>Significant pathways from KEGG in CD4+ T-cells</w:t>
      </w:r>
    </w:p>
    <w:p w:rsidR="00917C03" w:rsidRPr="00BF762B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BF762B">
        <w:rPr>
          <w:rFonts w:ascii="Arial" w:hAnsi="Arial" w:cs="Arial"/>
          <w:b/>
        </w:rPr>
        <w:t xml:space="preserve">Table S24. </w:t>
      </w:r>
      <w:r w:rsidRPr="00BF762B">
        <w:rPr>
          <w:rFonts w:ascii="Arial" w:hAnsi="Arial" w:cs="Arial"/>
        </w:rPr>
        <w:t>Significant pathways from KEGG in IL7RCD4+ T-cells</w:t>
      </w:r>
    </w:p>
    <w:p w:rsidR="00917C03" w:rsidRPr="00BF762B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BF762B">
        <w:rPr>
          <w:rFonts w:ascii="Arial" w:hAnsi="Arial" w:cs="Arial"/>
          <w:b/>
        </w:rPr>
        <w:t xml:space="preserve">Table S25. </w:t>
      </w:r>
      <w:r w:rsidRPr="00BF762B">
        <w:rPr>
          <w:rFonts w:ascii="Arial" w:hAnsi="Arial" w:cs="Arial"/>
        </w:rPr>
        <w:t>Significant pathways from KEGG in CD8+ T-cells</w:t>
      </w:r>
    </w:p>
    <w:p w:rsidR="00917C03" w:rsidRPr="00BF762B" w:rsidRDefault="00917C03" w:rsidP="00917C03">
      <w:pPr>
        <w:contextualSpacing/>
        <w:mirrorIndents/>
        <w:rPr>
          <w:rFonts w:ascii="Arial" w:hAnsi="Arial" w:cs="Arial"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BF762B">
        <w:rPr>
          <w:rFonts w:ascii="Arial" w:hAnsi="Arial" w:cs="Arial"/>
          <w:b/>
        </w:rPr>
        <w:t xml:space="preserve">Table S26. </w:t>
      </w:r>
      <w:r w:rsidRPr="00BF762B">
        <w:rPr>
          <w:rFonts w:ascii="Arial" w:hAnsi="Arial" w:cs="Arial"/>
        </w:rPr>
        <w:t>Significant pathways from KEGG in B cells</w:t>
      </w:r>
    </w:p>
    <w:p w:rsidR="00917C03" w:rsidRPr="00BF762B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BF762B">
        <w:rPr>
          <w:rFonts w:ascii="Arial" w:hAnsi="Arial" w:cs="Arial"/>
          <w:b/>
        </w:rPr>
        <w:t xml:space="preserve">Table S27. </w:t>
      </w:r>
      <w:r w:rsidRPr="00BF762B">
        <w:rPr>
          <w:rFonts w:ascii="Arial" w:hAnsi="Arial" w:cs="Arial"/>
        </w:rPr>
        <w:t>Significant pathways from KEGG in natural killer cells</w:t>
      </w:r>
    </w:p>
    <w:p w:rsidR="00917C03" w:rsidRPr="00BF762B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 w:rsidRPr="00BF762B">
        <w:rPr>
          <w:rFonts w:ascii="Arial" w:hAnsi="Arial" w:cs="Arial"/>
          <w:b/>
        </w:rPr>
        <w:t xml:space="preserve">Table S28. </w:t>
      </w:r>
      <w:r w:rsidRPr="00BF762B">
        <w:rPr>
          <w:rFonts w:ascii="Arial" w:hAnsi="Arial" w:cs="Arial"/>
        </w:rPr>
        <w:t>Significant pathways from KEGG in CD14+ monocytes</w:t>
      </w:r>
    </w:p>
    <w:p w:rsidR="00917C03" w:rsidRPr="00BF762B" w:rsidRDefault="00917C03" w:rsidP="00917C03">
      <w:pPr>
        <w:contextualSpacing/>
        <w:mirrorIndents/>
        <w:rPr>
          <w:rFonts w:ascii="Arial" w:hAnsi="Arial" w:cs="Arial"/>
          <w:b/>
        </w:rPr>
      </w:pP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 w:rsidRPr="00BF762B">
        <w:rPr>
          <w:rFonts w:ascii="Arial" w:hAnsi="Arial" w:cs="Arial"/>
          <w:b/>
        </w:rPr>
        <w:t xml:space="preserve">Table S29. </w:t>
      </w:r>
      <w:r w:rsidRPr="00BF762B">
        <w:rPr>
          <w:rFonts w:ascii="Arial" w:hAnsi="Arial" w:cs="Arial"/>
        </w:rPr>
        <w:t>Significant pathways from KEGG in FCGR3A monocytes</w:t>
      </w:r>
      <w:r w:rsidRPr="00BF762B">
        <w:rPr>
          <w:rFonts w:ascii="Arial" w:hAnsi="Arial" w:cs="Arial"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4545C5" w:rsidRDefault="00917C03" w:rsidP="00917C03">
      <w:pPr>
        <w:contextualSpacing/>
        <w:mirrorIndents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Table S30</w:t>
      </w:r>
      <w:r w:rsidRPr="004545C5">
        <w:rPr>
          <w:rFonts w:ascii="Arial" w:hAnsi="Arial" w:cs="Arial"/>
          <w:b/>
        </w:rPr>
        <w:t xml:space="preserve">. </w:t>
      </w:r>
      <w:r w:rsidRPr="00BF762B">
        <w:rPr>
          <w:rFonts w:ascii="Arial" w:hAnsi="Arial" w:cs="Arial"/>
        </w:rPr>
        <w:t xml:space="preserve">Pre-THC gene co-expression between </w:t>
      </w:r>
      <w:r w:rsidRPr="00792517">
        <w:rPr>
          <w:rFonts w:ascii="Arial" w:hAnsi="Arial" w:cs="Arial"/>
          <w:i/>
        </w:rPr>
        <w:t>CNR2</w:t>
      </w:r>
      <w:r w:rsidRPr="00BF762B">
        <w:rPr>
          <w:rFonts w:ascii="Arial" w:hAnsi="Arial" w:cs="Arial"/>
        </w:rPr>
        <w:t xml:space="preserve"> and other genes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Default="00917C03" w:rsidP="00917C03">
      <w:pPr>
        <w:contextualSpacing/>
        <w:mirrorIndents/>
        <w:rPr>
          <w:rFonts w:ascii="Arial" w:hAnsi="Arial" w:cs="Arial"/>
        </w:rPr>
      </w:pPr>
      <w:r>
        <w:rPr>
          <w:rFonts w:ascii="Arial" w:hAnsi="Arial" w:cs="Arial"/>
          <w:b/>
        </w:rPr>
        <w:t>Table S31</w:t>
      </w:r>
      <w:r w:rsidRPr="004545C5">
        <w:rPr>
          <w:rFonts w:ascii="Arial" w:hAnsi="Arial" w:cs="Arial"/>
          <w:b/>
        </w:rPr>
        <w:t xml:space="preserve">. </w:t>
      </w:r>
      <w:r w:rsidRPr="00BF762B">
        <w:rPr>
          <w:rFonts w:ascii="Arial" w:hAnsi="Arial" w:cs="Arial"/>
        </w:rPr>
        <w:t xml:space="preserve">Post-THC gene co-expression between </w:t>
      </w:r>
      <w:r w:rsidRPr="00792517">
        <w:rPr>
          <w:rFonts w:ascii="Arial" w:hAnsi="Arial" w:cs="Arial"/>
          <w:i/>
        </w:rPr>
        <w:t>CNR2</w:t>
      </w:r>
      <w:r w:rsidRPr="00BF762B">
        <w:rPr>
          <w:rFonts w:ascii="Arial" w:hAnsi="Arial" w:cs="Arial"/>
        </w:rPr>
        <w:t xml:space="preserve"> and other genes</w:t>
      </w:r>
    </w:p>
    <w:p w:rsidR="00917C03" w:rsidRDefault="00917C03" w:rsidP="00917C03">
      <w:pPr>
        <w:contextualSpacing/>
        <w:mirrorIndents/>
        <w:rPr>
          <w:rFonts w:ascii="Arial" w:hAnsi="Arial" w:cs="Arial"/>
        </w:rPr>
      </w:pPr>
    </w:p>
    <w:p w:rsidR="00917C03" w:rsidRPr="004545C5" w:rsidRDefault="00917C03" w:rsidP="00917C03">
      <w:pPr>
        <w:spacing w:line="480" w:lineRule="auto"/>
        <w:contextualSpacing/>
        <w:mirrorIndents/>
        <w:rPr>
          <w:rFonts w:ascii="Arial" w:hAnsi="Arial" w:cs="Arial"/>
          <w:b/>
        </w:rPr>
      </w:pPr>
      <w:r w:rsidRPr="00C56A4F">
        <w:rPr>
          <w:rFonts w:ascii="Arial" w:hAnsi="Arial" w:cs="Arial"/>
          <w:b/>
        </w:rPr>
        <w:t xml:space="preserve">Table S32.  </w:t>
      </w:r>
      <w:r w:rsidRPr="00C56A4F">
        <w:rPr>
          <w:rFonts w:ascii="Arial" w:hAnsi="Arial" w:cs="Arial"/>
        </w:rPr>
        <w:t>Physiological and psychological variables</w:t>
      </w:r>
      <w:r>
        <w:rPr>
          <w:rFonts w:ascii="Arial" w:hAnsi="Arial" w:cs="Arial"/>
        </w:rPr>
        <w:t xml:space="preserve"> pre- and post-THC infusion</w:t>
      </w:r>
      <w:r w:rsidRPr="00C56A4F">
        <w:rPr>
          <w:rFonts w:ascii="Arial" w:hAnsi="Arial" w:cs="Arial"/>
        </w:rPr>
        <w:t xml:space="preserve"> for two participants</w:t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  <w:r w:rsidRPr="004545C5">
        <w:rPr>
          <w:rFonts w:ascii="Arial" w:hAnsi="Arial" w:cs="Arial"/>
          <w:b/>
        </w:rPr>
        <w:tab/>
      </w:r>
    </w:p>
    <w:p w:rsidR="00917C03" w:rsidRPr="00A8453A" w:rsidRDefault="00917C03" w:rsidP="00917C03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A8453A">
        <w:rPr>
          <w:rFonts w:ascii="Arial" w:eastAsia="Times New Roman" w:hAnsi="Arial" w:cs="Arial"/>
          <w:b/>
          <w:bCs/>
          <w:color w:val="000000"/>
        </w:rPr>
        <w:t xml:space="preserve">Table S33 </w:t>
      </w:r>
      <w:r w:rsidRPr="00A8453A">
        <w:rPr>
          <w:rFonts w:ascii="Arial" w:eastAsia="Times New Roman" w:hAnsi="Arial" w:cs="Arial"/>
          <w:bCs/>
          <w:color w:val="000000"/>
        </w:rPr>
        <w:t>Top 30 bioinformatically inferred causal analysis for 294 THC-associated genes</w:t>
      </w:r>
    </w:p>
    <w:p w:rsidR="00917C03" w:rsidRPr="00A8453A" w:rsidRDefault="00917C03" w:rsidP="00917C03">
      <w:pPr>
        <w:contextualSpacing/>
        <w:mirrorIndents/>
        <w:rPr>
          <w:rFonts w:ascii="Arial" w:hAnsi="Arial" w:cs="Arial"/>
          <w:b/>
        </w:rPr>
      </w:pPr>
      <w:r w:rsidRPr="00A8453A">
        <w:rPr>
          <w:rFonts w:ascii="Arial" w:hAnsi="Arial" w:cs="Arial"/>
          <w:b/>
        </w:rPr>
        <w:tab/>
      </w:r>
      <w:r w:rsidRPr="00A8453A">
        <w:rPr>
          <w:rFonts w:ascii="Arial" w:hAnsi="Arial" w:cs="Arial"/>
          <w:b/>
        </w:rPr>
        <w:tab/>
      </w:r>
      <w:r w:rsidRPr="00A8453A">
        <w:rPr>
          <w:rFonts w:ascii="Arial" w:hAnsi="Arial" w:cs="Arial"/>
          <w:b/>
        </w:rPr>
        <w:tab/>
      </w:r>
      <w:r w:rsidRPr="00A8453A">
        <w:rPr>
          <w:rFonts w:ascii="Arial" w:hAnsi="Arial" w:cs="Arial"/>
          <w:b/>
        </w:rPr>
        <w:tab/>
      </w:r>
    </w:p>
    <w:p w:rsidR="00917C03" w:rsidRPr="00A8453A" w:rsidRDefault="00917C03" w:rsidP="00917C03">
      <w:pPr>
        <w:rPr>
          <w:rFonts w:ascii="Arial" w:hAnsi="Arial" w:cs="Arial"/>
          <w:b/>
        </w:rPr>
      </w:pPr>
      <w:r w:rsidRPr="00A8453A">
        <w:rPr>
          <w:rFonts w:ascii="Arial" w:hAnsi="Arial" w:cs="Arial"/>
          <w:b/>
        </w:rPr>
        <w:br w:type="page"/>
      </w:r>
    </w:p>
    <w:p w:rsidR="00B670A6" w:rsidRDefault="00B670A6"/>
    <w:sectPr w:rsidR="00B67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C03"/>
    <w:rsid w:val="00095EEF"/>
    <w:rsid w:val="00917C03"/>
    <w:rsid w:val="00B670A6"/>
    <w:rsid w:val="00CF6EBC"/>
    <w:rsid w:val="00D3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07581"/>
  <w15:chartTrackingRefBased/>
  <w15:docId w15:val="{95615CEC-936F-47EE-85C3-9B63EAA6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C03"/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C03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Ke</dc:creator>
  <cp:keywords/>
  <dc:description/>
  <cp:lastModifiedBy>Xu, Ke</cp:lastModifiedBy>
  <cp:revision>1</cp:revision>
  <dcterms:created xsi:type="dcterms:W3CDTF">2019-12-13T20:07:00Z</dcterms:created>
  <dcterms:modified xsi:type="dcterms:W3CDTF">2019-12-13T20:11:00Z</dcterms:modified>
</cp:coreProperties>
</file>