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7C8" w:rsidRPr="00B107C8" w:rsidRDefault="00B107C8" w:rsidP="00F57974">
      <w:pPr>
        <w:adjustRightInd w:val="0"/>
        <w:snapToGrid w:val="0"/>
        <w:spacing w:line="480" w:lineRule="auto"/>
        <w:jc w:val="center"/>
        <w:rPr>
          <w:rFonts w:ascii="Times New Roman" w:eastAsia="等线" w:hAnsi="Times New Roman" w:cs="Times New Roman"/>
          <w:b/>
          <w:sz w:val="24"/>
          <w:szCs w:val="24"/>
          <w:lang w:val="en-US"/>
        </w:rPr>
      </w:pPr>
      <w:r w:rsidRPr="00B107C8">
        <w:rPr>
          <w:rFonts w:ascii="Times New Roman" w:eastAsia="等线" w:hAnsi="Times New Roman" w:cs="Times New Roman"/>
          <w:b/>
          <w:sz w:val="28"/>
          <w:szCs w:val="24"/>
          <w:lang w:val="en-US"/>
        </w:rPr>
        <w:t>Targeted metabolomics reveals aberrant profiles of serum bile acids in patients with schizophrenia</w:t>
      </w:r>
    </w:p>
    <w:p w:rsidR="00B107C8" w:rsidRPr="00B107C8" w:rsidRDefault="00B107C8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>Ying Qing</w:t>
      </w:r>
      <w:r w:rsidRPr="00B107C8">
        <w:rPr>
          <w:rFonts w:ascii="Times New Roman" w:eastAsia="等线" w:hAnsi="Times New Roman" w:cs="Times New Roman"/>
          <w:sz w:val="24"/>
          <w:szCs w:val="24"/>
          <w:vertAlign w:val="superscript"/>
          <w:lang w:val="en-US"/>
        </w:rPr>
        <w:t>1#*</w:t>
      </w: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>Pengkun</w:t>
      </w:r>
      <w:proofErr w:type="spellEnd"/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Wang</w:t>
      </w:r>
      <w:r w:rsidRPr="00B107C8">
        <w:rPr>
          <w:rFonts w:ascii="Times New Roman" w:eastAsia="等线" w:hAnsi="Times New Roman" w:cs="Times New Roman"/>
          <w:sz w:val="24"/>
          <w:szCs w:val="24"/>
          <w:vertAlign w:val="superscript"/>
          <w:lang w:val="en-US"/>
        </w:rPr>
        <w:t>1#</w:t>
      </w: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>Gaoping</w:t>
      </w:r>
      <w:proofErr w:type="spellEnd"/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Cui</w:t>
      </w:r>
      <w:r w:rsidRPr="00B107C8">
        <w:rPr>
          <w:rFonts w:ascii="Times New Roman" w:eastAsia="等线" w:hAnsi="Times New Roman" w:cs="Times New Roman"/>
          <w:sz w:val="24"/>
          <w:szCs w:val="24"/>
          <w:vertAlign w:val="superscript"/>
          <w:lang w:val="en-US"/>
        </w:rPr>
        <w:t>1</w:t>
      </w: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>, Juan Zhang</w:t>
      </w:r>
      <w:r w:rsidRPr="00B107C8">
        <w:rPr>
          <w:rFonts w:ascii="Times New Roman" w:eastAsia="等线" w:hAnsi="Times New Roman" w:cs="Times New Roman"/>
          <w:sz w:val="24"/>
          <w:szCs w:val="24"/>
          <w:vertAlign w:val="superscript"/>
          <w:lang w:val="en-US"/>
        </w:rPr>
        <w:t>1</w:t>
      </w: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>Kemei</w:t>
      </w:r>
      <w:proofErr w:type="spellEnd"/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Liang</w:t>
      </w:r>
      <w:r w:rsidRPr="00B107C8">
        <w:rPr>
          <w:rFonts w:ascii="Times New Roman" w:eastAsia="等线" w:hAnsi="Times New Roman" w:cs="Times New Roman"/>
          <w:sz w:val="24"/>
          <w:szCs w:val="24"/>
          <w:vertAlign w:val="superscript"/>
          <w:lang w:val="en-US"/>
        </w:rPr>
        <w:t>2</w:t>
      </w: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>, Zhong Xia</w:t>
      </w:r>
      <w:r w:rsidRPr="00B107C8">
        <w:rPr>
          <w:rFonts w:ascii="Times New Roman" w:eastAsia="等线" w:hAnsi="Times New Roman" w:cs="Times New Roman"/>
          <w:sz w:val="24"/>
          <w:szCs w:val="24"/>
          <w:vertAlign w:val="superscript"/>
          <w:lang w:val="en-US"/>
        </w:rPr>
        <w:t>2</w:t>
      </w: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>, Peng Wang</w:t>
      </w:r>
      <w:r w:rsidRPr="00B107C8">
        <w:rPr>
          <w:rFonts w:ascii="Times New Roman" w:eastAsia="等线" w:hAnsi="Times New Roman" w:cs="Times New Roman"/>
          <w:sz w:val="24"/>
          <w:szCs w:val="24"/>
          <w:vertAlign w:val="superscript"/>
          <w:lang w:val="en-US"/>
        </w:rPr>
        <w:t>2</w:t>
      </w: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>, Lin He</w:t>
      </w:r>
      <w:r w:rsidRPr="00B107C8">
        <w:rPr>
          <w:rFonts w:ascii="Times New Roman" w:eastAsia="等线" w:hAnsi="Times New Roman" w:cs="Times New Roman"/>
          <w:sz w:val="24"/>
          <w:szCs w:val="24"/>
          <w:vertAlign w:val="superscript"/>
          <w:lang w:val="en-US"/>
        </w:rPr>
        <w:t>1</w:t>
      </w: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>, Wei Jia</w:t>
      </w:r>
      <w:r w:rsidRPr="00B107C8">
        <w:rPr>
          <w:rFonts w:ascii="Times New Roman" w:eastAsia="等线" w:hAnsi="Times New Roman" w:cs="Times New Roman"/>
          <w:sz w:val="24"/>
          <w:szCs w:val="24"/>
          <w:vertAlign w:val="superscript"/>
          <w:lang w:val="en-US"/>
        </w:rPr>
        <w:t>3,4*</w:t>
      </w: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>.</w:t>
      </w:r>
    </w:p>
    <w:p w:rsidR="00B107C8" w:rsidRPr="00B107C8" w:rsidRDefault="00B107C8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B107C8">
        <w:rPr>
          <w:rFonts w:ascii="Times New Roman" w:eastAsia="等线" w:hAnsi="Times New Roman" w:cs="Times New Roman"/>
          <w:sz w:val="24"/>
          <w:szCs w:val="24"/>
          <w:vertAlign w:val="superscript"/>
          <w:lang w:val="en-US"/>
        </w:rPr>
        <w:t>#</w:t>
      </w: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These authors contributed equally to this work.</w:t>
      </w:r>
    </w:p>
    <w:p w:rsidR="00B107C8" w:rsidRPr="00B107C8" w:rsidRDefault="00B107C8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B107C8">
        <w:rPr>
          <w:rFonts w:ascii="Times New Roman" w:eastAsia="等线" w:hAnsi="Times New Roman" w:cs="Times New Roman"/>
          <w:sz w:val="24"/>
          <w:szCs w:val="24"/>
          <w:lang w:val="en-US"/>
        </w:rPr>
        <w:t>* Corresponding authors: Ying Qing and Wei Jia.</w:t>
      </w:r>
    </w:p>
    <w:p w:rsidR="00B107C8" w:rsidRPr="00B107C8" w:rsidRDefault="00B107C8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b/>
          <w:color w:val="000000"/>
          <w:sz w:val="24"/>
          <w:szCs w:val="24"/>
          <w:lang w:val="en-US"/>
        </w:rPr>
      </w:pPr>
      <w:r w:rsidRPr="00B107C8">
        <w:rPr>
          <w:rFonts w:ascii="Times New Roman" w:eastAsia="等线" w:hAnsi="Times New Roman" w:cs="Times New Roman"/>
          <w:b/>
          <w:color w:val="000000"/>
          <w:sz w:val="24"/>
          <w:szCs w:val="24"/>
          <w:lang w:val="en-US"/>
        </w:rPr>
        <w:t>Author affiliations</w:t>
      </w:r>
    </w:p>
    <w:p w:rsidR="00B107C8" w:rsidRPr="00B107C8" w:rsidRDefault="00B107C8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  <w:r w:rsidRPr="00B107C8">
        <w:rPr>
          <w:rFonts w:ascii="Times New Roman" w:eastAsia="等线" w:hAnsi="Times New Roman" w:cs="Times New Roman"/>
          <w:color w:val="000000"/>
          <w:sz w:val="24"/>
          <w:szCs w:val="24"/>
          <w:vertAlign w:val="superscript"/>
          <w:lang w:val="en-US"/>
        </w:rPr>
        <w:t>1</w:t>
      </w:r>
      <w:r w:rsidRPr="00B107C8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Bio-X Institutes, Key Laboratory for the Genetics of Developmental and Neuropsychiatric Disorders, Ministry of Education, Shanghai Jiao Tong University, Shanghai 200030, China.</w:t>
      </w:r>
    </w:p>
    <w:p w:rsidR="00B107C8" w:rsidRPr="00B107C8" w:rsidRDefault="00B107C8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  <w:r w:rsidRPr="00B107C8">
        <w:rPr>
          <w:rFonts w:ascii="Times New Roman" w:eastAsia="等线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B107C8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The Fourth People’s Hospital of Wuhu, Wuhu 241003, China.</w:t>
      </w:r>
    </w:p>
    <w:p w:rsidR="00B107C8" w:rsidRPr="00B107C8" w:rsidRDefault="00B107C8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  <w:r w:rsidRPr="00B107C8">
        <w:rPr>
          <w:rFonts w:ascii="Times New Roman" w:eastAsia="等线" w:hAnsi="Times New Roman" w:cs="Times New Roman"/>
          <w:color w:val="000000"/>
          <w:sz w:val="24"/>
          <w:szCs w:val="24"/>
          <w:vertAlign w:val="superscript"/>
          <w:lang w:val="en-US"/>
        </w:rPr>
        <w:t>3</w:t>
      </w:r>
      <w:r w:rsidRPr="00B107C8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Center for Translational Medicine and Shanghai Key Laboratory of Diabetes Mellitus, Shanghai Jiao Tong University Affiliated Sixth People's Hospital, Shanghai 200233, China.</w:t>
      </w:r>
    </w:p>
    <w:p w:rsidR="00B107C8" w:rsidRPr="00245A89" w:rsidRDefault="00B107C8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  <w:r w:rsidRPr="00B107C8">
        <w:rPr>
          <w:rFonts w:ascii="Times New Roman" w:eastAsia="等线" w:hAnsi="Times New Roman" w:cs="Times New Roman"/>
          <w:color w:val="000000"/>
          <w:sz w:val="24"/>
          <w:szCs w:val="24"/>
          <w:vertAlign w:val="superscript"/>
          <w:lang w:val="en-US"/>
        </w:rPr>
        <w:t>4</w:t>
      </w:r>
      <w:r w:rsidRPr="00B107C8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School of Chinese Medicine, Hong Kong Baptist University, Kowloon Tong, Hong Kong 999077, China.</w:t>
      </w:r>
    </w:p>
    <w:p w:rsidR="00D83A59" w:rsidRPr="00245A89" w:rsidRDefault="00D83A59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</w:p>
    <w:p w:rsidR="00D83A59" w:rsidRPr="00245A89" w:rsidRDefault="00215305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Table S1: Abbreviations </w:t>
      </w:r>
      <w:r w:rsidR="00233A1F"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and taxonomic relations 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of bile acid variables</w:t>
      </w:r>
      <w:r w:rsidR="00840C72"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.</w:t>
      </w:r>
    </w:p>
    <w:p w:rsidR="00D83A59" w:rsidRDefault="00D83A59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Table S</w:t>
      </w:r>
      <w:r w:rsidR="00215305"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2: Median (IQR) serum concentrations (</w:t>
      </w:r>
      <w:proofErr w:type="spellStart"/>
      <w:r w:rsidR="00215305"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nM</w:t>
      </w:r>
      <w:proofErr w:type="spellEnd"/>
      <w:r w:rsidR="00215305"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) of 40 BAs in SZ and HC groups in the validation set.</w:t>
      </w:r>
    </w:p>
    <w:p w:rsidR="00B343BA" w:rsidRPr="00245A89" w:rsidRDefault="00B343BA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Figure S1:</w:t>
      </w:r>
      <w:r w:rsidRPr="00B343BA">
        <w:t xml:space="preserve"> </w:t>
      </w:r>
      <w:r w:rsidRPr="00B343BA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Score plots of PCA in samples of QC, SZ</w:t>
      </w:r>
      <w:r w:rsidR="00C2068D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,</w:t>
      </w:r>
      <w:r w:rsidRPr="00B343BA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and HC groups</w:t>
      </w:r>
      <w:r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.</w:t>
      </w:r>
    </w:p>
    <w:p w:rsidR="00D83A59" w:rsidRDefault="00D83A59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Figure S</w:t>
      </w:r>
      <w:r w:rsidR="00B343BA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2</w:t>
      </w:r>
      <w:r w:rsidR="00840C72"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: Scatter box plots for total conjugated BAs, total primary BAs, and total secondary BAs in the discovery set.</w:t>
      </w:r>
    </w:p>
    <w:p w:rsidR="006852D0" w:rsidRDefault="00514ACC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Figure S</w:t>
      </w:r>
      <w:r w:rsidR="00B343BA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3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: Scatter box plots for total BAs</w:t>
      </w:r>
      <w:r w:rsidR="00946D23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and total </w:t>
      </w:r>
      <w:r w:rsidR="004C15D6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un</w:t>
      </w:r>
      <w:r w:rsidR="00946D23"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conjugated BAs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in the </w:t>
      </w:r>
      <w:r w:rsidR="00946D23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validation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set.</w:t>
      </w:r>
      <w:r w:rsidR="006852D0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br w:type="page"/>
      </w:r>
    </w:p>
    <w:p w:rsidR="00BF5995" w:rsidRPr="00245A89" w:rsidRDefault="00245A89" w:rsidP="00F5797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5A8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S1 </w:t>
      </w:r>
      <w:r w:rsidRPr="00245A89">
        <w:rPr>
          <w:rFonts w:ascii="Times New Roman" w:hAnsi="Times New Roman" w:cs="Times New Roman"/>
          <w:sz w:val="24"/>
          <w:szCs w:val="24"/>
          <w:lang w:val="en-US"/>
        </w:rPr>
        <w:t>Abbreviations and taxonomic relations of bile acid variables.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749"/>
      </w:tblGrid>
      <w:tr w:rsidR="00245A89" w:rsidTr="00042FE6">
        <w:tc>
          <w:tcPr>
            <w:tcW w:w="2547" w:type="dxa"/>
            <w:vAlign w:val="center"/>
          </w:tcPr>
          <w:p w:rsidR="00245A89" w:rsidRPr="00AF293C" w:rsidRDefault="00245A89" w:rsidP="00F5797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2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Abbreviation</w:t>
            </w:r>
          </w:p>
        </w:tc>
        <w:tc>
          <w:tcPr>
            <w:tcW w:w="5749" w:type="dxa"/>
            <w:vAlign w:val="center"/>
          </w:tcPr>
          <w:p w:rsidR="00245A89" w:rsidRPr="00AF293C" w:rsidRDefault="00245A89" w:rsidP="00F5797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2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Description</w:t>
            </w:r>
          </w:p>
        </w:tc>
      </w:tr>
      <w:tr w:rsidR="00245A89" w:rsidTr="00042FE6">
        <w:tc>
          <w:tcPr>
            <w:tcW w:w="2547" w:type="dxa"/>
            <w:vAlign w:val="center"/>
          </w:tcPr>
          <w:p w:rsidR="00245A89" w:rsidRDefault="00F1457D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</w:t>
            </w:r>
          </w:p>
        </w:tc>
        <w:tc>
          <w:tcPr>
            <w:tcW w:w="5749" w:type="dxa"/>
            <w:vAlign w:val="center"/>
          </w:tcPr>
          <w:p w:rsidR="00245A89" w:rsidRDefault="00F1457D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Concentration of total bile acids, the sum of all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 </w:t>
            </w: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 measured.</w:t>
            </w:r>
          </w:p>
        </w:tc>
      </w:tr>
      <w:tr w:rsidR="00245A89" w:rsidTr="00042FE6">
        <w:tc>
          <w:tcPr>
            <w:tcW w:w="2547" w:type="dxa"/>
            <w:vAlign w:val="center"/>
          </w:tcPr>
          <w:p w:rsidR="00245A89" w:rsidRPr="000E019B" w:rsidRDefault="000E019B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primary BAs</w:t>
            </w:r>
          </w:p>
        </w:tc>
        <w:tc>
          <w:tcPr>
            <w:tcW w:w="5749" w:type="dxa"/>
            <w:vAlign w:val="center"/>
          </w:tcPr>
          <w:p w:rsidR="00245A89" w:rsidRDefault="00B025E8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Concentration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primary BA</w:t>
            </w: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CA, CDCA, GCA, GCDCA, TCA, and TCDCA.</w:t>
            </w:r>
          </w:p>
        </w:tc>
      </w:tr>
      <w:tr w:rsidR="00245A89" w:rsidTr="00042FE6">
        <w:tc>
          <w:tcPr>
            <w:tcW w:w="2547" w:type="dxa"/>
            <w:vAlign w:val="center"/>
          </w:tcPr>
          <w:p w:rsidR="00245A89" w:rsidRDefault="000E019B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secondary BAs</w:t>
            </w:r>
          </w:p>
        </w:tc>
        <w:tc>
          <w:tcPr>
            <w:tcW w:w="5749" w:type="dxa"/>
            <w:vAlign w:val="center"/>
          </w:tcPr>
          <w:p w:rsidR="00245A89" w:rsidRDefault="00B025E8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Concentration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secondary BA</w:t>
            </w: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12-ketoLCA, 3-DHCA, 6-ketoLCA, 7-ketoDCA, 7-ketoLCA, </w:t>
            </w:r>
            <w:proofErr w:type="spellStart"/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alloLCA</w:t>
            </w:r>
            <w:proofErr w:type="spellEnd"/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apoCA</w:t>
            </w:r>
            <w:proofErr w:type="spellEnd"/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CDCA-3Gln, DCA, GDCA, GHCA, GLCA, GLCA-3S, GUDCA, HCA, HDCA, </w:t>
            </w:r>
            <w:proofErr w:type="spellStart"/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isoLCA</w:t>
            </w:r>
            <w:proofErr w:type="spellEnd"/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LCA, LCA-3S, </w:t>
            </w:r>
            <w:proofErr w:type="spellStart"/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NorCA</w:t>
            </w:r>
            <w:proofErr w:type="spellEnd"/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NorDCA</w:t>
            </w:r>
            <w:proofErr w:type="spellEnd"/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TDCA, THCA, TLCA, TUDCA, TαMCA, UCA, UDCA, βCA, βCDCA, βDCA, βMCA, βUCA, </w:t>
            </w:r>
            <w:r w:rsid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B92475" w:rsidRP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βUDCA</w:t>
            </w:r>
            <w:r w:rsidR="00B92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45A89" w:rsidTr="00042FE6">
        <w:tc>
          <w:tcPr>
            <w:tcW w:w="2547" w:type="dxa"/>
            <w:vAlign w:val="center"/>
          </w:tcPr>
          <w:p w:rsidR="00245A89" w:rsidRDefault="000E019B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otal conjugated BAs</w:t>
            </w:r>
          </w:p>
        </w:tc>
        <w:tc>
          <w:tcPr>
            <w:tcW w:w="5749" w:type="dxa"/>
            <w:vAlign w:val="center"/>
          </w:tcPr>
          <w:p w:rsidR="00245A89" w:rsidRDefault="00B025E8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Concentration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conjugated BA</w:t>
            </w: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="006F3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F3860" w:rsidRPr="006F3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GCA, GCDCA, TCA, TCDCA, GDCA, GHCA, GLCA, GLCA-3S, GUDCA, TDCA, THCA, TLCA, TUDCA, and TαMCA</w:t>
            </w:r>
            <w:r w:rsidR="006F38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45A89" w:rsidTr="00042FE6">
        <w:tc>
          <w:tcPr>
            <w:tcW w:w="2547" w:type="dxa"/>
            <w:vAlign w:val="center"/>
          </w:tcPr>
          <w:p w:rsidR="00245A89" w:rsidRDefault="000E019B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otal unconjugated BAs</w:t>
            </w:r>
          </w:p>
        </w:tc>
        <w:tc>
          <w:tcPr>
            <w:tcW w:w="5749" w:type="dxa"/>
            <w:vAlign w:val="center"/>
          </w:tcPr>
          <w:p w:rsidR="00245A89" w:rsidRDefault="00B025E8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Concentration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 unconjugated BA</w:t>
            </w: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CA, CDCA, 12-ketoLCA, 3-DHCA, 6-ketoLCA, 7-ketoDCA, 7-ketoLCA, </w:t>
            </w:r>
            <w:proofErr w:type="spellStart"/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alloLCA</w:t>
            </w:r>
            <w:proofErr w:type="spellEnd"/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apoCA</w:t>
            </w:r>
            <w:proofErr w:type="spellEnd"/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CDCA-3Gln, DCA, HCA, HDCA, </w:t>
            </w:r>
            <w:proofErr w:type="spellStart"/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isoLCA</w:t>
            </w:r>
            <w:proofErr w:type="spellEnd"/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LCA, LCA-3S, </w:t>
            </w:r>
            <w:proofErr w:type="spellStart"/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NorCA</w:t>
            </w:r>
            <w:proofErr w:type="spellEnd"/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NorDCA</w:t>
            </w:r>
            <w:proofErr w:type="spellEnd"/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UCA, UDCA, βCA, βCDCA, βDCA, βMCA, βUCA, and </w:t>
            </w:r>
            <w:r w:rsidR="004B7385" w:rsidRP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βUDCA</w:t>
            </w:r>
            <w:r w:rsidR="004B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45A89" w:rsidTr="00042FE6">
        <w:tc>
          <w:tcPr>
            <w:tcW w:w="2547" w:type="dxa"/>
            <w:vAlign w:val="center"/>
          </w:tcPr>
          <w:p w:rsidR="00245A89" w:rsidRDefault="000E019B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-conjugated BAs</w:t>
            </w:r>
          </w:p>
        </w:tc>
        <w:tc>
          <w:tcPr>
            <w:tcW w:w="5749" w:type="dxa"/>
            <w:vAlign w:val="center"/>
          </w:tcPr>
          <w:p w:rsidR="00245A89" w:rsidRDefault="00B025E8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Concentration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</w:rPr>
              <w:t>glycine conjugated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</w:t>
            </w: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="00A17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76FC" w:rsidRPr="00A17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GCA, GCDCA, GDCA, GHCA, GLCA, GLCA-3S, and GUDCA</w:t>
            </w:r>
            <w:r w:rsidR="00A17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45A89" w:rsidTr="00042FE6">
        <w:tc>
          <w:tcPr>
            <w:tcW w:w="2547" w:type="dxa"/>
            <w:vAlign w:val="center"/>
          </w:tcPr>
          <w:p w:rsidR="00245A89" w:rsidRDefault="000E019B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T-conjugated BAs</w:t>
            </w:r>
          </w:p>
        </w:tc>
        <w:tc>
          <w:tcPr>
            <w:tcW w:w="5749" w:type="dxa"/>
            <w:vAlign w:val="center"/>
          </w:tcPr>
          <w:p w:rsidR="00245A89" w:rsidRDefault="00B025E8" w:rsidP="00F579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Concentration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>
              <w:rPr>
                <w:rFonts w:ascii="Times New Roman" w:hAnsi="Times New Roman" w:cs="Times New Roman"/>
                <w:sz w:val="24"/>
              </w:rPr>
              <w:t>taurine conjugated BAs</w:t>
            </w:r>
            <w:r w:rsidRPr="00F145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="0083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3603" w:rsidRPr="0083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TCA, TCDCA, TDCA, THCA, TLCA, TUDCA, and TαMCA.</w:t>
            </w:r>
          </w:p>
        </w:tc>
      </w:tr>
    </w:tbl>
    <w:p w:rsidR="00F57974" w:rsidRDefault="00F57974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b/>
          <w:color w:val="000000"/>
          <w:sz w:val="24"/>
          <w:szCs w:val="24"/>
          <w:lang w:val="en-US"/>
        </w:rPr>
      </w:pPr>
    </w:p>
    <w:p w:rsidR="00F57974" w:rsidRDefault="00F57974">
      <w:pPr>
        <w:widowControl/>
        <w:jc w:val="left"/>
        <w:rPr>
          <w:rFonts w:ascii="Times New Roman" w:eastAsia="等线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等线" w:hAnsi="Times New Roman" w:cs="Times New Roman"/>
          <w:b/>
          <w:color w:val="000000"/>
          <w:sz w:val="24"/>
          <w:szCs w:val="24"/>
          <w:lang w:val="en-US"/>
        </w:rPr>
        <w:br w:type="page"/>
      </w:r>
    </w:p>
    <w:p w:rsidR="00B34F24" w:rsidRPr="00245A89" w:rsidRDefault="00B34F24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  <w:r w:rsidRPr="00B34F24">
        <w:rPr>
          <w:rFonts w:ascii="Times New Roman" w:eastAsia="等线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Table S2 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Median (IQR) serum concentrations (</w:t>
      </w:r>
      <w:proofErr w:type="spellStart"/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nM</w:t>
      </w:r>
      <w:proofErr w:type="spellEnd"/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) of 40 BAs in SZ and HC groups in the validation set.</w:t>
      </w:r>
    </w:p>
    <w:tbl>
      <w:tblPr>
        <w:tblW w:w="904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743"/>
        <w:gridCol w:w="1701"/>
        <w:gridCol w:w="708"/>
        <w:gridCol w:w="1276"/>
        <w:gridCol w:w="1202"/>
        <w:gridCol w:w="896"/>
      </w:tblGrid>
      <w:tr w:rsidR="00C42396" w:rsidRPr="00C42396" w:rsidTr="007E6B41">
        <w:trPr>
          <w:trHeight w:val="636"/>
          <w:jc w:val="center"/>
        </w:trPr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2396" w:rsidRPr="00C42396" w:rsidRDefault="00C42396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BAs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2396" w:rsidRPr="00C42396" w:rsidRDefault="00C42396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SZ</w:t>
            </w:r>
          </w:p>
          <w:p w:rsidR="00C42396" w:rsidRPr="00C42396" w:rsidRDefault="00C42396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(n=</w:t>
            </w:r>
            <w:r w:rsidR="00305E2C" w:rsidRPr="005B51F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49</w:t>
            </w: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2396" w:rsidRPr="00C42396" w:rsidRDefault="00C42396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HC</w:t>
            </w:r>
          </w:p>
          <w:p w:rsidR="00C42396" w:rsidRPr="00C42396" w:rsidRDefault="00C42396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(n=</w:t>
            </w:r>
            <w:r w:rsidR="00305E2C" w:rsidRPr="005B51FD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48</w:t>
            </w: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2396" w:rsidRPr="00C42396" w:rsidRDefault="00C42396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proofErr w:type="spellStart"/>
            <w:r w:rsidRPr="00C42396">
              <w:rPr>
                <w:rFonts w:ascii="Times New Roman" w:eastAsia="等线" w:hAnsi="Times New Roman" w:cs="Times New Roman"/>
                <w:bCs/>
                <w:color w:val="000000"/>
                <w:sz w:val="22"/>
                <w:lang w:val="en-US"/>
              </w:rPr>
              <w:t>ratio</w:t>
            </w:r>
            <w:r w:rsidRPr="00C42396">
              <w:rPr>
                <w:rFonts w:ascii="Times New Roman" w:eastAsia="等线" w:hAnsi="Times New Roman" w:cs="Times New Roman"/>
                <w:bCs/>
                <w:color w:val="000000"/>
                <w:sz w:val="22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2396" w:rsidRPr="00C42396" w:rsidRDefault="00C42396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bCs/>
                <w:i/>
                <w:color w:val="000000"/>
                <w:sz w:val="22"/>
                <w:lang w:val="en-US"/>
              </w:rPr>
              <w:t>p</w:t>
            </w:r>
            <w:r w:rsidRPr="00C42396">
              <w:rPr>
                <w:rFonts w:ascii="Times New Roman" w:eastAsia="等线" w:hAnsi="Times New Roman" w:cs="Times New Roman"/>
                <w:bCs/>
                <w:color w:val="000000"/>
                <w:sz w:val="22"/>
                <w:lang w:val="en-US"/>
              </w:rPr>
              <w:t>-</w:t>
            </w:r>
            <w:proofErr w:type="spellStart"/>
            <w:r w:rsidRPr="00C42396">
              <w:rPr>
                <w:rFonts w:ascii="Times New Roman" w:eastAsia="等线" w:hAnsi="Times New Roman" w:cs="Times New Roman"/>
                <w:bCs/>
                <w:color w:val="000000"/>
                <w:sz w:val="22"/>
                <w:lang w:val="en-US"/>
              </w:rPr>
              <w:t>value</w:t>
            </w:r>
            <w:r w:rsidRPr="00C42396">
              <w:rPr>
                <w:rFonts w:ascii="Times New Roman" w:eastAsia="等线" w:hAnsi="Times New Roman" w:cs="Times New Roman"/>
                <w:bCs/>
                <w:color w:val="000000"/>
                <w:sz w:val="22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2396" w:rsidRPr="00C42396" w:rsidRDefault="00C42396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bCs/>
                <w:i/>
                <w:color w:val="000000"/>
                <w:sz w:val="22"/>
                <w:lang w:val="en-US"/>
              </w:rPr>
              <w:t>q</w:t>
            </w:r>
            <w:r w:rsidRPr="00C42396">
              <w:rPr>
                <w:rFonts w:ascii="Times New Roman" w:eastAsia="等线" w:hAnsi="Times New Roman" w:cs="Times New Roman"/>
                <w:bCs/>
                <w:color w:val="000000"/>
                <w:sz w:val="22"/>
                <w:lang w:val="en-US"/>
              </w:rPr>
              <w:t>-</w:t>
            </w:r>
            <w:proofErr w:type="spellStart"/>
            <w:r w:rsidRPr="00C42396">
              <w:rPr>
                <w:rFonts w:ascii="Times New Roman" w:eastAsia="等线" w:hAnsi="Times New Roman" w:cs="Times New Roman"/>
                <w:bCs/>
                <w:color w:val="000000"/>
                <w:sz w:val="22"/>
                <w:lang w:val="en-US"/>
              </w:rPr>
              <w:t>value</w:t>
            </w:r>
            <w:r w:rsidRPr="00C42396">
              <w:rPr>
                <w:rFonts w:ascii="Times New Roman" w:eastAsia="等线" w:hAnsi="Times New Roman" w:cs="Times New Roman"/>
                <w:bCs/>
                <w:color w:val="000000"/>
                <w:sz w:val="22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42396" w:rsidRPr="00C42396" w:rsidRDefault="00C42396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proofErr w:type="spellStart"/>
            <w:r w:rsidRPr="00C42396">
              <w:rPr>
                <w:rFonts w:ascii="Times New Roman" w:eastAsia="等线" w:hAnsi="Times New Roman" w:cs="Times New Roman"/>
                <w:bCs/>
                <w:color w:val="000000"/>
                <w:sz w:val="22"/>
                <w:lang w:val="en-US"/>
              </w:rPr>
              <w:t>VIP</w:t>
            </w:r>
            <w:r w:rsidRPr="00C42396">
              <w:rPr>
                <w:rFonts w:ascii="Times New Roman" w:eastAsia="等线" w:hAnsi="Times New Roman" w:cs="Times New Roman"/>
                <w:bCs/>
                <w:color w:val="000000"/>
                <w:sz w:val="22"/>
                <w:vertAlign w:val="superscript"/>
                <w:lang w:val="en-US"/>
              </w:rPr>
              <w:t>d</w:t>
            </w:r>
            <w:proofErr w:type="spellEnd"/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  <w:lang w:val="en-US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11.19 (24.64)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23.27 (38.54)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1.51E-02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4.32E-02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0.77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GCA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19.52 (13.45)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36.14 (33.77)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3.38E-03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1.50E-02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1.05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TCA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1.73 (2.38)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3.55 (6.09)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7.03E-03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2.56E-02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1.11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lang w:val="en-US"/>
              </w:rPr>
              <w:t>CDCA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15.41 (46.03)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95.46 (122.48)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0.16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6.64E-07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1.33E-05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1.96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GCDCA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123.65 (113.59)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205.86 (406.99)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3.67E-04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3.67E-03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1.49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TCDCA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11.82 (15.54)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17.46 (18.02)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2.71E-02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7.22E-02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0.71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44.39 (59.9)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66.56 (77.33)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7.52E-02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1.28E-01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1.02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GDCA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29.66 (49.98)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53.83 (76.11)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7.20E-02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1.28E-01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0.69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TDCA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3.24 (4.78)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5.22 (7.7)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3.23E-02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7.65E-02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0.65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lang w:val="en-US"/>
              </w:rPr>
              <w:t>UDCA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6.64 (13.32)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18.01 (30.56)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8.22E-04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6.58E-03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1.68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GUDCA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26.67 (43.07)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45.83 (63.29)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5.74E-02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1.15E-01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0.84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TUDCA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0.82 (0.81)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1.02 (1.53)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6.21E-02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1.18E-01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0.61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LCA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1.83 (2.5)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2.89 (3.27)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3.25E-02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7.65E-02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0.62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GLCA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1.88 (3.85)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4.14 (6.85)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1.28E-01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1.83E-01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0.39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TLCA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0.13 (0.47)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0.15 (0.63)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8.69E-01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8.69E-01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0.25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HCA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2.94 (4.02)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4.87 (6.95)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5.69E-03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2.28E-02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1.59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GHCA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2.56 (3.05)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4.44 (4.36)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3.75E-02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8.34E-02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0.70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THCA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1.64 (1.23)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1.91 (1.34)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7.67E-02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1.28E-01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0.43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βUDCA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29.66 (42.8)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46.95 (51.41)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8.96E-03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2.99E-02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1.07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lang w:val="en-US"/>
              </w:rPr>
              <w:t>βCDCA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11.63 (10.87)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30.96 (33.25)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2.79E-10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1.11E-08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2.11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βDCA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9.65 (15.56)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14.51 (16.18)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9.22E-02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1.42E-01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0.60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βUCA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0.22 (0.34)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0.14 (0.24)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1.28E-01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1.83E-01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0.56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βCA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0.93 (0.61)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1.25 (1.13)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1.51E-03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1.01E-02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1.17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βMCA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0.34 (0.61)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0.32 (0.66)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6.31E-01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6.47E-01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0.10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UCA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 (0.34)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0.19 (0.25)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8.81E-02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1.41E-01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0.36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TαMCA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0.98 (1.01)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1.69 (2.51)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2.97E-03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1.48E-02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1.16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proofErr w:type="spellStart"/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alloLCA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 (0.45)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0.35 (0.47)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3.88E-01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4.72E-01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0.18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proofErr w:type="spellStart"/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lastRenderedPageBreak/>
              <w:t>isoLCA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1.75 (3.28)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4.87 (8.94)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2.43E-03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1.39E-02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1.00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proofErr w:type="spellStart"/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NorDCA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0.63 (0.87)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0.82 (0.98)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3.27E-01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4.22E-01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0.31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6-ketoLCA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0.64 (0.49)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0.74 (0.5)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1.45E-01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2.00E-01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0.68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lang w:val="en-US"/>
              </w:rPr>
              <w:t>7-ketoLCA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1.26 (2.36)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3.86 (6.65)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0.33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3.64E-04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3.67E-03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7E6B41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7E6B41">
              <w:rPr>
                <w:rFonts w:ascii="Times New Roman" w:eastAsia="等线" w:hAnsi="Times New Roman" w:cs="Times New Roman"/>
                <w:color w:val="000000"/>
                <w:sz w:val="22"/>
              </w:rPr>
              <w:t>1.88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12-ketoLCA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1.76 (2.5)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2.45 (3.59)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2.30E-01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3.06E-01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0.97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proofErr w:type="spellStart"/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apoCA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 (6.7)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1.72 (2.19)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5.53E-01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5.82E-01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0.98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LCA-3S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2.29 (3.66)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2.62 (6.61)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4.35E-01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4.83E-01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0.86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GLCA-3S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56.01 (98.56)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60.87 (89)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4.33E-01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4.83E-01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0.69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HDCA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 (0.62)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1.16 (0.7)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4.02E-01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4.73E-01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0.10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NorCA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2.02 (2.26)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1.43 (1.44)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4.50E-02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9.48E-02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0.89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  <w:lang w:val="en-US"/>
              </w:rPr>
              <w:t>3-DHCA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0.24 (0.3)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0.37 (0.72)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1.35E-02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4.15E-02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1.48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7-ketoDCA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0.82 (1.13)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0.7 (0.76)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1.17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3.89E-01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4.72E-01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0.10</w:t>
            </w:r>
          </w:p>
        </w:tc>
      </w:tr>
      <w:tr w:rsidR="007E6B41" w:rsidRPr="00C42396" w:rsidTr="007E6B41">
        <w:trPr>
          <w:trHeight w:hRule="exact" w:val="426"/>
          <w:jc w:val="center"/>
        </w:trPr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B51FD" w:rsidRPr="00C42396" w:rsidRDefault="005B51FD" w:rsidP="00F57974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</w:pPr>
            <w:r w:rsidRPr="00C4239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val="en-US"/>
              </w:rPr>
              <w:t>CDCA-3Gln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3.88 (5.83)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4.16 (4.94)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5.06E-01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5.47E-01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51FD" w:rsidRPr="005B51FD" w:rsidRDefault="005B51FD" w:rsidP="00F57974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5B51FD">
              <w:rPr>
                <w:rFonts w:ascii="Times New Roman" w:eastAsia="等线" w:hAnsi="Times New Roman" w:cs="Times New Roman"/>
                <w:color w:val="000000"/>
                <w:sz w:val="22"/>
              </w:rPr>
              <w:t>0.74</w:t>
            </w:r>
          </w:p>
        </w:tc>
      </w:tr>
    </w:tbl>
    <w:p w:rsidR="00C85974" w:rsidRPr="0032541F" w:rsidRDefault="00C42396" w:rsidP="00F57974">
      <w:pPr>
        <w:spacing w:line="480" w:lineRule="auto"/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</w:pP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>Abbreviations: BAs, bile acids; VIP, variable importance in the projection; CA, cholic acid; GCA, glycocholic acid; TCA, taurocholic acid; CDCA, chenodeoxycholic acid; GCDCA, glycochenodeoxycholic acid; TCDCA, taurochenodeoxycholic acid; DCA, deoxycholic acid; GDCA, glycodeoxycholic acid; TDCA, taurodeoxycholic acid; UDCA, ursodeoxycholic acid; GUDCA, glycoursodeoxycholic acid; TUDCA, tauroursodeoxycholic acid; LCA, lithocholic acid; GLCA, glycolithocholic acid; TLCA, taurolithocholic acid; HCA, hyocholic acid; GHCA, glycohyocholic acid; THCA, taurohyocholic acid; βUDCA, 3β-ursodeoxycholic acid; βCDCA, 3β-chenodeoxycholic acid; βDCA, 3β-deoxycholic acid; βUCA, β-ursocholic acid; βCA, 3β-cholic acid; βMCA, β-muricholic acid; UCA, ursocholic acid; TαMCA, tauro α-muricholic acid; alloLCA, allolithocholic acid; isoLCA, isolithocholic acid; NorDCA, 23-nordeoxycholic acid; 6-ketoLCA, 6-ketolithocholic acid; 7-ketoLCA, 7-ketolithocholic acid; 12-ketoLCA, 12-ketolithocholic acid; apoCA, apocholic acid; LCA-3S, lithocholic acid-3-sulfate; GLCA-3S, glycolithocholic acid-3-sulfate; HDCA, α-hyodeoxycholic acid ; NorCA, norcholic acid; 3-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lastRenderedPageBreak/>
        <w:t xml:space="preserve">DHCA, 3-dehydrocholic acid; 7-ketoDCA, 7-ketodeoxycholic acid; CDCA-3Gln, chenodeoxycholic acid-3-β-d-glucuronide. 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vertAlign w:val="superscript"/>
          <w:lang w:val="en-US"/>
        </w:rPr>
        <w:t>a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 xml:space="preserve">Ratios were calculated from the intra-group medians of BAs between SZ and HC groups. 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vertAlign w:val="superscript"/>
          <w:lang w:val="en-US"/>
        </w:rPr>
        <w:t>b</w:t>
      </w:r>
      <w:r w:rsidRPr="0032541F">
        <w:rPr>
          <w:rFonts w:ascii="Times New Roman" w:eastAsia="等线" w:hAnsi="Times New Roman" w:cs="Times New Roman"/>
          <w:bCs/>
          <w:i/>
          <w:noProof/>
          <w:color w:val="000000"/>
          <w:sz w:val="22"/>
          <w:szCs w:val="24"/>
          <w:lang w:val="en-US"/>
        </w:rPr>
        <w:t>P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 xml:space="preserve">-values were calculated by Mann−Whitney </w:t>
      </w:r>
      <w:r w:rsidRPr="0032541F">
        <w:rPr>
          <w:rFonts w:ascii="Times New Roman" w:eastAsia="等线" w:hAnsi="Times New Roman" w:cs="Times New Roman"/>
          <w:bCs/>
          <w:i/>
          <w:noProof/>
          <w:color w:val="000000"/>
          <w:sz w:val="22"/>
          <w:szCs w:val="24"/>
          <w:lang w:val="en-US"/>
        </w:rPr>
        <w:t>U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 xml:space="preserve"> tests. 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vertAlign w:val="superscript"/>
          <w:lang w:val="en-US"/>
        </w:rPr>
        <w:t>c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 xml:space="preserve">FDR adjusted </w:t>
      </w:r>
      <w:r w:rsidRPr="0032541F">
        <w:rPr>
          <w:rFonts w:ascii="Times New Roman" w:eastAsia="等线" w:hAnsi="Times New Roman" w:cs="Times New Roman"/>
          <w:bCs/>
          <w:i/>
          <w:noProof/>
          <w:color w:val="000000"/>
          <w:sz w:val="22"/>
          <w:szCs w:val="24"/>
          <w:lang w:val="en-US"/>
        </w:rPr>
        <w:t>q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 xml:space="preserve">-values were calculated based on </w:t>
      </w:r>
      <w:r w:rsidRPr="0032541F">
        <w:rPr>
          <w:rFonts w:ascii="Times New Roman" w:eastAsia="等线" w:hAnsi="Times New Roman" w:cs="Times New Roman"/>
          <w:bCs/>
          <w:i/>
          <w:noProof/>
          <w:color w:val="000000"/>
          <w:sz w:val="22"/>
          <w:szCs w:val="24"/>
          <w:lang w:val="en-US"/>
        </w:rPr>
        <w:t>p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 xml:space="preserve">-values estimated by Mann−Whitney </w:t>
      </w:r>
      <w:r w:rsidRPr="0032541F">
        <w:rPr>
          <w:rFonts w:ascii="Times New Roman" w:eastAsia="等线" w:hAnsi="Times New Roman" w:cs="Times New Roman"/>
          <w:bCs/>
          <w:i/>
          <w:noProof/>
          <w:color w:val="000000"/>
          <w:sz w:val="22"/>
          <w:szCs w:val="24"/>
          <w:lang w:val="en-US"/>
        </w:rPr>
        <w:t>U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 xml:space="preserve"> tests. The bold BAs indicate </w:t>
      </w:r>
      <w:r w:rsidR="005479FA"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>the 5 validated differential BAs</w:t>
      </w:r>
      <w:r w:rsidR="00B931E2"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 xml:space="preserve"> in</w:t>
      </w:r>
      <w:r w:rsidR="005479FA"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 xml:space="preserve"> the</w:t>
      </w:r>
      <w:r w:rsidR="00B931E2"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 xml:space="preserve"> </w:t>
      </w:r>
      <w:r w:rsidR="00CB40FF"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>discovery</w:t>
      </w:r>
      <w:r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t xml:space="preserve"> set.</w:t>
      </w:r>
      <w:r w:rsidR="00C85974" w:rsidRPr="0032541F">
        <w:rPr>
          <w:rFonts w:ascii="Times New Roman" w:eastAsia="等线" w:hAnsi="Times New Roman" w:cs="Times New Roman"/>
          <w:bCs/>
          <w:noProof/>
          <w:color w:val="000000"/>
          <w:sz w:val="22"/>
          <w:szCs w:val="24"/>
          <w:lang w:val="en-US"/>
        </w:rPr>
        <w:br w:type="page"/>
      </w:r>
    </w:p>
    <w:p w:rsidR="005659EB" w:rsidRDefault="005659EB" w:rsidP="00090AF8">
      <w:pPr>
        <w:widowControl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49794A4" wp14:editId="062E3072">
            <wp:extent cx="2880211" cy="2880211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560" cy="29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AF8" w:rsidRDefault="00090AF8" w:rsidP="00862004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090A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S1. </w:t>
      </w:r>
      <w:r w:rsidRPr="00090AF8">
        <w:rPr>
          <w:rFonts w:ascii="Times New Roman" w:hAnsi="Times New Roman" w:cs="Times New Roman"/>
          <w:sz w:val="24"/>
          <w:szCs w:val="24"/>
          <w:lang w:val="en-US"/>
        </w:rPr>
        <w:t>Score plots of PCA in samples of QC, SZ and HC groups</w:t>
      </w:r>
      <w:r w:rsidR="00B343B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90AF8">
        <w:rPr>
          <w:rFonts w:ascii="Times New Roman" w:hAnsi="Times New Roman" w:cs="Times New Roman"/>
          <w:sz w:val="24"/>
          <w:szCs w:val="24"/>
          <w:lang w:val="en-US"/>
        </w:rPr>
        <w:t xml:space="preserve"> with 95% confidence ellipses drawn.</w:t>
      </w:r>
    </w:p>
    <w:p w:rsidR="005659EB" w:rsidRDefault="005659EB">
      <w:pPr>
        <w:widowControl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5659EB" w:rsidRDefault="005659EB">
      <w:pPr>
        <w:widowControl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4C15D6" w:rsidRDefault="00090AF8" w:rsidP="00F5797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15D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272E0AA" wp14:editId="0C217CD4">
            <wp:simplePos x="0" y="0"/>
            <wp:positionH relativeFrom="margin">
              <wp:align>right</wp:align>
            </wp:positionH>
            <wp:positionV relativeFrom="page">
              <wp:posOffset>1415191</wp:posOffset>
            </wp:positionV>
            <wp:extent cx="5274310" cy="1696720"/>
            <wp:effectExtent l="0" t="0" r="254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0AF8" w:rsidRDefault="004C15D6" w:rsidP="00862004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4C15D6">
        <w:rPr>
          <w:rFonts w:ascii="Times New Roman" w:hAnsi="Times New Roman" w:cs="Times New Roman" w:hint="eastAsia"/>
          <w:b/>
          <w:sz w:val="24"/>
          <w:szCs w:val="24"/>
          <w:lang w:val="en-US"/>
        </w:rPr>
        <w:t>F</w:t>
      </w:r>
      <w:r w:rsidRPr="004C15D6">
        <w:rPr>
          <w:rFonts w:ascii="Times New Roman" w:hAnsi="Times New Roman" w:cs="Times New Roman"/>
          <w:b/>
          <w:sz w:val="24"/>
          <w:szCs w:val="24"/>
          <w:lang w:val="en-US"/>
        </w:rPr>
        <w:t>igure S</w:t>
      </w:r>
      <w:r w:rsidR="005659E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4C15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Scatter box plots for total conjugated BAs</w:t>
      </w:r>
      <w:r w:rsidR="007C35E0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(A)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, total primary BAs</w:t>
      </w:r>
      <w:r w:rsidR="007C35E0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(B)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, and total secondary BAs</w:t>
      </w:r>
      <w:r w:rsidR="007C35E0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(C)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in the discovery set.</w:t>
      </w:r>
      <w:r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HC, healthy controls; SZ, schizophrenia; ns, not significant. </w:t>
      </w:r>
      <w:r w:rsidRPr="00A31D46">
        <w:rPr>
          <w:rFonts w:ascii="Times New Roman" w:hAnsi="Times New Roman" w:cs="Times New Roman"/>
          <w:sz w:val="24"/>
        </w:rPr>
        <w:t xml:space="preserve">The comparisons between the two groups were conducted by the Mann–Whitney </w:t>
      </w:r>
      <w:r w:rsidRPr="004B67C7">
        <w:rPr>
          <w:rFonts w:ascii="Times New Roman" w:hAnsi="Times New Roman" w:cs="Times New Roman"/>
          <w:i/>
          <w:sz w:val="24"/>
        </w:rPr>
        <w:t>U</w:t>
      </w:r>
      <w:r w:rsidRPr="00A31D46">
        <w:rPr>
          <w:rFonts w:ascii="Times New Roman" w:hAnsi="Times New Roman" w:cs="Times New Roman"/>
          <w:sz w:val="24"/>
        </w:rPr>
        <w:t xml:space="preserve"> tests</w:t>
      </w:r>
      <w:r>
        <w:rPr>
          <w:rFonts w:ascii="Times New Roman" w:hAnsi="Times New Roman" w:cs="Times New Roman"/>
          <w:sz w:val="24"/>
        </w:rPr>
        <w:t>, excluding outliers</w:t>
      </w:r>
      <w:r w:rsidRPr="00A31D46">
        <w:rPr>
          <w:rFonts w:ascii="Times New Roman" w:hAnsi="Times New Roman" w:cs="Times New Roman"/>
          <w:sz w:val="24"/>
        </w:rPr>
        <w:t>.</w:t>
      </w:r>
      <w:r w:rsidR="004C3605">
        <w:rPr>
          <w:rFonts w:ascii="Times New Roman" w:hAnsi="Times New Roman" w:cs="Times New Roman"/>
          <w:sz w:val="24"/>
        </w:rPr>
        <w:t xml:space="preserve"> </w:t>
      </w:r>
      <w:r w:rsidRPr="00E913E7">
        <w:rPr>
          <w:rFonts w:ascii="Times New Roman" w:hAnsi="Times New Roman" w:cs="Times New Roman"/>
          <w:sz w:val="24"/>
        </w:rPr>
        <w:t>Cente</w:t>
      </w:r>
      <w:r>
        <w:rPr>
          <w:rFonts w:ascii="Times New Roman" w:hAnsi="Times New Roman" w:cs="Times New Roman"/>
          <w:sz w:val="24"/>
        </w:rPr>
        <w:t>r</w:t>
      </w:r>
      <w:r w:rsidRPr="00E913E7">
        <w:rPr>
          <w:rFonts w:ascii="Times New Roman" w:hAnsi="Times New Roman" w:cs="Times New Roman"/>
          <w:sz w:val="24"/>
        </w:rPr>
        <w:t xml:space="preserve"> lines of box plots show median values, box hinges indicate 1st and 3rd quartiles, and whisker represent the furthest data points within 1.5 interquartile ranges of the hinges.</w:t>
      </w:r>
    </w:p>
    <w:p w:rsidR="00090AF8" w:rsidRDefault="00090AF8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4C15D6" w:rsidRDefault="004C15D6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</w:p>
    <w:p w:rsidR="004C15D6" w:rsidRDefault="00090AF8" w:rsidP="00F57974">
      <w:pPr>
        <w:adjustRightInd w:val="0"/>
        <w:snapToGrid w:val="0"/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等线" w:hAnsi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6C49453D" wp14:editId="51F21A9D">
            <wp:simplePos x="0" y="0"/>
            <wp:positionH relativeFrom="margin">
              <wp:align>center</wp:align>
            </wp:positionH>
            <wp:positionV relativeFrom="page">
              <wp:posOffset>1511227</wp:posOffset>
            </wp:positionV>
            <wp:extent cx="3980815" cy="1990090"/>
            <wp:effectExtent l="0" t="0" r="63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S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5A89" w:rsidRPr="00B34F24" w:rsidRDefault="004C15D6" w:rsidP="00F5797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15D6">
        <w:rPr>
          <w:rFonts w:ascii="Times New Roman" w:eastAsia="等线" w:hAnsi="Times New Roman" w:cs="Times New Roman"/>
          <w:b/>
          <w:color w:val="000000"/>
          <w:sz w:val="24"/>
          <w:szCs w:val="24"/>
          <w:lang w:val="en-US"/>
        </w:rPr>
        <w:t>Figure S</w:t>
      </w:r>
      <w:r w:rsidR="00A8630E">
        <w:rPr>
          <w:rFonts w:ascii="Times New Roman" w:eastAsia="等线" w:hAnsi="Times New Roman" w:cs="Times New Roman"/>
          <w:b/>
          <w:color w:val="000000"/>
          <w:sz w:val="24"/>
          <w:szCs w:val="24"/>
          <w:lang w:val="en-US"/>
        </w:rPr>
        <w:t>3</w:t>
      </w:r>
      <w:bookmarkStart w:id="0" w:name="_GoBack"/>
      <w:bookmarkEnd w:id="0"/>
      <w:r w:rsidRPr="004C15D6">
        <w:rPr>
          <w:rFonts w:ascii="Times New Roman" w:eastAsia="等线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Scatter box plots for total BAs</w:t>
      </w:r>
      <w:r w:rsidR="00F62431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(TBAs)</w:t>
      </w:r>
      <w:r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and total un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conjugated BAs in the </w:t>
      </w:r>
      <w:r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>validation</w:t>
      </w:r>
      <w:r w:rsidRPr="00245A89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set.</w:t>
      </w:r>
      <w:r w:rsidR="00F512A3">
        <w:rPr>
          <w:rFonts w:ascii="Times New Roman" w:eastAsia="等线" w:hAnsi="Times New Roman" w:cs="Times New Roman"/>
          <w:color w:val="000000"/>
          <w:sz w:val="24"/>
          <w:szCs w:val="24"/>
          <w:lang w:val="en-US"/>
        </w:rPr>
        <w:t xml:space="preserve"> </w:t>
      </w:r>
      <w:r w:rsidR="00F512A3" w:rsidRPr="00A31D46">
        <w:rPr>
          <w:rFonts w:ascii="Times New Roman" w:hAnsi="Times New Roman" w:cs="Times New Roman"/>
          <w:sz w:val="24"/>
        </w:rPr>
        <w:t xml:space="preserve">The comparisons between the two groups were conducted by the Mann–Whitney </w:t>
      </w:r>
      <w:r w:rsidR="00F512A3" w:rsidRPr="004B67C7">
        <w:rPr>
          <w:rFonts w:ascii="Times New Roman" w:hAnsi="Times New Roman" w:cs="Times New Roman"/>
          <w:i/>
          <w:sz w:val="24"/>
        </w:rPr>
        <w:t>U</w:t>
      </w:r>
      <w:r w:rsidR="00F512A3" w:rsidRPr="00A31D46">
        <w:rPr>
          <w:rFonts w:ascii="Times New Roman" w:hAnsi="Times New Roman" w:cs="Times New Roman"/>
          <w:sz w:val="24"/>
        </w:rPr>
        <w:t xml:space="preserve"> tests</w:t>
      </w:r>
      <w:r w:rsidR="00F512A3">
        <w:rPr>
          <w:rFonts w:ascii="Times New Roman" w:hAnsi="Times New Roman" w:cs="Times New Roman"/>
          <w:sz w:val="24"/>
        </w:rPr>
        <w:t>, excluding outliers</w:t>
      </w:r>
      <w:r w:rsidR="00F512A3" w:rsidRPr="00A31D46">
        <w:rPr>
          <w:rFonts w:ascii="Times New Roman" w:hAnsi="Times New Roman" w:cs="Times New Roman"/>
          <w:sz w:val="24"/>
        </w:rPr>
        <w:t xml:space="preserve">. *** </w:t>
      </w:r>
      <w:r w:rsidR="00F512A3">
        <w:rPr>
          <w:rFonts w:ascii="Times New Roman" w:hAnsi="Times New Roman" w:cs="Times New Roman"/>
          <w:i/>
          <w:sz w:val="24"/>
        </w:rPr>
        <w:t>p</w:t>
      </w:r>
      <w:r w:rsidR="00F512A3" w:rsidRPr="00A31D46">
        <w:rPr>
          <w:rFonts w:ascii="Times New Roman" w:hAnsi="Times New Roman" w:cs="Times New Roman"/>
          <w:sz w:val="24"/>
        </w:rPr>
        <w:t xml:space="preserve"> &lt; 0.001.</w:t>
      </w:r>
      <w:r w:rsidR="00F512A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512A3" w:rsidRPr="00E913E7">
        <w:rPr>
          <w:rFonts w:ascii="Times New Roman" w:hAnsi="Times New Roman" w:cs="Times New Roman"/>
          <w:sz w:val="24"/>
        </w:rPr>
        <w:t>Cente</w:t>
      </w:r>
      <w:r w:rsidR="00F512A3">
        <w:rPr>
          <w:rFonts w:ascii="Times New Roman" w:hAnsi="Times New Roman" w:cs="Times New Roman"/>
          <w:sz w:val="24"/>
        </w:rPr>
        <w:t>r</w:t>
      </w:r>
      <w:proofErr w:type="spellEnd"/>
      <w:r w:rsidR="00F512A3" w:rsidRPr="00E913E7">
        <w:rPr>
          <w:rFonts w:ascii="Times New Roman" w:hAnsi="Times New Roman" w:cs="Times New Roman"/>
          <w:sz w:val="24"/>
        </w:rPr>
        <w:t xml:space="preserve"> lines of box plots show median values, box hinges indicate 1st and 3rd quartiles, and whisker represent the furthest data points within 1.5 interquartile ranges of the hinges.</w:t>
      </w:r>
    </w:p>
    <w:sectPr w:rsidR="00245A89" w:rsidRPr="00B34F2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022" w:rsidRDefault="001A7022" w:rsidP="00DC0E5E">
      <w:r>
        <w:separator/>
      </w:r>
    </w:p>
  </w:endnote>
  <w:endnote w:type="continuationSeparator" w:id="0">
    <w:p w:rsidR="001A7022" w:rsidRDefault="001A7022" w:rsidP="00DC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000408"/>
      <w:docPartObj>
        <w:docPartGallery w:val="Page Numbers (Bottom of Page)"/>
        <w:docPartUnique/>
      </w:docPartObj>
    </w:sdtPr>
    <w:sdtEndPr/>
    <w:sdtContent>
      <w:p w:rsidR="00DC0E5E" w:rsidRDefault="00DC0E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974" w:rsidRPr="00F57974">
          <w:rPr>
            <w:noProof/>
            <w:lang w:val="zh-CN"/>
          </w:rPr>
          <w:t>7</w:t>
        </w:r>
        <w:r>
          <w:fldChar w:fldCharType="end"/>
        </w:r>
      </w:p>
    </w:sdtContent>
  </w:sdt>
  <w:p w:rsidR="00DC0E5E" w:rsidRDefault="00DC0E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022" w:rsidRDefault="001A7022" w:rsidP="00DC0E5E">
      <w:r>
        <w:separator/>
      </w:r>
    </w:p>
  </w:footnote>
  <w:footnote w:type="continuationSeparator" w:id="0">
    <w:p w:rsidR="001A7022" w:rsidRDefault="001A7022" w:rsidP="00DC0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6E"/>
    <w:rsid w:val="00042FE6"/>
    <w:rsid w:val="00090AF8"/>
    <w:rsid w:val="000E019B"/>
    <w:rsid w:val="001A7022"/>
    <w:rsid w:val="00215305"/>
    <w:rsid w:val="00233A1F"/>
    <w:rsid w:val="00245A89"/>
    <w:rsid w:val="002664EA"/>
    <w:rsid w:val="00305E2C"/>
    <w:rsid w:val="00310ED9"/>
    <w:rsid w:val="0032541F"/>
    <w:rsid w:val="004B7385"/>
    <w:rsid w:val="004C15D6"/>
    <w:rsid w:val="004C3605"/>
    <w:rsid w:val="00514ACC"/>
    <w:rsid w:val="005479FA"/>
    <w:rsid w:val="005659EB"/>
    <w:rsid w:val="00567F59"/>
    <w:rsid w:val="005838DE"/>
    <w:rsid w:val="005B51FD"/>
    <w:rsid w:val="005B743C"/>
    <w:rsid w:val="006852D0"/>
    <w:rsid w:val="006F3860"/>
    <w:rsid w:val="0072266B"/>
    <w:rsid w:val="007C35E0"/>
    <w:rsid w:val="007E6B41"/>
    <w:rsid w:val="00833603"/>
    <w:rsid w:val="00840C72"/>
    <w:rsid w:val="00862004"/>
    <w:rsid w:val="00946D23"/>
    <w:rsid w:val="009630A6"/>
    <w:rsid w:val="00A176FC"/>
    <w:rsid w:val="00A8630E"/>
    <w:rsid w:val="00AA4C48"/>
    <w:rsid w:val="00AF293C"/>
    <w:rsid w:val="00B025E8"/>
    <w:rsid w:val="00B107C8"/>
    <w:rsid w:val="00B343BA"/>
    <w:rsid w:val="00B34F24"/>
    <w:rsid w:val="00B92475"/>
    <w:rsid w:val="00B931E2"/>
    <w:rsid w:val="00BF5995"/>
    <w:rsid w:val="00C11EEB"/>
    <w:rsid w:val="00C2068D"/>
    <w:rsid w:val="00C42396"/>
    <w:rsid w:val="00C50284"/>
    <w:rsid w:val="00C72C2A"/>
    <w:rsid w:val="00C85974"/>
    <w:rsid w:val="00CB40FF"/>
    <w:rsid w:val="00D83A59"/>
    <w:rsid w:val="00DA0F6E"/>
    <w:rsid w:val="00DC0E5E"/>
    <w:rsid w:val="00EB62D0"/>
    <w:rsid w:val="00ED76E7"/>
    <w:rsid w:val="00F1457D"/>
    <w:rsid w:val="00F512A3"/>
    <w:rsid w:val="00F57974"/>
    <w:rsid w:val="00F62431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540FD"/>
  <w15:chartTrackingRefBased/>
  <w15:docId w15:val="{4E5FA9C1-E673-4F8D-BCFE-027F4C72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0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C0E5E"/>
    <w:rPr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DC0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C0E5E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青颖</dc:creator>
  <cp:keywords/>
  <dc:description/>
  <cp:lastModifiedBy>Qing Ying</cp:lastModifiedBy>
  <cp:revision>51</cp:revision>
  <dcterms:created xsi:type="dcterms:W3CDTF">2022-05-31T16:08:00Z</dcterms:created>
  <dcterms:modified xsi:type="dcterms:W3CDTF">2022-07-29T11:12:00Z</dcterms:modified>
</cp:coreProperties>
</file>