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rPr>
          <w:rFonts w:ascii="Times New Roman" w:hAnsi="Times New Roman" w:cs="Times New Roman"/>
          <w:sz w:val="24"/>
          <w:szCs w:val="24"/>
        </w:rPr>
      </w:pPr>
      <w:r>
        <w:rPr>
          <w:rFonts w:ascii="Times New Roman" w:hAnsi="Times New Roman" w:cs="Times New Roman"/>
          <w:b/>
          <w:sz w:val="24"/>
          <w:szCs w:val="24"/>
        </w:rPr>
        <w:t>Figure S1.</w:t>
      </w:r>
      <w:r>
        <w:rPr>
          <w:rFonts w:ascii="Times New Roman" w:hAnsi="Times New Roman" w:cs="Times New Roman"/>
          <w:sz w:val="24"/>
          <w:szCs w:val="24"/>
        </w:rPr>
        <w:t xml:space="preserve"> </w:t>
      </w:r>
      <w:r>
        <w:rPr>
          <w:rFonts w:ascii="Times New Roman" w:hAnsi="Times New Roman" w:cs="Times New Roman"/>
          <w:b/>
          <w:bCs/>
          <w:sz w:val="24"/>
          <w:szCs w:val="24"/>
        </w:rPr>
        <w:t>F</w:t>
      </w:r>
      <w:r>
        <w:rPr>
          <w:rFonts w:hint="eastAsia" w:ascii="Times New Roman" w:hAnsi="Times New Roman" w:cs="Times New Roman"/>
          <w:b/>
          <w:bCs/>
          <w:sz w:val="24"/>
          <w:szCs w:val="24"/>
        </w:rPr>
        <w:t>asting</w:t>
      </w:r>
      <w:r>
        <w:rPr>
          <w:rFonts w:ascii="Times New Roman" w:hAnsi="Times New Roman" w:cs="Times New Roman"/>
          <w:b/>
          <w:bCs/>
          <w:sz w:val="24"/>
          <w:szCs w:val="24"/>
        </w:rPr>
        <w:t xml:space="preserve"> </w:t>
      </w:r>
      <w:r>
        <w:rPr>
          <w:rFonts w:hint="eastAsia" w:ascii="Times New Roman" w:hAnsi="Times New Roman" w:cs="Times New Roman"/>
          <w:b/>
          <w:bCs/>
          <w:sz w:val="24"/>
          <w:szCs w:val="24"/>
        </w:rPr>
        <w:t>impairs</w:t>
      </w:r>
      <w:r>
        <w:rPr>
          <w:rFonts w:ascii="Times New Roman" w:hAnsi="Times New Roman" w:cs="Times New Roman"/>
          <w:b/>
          <w:bCs/>
          <w:sz w:val="24"/>
          <w:szCs w:val="24"/>
        </w:rPr>
        <w:t xml:space="preserve"> </w:t>
      </w:r>
      <w:r>
        <w:rPr>
          <w:rFonts w:hint="eastAsia" w:ascii="Times New Roman" w:hAnsi="Times New Roman" w:cs="Times New Roman"/>
          <w:b/>
          <w:bCs/>
          <w:sz w:val="24"/>
          <w:szCs w:val="24"/>
        </w:rPr>
        <w:t>glycolysis</w:t>
      </w:r>
      <w:r>
        <w:rPr>
          <w:rFonts w:ascii="Times New Roman" w:hAnsi="Times New Roman" w:cs="Times New Roman"/>
          <w:b/>
          <w:bCs/>
          <w:sz w:val="24"/>
          <w:szCs w:val="24"/>
        </w:rPr>
        <w:t xml:space="preserve"> </w:t>
      </w:r>
      <w:r>
        <w:rPr>
          <w:rFonts w:hint="eastAsia" w:ascii="Times New Roman" w:hAnsi="Times New Roman" w:cs="Times New Roman"/>
          <w:b/>
          <w:bCs/>
          <w:sz w:val="24"/>
          <w:szCs w:val="24"/>
        </w:rPr>
        <w:t>in</w:t>
      </w:r>
      <w:r>
        <w:rPr>
          <w:rFonts w:ascii="Times New Roman" w:hAnsi="Times New Roman" w:cs="Times New Roman"/>
          <w:b/>
          <w:bCs/>
          <w:sz w:val="24"/>
          <w:szCs w:val="24"/>
        </w:rPr>
        <w:t xml:space="preserve"> TPC-1 </w:t>
      </w:r>
      <w:r>
        <w:rPr>
          <w:rFonts w:hint="eastAsia" w:ascii="Times New Roman" w:hAnsi="Times New Roman" w:cs="Times New Roman"/>
          <w:b/>
          <w:bCs/>
          <w:sz w:val="24"/>
          <w:szCs w:val="24"/>
        </w:rPr>
        <w:t>and</w:t>
      </w:r>
      <w:r>
        <w:rPr>
          <w:rFonts w:ascii="Times New Roman" w:hAnsi="Times New Roman" w:cs="Times New Roman"/>
          <w:b/>
          <w:bCs/>
          <w:sz w:val="24"/>
          <w:szCs w:val="24"/>
        </w:rPr>
        <w:t xml:space="preserve"> K1 </w:t>
      </w:r>
      <w:r>
        <w:rPr>
          <w:rFonts w:hint="eastAsia" w:ascii="Times New Roman" w:hAnsi="Times New Roman" w:cs="Times New Roman"/>
          <w:b/>
          <w:bCs/>
          <w:sz w:val="24"/>
          <w:szCs w:val="24"/>
        </w:rPr>
        <w:t>cells，which</w:t>
      </w:r>
      <w:r>
        <w:rPr>
          <w:rFonts w:ascii="Times New Roman" w:hAnsi="Times New Roman" w:cs="Times New Roman"/>
          <w:b/>
          <w:bCs/>
          <w:sz w:val="24"/>
          <w:szCs w:val="24"/>
        </w:rPr>
        <w:t xml:space="preserve"> largely unaffected by TPC-1 BRAF</w:t>
      </w:r>
      <w:r>
        <w:rPr>
          <w:rFonts w:ascii="Times New Roman" w:hAnsi="Times New Roman" w:cs="Times New Roman"/>
          <w:b/>
          <w:bCs/>
          <w:sz w:val="24"/>
          <w:szCs w:val="24"/>
          <w:vertAlign w:val="superscript"/>
        </w:rPr>
        <w:t>V600E</w:t>
      </w:r>
      <w:r>
        <w:rPr>
          <w:rFonts w:ascii="Times New Roman" w:hAnsi="Times New Roman" w:cs="Times New Roman"/>
          <w:b/>
          <w:bCs/>
          <w:sz w:val="24"/>
          <w:szCs w:val="24"/>
        </w:rPr>
        <w:t xml:space="preserve"> and K1 RET/PTC1 rearrangements</w:t>
      </w:r>
      <w:r>
        <w:rPr>
          <w:rFonts w:hint="eastAsia"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TPC-1 cells were treated with SU11248, a highly effective tyrosine inhibitor of the RET/PTC1 oncogenic kinase (1μM, 48h) before cultured in the fasting medium; while K1 cells were treated with Vemurafenib, a BRAF</w:t>
      </w:r>
      <w:r>
        <w:rPr>
          <w:rFonts w:ascii="Times New Roman" w:hAnsi="Times New Roman" w:cs="Times New Roman"/>
          <w:sz w:val="24"/>
          <w:szCs w:val="24"/>
          <w:vertAlign w:val="superscript"/>
        </w:rPr>
        <w:t>V600E</w:t>
      </w:r>
      <w:r>
        <w:rPr>
          <w:rFonts w:ascii="Times New Roman" w:hAnsi="Times New Roman" w:cs="Times New Roman"/>
          <w:sz w:val="24"/>
          <w:szCs w:val="24"/>
        </w:rPr>
        <w:t xml:space="preserve"> selective inhibitors (1μM, 48h) before cultured in the fasting medium.</w:t>
      </w:r>
      <w:r>
        <w:rPr>
          <w:rFonts w:hint="eastAsia"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b/>
          <w:bCs/>
          <w:sz w:val="24"/>
          <w:szCs w:val="24"/>
        </w:rPr>
        <w:t>A</w:t>
      </w:r>
      <w:r>
        <w:rPr>
          <w:rFonts w:ascii="Times New Roman" w:hAnsi="Times New Roman" w:cs="Times New Roman"/>
          <w:b/>
          <w:sz w:val="24"/>
          <w:szCs w:val="24"/>
        </w:rPr>
        <w:t>-C</w:t>
      </w:r>
      <w:r>
        <w:rPr>
          <w:rFonts w:ascii="Times New Roman" w:hAnsi="Times New Roman" w:cs="Times New Roman"/>
          <w:sz w:val="24"/>
          <w:szCs w:val="24"/>
        </w:rPr>
        <w:t xml:space="preserve">) ECAR, an indicator of glycolysis, and OCR, which reflects mitochondrial respiration, were measured in TPC-1 </w:t>
      </w:r>
      <w:r>
        <w:rPr>
          <w:rFonts w:hint="eastAsia" w:ascii="Times New Roman" w:hAnsi="Times New Roman" w:cs="Times New Roman"/>
          <w:sz w:val="24"/>
          <w:szCs w:val="24"/>
        </w:rPr>
        <w:t>and</w:t>
      </w:r>
      <w:r>
        <w:rPr>
          <w:rFonts w:ascii="Times New Roman" w:hAnsi="Times New Roman" w:cs="Times New Roman"/>
          <w:sz w:val="24"/>
          <w:szCs w:val="24"/>
        </w:rPr>
        <w:t xml:space="preserve"> K1 cells cultured in the fasting mimic medium for 48h. (</w:t>
      </w:r>
      <w:r>
        <w:rPr>
          <w:rFonts w:ascii="Times New Roman" w:hAnsi="Times New Roman" w:cs="Times New Roman"/>
          <w:b/>
          <w:sz w:val="24"/>
          <w:szCs w:val="24"/>
        </w:rPr>
        <w:t>D-E</w:t>
      </w:r>
      <w:r>
        <w:rPr>
          <w:rFonts w:ascii="Times New Roman" w:hAnsi="Times New Roman" w:cs="Times New Roman"/>
          <w:sz w:val="24"/>
          <w:szCs w:val="24"/>
        </w:rPr>
        <w:t xml:space="preserve">) Glucose uptake and lactate production via glycolysis in TPC-1 </w:t>
      </w:r>
      <w:r>
        <w:rPr>
          <w:rFonts w:hint="eastAsia" w:ascii="Times New Roman" w:hAnsi="Times New Roman" w:cs="Times New Roman"/>
          <w:sz w:val="24"/>
          <w:szCs w:val="24"/>
        </w:rPr>
        <w:t>and</w:t>
      </w:r>
      <w:r>
        <w:rPr>
          <w:rFonts w:ascii="Times New Roman" w:hAnsi="Times New Roman" w:cs="Times New Roman"/>
          <w:sz w:val="24"/>
          <w:szCs w:val="24"/>
        </w:rPr>
        <w:t xml:space="preserve"> K1 cells were detected. (</w:t>
      </w:r>
      <w:r>
        <w:rPr>
          <w:rFonts w:ascii="Times New Roman" w:hAnsi="Times New Roman" w:cs="Times New Roman"/>
          <w:b/>
          <w:sz w:val="24"/>
          <w:szCs w:val="24"/>
        </w:rPr>
        <w:t>F</w:t>
      </w:r>
      <w:r>
        <w:rPr>
          <w:rFonts w:ascii="Times New Roman" w:hAnsi="Times New Roman" w:cs="Times New Roman"/>
          <w:sz w:val="24"/>
          <w:szCs w:val="24"/>
        </w:rPr>
        <w:t xml:space="preserve">) The expression of rate-limiting glycolytic enzymes in glucose metabolism (PDK1, LDHA, HK2, GLUT1 and GPI) in TPC-1 </w:t>
      </w:r>
      <w:r>
        <w:rPr>
          <w:rFonts w:hint="eastAsia" w:ascii="Times New Roman" w:hAnsi="Times New Roman" w:cs="Times New Roman"/>
          <w:sz w:val="24"/>
          <w:szCs w:val="24"/>
        </w:rPr>
        <w:t>and</w:t>
      </w:r>
      <w:r>
        <w:rPr>
          <w:rFonts w:ascii="Times New Roman" w:hAnsi="Times New Roman" w:cs="Times New Roman"/>
          <w:sz w:val="24"/>
          <w:szCs w:val="24"/>
        </w:rPr>
        <w:t xml:space="preserve"> K1 cells were measured by western blotting. </w:t>
      </w:r>
      <w:r>
        <w:rPr>
          <w:rFonts w:hint="eastAsia" w:ascii="Times New Roman" w:hAnsi="Times New Roman" w:cs="Times New Roman"/>
          <w:sz w:val="24"/>
          <w:szCs w:val="24"/>
        </w:rPr>
        <w:t>*</w:t>
      </w:r>
      <w:r>
        <w:rPr>
          <w:rFonts w:ascii="Times New Roman" w:hAnsi="Times New Roman" w:cs="Times New Roman"/>
          <w:i/>
          <w:iCs/>
          <w:sz w:val="24"/>
          <w:szCs w:val="24"/>
        </w:rPr>
        <w:t>P</w:t>
      </w:r>
      <w:r>
        <w:rPr>
          <w:rFonts w:hint="eastAsia" w:ascii="Times New Roman" w:hAnsi="Times New Roman" w:cs="Times New Roman"/>
          <w:sz w:val="24"/>
          <w:szCs w:val="24"/>
        </w:rPr>
        <w:t>&lt;0.05, **</w:t>
      </w:r>
      <w:r>
        <w:rPr>
          <w:rFonts w:ascii="Times New Roman" w:hAnsi="Times New Roman" w:cs="Times New Roman"/>
          <w:i/>
          <w:iCs/>
          <w:sz w:val="24"/>
          <w:szCs w:val="24"/>
        </w:rPr>
        <w:t>P</w:t>
      </w:r>
      <w:r>
        <w:rPr>
          <w:rFonts w:hint="eastAsia" w:ascii="Times New Roman" w:hAnsi="Times New Roman" w:cs="Times New Roman"/>
          <w:sz w:val="24"/>
          <w:szCs w:val="24"/>
        </w:rPr>
        <w:t>&lt;0.01 and ***</w:t>
      </w:r>
      <w:r>
        <w:rPr>
          <w:rFonts w:ascii="Times New Roman" w:hAnsi="Times New Roman" w:cs="Times New Roman"/>
          <w:i/>
          <w:iCs/>
          <w:sz w:val="24"/>
          <w:szCs w:val="24"/>
        </w:rPr>
        <w:t>P</w:t>
      </w:r>
      <w:r>
        <w:rPr>
          <w:rFonts w:hint="eastAsia" w:ascii="Times New Roman" w:hAnsi="Times New Roman" w:cs="Times New Roman"/>
          <w:sz w:val="24"/>
          <w:szCs w:val="24"/>
        </w:rPr>
        <w:t>&lt;0.001.</w:t>
      </w: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r>
        <w:rPr>
          <w:rFonts w:ascii="Times New Roman" w:hAnsi="Times New Roman" w:cs="Times New Roman"/>
          <w:b/>
          <w:sz w:val="24"/>
          <w:szCs w:val="24"/>
        </w:rPr>
        <w:t>Figure S2. Quantifying the basal respiration, ATP respiration and maximal respiration.</w:t>
      </w:r>
      <w:r>
        <w:rPr>
          <w:rFonts w:ascii="Times New Roman" w:hAnsi="Times New Roman" w:cs="Times New Roman"/>
          <w:sz w:val="24"/>
          <w:szCs w:val="24"/>
        </w:rPr>
        <w:t xml:space="preserve"> (</w:t>
      </w:r>
      <w:r>
        <w:rPr>
          <w:rFonts w:ascii="Times New Roman" w:hAnsi="Times New Roman" w:cs="Times New Roman"/>
          <w:b/>
          <w:bCs/>
          <w:sz w:val="24"/>
          <w:szCs w:val="24"/>
        </w:rPr>
        <w:t>A</w:t>
      </w:r>
      <w:r>
        <w:rPr>
          <w:rFonts w:ascii="Times New Roman" w:hAnsi="Times New Roman" w:cs="Times New Roman"/>
          <w:sz w:val="24"/>
          <w:szCs w:val="24"/>
        </w:rPr>
        <w:t>)</w:t>
      </w:r>
      <w:r>
        <w:t xml:space="preserve"> </w:t>
      </w:r>
      <w:r>
        <w:rPr>
          <w:rFonts w:ascii="Times New Roman" w:hAnsi="Times New Roman" w:cs="Times New Roman"/>
          <w:sz w:val="24"/>
          <w:szCs w:val="24"/>
        </w:rPr>
        <w:t>Scheme demonstrating the breakdown of OCR. Maximal respiration is the OCR after the injection of FCCP minus the OCR after injection of oligomycin. ATP respiration (based on respiration) is the difference between the basal respiration and the respiration after the injection of oligomycin. (</w:t>
      </w:r>
      <w:r>
        <w:rPr>
          <w:rFonts w:ascii="Times New Roman" w:hAnsi="Times New Roman" w:cs="Times New Roman"/>
          <w:b/>
          <w:bCs/>
          <w:sz w:val="24"/>
          <w:szCs w:val="24"/>
        </w:rPr>
        <w:t>B</w:t>
      </w: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bCs/>
          <w:sz w:val="24"/>
          <w:szCs w:val="24"/>
        </w:rPr>
        <w:t>Quantifying the basal respiration, ATP respiration and maximal respiration in Figure 1E.  (</w:t>
      </w:r>
      <w:r>
        <w:rPr>
          <w:rFonts w:ascii="Times New Roman" w:hAnsi="Times New Roman" w:cs="Times New Roman"/>
          <w:b/>
          <w:sz w:val="24"/>
          <w:szCs w:val="24"/>
        </w:rPr>
        <w:t>C</w:t>
      </w:r>
      <w:r>
        <w:rPr>
          <w:rFonts w:ascii="Times New Roman" w:hAnsi="Times New Roman" w:cs="Times New Roman"/>
          <w:bCs/>
          <w:sz w:val="24"/>
          <w:szCs w:val="24"/>
        </w:rPr>
        <w:t xml:space="preserve">) Quantifying the basal respiration, ATP respiration and maximal respiration in Figure 5G. </w:t>
      </w:r>
      <w:r>
        <w:rPr>
          <w:rFonts w:ascii="Times New Roman" w:hAnsi="Times New Roman" w:cs="Times New Roman"/>
          <w:b/>
          <w:sz w:val="24"/>
          <w:szCs w:val="24"/>
        </w:rPr>
        <w:t>(D</w:t>
      </w:r>
      <w:r>
        <w:rPr>
          <w:rFonts w:ascii="Times New Roman" w:hAnsi="Times New Roman" w:cs="Times New Roman"/>
          <w:bCs/>
          <w:sz w:val="24"/>
          <w:szCs w:val="24"/>
        </w:rPr>
        <w:t xml:space="preserve">) Quantifying the basal respiration, ATP respiration and maximal respiration in Figure 8D.  </w:t>
      </w:r>
      <w:r>
        <w:rPr>
          <w:rFonts w:hint="eastAsia" w:ascii="Times New Roman" w:hAnsi="Times New Roman" w:cs="Times New Roman"/>
          <w:sz w:val="24"/>
          <w:szCs w:val="24"/>
        </w:rPr>
        <w:t>*</w:t>
      </w:r>
      <w:r>
        <w:rPr>
          <w:rFonts w:ascii="Times New Roman" w:hAnsi="Times New Roman" w:cs="Times New Roman"/>
          <w:i/>
          <w:iCs/>
          <w:sz w:val="24"/>
          <w:szCs w:val="24"/>
        </w:rPr>
        <w:t>P</w:t>
      </w:r>
      <w:r>
        <w:rPr>
          <w:rFonts w:hint="eastAsia" w:ascii="Times New Roman" w:hAnsi="Times New Roman" w:cs="Times New Roman"/>
          <w:sz w:val="24"/>
          <w:szCs w:val="24"/>
        </w:rPr>
        <w:t>&lt;0.05, **</w:t>
      </w:r>
      <w:r>
        <w:rPr>
          <w:rFonts w:ascii="Times New Roman" w:hAnsi="Times New Roman" w:cs="Times New Roman"/>
          <w:i/>
          <w:iCs/>
          <w:sz w:val="24"/>
          <w:szCs w:val="24"/>
        </w:rPr>
        <w:t>P</w:t>
      </w:r>
      <w:r>
        <w:rPr>
          <w:rFonts w:hint="eastAsia" w:ascii="Times New Roman" w:hAnsi="Times New Roman" w:cs="Times New Roman"/>
          <w:sz w:val="24"/>
          <w:szCs w:val="24"/>
        </w:rPr>
        <w:t>&lt;0.01 and ***</w:t>
      </w:r>
      <w:r>
        <w:rPr>
          <w:rFonts w:ascii="Times New Roman" w:hAnsi="Times New Roman" w:cs="Times New Roman"/>
          <w:i/>
          <w:iCs/>
          <w:sz w:val="24"/>
          <w:szCs w:val="24"/>
        </w:rPr>
        <w:t>P</w:t>
      </w:r>
      <w:r>
        <w:rPr>
          <w:rFonts w:hint="eastAsia" w:ascii="Times New Roman" w:hAnsi="Times New Roman" w:cs="Times New Roman"/>
          <w:sz w:val="24"/>
          <w:szCs w:val="24"/>
        </w:rPr>
        <w:t>&lt;0.001.</w:t>
      </w:r>
    </w:p>
    <w:p>
      <w:pPr>
        <w:spacing w:line="480" w:lineRule="auto"/>
        <w:rPr>
          <w:rFonts w:ascii="Times New Roman" w:hAnsi="Times New Roman" w:cs="Times New Roman"/>
          <w:bCs/>
          <w:sz w:val="24"/>
          <w:szCs w:val="24"/>
          <w:highlight w:val="yellow"/>
        </w:rPr>
      </w:pPr>
    </w:p>
    <w:p>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b/>
          <w:sz w:val="24"/>
          <w:szCs w:val="24"/>
        </w:rPr>
        <w:t xml:space="preserve">Figure S3. Body weight, </w:t>
      </w:r>
      <w:r>
        <w:rPr>
          <w:rFonts w:hint="eastAsia" w:ascii="Times New Roman" w:hAnsi="Times New Roman" w:cs="Times New Roman"/>
          <w:b/>
          <w:sz w:val="24"/>
          <w:szCs w:val="24"/>
          <w:lang w:val="en-US" w:eastAsia="zh-CN"/>
        </w:rPr>
        <w:t>fasting blood</w:t>
      </w:r>
      <w:r>
        <w:rPr>
          <w:rFonts w:ascii="Times New Roman" w:hAnsi="Times New Roman" w:cs="Times New Roman"/>
          <w:b/>
          <w:sz w:val="24"/>
          <w:szCs w:val="24"/>
        </w:rPr>
        <w:t xml:space="preserve"> glucose and insulin concentration</w:t>
      </w:r>
      <w:r>
        <w:rPr>
          <w:rFonts w:hint="eastAsia" w:ascii="Times New Roman" w:hAnsi="Times New Roman" w:cs="Times New Roman"/>
          <w:b/>
          <w:sz w:val="24"/>
          <w:szCs w:val="24"/>
          <w:lang w:val="en-US" w:eastAsia="zh-CN"/>
        </w:rPr>
        <w:t>s</w:t>
      </w:r>
      <w:r>
        <w:rPr>
          <w:rFonts w:ascii="Times New Roman" w:hAnsi="Times New Roman" w:cs="Times New Roman"/>
          <w:b/>
          <w:sz w:val="24"/>
          <w:szCs w:val="24"/>
        </w:rPr>
        <w:t xml:space="preserve"> were detected </w:t>
      </w:r>
      <w:r>
        <w:rPr>
          <w:rFonts w:hint="default" w:ascii="Times New Roman Bold Italic" w:hAnsi="Times New Roman Bold Italic" w:cs="Times New Roman Bold Italic"/>
          <w:b/>
          <w:i/>
          <w:iCs/>
          <w:sz w:val="24"/>
          <w:szCs w:val="24"/>
        </w:rPr>
        <w:t>in vivo</w:t>
      </w:r>
      <w:r>
        <w:rPr>
          <w:rFonts w:ascii="Times New Roman" w:hAnsi="Times New Roman" w:cs="Times New Roman"/>
          <w:b/>
          <w:sz w:val="24"/>
          <w:szCs w:val="24"/>
        </w:rPr>
        <w:t xml:space="preserve"> animal experiments of fasting mimic diet model. </w:t>
      </w:r>
      <w:r>
        <w:rPr>
          <w:rFonts w:ascii="Times New Roman" w:hAnsi="Times New Roman" w:cs="Times New Roman"/>
          <w:sz w:val="24"/>
          <w:szCs w:val="24"/>
        </w:rPr>
        <w:t>TPC-1 and K1 cells were injected into BALB/c mice. When the tumors were palpable, the mice were randomly assigned to the control group or the fasting mimic diet (FM</w:t>
      </w:r>
      <w:bookmarkStart w:id="4" w:name="_GoBack"/>
      <w:bookmarkEnd w:id="4"/>
      <w:r>
        <w:rPr>
          <w:rFonts w:ascii="Times New Roman" w:hAnsi="Times New Roman" w:cs="Times New Roman"/>
          <w:sz w:val="24"/>
          <w:szCs w:val="24"/>
        </w:rPr>
        <w:t>D) group. (</w:t>
      </w:r>
      <w:r>
        <w:rPr>
          <w:rFonts w:ascii="Times New Roman" w:hAnsi="Times New Roman" w:cs="Times New Roman"/>
          <w:b/>
          <w:bCs/>
          <w:sz w:val="24"/>
          <w:szCs w:val="24"/>
        </w:rPr>
        <w:t>A</w:t>
      </w:r>
      <w:r>
        <w:rPr>
          <w:rFonts w:ascii="Times New Roman" w:hAnsi="Times New Roman" w:cs="Times New Roman"/>
          <w:sz w:val="24"/>
          <w:szCs w:val="24"/>
        </w:rPr>
        <w:t>) The body weights of mice were measured every week and a weight profile during the FMD cycle was established. Mice in the FMD group lost 10% of their body weight during each FMD cycle but regained most of their body weight after refeeding</w:t>
      </w:r>
      <w:r>
        <w:rPr>
          <w:rFonts w:hint="eastAsia" w:ascii="Times New Roman" w:hAnsi="Times New Roman" w:cs="Times New Roman"/>
          <w:sz w:val="24"/>
          <w:szCs w:val="24"/>
          <w:lang w:val="en-US" w:eastAsia="zh-CN"/>
        </w:rPr>
        <w:t>, n = 6</w:t>
      </w:r>
      <w:r>
        <w:rPr>
          <w:rFonts w:ascii="Times New Roman" w:hAnsi="Times New Roman" w:cs="Times New Roman"/>
          <w:sz w:val="24"/>
          <w:szCs w:val="24"/>
        </w:rPr>
        <w:t>. (</w:t>
      </w:r>
      <w:r>
        <w:rPr>
          <w:rFonts w:ascii="Times New Roman" w:hAnsi="Times New Roman" w:cs="Times New Roman"/>
          <w:b/>
          <w:bCs/>
          <w:sz w:val="24"/>
          <w:szCs w:val="24"/>
        </w:rPr>
        <w:t>B-C</w:t>
      </w:r>
      <w:r>
        <w:rPr>
          <w:rFonts w:ascii="Times New Roman" w:hAnsi="Times New Roman" w:cs="Times New Roman"/>
          <w:sz w:val="24"/>
          <w:szCs w:val="24"/>
        </w:rPr>
        <w:t xml:space="preserve">) Blood samples were collected on the last day of experiments, and fasting </w:t>
      </w:r>
      <w:r>
        <w:rPr>
          <w:rFonts w:hint="eastAsia" w:ascii="Times New Roman" w:hAnsi="Times New Roman" w:cs="Times New Roman"/>
          <w:sz w:val="24"/>
          <w:szCs w:val="24"/>
          <w:lang w:val="en-US" w:eastAsia="zh-CN"/>
        </w:rPr>
        <w:t>blood</w:t>
      </w:r>
      <w:r>
        <w:rPr>
          <w:rFonts w:ascii="Times New Roman" w:hAnsi="Times New Roman" w:cs="Times New Roman"/>
          <w:sz w:val="24"/>
          <w:szCs w:val="24"/>
        </w:rPr>
        <w:t xml:space="preserve"> glucose and insulin levels were detected</w:t>
      </w:r>
      <w:r>
        <w:rPr>
          <w:rFonts w:hint="eastAsia" w:ascii="Times New Roman" w:hAnsi="Times New Roman" w:cs="Times New Roman"/>
          <w:sz w:val="24"/>
          <w:szCs w:val="24"/>
          <w:lang w:val="en-US" w:eastAsia="zh-CN"/>
        </w:rPr>
        <w:t>, n = 6</w:t>
      </w:r>
      <w:r>
        <w:rPr>
          <w:rFonts w:ascii="Times New Roman" w:hAnsi="Times New Roman" w:cs="Times New Roman"/>
          <w:sz w:val="24"/>
          <w:szCs w:val="24"/>
        </w:rPr>
        <w:t xml:space="preserve">. </w:t>
      </w:r>
      <w:r>
        <w:rPr>
          <w:rFonts w:hint="eastAsia" w:ascii="Times New Roman" w:hAnsi="Times New Roman" w:cs="Times New Roman"/>
          <w:sz w:val="24"/>
          <w:szCs w:val="24"/>
        </w:rPr>
        <w:t>*</w:t>
      </w:r>
      <w:r>
        <w:rPr>
          <w:rFonts w:ascii="Times New Roman" w:hAnsi="Times New Roman" w:cs="Times New Roman"/>
          <w:i/>
          <w:iCs/>
          <w:sz w:val="24"/>
          <w:szCs w:val="24"/>
        </w:rPr>
        <w:t>P</w:t>
      </w:r>
      <w:r>
        <w:rPr>
          <w:rFonts w:hint="eastAsia" w:ascii="Times New Roman" w:hAnsi="Times New Roman" w:cs="Times New Roman"/>
          <w:sz w:val="24"/>
          <w:szCs w:val="24"/>
        </w:rPr>
        <w:t>&lt;0.05</w:t>
      </w:r>
      <w:r>
        <w:rPr>
          <w:rFonts w:ascii="Times New Roman" w:hAnsi="Times New Roman" w:cs="Times New Roman"/>
          <w:sz w:val="24"/>
          <w:szCs w:val="24"/>
        </w:rPr>
        <w:t xml:space="preserve"> and </w:t>
      </w:r>
      <w:r>
        <w:rPr>
          <w:rFonts w:hint="eastAsia" w:ascii="Times New Roman" w:hAnsi="Times New Roman" w:cs="Times New Roman"/>
          <w:sz w:val="24"/>
          <w:szCs w:val="24"/>
        </w:rPr>
        <w:t>**</w:t>
      </w:r>
      <w:r>
        <w:rPr>
          <w:rFonts w:ascii="Times New Roman" w:hAnsi="Times New Roman" w:cs="Times New Roman"/>
          <w:i/>
          <w:iCs/>
          <w:sz w:val="24"/>
          <w:szCs w:val="24"/>
        </w:rPr>
        <w:t>P</w:t>
      </w:r>
      <w:r>
        <w:rPr>
          <w:rFonts w:hint="eastAsia" w:ascii="Times New Roman" w:hAnsi="Times New Roman" w:cs="Times New Roman"/>
          <w:sz w:val="24"/>
          <w:szCs w:val="24"/>
        </w:rPr>
        <w:t>&lt;0.01</w:t>
      </w:r>
      <w:r>
        <w:rPr>
          <w:rFonts w:ascii="Times New Roman" w:hAnsi="Times New Roman" w:cs="Times New Roman"/>
          <w:sz w:val="24"/>
          <w:szCs w:val="24"/>
        </w:rPr>
        <w:t>.</w:t>
      </w:r>
    </w:p>
    <w:p>
      <w:pPr>
        <w:autoSpaceDE w:val="0"/>
        <w:autoSpaceDN w:val="0"/>
        <w:adjustRightInd w:val="0"/>
        <w:spacing w:line="480" w:lineRule="auto"/>
        <w:rPr>
          <w:rFonts w:hint="eastAsia" w:ascii="Times New Roman" w:hAnsi="Times New Roman" w:cs="Times New Roman"/>
          <w:sz w:val="24"/>
          <w:szCs w:val="24"/>
        </w:rPr>
      </w:pPr>
    </w:p>
    <w:p>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Figure S4. (A) </w:t>
      </w:r>
      <w:r>
        <w:rPr>
          <w:rFonts w:ascii="Times New Roman" w:hAnsi="Times New Roman" w:cs="Times New Roman"/>
          <w:bCs/>
          <w:sz w:val="24"/>
          <w:szCs w:val="24"/>
        </w:rPr>
        <w:t>The expression of PRKCQ-AS1 was decreased significantly in the papillary thyroid cancer compared with that in the normal group in the GSE 3678 data set (n=7). The relative expression of PRKCQ-AS1 were quantified presented below.</w:t>
      </w:r>
      <w:r>
        <w:rPr>
          <w:rFonts w:ascii="Times New Roman" w:hAnsi="Times New Roman" w:cs="Times New Roman"/>
          <w:b/>
          <w:sz w:val="24"/>
          <w:szCs w:val="24"/>
        </w:rPr>
        <w:t xml:space="preserve"> (B) </w:t>
      </w:r>
      <w:r>
        <w:rPr>
          <w:rFonts w:ascii="Times New Roman" w:hAnsi="Times New Roman" w:cs="Times New Roman"/>
          <w:bCs/>
          <w:sz w:val="24"/>
          <w:szCs w:val="24"/>
        </w:rPr>
        <w:t>The expression of PRKCQ-AS1 was decreased significantly in the papillary thyroid cancer compared with that in the normal group in the GSE 3467 data set (n=9).</w:t>
      </w:r>
      <w:r>
        <w:rPr>
          <w:rFonts w:ascii="Times New Roman" w:hAnsi="Times New Roman" w:cs="Times New Roman"/>
          <w:b/>
          <w:sz w:val="24"/>
          <w:szCs w:val="24"/>
        </w:rPr>
        <w:t xml:space="preserve"> </w:t>
      </w:r>
      <w:r>
        <w:rPr>
          <w:rFonts w:ascii="Times New Roman" w:hAnsi="Times New Roman" w:cs="Times New Roman"/>
          <w:bCs/>
          <w:sz w:val="24"/>
          <w:szCs w:val="24"/>
        </w:rPr>
        <w:t xml:space="preserve">The relative expression of PRKCQ-AS1 were quantified presented below. </w:t>
      </w:r>
      <w:r>
        <w:rPr>
          <w:rFonts w:hint="eastAsia" w:ascii="Times New Roman" w:hAnsi="Times New Roman" w:cs="Times New Roman"/>
          <w:sz w:val="24"/>
          <w:szCs w:val="24"/>
        </w:rPr>
        <w:t>**</w:t>
      </w:r>
      <w:r>
        <w:rPr>
          <w:rFonts w:ascii="Times New Roman" w:hAnsi="Times New Roman" w:cs="Times New Roman"/>
          <w:i/>
          <w:iCs/>
          <w:sz w:val="24"/>
          <w:szCs w:val="24"/>
        </w:rPr>
        <w:t>P</w:t>
      </w:r>
      <w:r>
        <w:rPr>
          <w:rFonts w:hint="eastAsia" w:ascii="Times New Roman" w:hAnsi="Times New Roman" w:cs="Times New Roman"/>
          <w:sz w:val="24"/>
          <w:szCs w:val="24"/>
        </w:rPr>
        <w:t>&lt;0.01 and ***</w:t>
      </w:r>
      <w:r>
        <w:rPr>
          <w:rFonts w:ascii="Times New Roman" w:hAnsi="Times New Roman" w:cs="Times New Roman"/>
          <w:i/>
          <w:iCs/>
          <w:sz w:val="24"/>
          <w:szCs w:val="24"/>
        </w:rPr>
        <w:t>P</w:t>
      </w:r>
      <w:r>
        <w:rPr>
          <w:rFonts w:hint="eastAsia" w:ascii="Times New Roman" w:hAnsi="Times New Roman" w:cs="Times New Roman"/>
          <w:sz w:val="24"/>
          <w:szCs w:val="24"/>
        </w:rPr>
        <w:t>&lt;0.001.</w:t>
      </w:r>
    </w:p>
    <w:p>
      <w:pPr>
        <w:spacing w:line="480" w:lineRule="auto"/>
        <w:rPr>
          <w:rFonts w:ascii="Times New Roman" w:hAnsi="Times New Roman" w:cs="Times New Roman"/>
          <w:sz w:val="24"/>
          <w:szCs w:val="24"/>
        </w:rPr>
      </w:pPr>
      <w:r>
        <w:rPr>
          <w:rFonts w:ascii="Times New Roman" w:hAnsi="Times New Roman" w:cs="Times New Roman"/>
          <w:b/>
          <w:sz w:val="24"/>
          <w:szCs w:val="24"/>
        </w:rPr>
        <w:t>Figure S5. IGF2BP1 has almost no difference in PTC tissues and cells, compared to normal tissues. (A)</w:t>
      </w:r>
      <w:r>
        <w:rPr>
          <w:rFonts w:ascii="Times New Roman" w:hAnsi="Times New Roman" w:cs="Times New Roman"/>
          <w:sz w:val="24"/>
          <w:szCs w:val="24"/>
        </w:rPr>
        <w:t xml:space="preserve"> The expression of IGF2BP1 in THCA from TCGA database were shown. </w:t>
      </w:r>
      <w:r>
        <w:rPr>
          <w:rFonts w:ascii="Times New Roman" w:hAnsi="Times New Roman" w:cs="Times New Roman"/>
          <w:b/>
          <w:sz w:val="24"/>
          <w:szCs w:val="24"/>
        </w:rPr>
        <w:t xml:space="preserve">(B) </w:t>
      </w:r>
      <w:r>
        <w:rPr>
          <w:rFonts w:ascii="Times New Roman" w:hAnsi="Times New Roman" w:cs="Times New Roman"/>
          <w:sz w:val="24"/>
          <w:szCs w:val="24"/>
        </w:rPr>
        <w:t>MRNA expression of IGF2BP1 was determined by qRT-PCR in PTC tissues (n=107). (</w:t>
      </w:r>
      <w:r>
        <w:rPr>
          <w:rFonts w:ascii="Times New Roman" w:hAnsi="Times New Roman" w:cs="Times New Roman"/>
          <w:b/>
          <w:sz w:val="24"/>
          <w:szCs w:val="24"/>
        </w:rPr>
        <w:t>C</w:t>
      </w:r>
      <w:r>
        <w:rPr>
          <w:rFonts w:ascii="Times New Roman" w:hAnsi="Times New Roman" w:cs="Times New Roman"/>
          <w:sz w:val="24"/>
          <w:szCs w:val="24"/>
        </w:rPr>
        <w:t xml:space="preserve">) MRNA expression of IGF2BP1 was determined by RT-PCR in PTC cells (n=3). </w:t>
      </w:r>
      <w:r>
        <w:rPr>
          <w:rFonts w:hint="eastAsia" w:ascii="Times New Roman" w:hAnsi="Times New Roman" w:cs="Times New Roman"/>
          <w:sz w:val="24"/>
          <w:szCs w:val="24"/>
        </w:rPr>
        <w:t>*</w:t>
      </w:r>
      <w:r>
        <w:rPr>
          <w:rFonts w:ascii="Times New Roman" w:hAnsi="Times New Roman" w:cs="Times New Roman"/>
          <w:i/>
          <w:iCs/>
          <w:sz w:val="24"/>
          <w:szCs w:val="24"/>
        </w:rPr>
        <w:t>P</w:t>
      </w:r>
      <w:r>
        <w:rPr>
          <w:rFonts w:hint="eastAsia" w:ascii="Times New Roman" w:hAnsi="Times New Roman" w:cs="Times New Roman"/>
          <w:sz w:val="24"/>
          <w:szCs w:val="24"/>
        </w:rPr>
        <w:t>&lt;0.05</w:t>
      </w:r>
      <w:r>
        <w:rPr>
          <w:rFonts w:ascii="Times New Roman" w:hAnsi="Times New Roman" w:cs="Times New Roman"/>
          <w:sz w:val="24"/>
          <w:szCs w:val="24"/>
        </w:rPr>
        <w:t>.</w:t>
      </w:r>
    </w:p>
    <w:p>
      <w:pPr>
        <w:spacing w:line="480" w:lineRule="auto"/>
        <w:rPr>
          <w:rFonts w:ascii="Times New Roman" w:hAnsi="Times New Roman" w:cs="Times New Roman"/>
          <w:b/>
          <w:sz w:val="24"/>
          <w:szCs w:val="24"/>
        </w:rPr>
      </w:pPr>
    </w:p>
    <w:p>
      <w:pPr>
        <w:spacing w:line="480" w:lineRule="auto"/>
        <w:rPr>
          <w:rFonts w:ascii="Times New Roman" w:hAnsi="Times New Roman" w:cs="Times New Roman"/>
          <w:sz w:val="24"/>
          <w:szCs w:val="24"/>
        </w:rPr>
      </w:pPr>
      <w:r>
        <w:rPr>
          <w:rFonts w:hint="eastAsia" w:ascii="Times New Roman" w:hAnsi="Times New Roman" w:cs="Times New Roman"/>
          <w:b/>
          <w:sz w:val="24"/>
          <w:szCs w:val="24"/>
        </w:rPr>
        <w:t>Figure S</w:t>
      </w:r>
      <w:r>
        <w:rPr>
          <w:rFonts w:ascii="Times New Roman" w:hAnsi="Times New Roman" w:cs="Times New Roman"/>
          <w:b/>
          <w:sz w:val="24"/>
          <w:szCs w:val="24"/>
        </w:rPr>
        <w:t>6</w:t>
      </w:r>
      <w:r>
        <w:rPr>
          <w:rFonts w:hint="eastAsia" w:ascii="Times New Roman" w:hAnsi="Times New Roman" w:cs="Times New Roman"/>
          <w:sz w:val="24"/>
          <w:szCs w:val="24"/>
        </w:rPr>
        <w:t xml:space="preserve">. </w:t>
      </w:r>
      <w:r>
        <w:rPr>
          <w:rFonts w:hint="eastAsia" w:ascii="Times New Roman" w:hAnsi="Times New Roman" w:cs="Times New Roman"/>
          <w:b/>
          <w:sz w:val="24"/>
          <w:szCs w:val="24"/>
        </w:rPr>
        <w:t>IGF2BP</w:t>
      </w:r>
      <w:r>
        <w:rPr>
          <w:rFonts w:ascii="Times New Roman" w:hAnsi="Times New Roman" w:cs="Times New Roman"/>
          <w:b/>
          <w:sz w:val="24"/>
          <w:szCs w:val="24"/>
        </w:rPr>
        <w:t>2/3</w:t>
      </w:r>
      <w:r>
        <w:rPr>
          <w:rFonts w:hint="eastAsia" w:ascii="Times New Roman" w:hAnsi="Times New Roman" w:cs="Times New Roman"/>
          <w:b/>
          <w:sz w:val="24"/>
          <w:szCs w:val="24"/>
        </w:rPr>
        <w:t xml:space="preserve"> regulates PTC cell cycle in </w:t>
      </w:r>
      <w:r>
        <w:rPr>
          <w:rFonts w:ascii="Times New Roman" w:hAnsi="Times New Roman" w:cs="Times New Roman"/>
          <w:b/>
          <w:sz w:val="24"/>
          <w:szCs w:val="24"/>
        </w:rPr>
        <w:t xml:space="preserve">TPC-1 and </w:t>
      </w:r>
      <w:r>
        <w:rPr>
          <w:rFonts w:hint="eastAsia" w:ascii="Times New Roman" w:hAnsi="Times New Roman" w:cs="Times New Roman"/>
          <w:b/>
          <w:sz w:val="24"/>
          <w:szCs w:val="24"/>
        </w:rPr>
        <w:t>K1 cells.</w:t>
      </w:r>
      <w:r>
        <w:rPr>
          <w:rFonts w:hint="eastAsia" w:ascii="Times New Roman" w:hAnsi="Times New Roman" w:cs="Times New Roman"/>
          <w:sz w:val="24"/>
          <w:szCs w:val="24"/>
        </w:rPr>
        <w:t xml:space="preserve"> (</w:t>
      </w:r>
      <w:r>
        <w:rPr>
          <w:rFonts w:ascii="Times New Roman" w:hAnsi="Times New Roman" w:cs="Times New Roman"/>
          <w:b/>
          <w:bCs/>
          <w:sz w:val="24"/>
          <w:szCs w:val="24"/>
        </w:rPr>
        <w:t>A</w:t>
      </w:r>
      <w:r>
        <w:rPr>
          <w:rFonts w:hint="eastAsia" w:ascii="Times New Roman" w:hAnsi="Times New Roman" w:cs="Times New Roman"/>
          <w:sz w:val="24"/>
          <w:szCs w:val="24"/>
        </w:rPr>
        <w:t xml:space="preserve">) </w:t>
      </w:r>
      <w:r>
        <w:rPr>
          <w:rFonts w:ascii="Times New Roman" w:hAnsi="Times New Roman" w:cs="Times New Roman"/>
          <w:sz w:val="24"/>
          <w:szCs w:val="24"/>
        </w:rPr>
        <w:t>q</w:t>
      </w:r>
      <w:r>
        <w:rPr>
          <w:rFonts w:hint="eastAsia" w:ascii="Times New Roman" w:hAnsi="Times New Roman" w:cs="Times New Roman"/>
          <w:sz w:val="24"/>
          <w:szCs w:val="24"/>
        </w:rPr>
        <w:t xml:space="preserve">RT-PCR analysis </w:t>
      </w:r>
      <w:r>
        <w:rPr>
          <w:rFonts w:ascii="Times New Roman" w:hAnsi="Times New Roman" w:cs="Times New Roman"/>
          <w:sz w:val="24"/>
          <w:szCs w:val="24"/>
        </w:rPr>
        <w:t xml:space="preserve">of </w:t>
      </w:r>
      <w:r>
        <w:rPr>
          <w:rFonts w:hint="eastAsia" w:ascii="Times New Roman" w:hAnsi="Times New Roman" w:cs="Times New Roman"/>
          <w:sz w:val="24"/>
          <w:szCs w:val="24"/>
        </w:rPr>
        <w:t>IGF2BP</w:t>
      </w:r>
      <w:r>
        <w:rPr>
          <w:rFonts w:ascii="Times New Roman" w:hAnsi="Times New Roman" w:cs="Times New Roman"/>
          <w:sz w:val="24"/>
          <w:szCs w:val="24"/>
        </w:rPr>
        <w:t>2/3</w:t>
      </w:r>
      <w:r>
        <w:rPr>
          <w:rFonts w:hint="eastAsia" w:ascii="Times New Roman" w:hAnsi="Times New Roman" w:cs="Times New Roman"/>
          <w:sz w:val="24"/>
          <w:szCs w:val="24"/>
        </w:rPr>
        <w:t xml:space="preserve"> expression levels in TPC-1 transfected with vector/IGF2BP</w:t>
      </w:r>
      <w:r>
        <w:rPr>
          <w:rFonts w:ascii="Times New Roman" w:hAnsi="Times New Roman" w:cs="Times New Roman"/>
          <w:sz w:val="24"/>
          <w:szCs w:val="24"/>
        </w:rPr>
        <w:t>2/3</w:t>
      </w:r>
      <w:r>
        <w:rPr>
          <w:rFonts w:hint="eastAsia" w:ascii="Times New Roman" w:hAnsi="Times New Roman" w:cs="Times New Roman"/>
          <w:sz w:val="24"/>
          <w:szCs w:val="24"/>
        </w:rPr>
        <w:t xml:space="preserve"> and in K1 cells transfected with sh-NC/sh-IGF2BP</w:t>
      </w:r>
      <w:r>
        <w:rPr>
          <w:rFonts w:ascii="Times New Roman" w:hAnsi="Times New Roman" w:cs="Times New Roman"/>
          <w:sz w:val="24"/>
          <w:szCs w:val="24"/>
        </w:rPr>
        <w:t>2/3</w:t>
      </w:r>
      <w:r>
        <w:rPr>
          <w:rFonts w:hint="eastAsia" w:ascii="Times New Roman" w:hAnsi="Times New Roman" w:cs="Times New Roman"/>
          <w:sz w:val="24"/>
          <w:szCs w:val="24"/>
        </w:rPr>
        <w:t xml:space="preserve"> (</w:t>
      </w:r>
      <w:r>
        <w:rPr>
          <w:rFonts w:ascii="Times New Roman" w:hAnsi="Times New Roman" w:cs="Times New Roman"/>
          <w:b/>
          <w:sz w:val="24"/>
          <w:szCs w:val="24"/>
        </w:rPr>
        <w:t>B</w:t>
      </w:r>
      <w:r>
        <w:rPr>
          <w:rFonts w:hint="eastAsia" w:ascii="Times New Roman" w:hAnsi="Times New Roman" w:cs="Times New Roman"/>
          <w:sz w:val="24"/>
          <w:szCs w:val="24"/>
        </w:rPr>
        <w:t xml:space="preserve">) </w:t>
      </w:r>
      <w:r>
        <w:rPr>
          <w:rFonts w:ascii="Times New Roman" w:hAnsi="Times New Roman" w:cs="Times New Roman"/>
          <w:sz w:val="24"/>
          <w:szCs w:val="24"/>
        </w:rPr>
        <w:t>The cell cycle distribution was</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analyzed by flow cytometry analysis </w:t>
      </w:r>
      <w:r>
        <w:rPr>
          <w:rFonts w:hint="eastAsia" w:ascii="Times New Roman" w:hAnsi="Times New Roman" w:cs="Times New Roman"/>
          <w:sz w:val="24"/>
          <w:szCs w:val="24"/>
        </w:rPr>
        <w:t xml:space="preserve">in </w:t>
      </w:r>
      <w:r>
        <w:rPr>
          <w:rFonts w:ascii="Times New Roman" w:hAnsi="Times New Roman" w:cs="Times New Roman"/>
          <w:sz w:val="24"/>
          <w:szCs w:val="24"/>
        </w:rPr>
        <w:t xml:space="preserve">TPC-1 and K1 cells. TPC-1 cells were tranfected with Vector/IGF2BP2/3 and </w:t>
      </w:r>
      <w:r>
        <w:rPr>
          <w:rFonts w:hint="eastAsia" w:ascii="Times New Roman" w:hAnsi="Times New Roman" w:cs="Times New Roman"/>
          <w:sz w:val="24"/>
          <w:szCs w:val="24"/>
        </w:rPr>
        <w:t xml:space="preserve">K1 cells were transfected with </w:t>
      </w:r>
      <w:r>
        <w:rPr>
          <w:rFonts w:ascii="Times New Roman" w:hAnsi="Times New Roman" w:cs="Times New Roman"/>
          <w:sz w:val="24"/>
          <w:szCs w:val="24"/>
        </w:rPr>
        <w:t>sh-NC</w:t>
      </w:r>
      <w:r>
        <w:rPr>
          <w:rFonts w:hint="eastAsia" w:ascii="Times New Roman" w:hAnsi="Times New Roman" w:cs="Times New Roman"/>
          <w:sz w:val="24"/>
          <w:szCs w:val="24"/>
        </w:rPr>
        <w:t xml:space="preserve"> or </w:t>
      </w:r>
      <w:r>
        <w:rPr>
          <w:rFonts w:ascii="Times New Roman" w:hAnsi="Times New Roman" w:cs="Times New Roman"/>
          <w:sz w:val="24"/>
          <w:szCs w:val="24"/>
        </w:rPr>
        <w:t>sh-</w:t>
      </w:r>
      <w:r>
        <w:rPr>
          <w:rFonts w:hint="eastAsia" w:ascii="Times New Roman" w:hAnsi="Times New Roman" w:cs="Times New Roman"/>
          <w:sz w:val="24"/>
          <w:szCs w:val="24"/>
        </w:rPr>
        <w:t>IGF2BP</w:t>
      </w:r>
      <w:r>
        <w:rPr>
          <w:rFonts w:ascii="Times New Roman" w:hAnsi="Times New Roman" w:cs="Times New Roman"/>
          <w:sz w:val="24"/>
          <w:szCs w:val="24"/>
        </w:rPr>
        <w:t>2/3</w:t>
      </w:r>
      <w:r>
        <w:rPr>
          <w:rFonts w:hint="eastAsia" w:ascii="Times New Roman" w:hAnsi="Times New Roman" w:cs="Times New Roman"/>
          <w:sz w:val="24"/>
          <w:szCs w:val="24"/>
        </w:rPr>
        <w:t xml:space="preserve"> overexpression</w:t>
      </w:r>
      <w:r>
        <w:rPr>
          <w:rFonts w:ascii="Times New Roman" w:hAnsi="Times New Roman" w:cs="Times New Roman"/>
          <w:sz w:val="24"/>
          <w:szCs w:val="24"/>
        </w:rPr>
        <w:t>.</w:t>
      </w:r>
      <w:r>
        <w:rPr>
          <w:rFonts w:hint="eastAsia" w:ascii="Times New Roman" w:hAnsi="Times New Roman" w:cs="Times New Roman"/>
          <w:sz w:val="24"/>
          <w:szCs w:val="24"/>
        </w:rPr>
        <w:t xml:space="preserve"> **</w:t>
      </w:r>
      <w:r>
        <w:rPr>
          <w:rFonts w:ascii="Times New Roman" w:hAnsi="Times New Roman" w:cs="Times New Roman"/>
          <w:i/>
          <w:iCs/>
          <w:sz w:val="24"/>
          <w:szCs w:val="24"/>
        </w:rPr>
        <w:t>P</w:t>
      </w:r>
      <w:r>
        <w:rPr>
          <w:rFonts w:hint="eastAsia" w:ascii="Times New Roman" w:hAnsi="Times New Roman" w:cs="Times New Roman"/>
          <w:sz w:val="24"/>
          <w:szCs w:val="24"/>
        </w:rPr>
        <w:t>&lt;0.01 and ***</w:t>
      </w:r>
      <w:r>
        <w:rPr>
          <w:rFonts w:ascii="Times New Roman" w:hAnsi="Times New Roman" w:cs="Times New Roman"/>
          <w:i/>
          <w:iCs/>
          <w:sz w:val="24"/>
          <w:szCs w:val="24"/>
        </w:rPr>
        <w:t>P</w:t>
      </w:r>
      <w:r>
        <w:rPr>
          <w:rFonts w:hint="eastAsia" w:ascii="Times New Roman" w:hAnsi="Times New Roman" w:cs="Times New Roman"/>
          <w:sz w:val="24"/>
          <w:szCs w:val="24"/>
        </w:rPr>
        <w:t xml:space="preserve">&lt;0.001. </w:t>
      </w: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r>
        <w:rPr>
          <w:rFonts w:ascii="Times New Roman" w:hAnsi="Times New Roman" w:cs="Times New Roman"/>
          <w:b/>
          <w:sz w:val="24"/>
          <w:szCs w:val="24"/>
        </w:rPr>
        <w:t>Figure. S7. PRMT7 knockdown inhibits PRMT7 expression; PRMT7 overexpression has the opposite effect in TPC-1 and K1 cells</w:t>
      </w:r>
      <w:r>
        <w:rPr>
          <w:rFonts w:hint="eastAsia" w:ascii="Times New Roman" w:hAnsi="Times New Roman" w:cs="Times New Roman"/>
          <w:b/>
          <w:sz w:val="24"/>
          <w:szCs w:val="24"/>
        </w:rPr>
        <w:t xml:space="preserve">. (A) </w:t>
      </w:r>
      <w:r>
        <w:rPr>
          <w:rFonts w:hint="eastAsia" w:ascii="Times New Roman" w:hAnsi="Times New Roman" w:cs="Times New Roman"/>
          <w:sz w:val="24"/>
          <w:szCs w:val="24"/>
        </w:rPr>
        <w:t xml:space="preserve">The mRNA and protein expression levels were determined by </w:t>
      </w:r>
      <w:r>
        <w:rPr>
          <w:rFonts w:ascii="Times New Roman" w:hAnsi="Times New Roman" w:cs="Times New Roman"/>
          <w:sz w:val="24"/>
          <w:szCs w:val="24"/>
        </w:rPr>
        <w:t>q</w:t>
      </w:r>
      <w:r>
        <w:rPr>
          <w:rFonts w:hint="eastAsia" w:ascii="Times New Roman" w:hAnsi="Times New Roman" w:cs="Times New Roman"/>
          <w:sz w:val="24"/>
          <w:szCs w:val="24"/>
        </w:rPr>
        <w:t>RT-PCR and western blot in TPC-1 and K1 cells, which were transfected with pcDNA3.1/PRMT7 or shScramble/shPRMT7.</w:t>
      </w:r>
      <w:r>
        <w:rPr>
          <w:rFonts w:hint="eastAsia" w:ascii="Times New Roman" w:hAnsi="Times New Roman" w:cs="Times New Roman"/>
          <w:b/>
          <w:sz w:val="24"/>
          <w:szCs w:val="24"/>
        </w:rPr>
        <w:t xml:space="preserve"> </w:t>
      </w:r>
      <w:r>
        <w:rPr>
          <w:rFonts w:hint="eastAsia" w:ascii="Times New Roman" w:hAnsi="Times New Roman" w:cs="Times New Roman"/>
          <w:sz w:val="24"/>
          <w:szCs w:val="24"/>
        </w:rPr>
        <w:t>*</w:t>
      </w:r>
      <w:r>
        <w:rPr>
          <w:rFonts w:ascii="Times New Roman" w:hAnsi="Times New Roman" w:cs="Times New Roman"/>
          <w:i/>
          <w:iCs/>
          <w:sz w:val="24"/>
          <w:szCs w:val="24"/>
        </w:rPr>
        <w:t>P</w:t>
      </w:r>
      <w:r>
        <w:rPr>
          <w:rFonts w:hint="eastAsia" w:ascii="Times New Roman" w:hAnsi="Times New Roman" w:cs="Times New Roman"/>
          <w:sz w:val="24"/>
          <w:szCs w:val="24"/>
        </w:rPr>
        <w:t>&lt;0.05, **</w:t>
      </w:r>
      <w:r>
        <w:rPr>
          <w:rFonts w:ascii="Times New Roman" w:hAnsi="Times New Roman" w:cs="Times New Roman"/>
          <w:i/>
          <w:iCs/>
          <w:sz w:val="24"/>
          <w:szCs w:val="24"/>
        </w:rPr>
        <w:t>P</w:t>
      </w:r>
      <w:r>
        <w:rPr>
          <w:rFonts w:hint="eastAsia" w:ascii="Times New Roman" w:hAnsi="Times New Roman" w:cs="Times New Roman"/>
          <w:sz w:val="24"/>
          <w:szCs w:val="24"/>
        </w:rPr>
        <w:t>&lt;0.01 and ***</w:t>
      </w:r>
      <w:r>
        <w:rPr>
          <w:rFonts w:ascii="Times New Roman" w:hAnsi="Times New Roman" w:cs="Times New Roman"/>
          <w:i/>
          <w:iCs/>
          <w:sz w:val="24"/>
          <w:szCs w:val="24"/>
        </w:rPr>
        <w:t>P</w:t>
      </w:r>
      <w:r>
        <w:rPr>
          <w:rFonts w:hint="eastAsia" w:ascii="Times New Roman" w:hAnsi="Times New Roman" w:cs="Times New Roman"/>
          <w:sz w:val="24"/>
          <w:szCs w:val="24"/>
        </w:rPr>
        <w:t>&lt;0.001.</w:t>
      </w: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r>
        <w:rPr>
          <w:rFonts w:ascii="Times New Roman" w:hAnsi="Times New Roman" w:cs="Times New Roman"/>
          <w:b/>
          <w:sz w:val="24"/>
          <w:szCs w:val="24"/>
        </w:rPr>
        <w:t xml:space="preserve">Figure S8. </w:t>
      </w:r>
      <w:bookmarkStart w:id="0" w:name="OLE_LINK28"/>
      <w:r>
        <w:rPr>
          <w:rFonts w:ascii="Times New Roman" w:hAnsi="Times New Roman" w:cs="Times New Roman"/>
          <w:b/>
          <w:sz w:val="24"/>
          <w:szCs w:val="24"/>
        </w:rPr>
        <w:t xml:space="preserve">Fasting regulates lncRNA PRKCQ-AS1/IGF2BPs/PRMT7 signaling pathway </w:t>
      </w:r>
      <w:bookmarkStart w:id="1" w:name="OLE_LINK4"/>
      <w:bookmarkStart w:id="2" w:name="OLE_LINK9"/>
      <w:r>
        <w:rPr>
          <w:rFonts w:hint="eastAsia" w:ascii="Times New Roman" w:hAnsi="Times New Roman" w:cs="Times New Roman"/>
          <w:b/>
          <w:sz w:val="24"/>
          <w:szCs w:val="24"/>
        </w:rPr>
        <w:t>in</w:t>
      </w:r>
      <w:r>
        <w:rPr>
          <w:rFonts w:ascii="Times New Roman" w:hAnsi="Times New Roman" w:cs="Times New Roman"/>
          <w:b/>
          <w:sz w:val="24"/>
          <w:szCs w:val="24"/>
        </w:rPr>
        <w:t xml:space="preserve"> </w:t>
      </w:r>
      <w:bookmarkStart w:id="3" w:name="OLE_LINK31"/>
      <w:r>
        <w:rPr>
          <w:rFonts w:ascii="Times New Roman" w:hAnsi="Times New Roman" w:cs="Times New Roman"/>
          <w:b/>
          <w:sz w:val="24"/>
          <w:szCs w:val="24"/>
        </w:rPr>
        <w:t>papillary thyroid carcinoma</w:t>
      </w:r>
      <w:bookmarkEnd w:id="0"/>
      <w:bookmarkEnd w:id="1"/>
      <w:bookmarkEnd w:id="2"/>
      <w:bookmarkEnd w:id="3"/>
      <w:r>
        <w:rPr>
          <w:rFonts w:ascii="Times New Roman" w:hAnsi="Times New Roman" w:cs="Times New Roman"/>
          <w:b/>
          <w:sz w:val="24"/>
          <w:szCs w:val="24"/>
        </w:rPr>
        <w:t xml:space="preserve">. (A-B) </w:t>
      </w:r>
      <w:r>
        <w:rPr>
          <w:rFonts w:ascii="Times New Roman" w:hAnsi="Times New Roman" w:cs="Times New Roman"/>
          <w:sz w:val="24"/>
          <w:szCs w:val="24"/>
        </w:rPr>
        <w:t>TPC-1 cells transfected with vector, PRKCQ-AS1, and PRKCQ-AS1+IGF2BP2 were cultured in the control medium and fasting medium for 48h; K1 cells transfected with sh-NC, sh-PRKCQ-AS1 and sh-PRKCQ-AS1+sh-IGF2BP2 were cultured in the control medium and fasting medium for 48h. Protein and mRNA expression of IGF2BP2 and PRMT7 were determined by western blot and qTR-PCR analysis. (</w:t>
      </w:r>
      <w:r>
        <w:rPr>
          <w:rFonts w:ascii="Times New Roman" w:hAnsi="Times New Roman" w:cs="Times New Roman"/>
          <w:b/>
          <w:sz w:val="24"/>
          <w:szCs w:val="24"/>
        </w:rPr>
        <w:t>C-D</w:t>
      </w:r>
      <w:r>
        <w:rPr>
          <w:rFonts w:ascii="Times New Roman" w:hAnsi="Times New Roman" w:cs="Times New Roman"/>
          <w:sz w:val="24"/>
          <w:szCs w:val="24"/>
        </w:rPr>
        <w:t>) TPC-1 cells transfected with vector, PRKCQ-AS1, and PRKCQ-AS1+IGF2BP3 were cultured in the control medium and fasting medium for 48h; K1 cells transfected with sh-NC, sh-PRKCQ-AS1 and sh-PRKCQ-AS1+sh-IGF2BP2 were cultured in the control medium and fasting medium for 48h. Protein and mRNA expression of IGF2BP3 and PRMT7 were analyzed by western blot and qTR-PCR. *</w:t>
      </w:r>
      <w:r>
        <w:rPr>
          <w:rFonts w:ascii="Times New Roman" w:hAnsi="Times New Roman" w:cs="Times New Roman"/>
          <w:i/>
          <w:iCs/>
          <w:sz w:val="24"/>
          <w:szCs w:val="24"/>
        </w:rPr>
        <w:t>P</w:t>
      </w:r>
      <w:r>
        <w:rPr>
          <w:rFonts w:ascii="Times New Roman" w:hAnsi="Times New Roman" w:cs="Times New Roman"/>
          <w:sz w:val="24"/>
          <w:szCs w:val="24"/>
        </w:rPr>
        <w:t>&lt;0.05, **</w:t>
      </w:r>
      <w:r>
        <w:rPr>
          <w:rFonts w:ascii="Times New Roman" w:hAnsi="Times New Roman" w:cs="Times New Roman"/>
          <w:i/>
          <w:iCs/>
          <w:sz w:val="24"/>
          <w:szCs w:val="24"/>
        </w:rPr>
        <w:t>P</w:t>
      </w:r>
      <w:r>
        <w:rPr>
          <w:rFonts w:ascii="Times New Roman" w:hAnsi="Times New Roman" w:cs="Times New Roman"/>
          <w:sz w:val="24"/>
          <w:szCs w:val="24"/>
        </w:rPr>
        <w:t>&lt;0.01, ***</w:t>
      </w:r>
      <w:r>
        <w:rPr>
          <w:rFonts w:ascii="Times New Roman" w:hAnsi="Times New Roman" w:cs="Times New Roman"/>
          <w:i/>
          <w:iCs/>
          <w:sz w:val="24"/>
          <w:szCs w:val="24"/>
        </w:rPr>
        <w:t>P</w:t>
      </w:r>
      <w:r>
        <w:rPr>
          <w:rFonts w:ascii="Times New Roman" w:hAnsi="Times New Roman" w:cs="Times New Roman"/>
          <w:sz w:val="24"/>
          <w:szCs w:val="24"/>
        </w:rPr>
        <w:t xml:space="preserve">&lt;0.001 and </w:t>
      </w:r>
      <w:r>
        <w:rPr>
          <w:rFonts w:ascii="Times New Roman" w:hAnsi="Times New Roman" w:cs="Times New Roman"/>
          <w:sz w:val="24"/>
          <w:szCs w:val="24"/>
          <w:vertAlign w:val="superscript"/>
        </w:rPr>
        <w:t>&amp;</w:t>
      </w:r>
      <w:r>
        <w:rPr>
          <w:rFonts w:ascii="Times New Roman" w:hAnsi="Times New Roman" w:cs="Times New Roman"/>
          <w:i/>
          <w:iCs/>
          <w:sz w:val="24"/>
          <w:szCs w:val="24"/>
          <w:vertAlign w:val="superscript"/>
        </w:rPr>
        <w:t>&amp;</w:t>
      </w:r>
      <w:r>
        <w:rPr>
          <w:rFonts w:ascii="Times New Roman" w:hAnsi="Times New Roman" w:cs="Times New Roman"/>
          <w:i/>
          <w:iCs/>
          <w:sz w:val="24"/>
          <w:szCs w:val="24"/>
        </w:rPr>
        <w:t>P</w:t>
      </w:r>
      <w:r>
        <w:rPr>
          <w:rFonts w:ascii="Times New Roman" w:hAnsi="Times New Roman" w:cs="Times New Roman"/>
          <w:sz w:val="24"/>
          <w:szCs w:val="24"/>
        </w:rPr>
        <w:t xml:space="preserve">&lt;0.01, </w:t>
      </w:r>
      <w:r>
        <w:rPr>
          <w:rFonts w:ascii="Times New Roman" w:hAnsi="Times New Roman" w:cs="Times New Roman"/>
          <w:sz w:val="24"/>
          <w:szCs w:val="24"/>
          <w:vertAlign w:val="superscript"/>
        </w:rPr>
        <w:t>&amp;&amp;&amp;</w:t>
      </w:r>
      <w:r>
        <w:rPr>
          <w:rFonts w:ascii="Times New Roman" w:hAnsi="Times New Roman" w:cs="Times New Roman"/>
          <w:i/>
          <w:iCs/>
          <w:sz w:val="24"/>
          <w:szCs w:val="24"/>
        </w:rPr>
        <w:t>P</w:t>
      </w:r>
      <w:r>
        <w:rPr>
          <w:rFonts w:ascii="Times New Roman" w:hAnsi="Times New Roman" w:cs="Times New Roman"/>
          <w:sz w:val="24"/>
          <w:szCs w:val="24"/>
        </w:rPr>
        <w:t>&lt;0.001.</w:t>
      </w:r>
    </w:p>
    <w:sectPr>
      <w:pgSz w:w="12240" w:h="15840"/>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0" w:usb1="00000000" w:usb2="00000000" w:usb3="00000000" w:csb0="0016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panose1 w:val="02010609060101010101"/>
    <w:charset w:val="86"/>
    <w:family w:val="auto"/>
    <w:pitch w:val="default"/>
    <w:sig w:usb0="00000000" w:usb1="00000000" w:usb2="00000000" w:usb3="00000000" w:csb0="00160000"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00000000" w:usb1="00000000" w:usb2="00000000" w:usb3="00000000" w:csb0="00000000" w:csb1="00000000"/>
  </w:font>
  <w:font w:name="Kingsoft Sign">
    <w:panose1 w:val="05050102010706020507"/>
    <w:charset w:val="00"/>
    <w:family w:val="auto"/>
    <w:pitch w:val="default"/>
    <w:sig w:usb0="00000000" w:usb1="00000000" w:usb2="00000000" w:usb3="00000000" w:csb0="00000000" w:csb1="00000000"/>
  </w:font>
  <w:font w:name="Times New Roman Bold Italic">
    <w:panose1 w:val="02020603050405020304"/>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1"/>
  <w:doNotDisplayPageBoundaries w:val="1"/>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950"/>
    <w:rsid w:val="000123DD"/>
    <w:rsid w:val="00022D92"/>
    <w:rsid w:val="00082962"/>
    <w:rsid w:val="000E2E37"/>
    <w:rsid w:val="001201D1"/>
    <w:rsid w:val="00131018"/>
    <w:rsid w:val="00141C63"/>
    <w:rsid w:val="001456D4"/>
    <w:rsid w:val="001678E1"/>
    <w:rsid w:val="001E3FF5"/>
    <w:rsid w:val="00285706"/>
    <w:rsid w:val="002D3BBA"/>
    <w:rsid w:val="002D7322"/>
    <w:rsid w:val="002F19FC"/>
    <w:rsid w:val="00301B74"/>
    <w:rsid w:val="00322F40"/>
    <w:rsid w:val="00325CE3"/>
    <w:rsid w:val="00394348"/>
    <w:rsid w:val="00411B39"/>
    <w:rsid w:val="004249E2"/>
    <w:rsid w:val="00484524"/>
    <w:rsid w:val="00485985"/>
    <w:rsid w:val="004F6028"/>
    <w:rsid w:val="00510AE1"/>
    <w:rsid w:val="005429DC"/>
    <w:rsid w:val="00575CDE"/>
    <w:rsid w:val="005C1F29"/>
    <w:rsid w:val="005C6E61"/>
    <w:rsid w:val="005E2BD1"/>
    <w:rsid w:val="00600D2A"/>
    <w:rsid w:val="00626241"/>
    <w:rsid w:val="006603C9"/>
    <w:rsid w:val="006B1FE6"/>
    <w:rsid w:val="006C11F4"/>
    <w:rsid w:val="006D0A0A"/>
    <w:rsid w:val="00713D90"/>
    <w:rsid w:val="00771355"/>
    <w:rsid w:val="00773BAD"/>
    <w:rsid w:val="007B7398"/>
    <w:rsid w:val="008149C8"/>
    <w:rsid w:val="00827985"/>
    <w:rsid w:val="008E03AB"/>
    <w:rsid w:val="008F35B6"/>
    <w:rsid w:val="00917187"/>
    <w:rsid w:val="0092692A"/>
    <w:rsid w:val="009B0D6A"/>
    <w:rsid w:val="009C04CB"/>
    <w:rsid w:val="009E24B0"/>
    <w:rsid w:val="00A105E1"/>
    <w:rsid w:val="00A53EB3"/>
    <w:rsid w:val="00A55410"/>
    <w:rsid w:val="00AA1733"/>
    <w:rsid w:val="00AA59ED"/>
    <w:rsid w:val="00B00237"/>
    <w:rsid w:val="00B9695C"/>
    <w:rsid w:val="00C15950"/>
    <w:rsid w:val="00C26512"/>
    <w:rsid w:val="00CE22F1"/>
    <w:rsid w:val="00D10A5C"/>
    <w:rsid w:val="00D31C6D"/>
    <w:rsid w:val="00DA7089"/>
    <w:rsid w:val="00DC5194"/>
    <w:rsid w:val="00DF57B1"/>
    <w:rsid w:val="00EE251E"/>
    <w:rsid w:val="00EF5804"/>
    <w:rsid w:val="00F02A04"/>
    <w:rsid w:val="00F0417D"/>
    <w:rsid w:val="00F24352"/>
    <w:rsid w:val="00F60852"/>
    <w:rsid w:val="00F63F9E"/>
    <w:rsid w:val="00F94E05"/>
    <w:rsid w:val="BE9EC7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pPr>
  </w:style>
  <w:style w:type="paragraph" w:styleId="3">
    <w:name w:val="header"/>
    <w:basedOn w:val="1"/>
    <w:link w:val="6"/>
    <w:unhideWhenUsed/>
    <w:uiPriority w:val="99"/>
    <w:pPr>
      <w:tabs>
        <w:tab w:val="center" w:pos="4153"/>
        <w:tab w:val="right" w:pos="8306"/>
      </w:tabs>
    </w:pPr>
  </w:style>
  <w:style w:type="character" w:customStyle="1" w:styleId="6">
    <w:name w:val="页眉 字符"/>
    <w:basedOn w:val="5"/>
    <w:link w:val="3"/>
    <w:uiPriority w:val="99"/>
  </w:style>
  <w:style w:type="character" w:customStyle="1" w:styleId="7">
    <w:name w:val="页脚 字符"/>
    <w:basedOn w:val="5"/>
    <w:link w:val="2"/>
    <w:uiPriority w:val="99"/>
  </w:style>
  <w:style w:type="paragraph" w:styleId="8">
    <w:name w:val="List Paragraph"/>
    <w:basedOn w:val="1"/>
    <w:qFormat/>
    <w:uiPriority w:val="34"/>
    <w:pPr>
      <w:ind w:left="420" w:leftChars="4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722</Words>
  <Characters>4121</Characters>
  <Lines>34</Lines>
  <Paragraphs>9</Paragraphs>
  <TotalTime>172</TotalTime>
  <ScaleCrop>false</ScaleCrop>
  <LinksUpToDate>false</LinksUpToDate>
  <CharactersWithSpaces>4834</CharactersWithSpaces>
  <Application>WPS Office_6.0.1.8148_F1E327BC-269C-435d-A152-05C5408002CA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2022-08-18T17:11:00Z</dcterms:created>
  <dc:creator>wje</dc:creator>
  <cp:lastModifiedBy>ZY1373614603</cp:lastModifiedBy>
  <dcterms:modified xsi:type="dcterms:W3CDTF">2023-08-29T15:57:39Z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2052-6.0.1.8148</vt:lpwstr>
  </property>
  <property fmtid="{D5CDD505-2E9C-101B-9397-08002B2CF9AE}" pid="3" name="ICV">
    <vt:lpwstr>CB1B006CE48F3EDEF3A4ED64D05188D0_42</vt:lpwstr>
  </property>
</Properties>
</file>