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64" w:rsidRPr="005F1CF0" w:rsidRDefault="00C34C64" w:rsidP="00C34C64">
      <w:pPr>
        <w:widowControl/>
        <w:wordWrap/>
        <w:autoSpaceDE/>
        <w:autoSpaceDN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</w:rPr>
      </w:pP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Supplementary Figure 1.</w:t>
      </w:r>
      <w:proofErr w:type="gramEnd"/>
      <w:r w:rsidRPr="005F1C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F1CF0">
        <w:rPr>
          <w:rFonts w:ascii="Times New Roman" w:hAnsi="Times New Roman"/>
          <w:color w:val="000000"/>
          <w:sz w:val="24"/>
        </w:rPr>
        <w:t>Kaplan-Meier survival analysis of 19 patients with 24 fusion genes and 128 patients without them (fusion-positive CRC, 88.4 ± 4.46 months; fusion negative-CRC, 90.4 ± 2.70 months;</w:t>
      </w:r>
      <w:r w:rsidRPr="005F1CF0">
        <w:rPr>
          <w:rFonts w:ascii="Times New Roman" w:hAnsi="Times New Roman"/>
          <w:color w:val="000000"/>
          <w:sz w:val="22"/>
        </w:rPr>
        <w:t xml:space="preserve"> </w:t>
      </w:r>
      <w:r w:rsidRPr="005F1CF0">
        <w:rPr>
          <w:rFonts w:ascii="Times New Roman" w:hAnsi="Times New Roman"/>
          <w:i/>
          <w:color w:val="000000"/>
          <w:sz w:val="24"/>
        </w:rPr>
        <w:t>P</w:t>
      </w:r>
      <w:r w:rsidRPr="005F1CF0">
        <w:rPr>
          <w:rFonts w:ascii="Times New Roman" w:hAnsi="Times New Roman"/>
          <w:color w:val="000000"/>
          <w:sz w:val="24"/>
        </w:rPr>
        <w:t xml:space="preserve"> = 0.277) </w:t>
      </w:r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Supplementary Figure 2.</w:t>
      </w:r>
      <w:proofErr w:type="gramEnd"/>
      <w:r w:rsidRPr="005F1C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F1CF0">
        <w:rPr>
          <w:rFonts w:ascii="Times New Roman" w:hAnsi="Times New Roman"/>
          <w:color w:val="000000"/>
          <w:sz w:val="24"/>
          <w:szCs w:val="24"/>
        </w:rPr>
        <w:t xml:space="preserve">Schematic protein structures of APC-COMMD10 and RASA1-LOC644100. Red arrow indicates break point.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APC_basic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, APC basic domain; Arm, Armadillo/beta-catenin-like repeat; Arm_APC_u3,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Armadiollo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>-associated region on APC; C2, Calciu</w:t>
      </w:r>
      <w:bookmarkStart w:id="0" w:name="_GoBack"/>
      <w:bookmarkEnd w:id="0"/>
      <w:r w:rsidRPr="005F1CF0">
        <w:rPr>
          <w:rFonts w:ascii="Times New Roman" w:hAnsi="Times New Roman"/>
          <w:color w:val="000000"/>
          <w:sz w:val="24"/>
          <w:szCs w:val="24"/>
        </w:rPr>
        <w:t xml:space="preserve">m-dependent phospholipid binding domain; EB1_binding, EB-1 binding domain; EP-C, ARF7 effector protein C-terminus;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HCaRG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; hypertension-related and calcium-regulated gene protein; PH,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Pleckstrin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 homology domain;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RasGAP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GTPase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-activator protein for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Ras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-like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GTPase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; Un, unstructured region; SH2,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Src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 homology 2 domain; SH3,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Src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 homology 3 domain; SUP, APC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tumour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 xml:space="preserve"> suppressor protein.</w:t>
      </w:r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Supplementary Figure 3.</w:t>
      </w:r>
      <w:proofErr w:type="gramEnd"/>
      <w:r w:rsidRPr="005F1C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F1CF0">
        <w:rPr>
          <w:rFonts w:ascii="Times New Roman" w:hAnsi="Times New Roman"/>
          <w:bCs/>
          <w:color w:val="000000"/>
          <w:sz w:val="24"/>
          <w:szCs w:val="24"/>
        </w:rPr>
        <w:t xml:space="preserve">(A) RT-PCR in 5 CRC cell lines. (B) Sanger sequencing result of </w:t>
      </w:r>
      <w:r w:rsidRPr="005F1CF0">
        <w:rPr>
          <w:rFonts w:ascii="Times New Roman" w:hAnsi="Times New Roman"/>
          <w:bCs/>
          <w:i/>
          <w:iCs/>
          <w:color w:val="000000"/>
          <w:sz w:val="24"/>
          <w:szCs w:val="24"/>
        </w:rPr>
        <w:t>RNF121-FOLR2</w:t>
      </w:r>
      <w:r w:rsidRPr="005F1C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F1CF0">
        <w:rPr>
          <w:rFonts w:ascii="Times New Roman" w:hAnsi="Times New Roman"/>
          <w:bCs/>
          <w:color w:val="000000"/>
          <w:sz w:val="24"/>
          <w:szCs w:val="24"/>
        </w:rPr>
        <w:t>expressed in HT-29 cells</w:t>
      </w:r>
      <w:r w:rsidRPr="005F1CF0">
        <w:rPr>
          <w:rFonts w:ascii="Times New Roman" w:hAnsi="Times New Roman"/>
          <w:color w:val="000000"/>
          <w:sz w:val="24"/>
          <w:szCs w:val="24"/>
        </w:rPr>
        <w:t xml:space="preserve">. Red arrow represents break point. (C) Comparison of </w:t>
      </w:r>
      <w:r w:rsidRPr="005F1CF0">
        <w:rPr>
          <w:rFonts w:ascii="Times New Roman" w:hAnsi="Times New Roman"/>
          <w:i/>
          <w:color w:val="000000"/>
          <w:sz w:val="24"/>
          <w:szCs w:val="24"/>
        </w:rPr>
        <w:t>RNF121-FOLR2</w:t>
      </w:r>
      <w:r w:rsidRPr="005F1CF0">
        <w:rPr>
          <w:rFonts w:ascii="Times New Roman" w:hAnsi="Times New Roman"/>
          <w:color w:val="000000"/>
          <w:sz w:val="24"/>
          <w:szCs w:val="24"/>
        </w:rPr>
        <w:t xml:space="preserve"> expression between patient positive for </w:t>
      </w:r>
      <w:r w:rsidRPr="005F1CF0">
        <w:rPr>
          <w:rFonts w:ascii="Times New Roman" w:hAnsi="Times New Roman"/>
          <w:i/>
          <w:color w:val="000000"/>
          <w:sz w:val="24"/>
          <w:szCs w:val="24"/>
        </w:rPr>
        <w:t>RNF121-FOLR2</w:t>
      </w:r>
      <w:r w:rsidRPr="005F1CF0">
        <w:rPr>
          <w:rFonts w:ascii="Times New Roman" w:hAnsi="Times New Roman"/>
          <w:color w:val="000000"/>
          <w:sz w:val="24"/>
          <w:szCs w:val="24"/>
        </w:rPr>
        <w:t xml:space="preserve"> and HT-29 cells by </w:t>
      </w:r>
      <w:proofErr w:type="spellStart"/>
      <w:r w:rsidRPr="005F1CF0">
        <w:rPr>
          <w:rFonts w:ascii="Times New Roman" w:hAnsi="Times New Roman"/>
          <w:color w:val="000000"/>
          <w:sz w:val="24"/>
          <w:szCs w:val="24"/>
        </w:rPr>
        <w:t>qRT</w:t>
      </w:r>
      <w:proofErr w:type="spellEnd"/>
      <w:r w:rsidRPr="005F1CF0">
        <w:rPr>
          <w:rFonts w:ascii="Times New Roman" w:hAnsi="Times New Roman"/>
          <w:color w:val="000000"/>
          <w:sz w:val="24"/>
          <w:szCs w:val="24"/>
        </w:rPr>
        <w:t>-PCR.</w:t>
      </w:r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Supplementary Figure 4.</w:t>
      </w:r>
      <w:proofErr w:type="gramEnd"/>
      <w:r w:rsidRPr="005F1C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5F1CF0">
        <w:rPr>
          <w:rFonts w:ascii="Times New Roman" w:hAnsi="Times New Roman"/>
          <w:iCs/>
          <w:color w:val="000000"/>
          <w:sz w:val="24"/>
          <w:szCs w:val="24"/>
        </w:rPr>
        <w:t xml:space="preserve">Cell cycle analysis by </w:t>
      </w:r>
      <w:proofErr w:type="spellStart"/>
      <w:r w:rsidRPr="005F1CF0">
        <w:rPr>
          <w:rFonts w:ascii="Times New Roman" w:hAnsi="Times New Roman"/>
          <w:iCs/>
          <w:color w:val="000000"/>
          <w:sz w:val="24"/>
          <w:szCs w:val="24"/>
        </w:rPr>
        <w:t>propidium</w:t>
      </w:r>
      <w:proofErr w:type="spellEnd"/>
      <w:r w:rsidRPr="005F1CF0">
        <w:rPr>
          <w:rFonts w:ascii="Times New Roman" w:hAnsi="Times New Roman"/>
          <w:iCs/>
          <w:color w:val="000000"/>
          <w:sz w:val="24"/>
          <w:szCs w:val="24"/>
        </w:rPr>
        <w:t xml:space="preserve"> iodide staining to examine apoptotic effect of fusion genes.</w:t>
      </w:r>
      <w:proofErr w:type="gramEnd"/>
    </w:p>
    <w:p w:rsidR="00C34C64" w:rsidRPr="005F1CF0" w:rsidRDefault="00C34C64" w:rsidP="00C34C64">
      <w:pPr>
        <w:wordWrap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2"/>
        </w:rPr>
      </w:pPr>
    </w:p>
    <w:p w:rsidR="00C34C64" w:rsidRPr="0046057D" w:rsidRDefault="00C34C64" w:rsidP="00C34C64">
      <w:pPr>
        <w:widowControl/>
        <w:wordWrap/>
        <w:autoSpaceDE/>
        <w:autoSpaceDN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Supplementary Table 1.</w:t>
      </w:r>
      <w:proofErr w:type="gramEnd"/>
      <w:r w:rsidRPr="005F1C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Primer information for fusion gene validation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F, forward; R, reverse.</w:t>
      </w:r>
      <w:proofErr w:type="gramEnd"/>
    </w:p>
    <w:p w:rsidR="00C34C64" w:rsidRPr="005F1CF0" w:rsidRDefault="00C34C64" w:rsidP="00C34C64">
      <w:pPr>
        <w:widowControl/>
        <w:wordWrap/>
        <w:autoSpaceDE/>
        <w:autoSpaceDN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C34C64" w:rsidRPr="0046057D" w:rsidRDefault="00C34C64" w:rsidP="00C34C64">
      <w:pPr>
        <w:widowControl/>
        <w:wordWrap/>
        <w:autoSpaceDE/>
        <w:autoSpaceDN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Supplementary Table 2.</w:t>
      </w:r>
      <w:proofErr w:type="gramEnd"/>
      <w:r w:rsidRPr="005F1C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5F1CF0">
        <w:rPr>
          <w:rFonts w:ascii="Times New Roman" w:hAnsi="Times New Roman"/>
          <w:b/>
          <w:color w:val="000000"/>
          <w:sz w:val="24"/>
          <w:szCs w:val="24"/>
        </w:rPr>
        <w:t>Primer information for acceptor gene expression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F, forward; R, reverse</w:t>
      </w:r>
    </w:p>
    <w:p w:rsidR="00F605FD" w:rsidRDefault="00C34C64" w:rsidP="00C34C64">
      <w:pPr>
        <w:spacing w:after="0" w:line="360" w:lineRule="auto"/>
      </w:pPr>
    </w:p>
    <w:sectPr w:rsidR="00F60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64"/>
    <w:rsid w:val="001265EB"/>
    <w:rsid w:val="005E4190"/>
    <w:rsid w:val="00C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64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64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Springer-SBM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Jonathan</dc:creator>
  <cp:lastModifiedBy>Nash, Jonathan</cp:lastModifiedBy>
  <cp:revision>1</cp:revision>
  <dcterms:created xsi:type="dcterms:W3CDTF">2018-05-31T15:44:00Z</dcterms:created>
  <dcterms:modified xsi:type="dcterms:W3CDTF">2018-05-31T15:44:00Z</dcterms:modified>
</cp:coreProperties>
</file>