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3853"/>
        <w:gridCol w:w="3505"/>
        <w:gridCol w:w="2707"/>
      </w:tblGrid>
      <w:tr>
        <w:trPr>
          <w:trHeight w:val="310" w:hRule="auto"/>
          <w:jc w:val="center"/>
        </w:trPr>
        <w:tc>
          <w:tcPr>
            <w:tcW w:w="1006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01103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Supplementary Table 1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: Cancer types in TCGA, SEER and NAACCR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TCGA cancer types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SEER ICD-O-3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Site (histology) code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NAACCR Site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Adrenocortical carcinoma (ACC)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C74.0-C74.9 (8370/3)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Bladder urothelial carcinoma (BLCA)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C67.0-C67.9 (8050, 8120, 8130, 8131)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1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Urinary bladder (invasive &amp; in situ)</w:t>
            </w:r>
          </w:p>
        </w:tc>
      </w:tr>
      <w:tr>
        <w:trPr>
          <w:trHeight w:val="215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Breast invasive carcinoma (BRCA)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C50.0-C50.9 (801-857)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2,3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breast</w:t>
            </w:r>
          </w:p>
        </w:tc>
      </w:tr>
      <w:tr>
        <w:trPr>
          <w:trHeight w:val="539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Cervical squamous cell carcinoma and endocervical adenocarcinoma (CESC)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C53.0-C53.9 (807, 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Cervix uteri</w:t>
            </w:r>
          </w:p>
        </w:tc>
      </w:tr>
      <w:tr>
        <w:trPr>
          <w:trHeight w:val="77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Cholangiocarcinoma (CHOL)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C22.1 (8160/3)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77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Colon adenocarcinoma (COAD)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C18.0-C18.9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colon</w:t>
            </w:r>
          </w:p>
        </w:tc>
      </w:tr>
      <w:tr>
        <w:trPr>
          <w:trHeight w:val="161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Lymphoid neoplasm diffuse large B-cell lymphoma (DLBC)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(9678-9684)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4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*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Oesophageal carcinoma (ESCA)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C15.0-C15.9 (801-857)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Oesophagus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Glioblastoma multiforme (GBM)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(9440/3)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5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*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1484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Head and neck squamous cell carcinoma (HNSC)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C00.0-C15.0, C15.3, C30.0, C31.0-C33.9, C41.0, C41.1, C47.0, C49.0, C73.9, C75.4 C77.0 (807)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6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Larynx, oral cavity and pharynx, lip, tongue, salivary gland, floor of mouth, gum &amp; other mouth, oropharynx &amp; tonsil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kidney chromophobe (KICH)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C64.9, C65.9 (8317, 8270)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7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Kidney renal clear cell carcinoma (KIRC)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C64.9, C65.9 (8310/3)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7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Kidney renal papillary cell carcinoma (KIRP)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C64.9, C65.9 (8260)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7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Acute myeloid leukemia (LAML)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ICCC site recode ICD-O-3/WHO 2008=I(b) Acute myeloid leukemias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Acute myeloid leukemia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Brain lower grade glioma (LGG)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C71.0-C71.9 (9380-9384, 9391-9460, 9480, Grade I and II)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8,9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Liver hepatocellular carcinoma (LIHC)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C22.0 (817-818)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Liver and intrahepatic bile duct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Lung adenocarcinoma (LUAD)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C34.0-C34.9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Lung squamous cell carcinoma (LUSC)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C34.0-C34.9 (807)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Mesothelioma (MESO)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(905)*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Mesothelioma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Ovarian serous cystadenocarcinoma (OV)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C56.9 (8441.3)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Ovary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Pancreatic adenocarcinoma (PAAD)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C25.0-C25.9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Pancreas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Pheochromocytoma and paraganglioma (PCPG)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(868, 869, 870)*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Prostate adenocarcinoma (PRAD)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C61.9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Prostate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Rectum adenocarcinoma (READ)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C20.9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Rectum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Sarcoma (SARC)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(880)*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Soft tissue including heart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Skin cutaneous melanoma (SKCM)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C44.0-C44.9 (8720-8790)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Melanoma of the skin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Stomach adenocarcinoma (STAD)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C16.0-C16.9 (814-857)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Stomach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Testicular germ cell tumors (TGCT)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C62.0-C62.9 (9060-9100)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Testis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Thyroid carcinoma (THCA)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C73.9 (801-857)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Thyroid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Thymoma (THYM)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C37.9 (8580-8585)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10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Uterine corpus endometrial carcinoma (UCEC)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C54.0-C54.9 (8140, 8380, 8382, 8480, 8482, 8560, 8570, 8310, 8441, 8460, 8260)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11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Uterine carcinosarcoma (UCS)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C55.9 (8980-8981)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  <w:tr>
        <w:trPr>
          <w:trHeight w:val="310" w:hRule="auto"/>
          <w:jc w:val="center"/>
        </w:trPr>
        <w:tc>
          <w:tcPr>
            <w:tcW w:w="38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Uveal melanoma (UVM)</w:t>
            </w:r>
          </w:p>
        </w:tc>
        <w:tc>
          <w:tcPr>
            <w:tcW w:w="3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C69.2-C69.4 (8720/3)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12</w:t>
            </w:r>
          </w:p>
        </w:tc>
        <w:tc>
          <w:tcPr>
            <w:tcW w:w="27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NA</w:t>
            </w:r>
          </w:p>
        </w:tc>
      </w:tr>
    </w:tbl>
    <w:p>
      <w:pPr>
        <w:spacing w:before="0" w:after="0" w:line="240"/>
        <w:ind w:right="0" w:left="0" w:hanging="54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NA: not applicable </w:t>
      </w:r>
    </w:p>
    <w:p>
      <w:pPr>
        <w:spacing w:before="0" w:after="0" w:line="240"/>
        <w:ind w:right="0" w:left="0" w:hanging="54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16"/>
          <w:shd w:fill="auto" w:val="clear"/>
        </w:rPr>
        <w:t xml:space="preserve">*</w:t>
      </w: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No site code needed.</w:t>
      </w:r>
    </w:p>
    <w:p>
      <w:pPr>
        <w:spacing w:before="0" w:after="0" w:line="240"/>
        <w:ind w:right="0" w:left="0" w:hanging="54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References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1.</w:t>
        <w:tab/>
        <w:t xml:space="preserve">Wright JL, Black PC, Brown GA, Porter MP, Kamat AM, Dinney CP, et al. Differences in survival among patients with sarcomatoid carcinoma, carcinosarcoma and urothelial carcinoma of the bladder. J Urol 2007;178(6):2302-7.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2.</w:t>
        <w:tab/>
        <w:t xml:space="preserve">Anderson WF, Devesa SS. In situ male breast carcinoma in the Surveillance, Epidemiology, and End Results database of the National Cancer Institute. Cancer 2005;104(8):1733-41.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3.</w:t>
        <w:tab/>
        <w:t xml:space="preserve">Rv H. Breast Cancer. Cancer 1995;75:257-69.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4.</w:t>
        <w:tab/>
        <w:t xml:space="preserve">Shenoy PJ, Malik N, Nooka A, Sinha R, Ward KC, Brawley OW, et al. Racial differences in the presentation and outcomes of diffuse large B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‐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cell lymphoma in the United States. Cancer 2011;117(11):2530-40.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5.</w:t>
        <w:tab/>
        <w:t xml:space="preserve">Bauchet L, Mathieu-Daudé H, Fabbro-Peray P, Rigau V, Fabbro M, Chinot O, et al. Oncological patterns of care and outcome for 952 patients with newly diagnosed glioblastoma in 2004. Neuro Onco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2010; 12(7): 725-35.</w:t>
      </w:r>
    </w:p>
    <w:p>
      <w:pPr>
        <w:widowControl w:val="false"/>
        <w:spacing w:before="0" w:after="0" w:line="240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6.     Davies L, Welch HG. Epidemiology of head and neck cancer in the United States.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Otolaryngol Head Neck Surg. 2006;135(3):451-7. e3.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7.</w:t>
        <w:tab/>
        <w:t xml:space="preserve">Olshan AF, Kuo TM, Meyer AM, Nielsen ME, Purdue MP, Rathmell WK. Racial difference in histologic subtype of renal cell carcinoma. Can Med 2013;2(5):744-9.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8.</w:t>
        <w:tab/>
        <w:t xml:space="preserve">Grier JT, Batchelor T. Low-grade gliomas in adults. The Oncologist 2006;11(6):681-93.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9.</w:t>
        <w:tab/>
        <w:t xml:space="preserve">Ostrom QT, Gittleman H, Farah P, Ondracek A, Chen Y, Wolinsky Y, et al. CBTRUS statistical report: Primary brain and central nervous system tumors diagnosed in the United States in 2006-2010. Neuro Onco 2013;15(suppl 2):ii1-ii56.</w:t>
      </w:r>
    </w:p>
    <w:p>
      <w:pPr>
        <w:widowControl w:val="false"/>
        <w:spacing w:before="0" w:after="0" w:line="240"/>
        <w:ind w:right="0" w:left="720" w:hanging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10.</w:t>
        <w:tab/>
        <w:t xml:space="preserve">Weksler B, Shende M, Nason KS, Gallagher A, Ferson PF, Pennathur A. The role of adjuvant radiation therapy for resected stage III thymoma: a population-based study.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Ann Thorac Surg. 2012;93(6):1822-9.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11.</w:t>
        <w:tab/>
        <w:t xml:space="preserve">Felix AS, Weissfeld JL, Stone RA, Bowser R, Chivukula M, Edwards RP, et al. Factors associated with Type I and Type II endometrial cancer. Cancer Causes  Control 2010;21(11):1851-6.</w:t>
      </w:r>
    </w:p>
    <w:p>
      <w:pPr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12.</w:t>
        <w:tab/>
        <w:t xml:space="preserve">Singh AD, Turell ME, Topham AK. Uveal melanoma: trends in incidence, treatment, and survival. Ophthalmology 2011;118(9):1881-5.</w:t>
      </w:r>
    </w:p>
    <w:p>
      <w:pPr>
        <w:widowControl w:val="false"/>
        <w:spacing w:before="0" w:after="0" w:line="24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