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B2410" w14:textId="77777777" w:rsidR="004209A1" w:rsidRPr="00C81651" w:rsidRDefault="004209A1" w:rsidP="004209A1">
      <w:pPr>
        <w:jc w:val="both"/>
        <w:rPr>
          <w:rFonts w:asciiTheme="minorHAnsi" w:hAnsiTheme="minorHAnsi" w:cstheme="minorHAnsi"/>
          <w:b/>
          <w:sz w:val="22"/>
          <w:szCs w:val="22"/>
        </w:rPr>
      </w:pPr>
      <w:r w:rsidRPr="00C81651">
        <w:rPr>
          <w:rFonts w:asciiTheme="minorHAnsi" w:hAnsiTheme="minorHAnsi" w:cstheme="minorHAnsi"/>
          <w:b/>
          <w:sz w:val="22"/>
          <w:szCs w:val="22"/>
        </w:rPr>
        <w:t>SUPPLEMENTARY MATERIAL.</w:t>
      </w:r>
    </w:p>
    <w:p w14:paraId="79336721" w14:textId="77777777" w:rsidR="004209A1" w:rsidRPr="00C81651" w:rsidRDefault="004209A1" w:rsidP="004209A1">
      <w:pPr>
        <w:jc w:val="both"/>
        <w:rPr>
          <w:rFonts w:asciiTheme="minorHAnsi" w:hAnsiTheme="minorHAnsi" w:cstheme="minorHAnsi"/>
          <w:b/>
          <w:sz w:val="22"/>
          <w:szCs w:val="22"/>
        </w:rPr>
      </w:pPr>
    </w:p>
    <w:p w14:paraId="2110B4A6" w14:textId="77777777" w:rsidR="00C81651" w:rsidRDefault="00C81651" w:rsidP="004209A1">
      <w:pPr>
        <w:spacing w:line="480" w:lineRule="auto"/>
        <w:jc w:val="both"/>
        <w:rPr>
          <w:rFonts w:asciiTheme="minorHAnsi" w:hAnsiTheme="minorHAnsi" w:cstheme="minorHAnsi"/>
          <w:sz w:val="22"/>
          <w:szCs w:val="22"/>
        </w:rPr>
      </w:pPr>
    </w:p>
    <w:p w14:paraId="44085DB7" w14:textId="5F718539" w:rsidR="004209A1" w:rsidRPr="00C81651" w:rsidRDefault="004209A1" w:rsidP="004209A1">
      <w:pPr>
        <w:spacing w:line="480" w:lineRule="auto"/>
        <w:jc w:val="both"/>
        <w:rPr>
          <w:rFonts w:asciiTheme="minorHAnsi" w:hAnsiTheme="minorHAnsi" w:cstheme="minorHAnsi"/>
          <w:sz w:val="22"/>
          <w:szCs w:val="22"/>
        </w:rPr>
      </w:pPr>
      <w:r w:rsidRPr="00C81651">
        <w:rPr>
          <w:rFonts w:asciiTheme="minorHAnsi" w:hAnsiTheme="minorHAnsi" w:cstheme="minorHAnsi"/>
          <w:sz w:val="22"/>
          <w:szCs w:val="22"/>
        </w:rPr>
        <w:t>SUPPLEMENTARY METHODS</w:t>
      </w:r>
    </w:p>
    <w:p w14:paraId="100011B8" w14:textId="77777777" w:rsidR="004209A1" w:rsidRPr="00C81651" w:rsidRDefault="004209A1" w:rsidP="004209A1">
      <w:pPr>
        <w:spacing w:line="480" w:lineRule="auto"/>
        <w:jc w:val="both"/>
        <w:rPr>
          <w:rFonts w:asciiTheme="minorHAnsi" w:hAnsiTheme="minorHAnsi" w:cstheme="minorHAnsi"/>
          <w:b/>
          <w:sz w:val="22"/>
          <w:szCs w:val="22"/>
        </w:rPr>
      </w:pPr>
      <w:r w:rsidRPr="00C81651">
        <w:rPr>
          <w:rFonts w:asciiTheme="minorHAnsi" w:hAnsiTheme="minorHAnsi" w:cstheme="minorHAnsi"/>
          <w:b/>
          <w:sz w:val="22"/>
          <w:szCs w:val="22"/>
        </w:rPr>
        <w:t>Sample size election, randomization blinding and compliance with ethical regulations.</w:t>
      </w:r>
    </w:p>
    <w:p w14:paraId="6DB48A52" w14:textId="77777777" w:rsidR="004209A1" w:rsidRPr="00C81651" w:rsidRDefault="004209A1" w:rsidP="004209A1">
      <w:pPr>
        <w:spacing w:line="480" w:lineRule="auto"/>
        <w:ind w:firstLine="720"/>
        <w:jc w:val="both"/>
        <w:rPr>
          <w:rFonts w:asciiTheme="minorHAnsi" w:hAnsiTheme="minorHAnsi" w:cstheme="minorHAnsi"/>
          <w:sz w:val="22"/>
          <w:szCs w:val="22"/>
        </w:rPr>
      </w:pPr>
      <w:r w:rsidRPr="00C81651">
        <w:rPr>
          <w:rFonts w:asciiTheme="minorHAnsi" w:hAnsiTheme="minorHAnsi" w:cstheme="minorHAnsi"/>
          <w:sz w:val="22"/>
          <w:szCs w:val="22"/>
        </w:rPr>
        <w:t>Sample size for each experiment was chosen based on previous experience, including a study with the same strain and model and aimed to detect a p &lt; 0.05 in the different tests applied. No animals were excluded from the current study. All the experiments and data analyses were performed blind to treatment conditions.</w:t>
      </w:r>
    </w:p>
    <w:p w14:paraId="422B5AC2" w14:textId="77777777" w:rsidR="004209A1" w:rsidRPr="00C81651" w:rsidRDefault="004209A1" w:rsidP="004209A1">
      <w:pPr>
        <w:spacing w:line="480" w:lineRule="auto"/>
        <w:ind w:firstLine="720"/>
        <w:jc w:val="both"/>
        <w:rPr>
          <w:rFonts w:asciiTheme="minorHAnsi" w:hAnsiTheme="minorHAnsi" w:cstheme="minorHAnsi"/>
          <w:sz w:val="22"/>
          <w:szCs w:val="22"/>
        </w:rPr>
      </w:pPr>
      <w:r w:rsidRPr="00C81651">
        <w:rPr>
          <w:rFonts w:asciiTheme="minorHAnsi" w:hAnsiTheme="minorHAnsi" w:cstheme="minorHAnsi"/>
          <w:sz w:val="22"/>
          <w:szCs w:val="22"/>
        </w:rPr>
        <w:t xml:space="preserve"> All animal experimentation was conducted in accordance with the Directive 2010/63/EU of the European Parliament and of the Council of 22 September 2010 and was approved by the Committee on Bioethics of the </w:t>
      </w:r>
      <w:proofErr w:type="spellStart"/>
      <w:r w:rsidRPr="00C81651">
        <w:rPr>
          <w:rFonts w:asciiTheme="minorHAnsi" w:hAnsiTheme="minorHAnsi" w:cstheme="minorHAnsi"/>
          <w:sz w:val="22"/>
          <w:szCs w:val="22"/>
        </w:rPr>
        <w:t>Universitat</w:t>
      </w:r>
      <w:proofErr w:type="spellEnd"/>
      <w:r w:rsidRPr="00C81651">
        <w:rPr>
          <w:rFonts w:asciiTheme="minorHAnsi" w:hAnsiTheme="minorHAnsi" w:cstheme="minorHAnsi"/>
          <w:sz w:val="22"/>
          <w:szCs w:val="22"/>
        </w:rPr>
        <w:t xml:space="preserve"> de </w:t>
      </w:r>
      <w:proofErr w:type="spellStart"/>
      <w:r w:rsidRPr="00C81651">
        <w:rPr>
          <w:rFonts w:asciiTheme="minorHAnsi" w:hAnsiTheme="minorHAnsi" w:cstheme="minorHAnsi"/>
          <w:sz w:val="22"/>
          <w:szCs w:val="22"/>
        </w:rPr>
        <w:t>València</w:t>
      </w:r>
      <w:proofErr w:type="spellEnd"/>
      <w:r w:rsidRPr="00C81651">
        <w:rPr>
          <w:rFonts w:asciiTheme="minorHAnsi" w:hAnsiTheme="minorHAnsi" w:cstheme="minorHAnsi"/>
          <w:sz w:val="22"/>
          <w:szCs w:val="22"/>
        </w:rPr>
        <w:t>.</w:t>
      </w:r>
    </w:p>
    <w:p w14:paraId="14459EC5" w14:textId="77777777" w:rsidR="004209A1" w:rsidRPr="00C81651" w:rsidRDefault="004209A1" w:rsidP="004209A1">
      <w:pPr>
        <w:spacing w:line="480" w:lineRule="auto"/>
        <w:jc w:val="both"/>
        <w:rPr>
          <w:rFonts w:asciiTheme="minorHAnsi" w:hAnsiTheme="minorHAnsi" w:cstheme="minorHAnsi"/>
          <w:sz w:val="22"/>
          <w:szCs w:val="22"/>
        </w:rPr>
      </w:pPr>
    </w:p>
    <w:p w14:paraId="4DE89A52" w14:textId="77777777" w:rsidR="004209A1" w:rsidRPr="00C81651" w:rsidRDefault="004209A1" w:rsidP="004209A1">
      <w:pPr>
        <w:spacing w:line="480" w:lineRule="auto"/>
        <w:jc w:val="both"/>
        <w:rPr>
          <w:rFonts w:asciiTheme="minorHAnsi" w:hAnsiTheme="minorHAnsi" w:cstheme="minorHAnsi"/>
          <w:sz w:val="22"/>
          <w:szCs w:val="22"/>
        </w:rPr>
      </w:pPr>
      <w:r w:rsidRPr="00C81651">
        <w:rPr>
          <w:rFonts w:asciiTheme="minorHAnsi" w:hAnsiTheme="minorHAnsi" w:cstheme="minorHAnsi"/>
          <w:b/>
          <w:sz w:val="22"/>
          <w:szCs w:val="22"/>
        </w:rPr>
        <w:t>Prepulse Inhibition of Startle Reflex Test.</w:t>
      </w:r>
    </w:p>
    <w:p w14:paraId="6F7522D0" w14:textId="77777777" w:rsidR="004209A1" w:rsidRPr="00C81651" w:rsidRDefault="004209A1" w:rsidP="004209A1">
      <w:pPr>
        <w:spacing w:line="480" w:lineRule="auto"/>
        <w:ind w:firstLine="708"/>
        <w:jc w:val="both"/>
        <w:rPr>
          <w:rFonts w:asciiTheme="minorHAnsi" w:hAnsiTheme="minorHAnsi" w:cstheme="minorHAnsi"/>
          <w:sz w:val="22"/>
          <w:szCs w:val="22"/>
        </w:rPr>
      </w:pPr>
      <w:r w:rsidRPr="00C81651">
        <w:rPr>
          <w:rFonts w:asciiTheme="minorHAnsi" w:hAnsiTheme="minorHAnsi" w:cstheme="minorHAnsi"/>
          <w:sz w:val="22"/>
          <w:szCs w:val="22"/>
        </w:rPr>
        <w:t xml:space="preserve">Test sessions were preceded by a habituation phase consisting of three sessions in which mice were placed in the apparatus for five minutes without background noise. Test sessions consisted of no stimulus trials, pulse trials, prepulse trials and prepulse pulse trials. Each no-stimulus trial consisted of a background noise only, pulse trials consisted of a 40 </w:t>
      </w:r>
      <w:proofErr w:type="spellStart"/>
      <w:r w:rsidRPr="00C81651">
        <w:rPr>
          <w:rFonts w:asciiTheme="minorHAnsi" w:hAnsiTheme="minorHAnsi" w:cstheme="minorHAnsi"/>
          <w:sz w:val="22"/>
          <w:szCs w:val="22"/>
        </w:rPr>
        <w:t>ms</w:t>
      </w:r>
      <w:proofErr w:type="spellEnd"/>
      <w:r w:rsidRPr="00C81651">
        <w:rPr>
          <w:rFonts w:asciiTheme="minorHAnsi" w:hAnsiTheme="minorHAnsi" w:cstheme="minorHAnsi"/>
          <w:sz w:val="22"/>
          <w:szCs w:val="22"/>
        </w:rPr>
        <w:t xml:space="preserve"> pulse of 120 decibels (dB), prepulse trial consisted of a 20 </w:t>
      </w:r>
      <w:proofErr w:type="spellStart"/>
      <w:r w:rsidRPr="00C81651">
        <w:rPr>
          <w:rFonts w:asciiTheme="minorHAnsi" w:hAnsiTheme="minorHAnsi" w:cstheme="minorHAnsi"/>
          <w:sz w:val="22"/>
          <w:szCs w:val="22"/>
        </w:rPr>
        <w:t>ms</w:t>
      </w:r>
      <w:proofErr w:type="spellEnd"/>
      <w:r w:rsidRPr="00C81651">
        <w:rPr>
          <w:rFonts w:asciiTheme="minorHAnsi" w:hAnsiTheme="minorHAnsi" w:cstheme="minorHAnsi"/>
          <w:sz w:val="22"/>
          <w:szCs w:val="22"/>
        </w:rPr>
        <w:t xml:space="preserve"> 73, </w:t>
      </w:r>
      <w:proofErr w:type="gramStart"/>
      <w:r w:rsidRPr="00C81651">
        <w:rPr>
          <w:rFonts w:asciiTheme="minorHAnsi" w:hAnsiTheme="minorHAnsi" w:cstheme="minorHAnsi"/>
          <w:sz w:val="22"/>
          <w:szCs w:val="22"/>
        </w:rPr>
        <w:t>76 or 82 dB</w:t>
      </w:r>
      <w:proofErr w:type="gramEnd"/>
      <w:r w:rsidRPr="00C81651">
        <w:rPr>
          <w:rFonts w:asciiTheme="minorHAnsi" w:hAnsiTheme="minorHAnsi" w:cstheme="minorHAnsi"/>
          <w:sz w:val="22"/>
          <w:szCs w:val="22"/>
        </w:rPr>
        <w:t xml:space="preserve"> pulse followed 100 </w:t>
      </w:r>
      <w:proofErr w:type="spellStart"/>
      <w:r w:rsidRPr="00C81651">
        <w:rPr>
          <w:rFonts w:asciiTheme="minorHAnsi" w:hAnsiTheme="minorHAnsi" w:cstheme="minorHAnsi"/>
          <w:sz w:val="22"/>
          <w:szCs w:val="22"/>
        </w:rPr>
        <w:t>ms</w:t>
      </w:r>
      <w:proofErr w:type="spellEnd"/>
      <w:r w:rsidRPr="00C81651">
        <w:rPr>
          <w:rFonts w:asciiTheme="minorHAnsi" w:hAnsiTheme="minorHAnsi" w:cstheme="minorHAnsi"/>
          <w:sz w:val="22"/>
          <w:szCs w:val="22"/>
        </w:rPr>
        <w:t xml:space="preserve"> later by a 40 </w:t>
      </w:r>
      <w:proofErr w:type="spellStart"/>
      <w:r w:rsidRPr="00C81651">
        <w:rPr>
          <w:rFonts w:asciiTheme="minorHAnsi" w:hAnsiTheme="minorHAnsi" w:cstheme="minorHAnsi"/>
          <w:sz w:val="22"/>
          <w:szCs w:val="22"/>
        </w:rPr>
        <w:t>ms</w:t>
      </w:r>
      <w:proofErr w:type="spellEnd"/>
      <w:r w:rsidRPr="00C81651">
        <w:rPr>
          <w:rFonts w:asciiTheme="minorHAnsi" w:hAnsiTheme="minorHAnsi" w:cstheme="minorHAnsi"/>
          <w:sz w:val="22"/>
          <w:szCs w:val="22"/>
        </w:rPr>
        <w:t xml:space="preserve"> pulse of 120 </w:t>
      </w:r>
      <w:proofErr w:type="spellStart"/>
      <w:r w:rsidRPr="00C81651">
        <w:rPr>
          <w:rFonts w:asciiTheme="minorHAnsi" w:hAnsiTheme="minorHAnsi" w:cstheme="minorHAnsi"/>
          <w:sz w:val="22"/>
          <w:szCs w:val="22"/>
        </w:rPr>
        <w:t>dB.</w:t>
      </w:r>
      <w:proofErr w:type="spellEnd"/>
      <w:r w:rsidRPr="00C81651">
        <w:rPr>
          <w:rFonts w:asciiTheme="minorHAnsi" w:hAnsiTheme="minorHAnsi" w:cstheme="minorHAnsi"/>
          <w:sz w:val="22"/>
          <w:szCs w:val="22"/>
        </w:rPr>
        <w:t xml:space="preserve"> Test sessions began with a </w:t>
      </w:r>
      <w:proofErr w:type="gramStart"/>
      <w:r w:rsidRPr="00C81651">
        <w:rPr>
          <w:rFonts w:asciiTheme="minorHAnsi" w:hAnsiTheme="minorHAnsi" w:cstheme="minorHAnsi"/>
          <w:sz w:val="22"/>
          <w:szCs w:val="22"/>
        </w:rPr>
        <w:t>5 minute</w:t>
      </w:r>
      <w:proofErr w:type="gramEnd"/>
      <w:r w:rsidRPr="00C81651">
        <w:rPr>
          <w:rFonts w:asciiTheme="minorHAnsi" w:hAnsiTheme="minorHAnsi" w:cstheme="minorHAnsi"/>
          <w:sz w:val="22"/>
          <w:szCs w:val="22"/>
        </w:rPr>
        <w:t xml:space="preserve"> acclimatization period using a background noise of 70 </w:t>
      </w:r>
      <w:proofErr w:type="spellStart"/>
      <w:r w:rsidRPr="00C81651">
        <w:rPr>
          <w:rFonts w:asciiTheme="minorHAnsi" w:hAnsiTheme="minorHAnsi" w:cstheme="minorHAnsi"/>
          <w:sz w:val="22"/>
          <w:szCs w:val="22"/>
        </w:rPr>
        <w:t>dB.</w:t>
      </w:r>
      <w:proofErr w:type="spellEnd"/>
      <w:r w:rsidRPr="00C81651">
        <w:rPr>
          <w:rFonts w:asciiTheme="minorHAnsi" w:hAnsiTheme="minorHAnsi" w:cstheme="minorHAnsi"/>
          <w:sz w:val="22"/>
          <w:szCs w:val="22"/>
        </w:rPr>
        <w:t xml:space="preserve"> The test sessions consisted of a ten pulse basal trials and ten presentations of four different trials previously described. Trials were presented in pseudorandom order with an intertrial interval (ITI) of 22 seconds and an interstimulus interval of 100 </w:t>
      </w:r>
      <w:proofErr w:type="spellStart"/>
      <w:r w:rsidRPr="00C81651">
        <w:rPr>
          <w:rFonts w:asciiTheme="minorHAnsi" w:hAnsiTheme="minorHAnsi" w:cstheme="minorHAnsi"/>
          <w:sz w:val="22"/>
          <w:szCs w:val="22"/>
        </w:rPr>
        <w:t>ms.</w:t>
      </w:r>
      <w:proofErr w:type="spellEnd"/>
      <w:r w:rsidRPr="00C81651">
        <w:rPr>
          <w:rFonts w:asciiTheme="minorHAnsi" w:hAnsiTheme="minorHAnsi" w:cstheme="minorHAnsi"/>
          <w:sz w:val="22"/>
          <w:szCs w:val="22"/>
        </w:rPr>
        <w:t xml:space="preserve"> The percentage of prepulse inhibition of startle reflex was calculated using the next formula: 100- {[(startle response for </w:t>
      </w:r>
      <w:proofErr w:type="spellStart"/>
      <w:r w:rsidRPr="00C81651">
        <w:rPr>
          <w:rFonts w:asciiTheme="minorHAnsi" w:hAnsiTheme="minorHAnsi" w:cstheme="minorHAnsi"/>
          <w:sz w:val="22"/>
          <w:szCs w:val="22"/>
        </w:rPr>
        <w:t>prepulse+pulse</w:t>
      </w:r>
      <w:proofErr w:type="spellEnd"/>
      <w:r w:rsidRPr="00C81651">
        <w:rPr>
          <w:rFonts w:asciiTheme="minorHAnsi" w:hAnsiTheme="minorHAnsi" w:cstheme="minorHAnsi"/>
          <w:sz w:val="22"/>
          <w:szCs w:val="22"/>
        </w:rPr>
        <w:t>)</w:t>
      </w:r>
      <w:proofErr w:type="gramStart"/>
      <w:r w:rsidRPr="00C81651">
        <w:rPr>
          <w:rFonts w:asciiTheme="minorHAnsi" w:hAnsiTheme="minorHAnsi" w:cstheme="minorHAnsi"/>
          <w:sz w:val="22"/>
          <w:szCs w:val="22"/>
        </w:rPr>
        <w:t>/(</w:t>
      </w:r>
      <w:proofErr w:type="gramEnd"/>
      <w:r w:rsidRPr="00C81651">
        <w:rPr>
          <w:rFonts w:asciiTheme="minorHAnsi" w:hAnsiTheme="minorHAnsi" w:cstheme="minorHAnsi"/>
          <w:sz w:val="22"/>
          <w:szCs w:val="22"/>
        </w:rPr>
        <w:t>startle response for pulse alone)]x100}.</w:t>
      </w:r>
    </w:p>
    <w:p w14:paraId="7BC57C65" w14:textId="77777777" w:rsidR="004209A1" w:rsidRPr="00C81651" w:rsidRDefault="004209A1" w:rsidP="004209A1">
      <w:pPr>
        <w:spacing w:after="240" w:line="480" w:lineRule="auto"/>
        <w:jc w:val="both"/>
        <w:rPr>
          <w:rFonts w:asciiTheme="minorHAnsi" w:hAnsiTheme="minorHAnsi" w:cstheme="minorHAnsi"/>
          <w:b/>
          <w:i/>
          <w:sz w:val="22"/>
          <w:szCs w:val="22"/>
        </w:rPr>
      </w:pPr>
    </w:p>
    <w:p w14:paraId="62423230" w14:textId="77777777" w:rsidR="004209A1" w:rsidRPr="00C81651" w:rsidRDefault="004209A1" w:rsidP="004209A1">
      <w:pPr>
        <w:spacing w:after="240" w:line="480" w:lineRule="auto"/>
        <w:jc w:val="both"/>
        <w:rPr>
          <w:rFonts w:asciiTheme="minorHAnsi" w:hAnsiTheme="minorHAnsi" w:cstheme="minorHAnsi"/>
          <w:sz w:val="22"/>
          <w:szCs w:val="22"/>
        </w:rPr>
      </w:pPr>
      <w:r w:rsidRPr="00C81651">
        <w:rPr>
          <w:rFonts w:asciiTheme="minorHAnsi" w:hAnsiTheme="minorHAnsi" w:cstheme="minorHAnsi"/>
          <w:b/>
          <w:i/>
          <w:sz w:val="22"/>
          <w:szCs w:val="22"/>
        </w:rPr>
        <w:t xml:space="preserve">Quantitative </w:t>
      </w:r>
      <w:proofErr w:type="spellStart"/>
      <w:r w:rsidRPr="00C81651">
        <w:rPr>
          <w:rFonts w:asciiTheme="minorHAnsi" w:hAnsiTheme="minorHAnsi" w:cstheme="minorHAnsi"/>
          <w:b/>
          <w:i/>
          <w:sz w:val="22"/>
          <w:szCs w:val="22"/>
        </w:rPr>
        <w:t>retrotranscription</w:t>
      </w:r>
      <w:proofErr w:type="spellEnd"/>
      <w:r w:rsidRPr="00C81651">
        <w:rPr>
          <w:rFonts w:asciiTheme="minorHAnsi" w:hAnsiTheme="minorHAnsi" w:cstheme="minorHAnsi"/>
          <w:b/>
          <w:i/>
          <w:sz w:val="22"/>
          <w:szCs w:val="22"/>
        </w:rPr>
        <w:t xml:space="preserve">-polymerase chain reaction </w:t>
      </w:r>
    </w:p>
    <w:p w14:paraId="208C5340" w14:textId="238EF585" w:rsidR="004209A1" w:rsidRPr="00C81651" w:rsidRDefault="004209A1" w:rsidP="004209A1">
      <w:pPr>
        <w:spacing w:before="166" w:after="166" w:line="480" w:lineRule="auto"/>
        <w:ind w:firstLine="720"/>
        <w:jc w:val="both"/>
        <w:rPr>
          <w:rFonts w:asciiTheme="minorHAnsi" w:hAnsiTheme="minorHAnsi" w:cstheme="minorHAnsi"/>
          <w:sz w:val="22"/>
          <w:szCs w:val="22"/>
        </w:rPr>
      </w:pPr>
      <w:r w:rsidRPr="00C81651">
        <w:rPr>
          <w:rFonts w:asciiTheme="minorHAnsi" w:hAnsiTheme="minorHAnsi" w:cstheme="minorHAnsi"/>
          <w:sz w:val="22"/>
          <w:szCs w:val="22"/>
        </w:rPr>
        <w:lastRenderedPageBreak/>
        <w:t xml:space="preserve"> For quantitative </w:t>
      </w:r>
      <w:proofErr w:type="spellStart"/>
      <w:r w:rsidRPr="00C81651">
        <w:rPr>
          <w:rFonts w:asciiTheme="minorHAnsi" w:hAnsiTheme="minorHAnsi" w:cstheme="minorHAnsi"/>
          <w:sz w:val="22"/>
          <w:szCs w:val="22"/>
        </w:rPr>
        <w:t>retrotranscription</w:t>
      </w:r>
      <w:proofErr w:type="spellEnd"/>
      <w:r w:rsidRPr="00C81651">
        <w:rPr>
          <w:rFonts w:asciiTheme="minorHAnsi" w:hAnsiTheme="minorHAnsi" w:cstheme="minorHAnsi"/>
          <w:sz w:val="22"/>
          <w:szCs w:val="22"/>
        </w:rPr>
        <w:t>-polymerase chain reaction (</w:t>
      </w:r>
      <w:proofErr w:type="spellStart"/>
      <w:r w:rsidRPr="00C81651">
        <w:rPr>
          <w:rFonts w:asciiTheme="minorHAnsi" w:hAnsiTheme="minorHAnsi" w:cstheme="minorHAnsi"/>
          <w:sz w:val="22"/>
          <w:szCs w:val="22"/>
        </w:rPr>
        <w:t>qRT</w:t>
      </w:r>
      <w:proofErr w:type="spellEnd"/>
      <w:r w:rsidRPr="00C81651">
        <w:rPr>
          <w:rFonts w:asciiTheme="minorHAnsi" w:hAnsiTheme="minorHAnsi" w:cstheme="minorHAnsi"/>
          <w:sz w:val="22"/>
          <w:szCs w:val="22"/>
        </w:rPr>
        <w:t xml:space="preserve">-PCR) analyses, each sample was run in duplicates. qPCR was carried out with the ABI PRISM 7700 Sequence Detector (Applied Biosystems) using EVA Green PCR master mix (Applied Biosystems), specific primers for all genes (table S1) at a concentration of 240 nm, and 4 µl cDNA (50 ng) of each sample. TATA box-binding protein (TBP), a housekeeping gene, was used as a reference gene. The expression of TBP did not differ between the different experimental groups. Following a 95 °C denaturation for 10 min, the reactions were cycled 40 times with a 95 °C denaturation for 15 s, and a 60 °C annealing step for 1 min. After this, a melt curve was performed to assess the specificity of primers. Primers were designed by Primer Blast free software, between exons to avoid genomic DNA amplification, using Ensemble data sequences. All DNA oligonucleotide primers were custom synthesized by </w:t>
      </w:r>
      <w:proofErr w:type="spellStart"/>
      <w:r w:rsidRPr="00C81651">
        <w:rPr>
          <w:rFonts w:asciiTheme="minorHAnsi" w:hAnsiTheme="minorHAnsi" w:cstheme="minorHAnsi"/>
          <w:sz w:val="22"/>
          <w:szCs w:val="22"/>
        </w:rPr>
        <w:t>Metabion</w:t>
      </w:r>
      <w:proofErr w:type="spellEnd"/>
      <w:r w:rsidRPr="00C81651">
        <w:rPr>
          <w:rFonts w:asciiTheme="minorHAnsi" w:hAnsiTheme="minorHAnsi" w:cstheme="minorHAnsi"/>
          <w:sz w:val="22"/>
          <w:szCs w:val="22"/>
        </w:rPr>
        <w:t xml:space="preserve"> international AG (</w:t>
      </w:r>
      <w:proofErr w:type="spellStart"/>
      <w:r w:rsidRPr="00C81651">
        <w:rPr>
          <w:rFonts w:asciiTheme="minorHAnsi" w:hAnsiTheme="minorHAnsi" w:cstheme="minorHAnsi"/>
          <w:sz w:val="22"/>
          <w:szCs w:val="22"/>
        </w:rPr>
        <w:t>Martinsried</w:t>
      </w:r>
      <w:proofErr w:type="spellEnd"/>
      <w:r w:rsidRPr="00C81651">
        <w:rPr>
          <w:rFonts w:asciiTheme="minorHAnsi" w:hAnsiTheme="minorHAnsi" w:cstheme="minorHAnsi"/>
          <w:sz w:val="22"/>
          <w:szCs w:val="22"/>
        </w:rPr>
        <w:t>, Germany). Relative quantification was performed using the comparative threshold (CT) method according to the 2</w:t>
      </w:r>
      <w:r w:rsidRPr="00C81651">
        <w:rPr>
          <w:rFonts w:asciiTheme="minorHAnsi" w:hAnsiTheme="minorHAnsi" w:cstheme="minorHAnsi"/>
          <w:sz w:val="22"/>
          <w:szCs w:val="22"/>
          <w:vertAlign w:val="superscript"/>
        </w:rPr>
        <w:t xml:space="preserve">-DDCt </w:t>
      </w:r>
      <w:r w:rsidRPr="00C81651">
        <w:rPr>
          <w:rFonts w:asciiTheme="minorHAnsi" w:hAnsiTheme="minorHAnsi" w:cstheme="minorHAnsi"/>
          <w:sz w:val="22"/>
          <w:szCs w:val="22"/>
        </w:rPr>
        <w:t xml:space="preserve">method </w:t>
      </w:r>
      <w:hyperlink r:id="rId4">
        <w:r w:rsidR="00D21F84">
          <w:rPr>
            <w:rFonts w:asciiTheme="minorHAnsi" w:hAnsiTheme="minorHAnsi" w:cstheme="minorHAnsi"/>
            <w:color w:val="000000"/>
            <w:sz w:val="22"/>
            <w:szCs w:val="22"/>
            <w:vertAlign w:val="superscript"/>
          </w:rPr>
          <w:t>1</w:t>
        </w:r>
      </w:hyperlink>
      <w:r w:rsidRPr="00C81651">
        <w:rPr>
          <w:rFonts w:asciiTheme="minorHAnsi" w:hAnsiTheme="minorHAnsi" w:cstheme="minorHAnsi"/>
          <w:sz w:val="22"/>
          <w:szCs w:val="22"/>
        </w:rPr>
        <w:t xml:space="preserve">. Changes in gene expression were reported as fold changes relative to controls. </w:t>
      </w:r>
    </w:p>
    <w:p w14:paraId="426282BC" w14:textId="77777777" w:rsidR="004209A1" w:rsidRPr="00C81651" w:rsidRDefault="004209A1" w:rsidP="004209A1">
      <w:pPr>
        <w:spacing w:before="166" w:after="166" w:line="480" w:lineRule="auto"/>
        <w:ind w:firstLine="720"/>
        <w:jc w:val="both"/>
        <w:rPr>
          <w:rFonts w:asciiTheme="minorHAnsi" w:hAnsiTheme="minorHAnsi" w:cstheme="minorHAnsi"/>
          <w:sz w:val="22"/>
          <w:szCs w:val="22"/>
        </w:rPr>
      </w:pPr>
    </w:p>
    <w:p w14:paraId="583E40E2" w14:textId="77777777" w:rsidR="004209A1" w:rsidRPr="00C81651" w:rsidRDefault="004209A1" w:rsidP="004209A1">
      <w:pPr>
        <w:spacing w:line="480" w:lineRule="auto"/>
        <w:jc w:val="both"/>
        <w:rPr>
          <w:rFonts w:asciiTheme="minorHAnsi" w:hAnsiTheme="minorHAnsi" w:cstheme="minorHAnsi"/>
          <w:sz w:val="22"/>
          <w:szCs w:val="22"/>
        </w:rPr>
      </w:pPr>
      <w:r w:rsidRPr="00C81651">
        <w:rPr>
          <w:rFonts w:asciiTheme="minorHAnsi" w:hAnsiTheme="minorHAnsi" w:cstheme="minorHAnsi"/>
          <w:b/>
          <w:i/>
          <w:sz w:val="22"/>
          <w:szCs w:val="22"/>
        </w:rPr>
        <w:t>Quantitative immunoblotting</w:t>
      </w:r>
    </w:p>
    <w:p w14:paraId="674C0F17" w14:textId="12FC0A07" w:rsidR="004209A1" w:rsidRPr="00C81651" w:rsidRDefault="004209A1" w:rsidP="004209A1">
      <w:pPr>
        <w:spacing w:before="166" w:after="166" w:line="480" w:lineRule="auto"/>
        <w:jc w:val="both"/>
        <w:rPr>
          <w:rFonts w:asciiTheme="minorHAnsi" w:hAnsiTheme="minorHAnsi" w:cstheme="minorHAnsi"/>
          <w:sz w:val="22"/>
          <w:szCs w:val="22"/>
        </w:rPr>
      </w:pPr>
      <w:r w:rsidRPr="00C81651">
        <w:rPr>
          <w:rFonts w:asciiTheme="minorHAnsi" w:hAnsiTheme="minorHAnsi" w:cstheme="minorHAnsi"/>
          <w:sz w:val="22"/>
          <w:szCs w:val="22"/>
        </w:rPr>
        <w:t xml:space="preserve">Sixty micrograms of total protein for glutamic acid decarboxylase, 67 </w:t>
      </w:r>
      <w:proofErr w:type="spellStart"/>
      <w:r w:rsidRPr="00C81651">
        <w:rPr>
          <w:rFonts w:asciiTheme="minorHAnsi" w:hAnsiTheme="minorHAnsi" w:cstheme="minorHAnsi"/>
          <w:sz w:val="22"/>
          <w:szCs w:val="22"/>
        </w:rPr>
        <w:t>kDa</w:t>
      </w:r>
      <w:proofErr w:type="spellEnd"/>
      <w:r w:rsidRPr="00C81651">
        <w:rPr>
          <w:rFonts w:asciiTheme="minorHAnsi" w:hAnsiTheme="minorHAnsi" w:cstheme="minorHAnsi"/>
          <w:sz w:val="22"/>
          <w:szCs w:val="22"/>
        </w:rPr>
        <w:t xml:space="preserve"> isoform (GAD 67) and 30 for synaptophysin (SYN) were separated from each sample on 10% SDS–PAGE and transferred to </w:t>
      </w:r>
      <w:proofErr w:type="spellStart"/>
      <w:r w:rsidRPr="00C81651">
        <w:rPr>
          <w:rFonts w:asciiTheme="minorHAnsi" w:hAnsiTheme="minorHAnsi" w:cstheme="minorHAnsi"/>
          <w:sz w:val="22"/>
          <w:szCs w:val="22"/>
        </w:rPr>
        <w:t>Hybond</w:t>
      </w:r>
      <w:proofErr w:type="spellEnd"/>
      <w:r w:rsidRPr="00C81651">
        <w:rPr>
          <w:rFonts w:asciiTheme="minorHAnsi" w:hAnsiTheme="minorHAnsi" w:cstheme="minorHAnsi"/>
          <w:sz w:val="22"/>
          <w:szCs w:val="22"/>
        </w:rPr>
        <w:t xml:space="preserve"> enhanced chemiluminescence (ECL) nitrocellulose membranes (GE Healthcare). After saturation of nonspecific sites with blocking buffer (5% BSA in PBS-0.025% Tween 20, 2 hours, RT), membranes were incubated overnight at 4°C with primary antibodies against GAD67 (1:1000, Abcam), SYN (1:5000, Sigma-Aldrich) or the loading control protein α-tubulin (1:2000, Sigma-Aldrich), diluted in blocking buffer. After washing with PBS-0.025% Tween 20, membranes were incubated for 2 </w:t>
      </w:r>
      <w:proofErr w:type="spellStart"/>
      <w:r w:rsidRPr="00C81651">
        <w:rPr>
          <w:rFonts w:asciiTheme="minorHAnsi" w:hAnsiTheme="minorHAnsi" w:cstheme="minorHAnsi"/>
          <w:sz w:val="22"/>
          <w:szCs w:val="22"/>
        </w:rPr>
        <w:t>h at</w:t>
      </w:r>
      <w:proofErr w:type="spellEnd"/>
      <w:r w:rsidRPr="00C81651">
        <w:rPr>
          <w:rFonts w:asciiTheme="minorHAnsi" w:hAnsiTheme="minorHAnsi" w:cstheme="minorHAnsi"/>
          <w:sz w:val="22"/>
          <w:szCs w:val="22"/>
        </w:rPr>
        <w:t xml:space="preserve"> RT with secondary horseradish peroxidase-linked antibodies (1:1500, Sigma-Aldrich), and finally developed using ECL detection reagents (GE Health care). Bands were detected using </w:t>
      </w:r>
      <w:proofErr w:type="spellStart"/>
      <w:r w:rsidRPr="00C81651">
        <w:rPr>
          <w:rFonts w:asciiTheme="minorHAnsi" w:hAnsiTheme="minorHAnsi" w:cstheme="minorHAnsi"/>
          <w:sz w:val="22"/>
          <w:szCs w:val="22"/>
        </w:rPr>
        <w:t>ImageQuant</w:t>
      </w:r>
      <w:proofErr w:type="spellEnd"/>
      <w:r w:rsidRPr="00C81651">
        <w:rPr>
          <w:rFonts w:asciiTheme="minorHAnsi" w:hAnsiTheme="minorHAnsi" w:cstheme="minorHAnsi"/>
          <w:sz w:val="22"/>
          <w:szCs w:val="22"/>
        </w:rPr>
        <w:t xml:space="preserve"> LAS 4000 system (GE Health care) and </w:t>
      </w:r>
      <w:r w:rsidRPr="00C81651">
        <w:rPr>
          <w:rFonts w:asciiTheme="minorHAnsi" w:hAnsiTheme="minorHAnsi" w:cstheme="minorHAnsi"/>
          <w:sz w:val="22"/>
          <w:szCs w:val="22"/>
        </w:rPr>
        <w:lastRenderedPageBreak/>
        <w:t>densitometry analysis on every band was calculated using FIJI/ImageJ software</w:t>
      </w:r>
      <w:hyperlink r:id="rId5">
        <w:r w:rsidR="00D21F84">
          <w:rPr>
            <w:rFonts w:asciiTheme="minorHAnsi" w:hAnsiTheme="minorHAnsi" w:cstheme="minorHAnsi"/>
            <w:sz w:val="22"/>
            <w:szCs w:val="22"/>
            <w:vertAlign w:val="superscript"/>
          </w:rPr>
          <w:t>2</w:t>
        </w:r>
      </w:hyperlink>
      <w:r w:rsidRPr="00C81651">
        <w:rPr>
          <w:rFonts w:asciiTheme="minorHAnsi" w:hAnsiTheme="minorHAnsi" w:cstheme="minorHAnsi"/>
          <w:sz w:val="22"/>
          <w:szCs w:val="22"/>
        </w:rPr>
        <w:t>. The expression of α-tubulin did not differ between the different experimental groups. SYN and GAD67 densitometry values were normalized to within-lane α-tubulin. Every sample was immunoblotted in duplicate and mean ± SEM was then calculated.</w:t>
      </w:r>
    </w:p>
    <w:p w14:paraId="6BEBE242" w14:textId="77777777" w:rsidR="004209A1" w:rsidRPr="00C81651" w:rsidRDefault="004209A1" w:rsidP="004209A1">
      <w:pPr>
        <w:spacing w:before="166" w:after="166" w:line="480" w:lineRule="auto"/>
        <w:jc w:val="both"/>
        <w:rPr>
          <w:rFonts w:asciiTheme="minorHAnsi" w:hAnsiTheme="minorHAnsi" w:cstheme="minorHAnsi"/>
          <w:sz w:val="22"/>
          <w:szCs w:val="22"/>
        </w:rPr>
      </w:pPr>
    </w:p>
    <w:p w14:paraId="5353F650" w14:textId="77777777" w:rsidR="004209A1" w:rsidRPr="00C81651" w:rsidRDefault="004209A1" w:rsidP="004209A1">
      <w:pPr>
        <w:spacing w:before="166" w:after="166" w:line="480" w:lineRule="auto"/>
        <w:jc w:val="both"/>
        <w:rPr>
          <w:rFonts w:asciiTheme="minorHAnsi" w:hAnsiTheme="minorHAnsi" w:cstheme="minorHAnsi"/>
          <w:b/>
          <w:sz w:val="22"/>
          <w:szCs w:val="22"/>
        </w:rPr>
      </w:pPr>
      <w:r w:rsidRPr="00C81651">
        <w:rPr>
          <w:rFonts w:asciiTheme="minorHAnsi" w:hAnsiTheme="minorHAnsi" w:cstheme="minorHAnsi"/>
          <w:b/>
          <w:sz w:val="22"/>
          <w:szCs w:val="22"/>
        </w:rPr>
        <w:t>Volumetric analysis</w:t>
      </w:r>
    </w:p>
    <w:p w14:paraId="571D2A1C" w14:textId="77777777" w:rsidR="004209A1" w:rsidRPr="00C81651" w:rsidRDefault="004209A1" w:rsidP="004209A1">
      <w:pPr>
        <w:spacing w:line="480" w:lineRule="auto"/>
        <w:ind w:firstLine="720"/>
        <w:jc w:val="both"/>
        <w:rPr>
          <w:rFonts w:asciiTheme="minorHAnsi" w:hAnsiTheme="minorHAnsi" w:cstheme="minorHAnsi"/>
          <w:sz w:val="22"/>
          <w:szCs w:val="22"/>
        </w:rPr>
      </w:pPr>
      <w:r w:rsidRPr="00C81651">
        <w:rPr>
          <w:rFonts w:asciiTheme="minorHAnsi" w:hAnsiTheme="minorHAnsi" w:cstheme="minorHAnsi"/>
          <w:sz w:val="22"/>
          <w:szCs w:val="22"/>
        </w:rPr>
        <w:t>Images of all slices were acquired with a confocal microscope (Olympus FV-10; Olympus, Japan). After that, the measures of the areas were estimated in images containing: PrL (Bregma 3.08 mm to 1.70 mm); IL cortex (Bregma 1.94 mm to 1.42 mm) or Cg1 (Bregma 2.34 mm to − 0.22 mm).</w:t>
      </w:r>
    </w:p>
    <w:p w14:paraId="14E56637" w14:textId="77777777" w:rsidR="004209A1" w:rsidRPr="00C81651" w:rsidRDefault="004209A1" w:rsidP="004209A1">
      <w:pPr>
        <w:spacing w:line="480" w:lineRule="auto"/>
        <w:jc w:val="both"/>
        <w:rPr>
          <w:rFonts w:asciiTheme="minorHAnsi" w:hAnsiTheme="minorHAnsi" w:cstheme="minorHAnsi"/>
          <w:sz w:val="22"/>
          <w:szCs w:val="22"/>
        </w:rPr>
      </w:pPr>
    </w:p>
    <w:p w14:paraId="3F8F10FD" w14:textId="77777777" w:rsidR="004209A1" w:rsidRPr="00C81651" w:rsidRDefault="004209A1" w:rsidP="004209A1">
      <w:pPr>
        <w:spacing w:line="480" w:lineRule="auto"/>
        <w:jc w:val="both"/>
        <w:rPr>
          <w:rFonts w:asciiTheme="minorHAnsi" w:hAnsiTheme="minorHAnsi" w:cstheme="minorHAnsi"/>
          <w:b/>
          <w:sz w:val="22"/>
          <w:szCs w:val="22"/>
        </w:rPr>
      </w:pPr>
      <w:r w:rsidRPr="00C81651">
        <w:rPr>
          <w:rFonts w:asciiTheme="minorHAnsi" w:hAnsiTheme="minorHAnsi" w:cstheme="minorHAnsi"/>
          <w:b/>
          <w:sz w:val="22"/>
          <w:szCs w:val="22"/>
        </w:rPr>
        <w:t>Analysis of dendritic arborization</w:t>
      </w:r>
    </w:p>
    <w:p w14:paraId="6E8B9EE9" w14:textId="77777777" w:rsidR="004209A1" w:rsidRPr="00C81651" w:rsidRDefault="004209A1" w:rsidP="004209A1">
      <w:pPr>
        <w:spacing w:line="480" w:lineRule="auto"/>
        <w:ind w:firstLine="708"/>
        <w:jc w:val="both"/>
        <w:rPr>
          <w:rFonts w:asciiTheme="minorHAnsi" w:hAnsiTheme="minorHAnsi" w:cstheme="minorHAnsi"/>
          <w:sz w:val="22"/>
          <w:szCs w:val="22"/>
        </w:rPr>
      </w:pPr>
      <w:r w:rsidRPr="00C81651">
        <w:rPr>
          <w:rFonts w:asciiTheme="minorHAnsi" w:hAnsiTheme="minorHAnsi" w:cstheme="minorHAnsi"/>
          <w:sz w:val="22"/>
          <w:szCs w:val="22"/>
        </w:rPr>
        <w:t xml:space="preserve">In order to be analyzed, EGFP-expressing neurons had to fulfill the following features: 1- the dendritic arbor of the cell must show at least a process with a length greater than 120 μm and 2- the soma must be located at least 30 μm deep from the surface of the tissue. </w:t>
      </w:r>
    </w:p>
    <w:p w14:paraId="7D5C4B26" w14:textId="77777777" w:rsidR="004209A1" w:rsidRPr="00C81651" w:rsidRDefault="004209A1" w:rsidP="004209A1">
      <w:pPr>
        <w:spacing w:line="480" w:lineRule="auto"/>
        <w:jc w:val="both"/>
        <w:rPr>
          <w:rFonts w:asciiTheme="minorHAnsi" w:hAnsiTheme="minorHAnsi" w:cstheme="minorHAnsi"/>
          <w:sz w:val="22"/>
          <w:szCs w:val="22"/>
        </w:rPr>
      </w:pPr>
    </w:p>
    <w:p w14:paraId="58BBF068" w14:textId="77777777" w:rsidR="004209A1" w:rsidRPr="00C81651" w:rsidRDefault="004209A1" w:rsidP="004209A1">
      <w:pPr>
        <w:spacing w:line="480" w:lineRule="auto"/>
        <w:jc w:val="both"/>
        <w:rPr>
          <w:rFonts w:asciiTheme="minorHAnsi" w:hAnsiTheme="minorHAnsi" w:cstheme="minorHAnsi"/>
          <w:b/>
          <w:sz w:val="22"/>
          <w:szCs w:val="22"/>
        </w:rPr>
      </w:pPr>
      <w:r w:rsidRPr="00C81651">
        <w:rPr>
          <w:rFonts w:asciiTheme="minorHAnsi" w:hAnsiTheme="minorHAnsi" w:cstheme="minorHAnsi"/>
          <w:b/>
          <w:sz w:val="22"/>
          <w:szCs w:val="22"/>
        </w:rPr>
        <w:t>Analysis of the density of perisomatic puncta on pyramidal neurons</w:t>
      </w:r>
    </w:p>
    <w:p w14:paraId="3D02AC82" w14:textId="10A36AFD" w:rsidR="004209A1" w:rsidRPr="00C81651" w:rsidRDefault="004209A1" w:rsidP="004209A1">
      <w:pPr>
        <w:spacing w:line="480" w:lineRule="auto"/>
        <w:jc w:val="both"/>
        <w:rPr>
          <w:rFonts w:asciiTheme="minorHAnsi" w:hAnsiTheme="minorHAnsi" w:cstheme="minorHAnsi"/>
          <w:color w:val="000000"/>
          <w:sz w:val="22"/>
          <w:szCs w:val="22"/>
          <w:vertAlign w:val="superscript"/>
        </w:rPr>
      </w:pPr>
      <w:r w:rsidRPr="00C81651">
        <w:rPr>
          <w:rFonts w:asciiTheme="minorHAnsi" w:hAnsiTheme="minorHAnsi" w:cstheme="minorHAnsi"/>
          <w:sz w:val="22"/>
          <w:szCs w:val="22"/>
        </w:rPr>
        <w:t xml:space="preserve">The soma profile of the pyramidal neurons was drawn manually and then the selection was enlarged 1 μm in order to include the puncta closely surrounding the somata. A </w:t>
      </w:r>
      <w:proofErr w:type="gramStart"/>
      <w:r w:rsidRPr="00C81651">
        <w:rPr>
          <w:rFonts w:asciiTheme="minorHAnsi" w:hAnsiTheme="minorHAnsi" w:cstheme="minorHAnsi"/>
          <w:sz w:val="22"/>
          <w:szCs w:val="22"/>
        </w:rPr>
        <w:t>puncta</w:t>
      </w:r>
      <w:proofErr w:type="gramEnd"/>
      <w:r w:rsidRPr="00C81651">
        <w:rPr>
          <w:rFonts w:asciiTheme="minorHAnsi" w:hAnsiTheme="minorHAnsi" w:cstheme="minorHAnsi"/>
          <w:sz w:val="22"/>
          <w:szCs w:val="22"/>
        </w:rPr>
        <w:t xml:space="preserve"> was defined as having an area not smaller than 0.15 and not larger than 2.5 μm</w:t>
      </w:r>
      <w:r w:rsidRPr="00C81651">
        <w:rPr>
          <w:rFonts w:asciiTheme="minorHAnsi" w:hAnsiTheme="minorHAnsi" w:cstheme="minorHAnsi"/>
          <w:sz w:val="22"/>
          <w:szCs w:val="22"/>
          <w:vertAlign w:val="superscript"/>
        </w:rPr>
        <w:t>2</w:t>
      </w:r>
      <w:r w:rsidRPr="00C81651">
        <w:rPr>
          <w:rFonts w:asciiTheme="minorHAnsi" w:hAnsiTheme="minorHAnsi" w:cstheme="minorHAnsi"/>
          <w:sz w:val="22"/>
          <w:szCs w:val="22"/>
        </w:rPr>
        <w:t xml:space="preserve"> </w:t>
      </w:r>
      <w:r w:rsidR="00D21F84">
        <w:rPr>
          <w:rFonts w:asciiTheme="minorHAnsi" w:hAnsiTheme="minorHAnsi" w:cstheme="minorHAnsi"/>
          <w:color w:val="000000"/>
          <w:sz w:val="22"/>
          <w:szCs w:val="22"/>
          <w:vertAlign w:val="superscript"/>
        </w:rPr>
        <w:t>3</w:t>
      </w:r>
    </w:p>
    <w:p w14:paraId="491DD646" w14:textId="0D2699D5" w:rsidR="004209A1" w:rsidRDefault="004209A1" w:rsidP="00261C92">
      <w:pPr>
        <w:spacing w:line="480" w:lineRule="auto"/>
        <w:jc w:val="both"/>
        <w:rPr>
          <w:rFonts w:asciiTheme="minorHAnsi" w:hAnsiTheme="minorHAnsi" w:cstheme="minorHAnsi"/>
          <w:b/>
          <w:sz w:val="22"/>
          <w:szCs w:val="22"/>
          <w:u w:val="single"/>
        </w:rPr>
      </w:pPr>
    </w:p>
    <w:p w14:paraId="1CE83475" w14:textId="15AD4724" w:rsidR="00D21F84" w:rsidRDefault="00D21F84" w:rsidP="00261C92">
      <w:pPr>
        <w:spacing w:line="480" w:lineRule="auto"/>
        <w:jc w:val="both"/>
        <w:rPr>
          <w:rFonts w:asciiTheme="minorHAnsi" w:hAnsiTheme="minorHAnsi" w:cstheme="minorHAnsi"/>
          <w:b/>
          <w:sz w:val="22"/>
          <w:szCs w:val="22"/>
          <w:u w:val="single"/>
        </w:rPr>
      </w:pPr>
      <w:r>
        <w:rPr>
          <w:rFonts w:asciiTheme="minorHAnsi" w:hAnsiTheme="minorHAnsi" w:cstheme="minorHAnsi"/>
          <w:b/>
          <w:sz w:val="22"/>
          <w:szCs w:val="22"/>
          <w:u w:val="single"/>
        </w:rPr>
        <w:t>References</w:t>
      </w:r>
    </w:p>
    <w:p w14:paraId="0F5FE65C" w14:textId="3CB152A5" w:rsidR="00D21F84" w:rsidRPr="00D371F2" w:rsidRDefault="00D21F84" w:rsidP="00D21F84">
      <w:pPr>
        <w:spacing w:after="220"/>
        <w:ind w:left="284" w:hanging="440"/>
        <w:rPr>
          <w:rFonts w:asciiTheme="majorHAnsi" w:hAnsiTheme="majorHAnsi"/>
          <w:sz w:val="22"/>
          <w:szCs w:val="22"/>
        </w:rPr>
      </w:pPr>
      <w:r>
        <w:t xml:space="preserve">1. </w:t>
      </w:r>
      <w:r>
        <w:t xml:space="preserve">    </w:t>
      </w:r>
      <w:hyperlink r:id="rId6" w:history="1">
        <w:proofErr w:type="spellStart"/>
        <w:r w:rsidRPr="00D371F2">
          <w:rPr>
            <w:rFonts w:asciiTheme="majorHAnsi" w:hAnsiTheme="majorHAnsi" w:cs="Arial"/>
            <w:color w:val="000000"/>
            <w:sz w:val="22"/>
            <w:szCs w:val="22"/>
          </w:rPr>
          <w:t>Pfaffl</w:t>
        </w:r>
        <w:proofErr w:type="spellEnd"/>
        <w:r w:rsidRPr="00D371F2">
          <w:rPr>
            <w:rFonts w:asciiTheme="majorHAnsi" w:hAnsiTheme="majorHAnsi" w:cs="Arial"/>
            <w:color w:val="000000"/>
            <w:sz w:val="22"/>
            <w:szCs w:val="22"/>
          </w:rPr>
          <w:t xml:space="preserve"> MW. A new mathematical model for relative quantification in real-time RT-PCR. </w:t>
        </w:r>
        <w:r w:rsidRPr="00D371F2">
          <w:rPr>
            <w:rFonts w:asciiTheme="majorHAnsi" w:hAnsiTheme="majorHAnsi" w:cs="Arial"/>
            <w:i/>
            <w:iCs/>
            <w:color w:val="000000"/>
            <w:sz w:val="22"/>
            <w:szCs w:val="22"/>
          </w:rPr>
          <w:t>Nucleic Acids Res</w:t>
        </w:r>
        <w:r w:rsidRPr="00D371F2">
          <w:rPr>
            <w:rFonts w:asciiTheme="majorHAnsi" w:hAnsiTheme="majorHAnsi" w:cs="Arial"/>
            <w:color w:val="000000"/>
            <w:sz w:val="22"/>
            <w:szCs w:val="22"/>
          </w:rPr>
          <w:t xml:space="preserve"> 2001; </w:t>
        </w:r>
        <w:r w:rsidRPr="00D371F2">
          <w:rPr>
            <w:rFonts w:asciiTheme="majorHAnsi" w:hAnsiTheme="majorHAnsi" w:cs="Arial"/>
            <w:b/>
            <w:bCs/>
            <w:color w:val="000000"/>
            <w:sz w:val="22"/>
            <w:szCs w:val="22"/>
          </w:rPr>
          <w:t>29</w:t>
        </w:r>
        <w:r w:rsidRPr="00D371F2">
          <w:rPr>
            <w:rFonts w:asciiTheme="majorHAnsi" w:hAnsiTheme="majorHAnsi" w:cs="Arial"/>
            <w:color w:val="000000"/>
            <w:sz w:val="22"/>
            <w:szCs w:val="22"/>
          </w:rPr>
          <w:t>: e45.</w:t>
        </w:r>
      </w:hyperlink>
    </w:p>
    <w:p w14:paraId="6D1511F0" w14:textId="79BC517D" w:rsidR="00D21F84" w:rsidRPr="00D371F2" w:rsidRDefault="00D21F84" w:rsidP="00D21F84">
      <w:pPr>
        <w:spacing w:after="220"/>
        <w:ind w:left="284" w:hanging="440"/>
        <w:rPr>
          <w:rFonts w:asciiTheme="majorHAnsi" w:hAnsiTheme="majorHAnsi"/>
          <w:sz w:val="22"/>
          <w:szCs w:val="22"/>
        </w:rPr>
      </w:pPr>
      <w:r>
        <w:rPr>
          <w:rFonts w:asciiTheme="majorHAnsi" w:hAnsiTheme="majorHAnsi" w:cs="Arial"/>
          <w:color w:val="000000"/>
          <w:sz w:val="22"/>
          <w:szCs w:val="22"/>
        </w:rPr>
        <w:t>2.</w:t>
      </w:r>
      <w:r w:rsidRPr="00D371F2">
        <w:rPr>
          <w:rFonts w:asciiTheme="majorHAnsi" w:hAnsiTheme="majorHAnsi" w:cs="Arial"/>
          <w:color w:val="000000"/>
          <w:sz w:val="22"/>
          <w:szCs w:val="22"/>
        </w:rPr>
        <w:t xml:space="preserve"> </w:t>
      </w:r>
      <w:r w:rsidRPr="00D371F2">
        <w:rPr>
          <w:rFonts w:asciiTheme="majorHAnsi" w:hAnsiTheme="majorHAnsi" w:cs="Arial"/>
          <w:color w:val="000000"/>
          <w:sz w:val="22"/>
          <w:szCs w:val="22"/>
        </w:rPr>
        <w:tab/>
      </w:r>
      <w:hyperlink r:id="rId7" w:history="1">
        <w:proofErr w:type="spellStart"/>
        <w:r w:rsidRPr="00D371F2">
          <w:rPr>
            <w:rFonts w:asciiTheme="majorHAnsi" w:hAnsiTheme="majorHAnsi" w:cs="Arial"/>
            <w:color w:val="000000"/>
            <w:sz w:val="22"/>
            <w:szCs w:val="22"/>
          </w:rPr>
          <w:t>Schindelin</w:t>
        </w:r>
        <w:proofErr w:type="spellEnd"/>
        <w:r w:rsidRPr="00D371F2">
          <w:rPr>
            <w:rFonts w:asciiTheme="majorHAnsi" w:hAnsiTheme="majorHAnsi" w:cs="Arial"/>
            <w:color w:val="000000"/>
            <w:sz w:val="22"/>
            <w:szCs w:val="22"/>
          </w:rPr>
          <w:t xml:space="preserve"> J </w:t>
        </w:r>
        <w:r w:rsidRPr="00D371F2">
          <w:rPr>
            <w:rFonts w:asciiTheme="majorHAnsi" w:hAnsiTheme="majorHAnsi" w:cs="Arial"/>
            <w:i/>
            <w:iCs/>
            <w:color w:val="000000"/>
            <w:sz w:val="22"/>
            <w:szCs w:val="22"/>
          </w:rPr>
          <w:t>et al.</w:t>
        </w:r>
        <w:r w:rsidRPr="00D371F2">
          <w:rPr>
            <w:rFonts w:asciiTheme="majorHAnsi" w:hAnsiTheme="majorHAnsi" w:cs="Arial"/>
            <w:color w:val="000000"/>
            <w:sz w:val="22"/>
            <w:szCs w:val="22"/>
          </w:rPr>
          <w:t xml:space="preserve"> Fiji: an open-source platform for biological-image analysis. </w:t>
        </w:r>
        <w:r w:rsidRPr="00D371F2">
          <w:rPr>
            <w:rFonts w:asciiTheme="majorHAnsi" w:hAnsiTheme="majorHAnsi" w:cs="Arial"/>
            <w:i/>
            <w:iCs/>
            <w:color w:val="000000"/>
            <w:sz w:val="22"/>
            <w:szCs w:val="22"/>
          </w:rPr>
          <w:t>Nat Methods</w:t>
        </w:r>
        <w:r w:rsidRPr="00D371F2">
          <w:rPr>
            <w:rFonts w:asciiTheme="majorHAnsi" w:hAnsiTheme="majorHAnsi" w:cs="Arial"/>
            <w:color w:val="000000"/>
            <w:sz w:val="22"/>
            <w:szCs w:val="22"/>
          </w:rPr>
          <w:t xml:space="preserve"> 2012; </w:t>
        </w:r>
        <w:r w:rsidRPr="00D371F2">
          <w:rPr>
            <w:rFonts w:asciiTheme="majorHAnsi" w:hAnsiTheme="majorHAnsi" w:cs="Arial"/>
            <w:b/>
            <w:bCs/>
            <w:color w:val="000000"/>
            <w:sz w:val="22"/>
            <w:szCs w:val="22"/>
          </w:rPr>
          <w:t>9</w:t>
        </w:r>
        <w:r w:rsidRPr="00D371F2">
          <w:rPr>
            <w:rFonts w:asciiTheme="majorHAnsi" w:hAnsiTheme="majorHAnsi" w:cs="Arial"/>
            <w:color w:val="000000"/>
            <w:sz w:val="22"/>
            <w:szCs w:val="22"/>
          </w:rPr>
          <w:t>: 676–682.</w:t>
        </w:r>
      </w:hyperlink>
    </w:p>
    <w:p w14:paraId="21DACB2F" w14:textId="291022AF" w:rsidR="00D21F84" w:rsidRPr="00D371F2" w:rsidRDefault="00D21F84" w:rsidP="00D21F84">
      <w:pPr>
        <w:spacing w:after="220"/>
        <w:ind w:left="284" w:hanging="440"/>
        <w:rPr>
          <w:rFonts w:asciiTheme="majorHAnsi" w:hAnsiTheme="majorHAnsi"/>
          <w:sz w:val="22"/>
          <w:szCs w:val="22"/>
        </w:rPr>
      </w:pPr>
      <w:r>
        <w:rPr>
          <w:rFonts w:asciiTheme="majorHAnsi" w:hAnsiTheme="majorHAnsi" w:cs="Arial"/>
          <w:color w:val="000000"/>
          <w:sz w:val="22"/>
          <w:szCs w:val="22"/>
        </w:rPr>
        <w:lastRenderedPageBreak/>
        <w:t>3.</w:t>
      </w:r>
      <w:r w:rsidRPr="00D371F2">
        <w:rPr>
          <w:rFonts w:asciiTheme="majorHAnsi" w:hAnsiTheme="majorHAnsi" w:cs="Arial"/>
          <w:color w:val="000000"/>
          <w:sz w:val="22"/>
          <w:szCs w:val="22"/>
        </w:rPr>
        <w:t xml:space="preserve"> </w:t>
      </w:r>
      <w:r w:rsidRPr="00D371F2">
        <w:rPr>
          <w:rFonts w:asciiTheme="majorHAnsi" w:hAnsiTheme="majorHAnsi" w:cs="Arial"/>
          <w:color w:val="000000"/>
          <w:sz w:val="22"/>
          <w:szCs w:val="22"/>
        </w:rPr>
        <w:tab/>
      </w:r>
      <w:hyperlink r:id="rId8" w:history="1">
        <w:r w:rsidRPr="00D21F84">
          <w:rPr>
            <w:rFonts w:asciiTheme="majorHAnsi" w:hAnsiTheme="majorHAnsi" w:cs="Arial"/>
            <w:color w:val="000000"/>
            <w:sz w:val="22"/>
            <w:szCs w:val="22"/>
            <w:lang w:val="es-ES"/>
          </w:rPr>
          <w:t xml:space="preserve">Di Cristo G </w:t>
        </w:r>
        <w:r w:rsidRPr="00D21F84">
          <w:rPr>
            <w:rFonts w:asciiTheme="majorHAnsi" w:hAnsiTheme="majorHAnsi" w:cs="Arial"/>
            <w:i/>
            <w:iCs/>
            <w:color w:val="000000"/>
            <w:sz w:val="22"/>
            <w:szCs w:val="22"/>
            <w:lang w:val="es-ES"/>
          </w:rPr>
          <w:t>et al.</w:t>
        </w:r>
        <w:r w:rsidRPr="00D21F84">
          <w:rPr>
            <w:rFonts w:asciiTheme="majorHAnsi" w:hAnsiTheme="majorHAnsi" w:cs="Arial"/>
            <w:color w:val="000000"/>
            <w:sz w:val="22"/>
            <w:szCs w:val="22"/>
            <w:lang w:val="es-ES"/>
          </w:rPr>
          <w:t xml:space="preserve"> </w:t>
        </w:r>
        <w:r w:rsidRPr="00D371F2">
          <w:rPr>
            <w:rFonts w:asciiTheme="majorHAnsi" w:hAnsiTheme="majorHAnsi" w:cs="Arial"/>
            <w:color w:val="000000"/>
            <w:sz w:val="22"/>
            <w:szCs w:val="22"/>
          </w:rPr>
          <w:t xml:space="preserve">Activity-dependent PSA expression regulates inhibitory maturation and onset of critical period plasticity. Nature Neuroscience. 2007; </w:t>
        </w:r>
        <w:r w:rsidRPr="00D371F2">
          <w:rPr>
            <w:rFonts w:asciiTheme="majorHAnsi" w:hAnsiTheme="majorHAnsi" w:cs="Arial"/>
            <w:b/>
            <w:bCs/>
            <w:color w:val="000000"/>
            <w:sz w:val="22"/>
            <w:szCs w:val="22"/>
          </w:rPr>
          <w:t>10</w:t>
        </w:r>
        <w:r w:rsidRPr="00D371F2">
          <w:rPr>
            <w:rFonts w:asciiTheme="majorHAnsi" w:hAnsiTheme="majorHAnsi" w:cs="Arial"/>
            <w:color w:val="000000"/>
            <w:sz w:val="22"/>
            <w:szCs w:val="22"/>
          </w:rPr>
          <w:t>: 1569–1577.</w:t>
        </w:r>
      </w:hyperlink>
    </w:p>
    <w:p w14:paraId="338EFBD5" w14:textId="77777777" w:rsidR="00D21F84" w:rsidRPr="00C81651" w:rsidRDefault="00D21F84" w:rsidP="00261C92">
      <w:pPr>
        <w:spacing w:line="480" w:lineRule="auto"/>
        <w:jc w:val="both"/>
        <w:rPr>
          <w:rFonts w:asciiTheme="minorHAnsi" w:hAnsiTheme="minorHAnsi" w:cstheme="minorHAnsi"/>
          <w:b/>
          <w:sz w:val="22"/>
          <w:szCs w:val="22"/>
          <w:u w:val="single"/>
        </w:rPr>
      </w:pPr>
    </w:p>
    <w:p w14:paraId="0B741C03" w14:textId="6B0F5CDA" w:rsidR="00261C92" w:rsidRPr="00C81651" w:rsidRDefault="00261C92" w:rsidP="00261C92">
      <w:pPr>
        <w:spacing w:line="480" w:lineRule="auto"/>
        <w:jc w:val="both"/>
        <w:rPr>
          <w:rFonts w:asciiTheme="minorHAnsi" w:hAnsiTheme="minorHAnsi" w:cstheme="minorHAnsi"/>
          <w:b/>
          <w:sz w:val="22"/>
          <w:szCs w:val="22"/>
          <w:u w:val="single"/>
        </w:rPr>
      </w:pPr>
      <w:r w:rsidRPr="00C81651">
        <w:rPr>
          <w:rFonts w:asciiTheme="minorHAnsi" w:hAnsiTheme="minorHAnsi" w:cstheme="minorHAnsi"/>
          <w:b/>
          <w:sz w:val="22"/>
          <w:szCs w:val="22"/>
          <w:u w:val="single"/>
        </w:rPr>
        <w:t>SUPPLEMENTARY FIGURE LEGENDS AND TABLES</w:t>
      </w:r>
    </w:p>
    <w:p w14:paraId="00636560" w14:textId="77777777" w:rsidR="00261C92" w:rsidRPr="00C81651" w:rsidRDefault="00261C92" w:rsidP="00261C92">
      <w:pPr>
        <w:spacing w:line="480" w:lineRule="auto"/>
        <w:jc w:val="both"/>
        <w:rPr>
          <w:rFonts w:asciiTheme="minorHAnsi" w:hAnsiTheme="minorHAnsi" w:cstheme="minorHAnsi"/>
          <w:b/>
          <w:sz w:val="22"/>
          <w:szCs w:val="22"/>
        </w:rPr>
      </w:pPr>
      <w:r w:rsidRPr="00C81651">
        <w:rPr>
          <w:rFonts w:asciiTheme="minorHAnsi" w:hAnsiTheme="minorHAnsi" w:cstheme="minorHAnsi"/>
          <w:b/>
          <w:sz w:val="22"/>
          <w:szCs w:val="22"/>
        </w:rPr>
        <w:t>SUPPLEMENTARY FIGURE LEGENDS</w:t>
      </w:r>
    </w:p>
    <w:p w14:paraId="7392181D" w14:textId="7053B5C2" w:rsidR="00BF58E7" w:rsidRPr="00C81651" w:rsidRDefault="00261C92" w:rsidP="00261C92">
      <w:pPr>
        <w:spacing w:line="480" w:lineRule="auto"/>
        <w:jc w:val="both"/>
        <w:rPr>
          <w:rFonts w:asciiTheme="minorHAnsi" w:hAnsiTheme="minorHAnsi" w:cstheme="minorHAnsi"/>
          <w:b/>
          <w:sz w:val="22"/>
          <w:szCs w:val="22"/>
        </w:rPr>
      </w:pPr>
      <w:r w:rsidRPr="00C81651">
        <w:rPr>
          <w:rFonts w:asciiTheme="minorHAnsi" w:hAnsiTheme="minorHAnsi" w:cstheme="minorHAnsi"/>
          <w:b/>
          <w:sz w:val="22"/>
          <w:szCs w:val="22"/>
        </w:rPr>
        <w:t xml:space="preserve">Figure S1. Schematic representation of the experimental design. </w:t>
      </w:r>
      <w:r w:rsidR="009D7CBE" w:rsidRPr="00C81651">
        <w:rPr>
          <w:rFonts w:asciiTheme="minorHAnsi" w:hAnsiTheme="minorHAnsi" w:cstheme="minorHAnsi"/>
          <w:sz w:val="22"/>
          <w:szCs w:val="22"/>
        </w:rPr>
        <w:t>A</w:t>
      </w:r>
      <w:r w:rsidR="00BF58E7" w:rsidRPr="00C81651">
        <w:rPr>
          <w:rFonts w:asciiTheme="minorHAnsi" w:hAnsiTheme="minorHAnsi" w:cstheme="minorHAnsi"/>
          <w:sz w:val="22"/>
          <w:szCs w:val="22"/>
        </w:rPr>
        <w:t xml:space="preserve">bbreviations: P, postnatal; </w:t>
      </w:r>
      <w:r w:rsidR="00FE0FED" w:rsidRPr="00C81651">
        <w:rPr>
          <w:rFonts w:asciiTheme="minorHAnsi" w:hAnsiTheme="minorHAnsi" w:cstheme="minorHAnsi"/>
          <w:sz w:val="22"/>
          <w:szCs w:val="22"/>
        </w:rPr>
        <w:t xml:space="preserve">CTRL, control group; DHM, “double-hit” model; VEH, vehicle; THC, </w:t>
      </w:r>
      <w:r w:rsidR="00FE0FED" w:rsidRPr="00C81651">
        <w:rPr>
          <w:rFonts w:asciiTheme="minorHAnsi" w:hAnsiTheme="minorHAnsi" w:cstheme="minorHAnsi"/>
          <w:sz w:val="22"/>
          <w:szCs w:val="22"/>
        </w:rPr>
        <w:sym w:font="Symbol" w:char="F044"/>
      </w:r>
      <w:r w:rsidR="00FE0FED" w:rsidRPr="00C81651">
        <w:rPr>
          <w:rFonts w:asciiTheme="minorHAnsi" w:hAnsiTheme="minorHAnsi" w:cstheme="minorHAnsi"/>
          <w:sz w:val="22"/>
          <w:szCs w:val="22"/>
        </w:rPr>
        <w:t xml:space="preserve">-9-tetrahydrocannabinol; </w:t>
      </w:r>
      <w:r w:rsidR="00D1681C" w:rsidRPr="00C81651">
        <w:rPr>
          <w:rFonts w:asciiTheme="minorHAnsi" w:hAnsiTheme="minorHAnsi" w:cstheme="minorHAnsi"/>
          <w:sz w:val="22"/>
          <w:szCs w:val="22"/>
        </w:rPr>
        <w:t xml:space="preserve">PPI, prepulse inhibition of startle reflex; </w:t>
      </w:r>
      <w:proofErr w:type="spellStart"/>
      <w:r w:rsidR="00FE0FED" w:rsidRPr="00C81651">
        <w:rPr>
          <w:rFonts w:asciiTheme="minorHAnsi" w:hAnsiTheme="minorHAnsi" w:cstheme="minorHAnsi"/>
          <w:sz w:val="22"/>
          <w:szCs w:val="22"/>
        </w:rPr>
        <w:t>Hab</w:t>
      </w:r>
      <w:proofErr w:type="spellEnd"/>
      <w:r w:rsidR="00FE0FED" w:rsidRPr="00C81651">
        <w:rPr>
          <w:rFonts w:asciiTheme="minorHAnsi" w:hAnsiTheme="minorHAnsi" w:cstheme="minorHAnsi"/>
          <w:sz w:val="22"/>
          <w:szCs w:val="22"/>
        </w:rPr>
        <w:t>, habituation.</w:t>
      </w:r>
    </w:p>
    <w:p w14:paraId="05FE4049" w14:textId="77777777" w:rsidR="00261C92" w:rsidRPr="00C81651" w:rsidRDefault="00261C92" w:rsidP="00261C92">
      <w:pPr>
        <w:spacing w:after="240" w:line="480" w:lineRule="auto"/>
        <w:rPr>
          <w:rFonts w:asciiTheme="minorHAnsi" w:hAnsiTheme="minorHAnsi" w:cstheme="minorHAnsi"/>
          <w:b/>
          <w:sz w:val="22"/>
          <w:szCs w:val="22"/>
        </w:rPr>
      </w:pPr>
    </w:p>
    <w:p w14:paraId="05F4D1B4" w14:textId="77777777" w:rsidR="00261C92" w:rsidRPr="00C81651" w:rsidRDefault="00261C92" w:rsidP="00261C92">
      <w:pPr>
        <w:spacing w:after="240" w:line="480" w:lineRule="auto"/>
        <w:rPr>
          <w:rFonts w:asciiTheme="minorHAnsi" w:hAnsiTheme="minorHAnsi" w:cstheme="minorHAnsi"/>
          <w:bCs/>
          <w:sz w:val="22"/>
          <w:szCs w:val="22"/>
        </w:rPr>
      </w:pPr>
      <w:r w:rsidRPr="00C81651">
        <w:rPr>
          <w:rFonts w:asciiTheme="minorHAnsi" w:hAnsiTheme="minorHAnsi" w:cstheme="minorHAnsi"/>
          <w:b/>
          <w:sz w:val="22"/>
          <w:szCs w:val="22"/>
        </w:rPr>
        <w:t xml:space="preserve">Figure S2. Gene expression studies in the mPFC. </w:t>
      </w:r>
      <w:r w:rsidRPr="00C81651">
        <w:rPr>
          <w:rFonts w:asciiTheme="minorHAnsi" w:hAnsiTheme="minorHAnsi" w:cstheme="minorHAnsi"/>
          <w:sz w:val="22"/>
          <w:szCs w:val="22"/>
        </w:rPr>
        <w:t xml:space="preserve">Graphs representing mRNA fold change (A-E).  Data analyses show statistically differences in the expression of GAD67 (A) due to DHM. No differences in the expression of CB1R (B), ErbB4 (C), STS8sia II (D) and STS8siaIV (E) after two-way ANOVA test. p&lt;0.05 (*).  Bars represent the mean ± S.E.M. </w:t>
      </w:r>
      <w:r w:rsidRPr="00C81651">
        <w:rPr>
          <w:rFonts w:asciiTheme="minorHAnsi" w:hAnsiTheme="minorHAnsi" w:cstheme="minorHAnsi"/>
          <w:bCs/>
          <w:sz w:val="22"/>
          <w:szCs w:val="22"/>
        </w:rPr>
        <w:t>n=8 animals/group</w:t>
      </w:r>
    </w:p>
    <w:p w14:paraId="1C1DA623" w14:textId="77777777" w:rsidR="00261C92" w:rsidRPr="00C81651" w:rsidRDefault="00261C92" w:rsidP="00261C92">
      <w:pPr>
        <w:spacing w:line="480" w:lineRule="auto"/>
        <w:jc w:val="both"/>
        <w:rPr>
          <w:rFonts w:asciiTheme="minorHAnsi" w:hAnsiTheme="minorHAnsi" w:cstheme="minorHAnsi"/>
          <w:bCs/>
          <w:sz w:val="22"/>
          <w:szCs w:val="22"/>
        </w:rPr>
      </w:pPr>
      <w:r w:rsidRPr="00C81651">
        <w:rPr>
          <w:rFonts w:asciiTheme="minorHAnsi" w:hAnsiTheme="minorHAnsi" w:cstheme="minorHAnsi"/>
          <w:b/>
          <w:sz w:val="22"/>
          <w:szCs w:val="22"/>
        </w:rPr>
        <w:t xml:space="preserve">Figure S3. Volumetric analysis of the mPFC. </w:t>
      </w:r>
      <w:r w:rsidRPr="00C81651">
        <w:rPr>
          <w:rFonts w:asciiTheme="minorHAnsi" w:hAnsiTheme="minorHAnsi" w:cstheme="minorHAnsi"/>
          <w:sz w:val="22"/>
          <w:szCs w:val="22"/>
        </w:rPr>
        <w:t xml:space="preserve">Graphs representing the volume of the prelimbic (A) infralimbic (B) and cingulate, area 1 (Cg1) (C) cortices. Volumetric analysis shows a decrease in the volume of Cg1 in DHM mice. Asterisks represent statistically significant effects after two-way ANOVA analysis. p&lt;0.001 (***). Bars represent the mean ± S.E.M. </w:t>
      </w:r>
      <w:r w:rsidRPr="00C81651">
        <w:rPr>
          <w:rFonts w:asciiTheme="minorHAnsi" w:hAnsiTheme="minorHAnsi" w:cstheme="minorHAnsi"/>
          <w:bCs/>
          <w:sz w:val="22"/>
          <w:szCs w:val="22"/>
        </w:rPr>
        <w:t>n=6 animals/group.</w:t>
      </w:r>
    </w:p>
    <w:p w14:paraId="387B5E25" w14:textId="77777777" w:rsidR="00261C92" w:rsidRPr="00C81651" w:rsidRDefault="00261C92" w:rsidP="00261C92">
      <w:pPr>
        <w:spacing w:line="480" w:lineRule="auto"/>
        <w:jc w:val="both"/>
        <w:rPr>
          <w:rFonts w:asciiTheme="minorHAnsi" w:hAnsiTheme="minorHAnsi" w:cstheme="minorHAnsi"/>
          <w:b/>
          <w:sz w:val="22"/>
          <w:szCs w:val="22"/>
        </w:rPr>
      </w:pPr>
    </w:p>
    <w:p w14:paraId="6FD77DCA" w14:textId="77777777" w:rsidR="00261C92" w:rsidRPr="00C81651" w:rsidRDefault="00261C92" w:rsidP="00261C92">
      <w:pPr>
        <w:spacing w:line="480" w:lineRule="auto"/>
        <w:jc w:val="both"/>
        <w:rPr>
          <w:rFonts w:asciiTheme="minorHAnsi" w:hAnsiTheme="minorHAnsi" w:cstheme="minorHAnsi"/>
          <w:sz w:val="22"/>
          <w:szCs w:val="22"/>
        </w:rPr>
      </w:pPr>
      <w:r w:rsidRPr="00C81651">
        <w:rPr>
          <w:rFonts w:asciiTheme="minorHAnsi" w:hAnsiTheme="minorHAnsi" w:cstheme="minorHAnsi"/>
          <w:b/>
          <w:sz w:val="22"/>
          <w:szCs w:val="22"/>
        </w:rPr>
        <w:t xml:space="preserve">Figure S4. Dendritic spine density in interneurons of the prefrontal cortex. </w:t>
      </w:r>
      <w:r w:rsidRPr="00C81651">
        <w:rPr>
          <w:rFonts w:asciiTheme="minorHAnsi" w:hAnsiTheme="minorHAnsi" w:cstheme="minorHAnsi"/>
          <w:sz w:val="22"/>
          <w:szCs w:val="22"/>
        </w:rPr>
        <w:t>A-D)</w:t>
      </w:r>
      <w:r w:rsidRPr="00C81651">
        <w:rPr>
          <w:rFonts w:asciiTheme="minorHAnsi" w:hAnsiTheme="minorHAnsi" w:cstheme="minorHAnsi"/>
          <w:b/>
          <w:sz w:val="22"/>
          <w:szCs w:val="22"/>
        </w:rPr>
        <w:t xml:space="preserve"> </w:t>
      </w:r>
      <w:r w:rsidRPr="00C81651">
        <w:rPr>
          <w:rFonts w:asciiTheme="minorHAnsi" w:hAnsiTheme="minorHAnsi" w:cstheme="minorHAnsi"/>
          <w:sz w:val="22"/>
          <w:szCs w:val="22"/>
        </w:rPr>
        <w:t>Representative image of spiny dendrites from GAD-EGFP expressing interneurons. E &amp; F) Analysis of the dendritic spine density in total 150 μm (E) and in the 3 different 50 μm segments (F). Graph shows no differences due to model and administration factors after two-way ANOVA analysis. Bars represent mean ± S.E.M. Scale bar: 5μm and 1.7 μm for the detail. n=6 animals/group</w:t>
      </w:r>
    </w:p>
    <w:p w14:paraId="3901B21C" w14:textId="77777777" w:rsidR="00261C92" w:rsidRPr="00C81651" w:rsidRDefault="00261C92" w:rsidP="00261C92">
      <w:pPr>
        <w:spacing w:line="480" w:lineRule="auto"/>
        <w:jc w:val="both"/>
        <w:rPr>
          <w:rFonts w:asciiTheme="minorHAnsi" w:hAnsiTheme="minorHAnsi" w:cstheme="minorHAnsi"/>
          <w:b/>
          <w:sz w:val="22"/>
          <w:szCs w:val="22"/>
        </w:rPr>
      </w:pPr>
    </w:p>
    <w:p w14:paraId="111A9C3D" w14:textId="77777777" w:rsidR="00261C92" w:rsidRPr="00C81651" w:rsidRDefault="00261C92" w:rsidP="00261C92">
      <w:pPr>
        <w:spacing w:line="480" w:lineRule="auto"/>
        <w:jc w:val="both"/>
        <w:rPr>
          <w:rFonts w:asciiTheme="minorHAnsi" w:eastAsia="Times New Roman" w:hAnsiTheme="minorHAnsi" w:cstheme="minorHAnsi"/>
          <w:b/>
        </w:rPr>
      </w:pPr>
      <w:r w:rsidRPr="00C81651">
        <w:rPr>
          <w:rFonts w:asciiTheme="minorHAnsi" w:hAnsiTheme="minorHAnsi" w:cstheme="minorHAnsi"/>
          <w:b/>
          <w:sz w:val="22"/>
          <w:szCs w:val="22"/>
        </w:rPr>
        <w:t xml:space="preserve">Figure S5. Analysis of the perisomatic puncta on pyramidal neurons of the cingulate area 1, infralimbic and prelimbic cortices. </w:t>
      </w:r>
      <w:r w:rsidRPr="00C81651">
        <w:rPr>
          <w:rFonts w:asciiTheme="minorHAnsi" w:hAnsiTheme="minorHAnsi" w:cstheme="minorHAnsi"/>
          <w:bCs/>
          <w:sz w:val="22"/>
          <w:szCs w:val="22"/>
        </w:rPr>
        <w:t xml:space="preserve">A1-D1) Confocal planes of the cingulate cortex, area 1 of the </w:t>
      </w:r>
      <w:r w:rsidRPr="00C81651">
        <w:rPr>
          <w:rFonts w:asciiTheme="minorHAnsi" w:hAnsiTheme="minorHAnsi" w:cstheme="minorHAnsi"/>
          <w:bCs/>
          <w:sz w:val="22"/>
          <w:szCs w:val="22"/>
        </w:rPr>
        <w:lastRenderedPageBreak/>
        <w:t xml:space="preserve">different experimental groups showing SYN and CB1R immunoreactive puncta surrounding CAMKII expressing somata. A2-D2) CaMKII, A3-D3) CB1r and A4-D4) SYN expression in CTRL and DHM animals after the administration of VEH or THC.  Graphs representing the density of perisomatic puncta (puncta/mm) expressing SYN, CB1r and its co-localization in the cingulate cortex, area 1 (E), prelimbic cortex (F) and infralimbic cortex (G). Black asterisk and lines in graphs represent main effects after two-way ANOVA analysis, black asterisk and dashed line represent interaction after two-way ANOVA analysis and grey symbols and lines represent statistically significant differences among groups after </w:t>
      </w:r>
      <w:r w:rsidRPr="00C81651">
        <w:rPr>
          <w:rFonts w:asciiTheme="minorHAnsi" w:hAnsiTheme="minorHAnsi" w:cstheme="minorHAnsi"/>
          <w:bCs/>
          <w:i/>
          <w:sz w:val="22"/>
          <w:szCs w:val="22"/>
        </w:rPr>
        <w:t>post-hoc</w:t>
      </w:r>
      <w:r w:rsidRPr="00C81651">
        <w:rPr>
          <w:rFonts w:asciiTheme="minorHAnsi" w:hAnsiTheme="minorHAnsi" w:cstheme="minorHAnsi"/>
          <w:bCs/>
          <w:sz w:val="22"/>
          <w:szCs w:val="22"/>
        </w:rPr>
        <w:t xml:space="preserve"> analyses, p&lt;0.05 (*). Bars represent the mean ± S.E.M. Scale bar: 2 μm. n=6 animals/group.</w:t>
      </w:r>
    </w:p>
    <w:p w14:paraId="44E88F40" w14:textId="77777777" w:rsidR="00261C92" w:rsidRPr="00C81651" w:rsidRDefault="00261C92" w:rsidP="00261C92">
      <w:pPr>
        <w:spacing w:line="480" w:lineRule="auto"/>
        <w:jc w:val="both"/>
        <w:rPr>
          <w:rFonts w:asciiTheme="minorHAnsi" w:hAnsiTheme="minorHAnsi" w:cstheme="minorHAnsi"/>
          <w:b/>
          <w:sz w:val="22"/>
          <w:szCs w:val="22"/>
        </w:rPr>
      </w:pPr>
    </w:p>
    <w:p w14:paraId="28CC61D8" w14:textId="77777777" w:rsidR="00261C92" w:rsidRPr="00C81651" w:rsidRDefault="00261C92" w:rsidP="00261C92">
      <w:pPr>
        <w:spacing w:line="480" w:lineRule="auto"/>
        <w:jc w:val="both"/>
        <w:rPr>
          <w:rFonts w:asciiTheme="minorHAnsi" w:eastAsia="Times New Roman" w:hAnsiTheme="minorHAnsi" w:cstheme="minorHAnsi"/>
        </w:rPr>
      </w:pPr>
      <w:r w:rsidRPr="00C81651">
        <w:rPr>
          <w:rFonts w:asciiTheme="minorHAnsi" w:hAnsiTheme="minorHAnsi" w:cstheme="minorHAnsi"/>
          <w:b/>
          <w:sz w:val="22"/>
          <w:szCs w:val="22"/>
        </w:rPr>
        <w:t xml:space="preserve">Figure S6. Analysis of the density of PV-immunoreactive neurons and PNNs in Cg1 </w:t>
      </w:r>
      <w:r w:rsidRPr="00C81651">
        <w:rPr>
          <w:rFonts w:asciiTheme="minorHAnsi" w:hAnsiTheme="minorHAnsi" w:cstheme="minorHAnsi"/>
          <w:sz w:val="22"/>
          <w:szCs w:val="22"/>
        </w:rPr>
        <w:t>cortex. A1, representative confocal images showing the distribution of PV (red) and PNNs (blue) in the Cg1 cortex. A2-A5 show in detail the co-localization between PV-expressing cells and PNNs.  The histogram in B shows the density of PV-expressing cells, the density of PNNs and PV-PNN co-localization in CTRL and DHM animals after administration (VEH or THC) in Cg1 cortex. The columns represent the mean ± S.E.M of cell density (cells/mm</w:t>
      </w:r>
      <w:r w:rsidRPr="00C81651">
        <w:rPr>
          <w:rFonts w:asciiTheme="minorHAnsi" w:hAnsiTheme="minorHAnsi" w:cstheme="minorHAnsi"/>
          <w:sz w:val="13"/>
          <w:szCs w:val="13"/>
          <w:vertAlign w:val="superscript"/>
        </w:rPr>
        <w:t>2</w:t>
      </w:r>
      <w:r w:rsidRPr="00C81651">
        <w:rPr>
          <w:rFonts w:asciiTheme="minorHAnsi" w:hAnsiTheme="minorHAnsi" w:cstheme="minorHAnsi"/>
          <w:sz w:val="22"/>
          <w:szCs w:val="22"/>
        </w:rPr>
        <w:t>). Scale bar: 87 μm for A1; detailed view (A2-A5), 13,5 μm. n=6 animals/group.</w:t>
      </w:r>
    </w:p>
    <w:p w14:paraId="43D25BE8" w14:textId="77777777" w:rsidR="00261C92" w:rsidRPr="00C81651" w:rsidRDefault="00261C92" w:rsidP="00261C92">
      <w:pPr>
        <w:jc w:val="both"/>
        <w:rPr>
          <w:rFonts w:asciiTheme="minorHAnsi" w:hAnsiTheme="minorHAnsi" w:cstheme="minorHAnsi"/>
          <w:b/>
        </w:rPr>
      </w:pPr>
    </w:p>
    <w:p w14:paraId="781CB536" w14:textId="77777777" w:rsidR="00261C92" w:rsidRPr="00C81651" w:rsidRDefault="00261C92" w:rsidP="00261C92">
      <w:pPr>
        <w:jc w:val="both"/>
        <w:rPr>
          <w:rFonts w:asciiTheme="minorHAnsi" w:hAnsiTheme="minorHAnsi" w:cstheme="minorHAnsi"/>
          <w:b/>
        </w:rPr>
      </w:pPr>
      <w:r w:rsidRPr="00C81651">
        <w:rPr>
          <w:rFonts w:asciiTheme="minorHAnsi" w:hAnsiTheme="minorHAnsi" w:cstheme="minorHAnsi"/>
        </w:rPr>
        <w:br w:type="page"/>
      </w:r>
    </w:p>
    <w:p w14:paraId="0060C1F8" w14:textId="77777777" w:rsidR="00261C92" w:rsidRPr="00C81651" w:rsidRDefault="00261C92" w:rsidP="00261C92">
      <w:pPr>
        <w:spacing w:line="480" w:lineRule="auto"/>
        <w:jc w:val="both"/>
        <w:rPr>
          <w:rFonts w:asciiTheme="minorHAnsi" w:hAnsiTheme="minorHAnsi" w:cstheme="minorHAnsi"/>
          <w:b/>
          <w:sz w:val="22"/>
          <w:szCs w:val="22"/>
        </w:rPr>
      </w:pPr>
      <w:r w:rsidRPr="00C81651">
        <w:rPr>
          <w:rFonts w:asciiTheme="minorHAnsi" w:hAnsiTheme="minorHAnsi" w:cstheme="minorHAnsi"/>
          <w:b/>
          <w:sz w:val="22"/>
          <w:szCs w:val="22"/>
        </w:rPr>
        <w:lastRenderedPageBreak/>
        <w:t>SUPPLEMENTARY TABLES</w:t>
      </w:r>
    </w:p>
    <w:p w14:paraId="1AFE098F" w14:textId="77777777" w:rsidR="00261C92" w:rsidRPr="00C81651" w:rsidRDefault="00261C92" w:rsidP="00261C92">
      <w:pPr>
        <w:jc w:val="both"/>
        <w:rPr>
          <w:rFonts w:asciiTheme="minorHAnsi" w:eastAsia="Times New Roman" w:hAnsiTheme="minorHAnsi" w:cstheme="minorHAnsi"/>
        </w:rPr>
      </w:pPr>
      <w:r w:rsidRPr="00C81651">
        <w:rPr>
          <w:rFonts w:asciiTheme="minorHAnsi" w:hAnsiTheme="minorHAnsi" w:cstheme="minorHAnsi"/>
          <w:b/>
        </w:rPr>
        <w:t xml:space="preserve">Table S1. </w:t>
      </w:r>
      <w:r w:rsidRPr="00C81651">
        <w:rPr>
          <w:rFonts w:asciiTheme="minorHAnsi" w:hAnsiTheme="minorHAnsi" w:cstheme="minorHAnsi"/>
        </w:rPr>
        <w:t xml:space="preserve">Sequences of gene specific primers and associated amplicon lengths for </w:t>
      </w:r>
      <w:proofErr w:type="spellStart"/>
      <w:r w:rsidRPr="00C81651">
        <w:rPr>
          <w:rFonts w:asciiTheme="minorHAnsi" w:hAnsiTheme="minorHAnsi" w:cstheme="minorHAnsi"/>
        </w:rPr>
        <w:t>qRT</w:t>
      </w:r>
      <w:proofErr w:type="spellEnd"/>
      <w:r w:rsidRPr="00C81651">
        <w:rPr>
          <w:rFonts w:asciiTheme="minorHAnsi" w:hAnsiTheme="minorHAnsi" w:cstheme="minorHAnsi"/>
        </w:rPr>
        <w:t>-PCR. (1) Amplicon length in base pairs.</w:t>
      </w:r>
    </w:p>
    <w:p w14:paraId="1EC16AD9" w14:textId="77777777" w:rsidR="00261C92" w:rsidRPr="00C81651" w:rsidRDefault="00261C92" w:rsidP="00261C92">
      <w:pPr>
        <w:rPr>
          <w:rFonts w:asciiTheme="minorHAnsi" w:hAnsiTheme="minorHAnsi" w:cstheme="minorHAnsi"/>
          <w:b/>
        </w:rPr>
      </w:pPr>
    </w:p>
    <w:p w14:paraId="7D2CDC06" w14:textId="77777777" w:rsidR="00261C92" w:rsidRPr="00C81651" w:rsidRDefault="00261C92" w:rsidP="00261C92">
      <w:pPr>
        <w:rPr>
          <w:rFonts w:asciiTheme="minorHAnsi" w:eastAsia="Times New Roman" w:hAnsiTheme="minorHAnsi" w:cstheme="minorHAnsi"/>
        </w:rPr>
      </w:pPr>
    </w:p>
    <w:tbl>
      <w:tblPr>
        <w:tblW w:w="5665" w:type="dxa"/>
        <w:jc w:val="center"/>
        <w:tblLayout w:type="fixed"/>
        <w:tblLook w:val="0400" w:firstRow="0" w:lastRow="0" w:firstColumn="0" w:lastColumn="0" w:noHBand="0" w:noVBand="1"/>
      </w:tblPr>
      <w:tblGrid>
        <w:gridCol w:w="1004"/>
        <w:gridCol w:w="775"/>
        <w:gridCol w:w="2611"/>
        <w:gridCol w:w="1275"/>
      </w:tblGrid>
      <w:tr w:rsidR="009A1B4E" w:rsidRPr="00C81651" w14:paraId="0D0A100B" w14:textId="77777777" w:rsidTr="002840F1">
        <w:trPr>
          <w:trHeight w:val="680"/>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D01C02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Target gene</w:t>
            </w:r>
          </w:p>
        </w:tc>
        <w:tc>
          <w:tcPr>
            <w:tcW w:w="7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7364AB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Primers</w:t>
            </w:r>
          </w:p>
        </w:tc>
        <w:tc>
          <w:tcPr>
            <w:tcW w:w="2611"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8DC9263"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Sequence (5′ → 3′)</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0E8C63E"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Amplicon </w:t>
            </w:r>
            <w:proofErr w:type="gramStart"/>
            <w:r w:rsidRPr="00C81651">
              <w:rPr>
                <w:rFonts w:asciiTheme="minorHAnsi" w:hAnsiTheme="minorHAnsi" w:cstheme="minorHAnsi"/>
                <w:sz w:val="16"/>
                <w:szCs w:val="16"/>
              </w:rPr>
              <w:t>size</w:t>
            </w:r>
            <w:r w:rsidRPr="00C81651">
              <w:rPr>
                <w:rFonts w:asciiTheme="minorHAnsi" w:hAnsiTheme="minorHAnsi" w:cstheme="minorHAnsi"/>
                <w:sz w:val="10"/>
                <w:szCs w:val="10"/>
                <w:vertAlign w:val="superscript"/>
              </w:rPr>
              <w:t>(</w:t>
            </w:r>
            <w:proofErr w:type="gramEnd"/>
            <w:r w:rsidRPr="00C81651">
              <w:rPr>
                <w:rFonts w:asciiTheme="minorHAnsi" w:hAnsiTheme="minorHAnsi" w:cstheme="minorHAnsi"/>
                <w:sz w:val="10"/>
                <w:szCs w:val="10"/>
                <w:vertAlign w:val="superscript"/>
              </w:rPr>
              <w:t>1)</w:t>
            </w:r>
          </w:p>
        </w:tc>
      </w:tr>
      <w:tr w:rsidR="009A1B4E" w:rsidRPr="00C81651" w14:paraId="28FF2701" w14:textId="77777777" w:rsidTr="002840F1">
        <w:trPr>
          <w:trHeight w:val="300"/>
          <w:jc w:val="center"/>
        </w:trPr>
        <w:tc>
          <w:tcPr>
            <w:tcW w:w="10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62F77"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GAD67</w:t>
            </w: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27CE49"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Forward</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21892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CTGGAGCTGGCTGAATACCT</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96A33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120</w:t>
            </w:r>
          </w:p>
        </w:tc>
      </w:tr>
      <w:tr w:rsidR="009A1B4E" w:rsidRPr="00C81651" w14:paraId="683352CA" w14:textId="77777777" w:rsidTr="002840F1">
        <w:trPr>
          <w:trHeight w:val="300"/>
          <w:jc w:val="center"/>
        </w:trPr>
        <w:tc>
          <w:tcPr>
            <w:tcW w:w="10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881E8A"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8716C"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Reverse</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3F52E"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TCGGAGGCTTTGTGGTATGT</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11C158"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r>
      <w:tr w:rsidR="009A1B4E" w:rsidRPr="00C81651" w14:paraId="64A5FF75" w14:textId="77777777" w:rsidTr="002840F1">
        <w:trPr>
          <w:trHeight w:val="300"/>
          <w:jc w:val="center"/>
        </w:trPr>
        <w:tc>
          <w:tcPr>
            <w:tcW w:w="10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BF91C"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CB1r</w:t>
            </w: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065F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Forward</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A4707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TGTCCCTCACCCTGGGCACC</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ABCB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134</w:t>
            </w:r>
          </w:p>
        </w:tc>
      </w:tr>
      <w:tr w:rsidR="009A1B4E" w:rsidRPr="00C81651" w14:paraId="55D1624B" w14:textId="77777777" w:rsidTr="002840F1">
        <w:trPr>
          <w:trHeight w:val="300"/>
          <w:jc w:val="center"/>
        </w:trPr>
        <w:tc>
          <w:tcPr>
            <w:tcW w:w="10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622F0"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73F8E"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Reverse</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E19C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TCCCAGGAGATCGGCCACCG</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FD66A"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r>
      <w:tr w:rsidR="009A1B4E" w:rsidRPr="00C81651" w14:paraId="1F67B06F" w14:textId="77777777" w:rsidTr="002840F1">
        <w:trPr>
          <w:trHeight w:val="300"/>
          <w:jc w:val="center"/>
        </w:trPr>
        <w:tc>
          <w:tcPr>
            <w:tcW w:w="10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4C38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ErbB4</w:t>
            </w: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BD8AD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Forward</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849641"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CAGTCGCCCAGGGTGCAACG</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4F2E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133</w:t>
            </w:r>
          </w:p>
        </w:tc>
      </w:tr>
      <w:tr w:rsidR="009A1B4E" w:rsidRPr="00C81651" w14:paraId="09C730BE" w14:textId="77777777" w:rsidTr="002840F1">
        <w:trPr>
          <w:trHeight w:val="300"/>
          <w:jc w:val="center"/>
        </w:trPr>
        <w:tc>
          <w:tcPr>
            <w:tcW w:w="10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8596E"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BB943"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Reverse</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F132F"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GCGAACACTGTGGGGTCGGC</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FD5BA"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r>
      <w:tr w:rsidR="009A1B4E" w:rsidRPr="00C81651" w14:paraId="057C6656" w14:textId="77777777" w:rsidTr="002840F1">
        <w:trPr>
          <w:trHeight w:val="300"/>
          <w:jc w:val="center"/>
        </w:trPr>
        <w:tc>
          <w:tcPr>
            <w:tcW w:w="10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59947"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ST8SiaII</w:t>
            </w: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F611BC"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Forward</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13241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GGCAACTCAGGAGTCTTGCT</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BD16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123</w:t>
            </w:r>
          </w:p>
        </w:tc>
      </w:tr>
      <w:tr w:rsidR="009A1B4E" w:rsidRPr="00C81651" w14:paraId="3C7F469B" w14:textId="77777777" w:rsidTr="002840F1">
        <w:trPr>
          <w:trHeight w:val="300"/>
          <w:jc w:val="center"/>
        </w:trPr>
        <w:tc>
          <w:tcPr>
            <w:tcW w:w="10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6E9A88"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B0A1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Reverse</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F783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GTCAGTCTTGAGGCCCACAT</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2397B1"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r>
      <w:tr w:rsidR="009A1B4E" w:rsidRPr="00C81651" w14:paraId="46B70430" w14:textId="77777777" w:rsidTr="002840F1">
        <w:trPr>
          <w:trHeight w:val="300"/>
          <w:jc w:val="center"/>
        </w:trPr>
        <w:tc>
          <w:tcPr>
            <w:tcW w:w="10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C471F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ST8SiaIV</w:t>
            </w: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4D96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Forward</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5727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CCTTCATGGTCAAAGGAGGA</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58A4B"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125</w:t>
            </w:r>
          </w:p>
        </w:tc>
      </w:tr>
      <w:tr w:rsidR="009A1B4E" w:rsidRPr="00C81651" w14:paraId="14736173" w14:textId="77777777" w:rsidTr="002840F1">
        <w:trPr>
          <w:trHeight w:val="320"/>
          <w:jc w:val="center"/>
        </w:trPr>
        <w:tc>
          <w:tcPr>
            <w:tcW w:w="10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286DF7"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FA1CF"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Reverse</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F2617"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CCAGTAACCTCTGACCGCAT</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51A6B"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r>
      <w:tr w:rsidR="009A1B4E" w:rsidRPr="00C81651" w14:paraId="62944EF5" w14:textId="77777777" w:rsidTr="002840F1">
        <w:trPr>
          <w:trHeight w:val="300"/>
          <w:jc w:val="center"/>
        </w:trPr>
        <w:tc>
          <w:tcPr>
            <w:tcW w:w="10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E45E1"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TATA BP</w:t>
            </w: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B9F0F"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Forward</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91BF8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CACTTCGTGCAAGAAATGCTG </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D063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89</w:t>
            </w:r>
          </w:p>
        </w:tc>
      </w:tr>
      <w:tr w:rsidR="00261C92" w:rsidRPr="00C81651" w14:paraId="39A7FCC4" w14:textId="77777777" w:rsidTr="002840F1">
        <w:trPr>
          <w:trHeight w:val="380"/>
          <w:jc w:val="center"/>
        </w:trPr>
        <w:tc>
          <w:tcPr>
            <w:tcW w:w="10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60B2E"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c>
          <w:tcPr>
            <w:tcW w:w="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07DF6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Reverse</w:t>
            </w:r>
          </w:p>
        </w:tc>
        <w:tc>
          <w:tcPr>
            <w:tcW w:w="2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12E18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AATCAACGCAGTTGTCCGTG </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62501B" w14:textId="77777777" w:rsidR="00261C92" w:rsidRPr="00C81651" w:rsidRDefault="00261C92" w:rsidP="002840F1">
            <w:pPr>
              <w:widowControl w:val="0"/>
              <w:pBdr>
                <w:top w:val="nil"/>
                <w:left w:val="nil"/>
                <w:bottom w:val="nil"/>
                <w:right w:val="nil"/>
                <w:between w:val="nil"/>
              </w:pBdr>
              <w:spacing w:line="276" w:lineRule="auto"/>
              <w:rPr>
                <w:rFonts w:asciiTheme="minorHAnsi" w:eastAsia="Times New Roman" w:hAnsiTheme="minorHAnsi" w:cstheme="minorHAnsi"/>
              </w:rPr>
            </w:pPr>
          </w:p>
        </w:tc>
      </w:tr>
    </w:tbl>
    <w:p w14:paraId="7C98C6B0" w14:textId="77777777" w:rsidR="00261C92" w:rsidRPr="00C81651" w:rsidRDefault="00261C92" w:rsidP="00261C92">
      <w:pPr>
        <w:rPr>
          <w:rFonts w:asciiTheme="minorHAnsi" w:eastAsia="Times New Roman" w:hAnsiTheme="minorHAnsi" w:cstheme="minorHAnsi"/>
        </w:rPr>
      </w:pPr>
    </w:p>
    <w:p w14:paraId="0C0B45D4" w14:textId="77777777" w:rsidR="00261C92" w:rsidRPr="00C81651" w:rsidRDefault="00261C92" w:rsidP="00261C92">
      <w:pPr>
        <w:spacing w:after="240"/>
        <w:rPr>
          <w:rFonts w:asciiTheme="minorHAnsi" w:eastAsia="Times New Roman" w:hAnsiTheme="minorHAnsi" w:cstheme="minorHAnsi"/>
        </w:rPr>
      </w:pPr>
      <w:r w:rsidRPr="00C81651">
        <w:rPr>
          <w:rFonts w:asciiTheme="minorHAnsi" w:eastAsia="Times New Roman" w:hAnsiTheme="minorHAnsi" w:cstheme="minorHAnsi"/>
        </w:rPr>
        <w:br/>
      </w:r>
    </w:p>
    <w:p w14:paraId="27827B1B" w14:textId="77777777" w:rsidR="00261C92" w:rsidRPr="00C81651" w:rsidRDefault="00261C92" w:rsidP="00261C92">
      <w:pPr>
        <w:rPr>
          <w:rFonts w:asciiTheme="minorHAnsi" w:eastAsia="Times New Roman" w:hAnsiTheme="minorHAnsi" w:cstheme="minorHAnsi"/>
        </w:rPr>
      </w:pPr>
      <w:r w:rsidRPr="00C81651">
        <w:rPr>
          <w:rFonts w:asciiTheme="minorHAnsi" w:hAnsiTheme="minorHAnsi" w:cstheme="minorHAnsi"/>
        </w:rPr>
        <w:br w:type="page"/>
      </w:r>
    </w:p>
    <w:p w14:paraId="53B99146" w14:textId="77777777" w:rsidR="00261C92" w:rsidRPr="00C81651" w:rsidRDefault="00261C92" w:rsidP="00261C92">
      <w:pPr>
        <w:spacing w:after="240"/>
        <w:jc w:val="both"/>
        <w:rPr>
          <w:rFonts w:asciiTheme="minorHAnsi" w:eastAsia="Times New Roman" w:hAnsiTheme="minorHAnsi" w:cstheme="minorHAnsi"/>
        </w:rPr>
      </w:pPr>
      <w:r w:rsidRPr="00C81651">
        <w:rPr>
          <w:rFonts w:asciiTheme="minorHAnsi" w:hAnsiTheme="minorHAnsi" w:cstheme="minorHAnsi"/>
          <w:b/>
          <w:sz w:val="22"/>
          <w:szCs w:val="22"/>
        </w:rPr>
        <w:lastRenderedPageBreak/>
        <w:t>Table S2.</w:t>
      </w:r>
      <w:r w:rsidRPr="00C81651">
        <w:rPr>
          <w:rFonts w:asciiTheme="minorHAnsi" w:hAnsiTheme="minorHAnsi" w:cstheme="minorHAnsi"/>
          <w:sz w:val="22"/>
          <w:szCs w:val="22"/>
        </w:rPr>
        <w:t xml:space="preserve"> Primary and secondary antibodies used in this study.</w:t>
      </w:r>
    </w:p>
    <w:tbl>
      <w:tblPr>
        <w:tblW w:w="8491" w:type="dxa"/>
        <w:tblLayout w:type="fixed"/>
        <w:tblLook w:val="0400" w:firstRow="0" w:lastRow="0" w:firstColumn="0" w:lastColumn="0" w:noHBand="0" w:noVBand="1"/>
      </w:tblPr>
      <w:tblGrid>
        <w:gridCol w:w="2172"/>
        <w:gridCol w:w="1469"/>
        <w:gridCol w:w="1212"/>
        <w:gridCol w:w="810"/>
        <w:gridCol w:w="1035"/>
        <w:gridCol w:w="1793"/>
      </w:tblGrid>
      <w:tr w:rsidR="009A1B4E" w:rsidRPr="00C81651" w14:paraId="58C23421" w14:textId="77777777" w:rsidTr="002840F1">
        <w:trPr>
          <w:trHeight w:val="260"/>
        </w:trPr>
        <w:tc>
          <w:tcPr>
            <w:tcW w:w="8491"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11071BC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Primary antibodies</w:t>
            </w:r>
          </w:p>
        </w:tc>
      </w:tr>
      <w:tr w:rsidR="009A1B4E" w:rsidRPr="00C81651" w14:paraId="4B49E40A" w14:textId="77777777" w:rsidTr="002840F1">
        <w:trPr>
          <w:trHeight w:val="34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6B9B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Anti-</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F989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Host</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EB7E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Isotype</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51A59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Dilution</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4A135B"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Incubation</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D555D1"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Company</w:t>
            </w:r>
          </w:p>
        </w:tc>
      </w:tr>
      <w:tr w:rsidR="009A1B4E" w:rsidRPr="00C81651" w14:paraId="3CA0E5F8"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E4329"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CAMKIIα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23773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Mouse</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1C55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IgG1</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B4E59"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1:500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9A6B1"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48 hours, 4ºC</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9C9F87"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Abcam</w:t>
            </w:r>
          </w:p>
        </w:tc>
      </w:tr>
      <w:tr w:rsidR="009A1B4E" w:rsidRPr="00C81651" w14:paraId="38439E7D"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33277"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CB1r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D3AAC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Rabbit</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AE923"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IgG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EA593"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1:1000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2EBA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24 hours,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6DA5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Synaptic Systems</w:t>
            </w:r>
          </w:p>
        </w:tc>
      </w:tr>
      <w:tr w:rsidR="009A1B4E" w:rsidRPr="00C81651" w14:paraId="6D10720E"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3FB8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GFP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6176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Chicken</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CB9AF" w14:textId="77777777" w:rsidR="00261C92" w:rsidRPr="00C81651" w:rsidRDefault="00261C92" w:rsidP="002840F1">
            <w:pPr>
              <w:jc w:val="center"/>
              <w:rPr>
                <w:rFonts w:asciiTheme="minorHAnsi" w:eastAsia="Times New Roman" w:hAnsiTheme="minorHAnsi" w:cstheme="minorHAnsi"/>
              </w:rPr>
            </w:pPr>
            <w:proofErr w:type="spellStart"/>
            <w:r w:rsidRPr="00C81651">
              <w:rPr>
                <w:rFonts w:asciiTheme="minorHAnsi" w:hAnsiTheme="minorHAnsi" w:cstheme="minorHAnsi"/>
                <w:sz w:val="16"/>
                <w:szCs w:val="16"/>
              </w:rPr>
              <w:t>IgY</w:t>
            </w:r>
            <w:proofErr w:type="spellEnd"/>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C64A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1:1000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E8B6C"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24 hours,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479AF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Abcam</w:t>
            </w:r>
          </w:p>
        </w:tc>
      </w:tr>
      <w:tr w:rsidR="009A1B4E" w:rsidRPr="00C81651" w14:paraId="146DBDF8"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F4871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PV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F0300B"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Guinea pig</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6FB49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IgG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EFCB7"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1:2000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E1C16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24 hours,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4C2B1"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Synaptic Systems</w:t>
            </w:r>
          </w:p>
        </w:tc>
      </w:tr>
      <w:tr w:rsidR="009A1B4E" w:rsidRPr="00C81651" w14:paraId="0443F304"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D996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SYN</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1E03F"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Guinea pig</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4D21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IgG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B8F5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1:1000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7138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24 hours,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45BD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Synaptic Systems</w:t>
            </w:r>
          </w:p>
        </w:tc>
      </w:tr>
      <w:tr w:rsidR="009A1B4E" w:rsidRPr="00C81651" w14:paraId="382B5D44"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EA4D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VGAT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9785E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Rabbit</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8E40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IgG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0DD1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1:500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3DF765"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24 hours,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8C14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Synaptic Systems</w:t>
            </w:r>
          </w:p>
        </w:tc>
      </w:tr>
      <w:tr w:rsidR="009A1B4E" w:rsidRPr="00C81651" w14:paraId="73E42531"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A5D47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VGLUT1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3CB9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Guinea pig</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73AD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IgG</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D9777E"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1:2000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C9DC89"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24 hours,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E63B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Abcam</w:t>
            </w:r>
          </w:p>
        </w:tc>
      </w:tr>
      <w:tr w:rsidR="009A1B4E" w:rsidRPr="00C81651" w14:paraId="3276A24D"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3AE1B"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WFA Lectin biotin conjugated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B0B7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Wisteria Floribunda</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39CE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777F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1:200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289C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24 hours,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CC74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Sigma</w:t>
            </w:r>
          </w:p>
        </w:tc>
      </w:tr>
      <w:tr w:rsidR="009A1B4E" w:rsidRPr="00C81651" w14:paraId="21544A73" w14:textId="77777777" w:rsidTr="002840F1">
        <w:trPr>
          <w:trHeight w:val="340"/>
        </w:trPr>
        <w:tc>
          <w:tcPr>
            <w:tcW w:w="8491"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C3D28D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Secondary antibodies</w:t>
            </w:r>
          </w:p>
        </w:tc>
      </w:tr>
      <w:tr w:rsidR="009A1B4E" w:rsidRPr="00C81651" w14:paraId="12DBC948" w14:textId="77777777" w:rsidTr="002840F1">
        <w:trPr>
          <w:trHeight w:val="34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8D3C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Anti-</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237E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Host</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46E63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Label</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9C0C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Dilution</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4FD5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Incubation</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6C54B"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Company</w:t>
            </w:r>
          </w:p>
        </w:tc>
      </w:tr>
      <w:tr w:rsidR="009A1B4E" w:rsidRPr="00C81651" w14:paraId="27460E17"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58C6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Chicken </w:t>
            </w:r>
            <w:proofErr w:type="spellStart"/>
            <w:r w:rsidRPr="00C81651">
              <w:rPr>
                <w:rFonts w:asciiTheme="minorHAnsi" w:hAnsiTheme="minorHAnsi" w:cstheme="minorHAnsi"/>
                <w:sz w:val="16"/>
                <w:szCs w:val="16"/>
              </w:rPr>
              <w:t>IgY</w:t>
            </w:r>
            <w:proofErr w:type="spellEnd"/>
            <w:r w:rsidRPr="00C81651">
              <w:rPr>
                <w:rFonts w:asciiTheme="minorHAnsi" w:hAnsiTheme="minorHAnsi" w:cstheme="minorHAnsi"/>
                <w:sz w:val="16"/>
                <w:szCs w:val="16"/>
              </w:rPr>
              <w:t xml:space="preserve">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A701B5"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Goat</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F97DDC"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CF 488</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E133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1:400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360CC"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 hour,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7540DC"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Sigma</w:t>
            </w:r>
          </w:p>
        </w:tc>
      </w:tr>
      <w:tr w:rsidR="009A1B4E" w:rsidRPr="00C81651" w14:paraId="4D3A69D2" w14:textId="77777777" w:rsidTr="002840F1">
        <w:trPr>
          <w:trHeight w:val="64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975DD9"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Rabbit IgG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F8315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Donkey</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89927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Cy3</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50AD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1:400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3CCC4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 hour,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52C8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Jackson </w:t>
            </w:r>
            <w:proofErr w:type="spellStart"/>
            <w:r w:rsidRPr="00C81651">
              <w:rPr>
                <w:rFonts w:asciiTheme="minorHAnsi" w:hAnsiTheme="minorHAnsi" w:cstheme="minorHAnsi"/>
                <w:sz w:val="16"/>
                <w:szCs w:val="16"/>
              </w:rPr>
              <w:t>Inmunoresearch</w:t>
            </w:r>
            <w:proofErr w:type="spellEnd"/>
          </w:p>
        </w:tc>
      </w:tr>
      <w:tr w:rsidR="009A1B4E" w:rsidRPr="00C81651" w14:paraId="3DC199FA"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A866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Streptavidin</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3644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2AD47A"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Alexa Fluor 647 </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6409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1:400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976EB"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 hour,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A3CB79"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Invitrogen</w:t>
            </w:r>
          </w:p>
        </w:tc>
      </w:tr>
      <w:tr w:rsidR="009A1B4E" w:rsidRPr="00C81651" w14:paraId="58A797D2" w14:textId="77777777" w:rsidTr="002840F1">
        <w:trPr>
          <w:trHeight w:val="5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CEE6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Mouse IgG1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3A6F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Donkey</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808C6" w14:textId="77777777" w:rsidR="00261C92" w:rsidRPr="00C81651" w:rsidRDefault="00261C92" w:rsidP="002840F1">
            <w:pPr>
              <w:jc w:val="center"/>
              <w:rPr>
                <w:rFonts w:asciiTheme="minorHAnsi" w:eastAsia="Times New Roman" w:hAnsiTheme="minorHAnsi" w:cstheme="minorHAnsi"/>
              </w:rPr>
            </w:pPr>
            <w:proofErr w:type="spellStart"/>
            <w:r w:rsidRPr="00C81651">
              <w:rPr>
                <w:rFonts w:asciiTheme="minorHAnsi" w:hAnsiTheme="minorHAnsi" w:cstheme="minorHAnsi"/>
                <w:sz w:val="16"/>
                <w:szCs w:val="16"/>
              </w:rPr>
              <w:t>Dylight</w:t>
            </w:r>
            <w:proofErr w:type="spellEnd"/>
            <w:r w:rsidRPr="00C81651">
              <w:rPr>
                <w:rFonts w:asciiTheme="minorHAnsi" w:hAnsiTheme="minorHAnsi" w:cstheme="minorHAnsi"/>
                <w:sz w:val="16"/>
                <w:szCs w:val="16"/>
              </w:rPr>
              <w:t xml:space="preserve"> 405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F567A1"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1:400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53AD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 hour,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F428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Jackson </w:t>
            </w:r>
            <w:proofErr w:type="spellStart"/>
            <w:r w:rsidRPr="00C81651">
              <w:rPr>
                <w:rFonts w:asciiTheme="minorHAnsi" w:hAnsiTheme="minorHAnsi" w:cstheme="minorHAnsi"/>
                <w:sz w:val="16"/>
                <w:szCs w:val="16"/>
              </w:rPr>
              <w:t>Inmunoresearch</w:t>
            </w:r>
            <w:proofErr w:type="spellEnd"/>
          </w:p>
        </w:tc>
      </w:tr>
      <w:tr w:rsidR="009A1B4E" w:rsidRPr="00C81651" w14:paraId="3707AD15" w14:textId="77777777" w:rsidTr="002840F1">
        <w:trPr>
          <w:trHeight w:val="38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8334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Rabbit IgG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3D20F"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Donkey</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E43D2" w14:textId="77777777" w:rsidR="00261C92" w:rsidRPr="00C81651" w:rsidRDefault="00261C92" w:rsidP="002840F1">
            <w:pPr>
              <w:jc w:val="center"/>
              <w:rPr>
                <w:rFonts w:asciiTheme="minorHAnsi" w:eastAsia="Times New Roman" w:hAnsiTheme="minorHAnsi" w:cstheme="minorHAnsi"/>
              </w:rPr>
            </w:pPr>
            <w:proofErr w:type="spellStart"/>
            <w:r w:rsidRPr="00C81651">
              <w:rPr>
                <w:rFonts w:asciiTheme="minorHAnsi" w:hAnsiTheme="minorHAnsi" w:cstheme="minorHAnsi"/>
                <w:sz w:val="16"/>
                <w:szCs w:val="16"/>
              </w:rPr>
              <w:t>AlexaFluor</w:t>
            </w:r>
            <w:proofErr w:type="spellEnd"/>
            <w:r w:rsidRPr="00C81651">
              <w:rPr>
                <w:rFonts w:asciiTheme="minorHAnsi" w:hAnsiTheme="minorHAnsi" w:cstheme="minorHAnsi"/>
                <w:sz w:val="16"/>
                <w:szCs w:val="16"/>
              </w:rPr>
              <w:t xml:space="preserve"> 555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C95DE"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1:400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E69E5"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 hour,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F166F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Invitrogen</w:t>
            </w:r>
          </w:p>
        </w:tc>
      </w:tr>
      <w:tr w:rsidR="009A1B4E" w:rsidRPr="00C81651" w14:paraId="71373496" w14:textId="77777777" w:rsidTr="002840F1">
        <w:trPr>
          <w:trHeight w:val="5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87BD9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Guinea pig IgG</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053B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Goat</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79C5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Alexa Fluor 647</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5BD27"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1:400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C64B32"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 hour,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FA8B0"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Invitrogen</w:t>
            </w:r>
          </w:p>
        </w:tc>
      </w:tr>
      <w:tr w:rsidR="009A1B4E" w:rsidRPr="00C81651" w14:paraId="4C784A3A" w14:textId="77777777" w:rsidTr="002840F1">
        <w:trPr>
          <w:trHeight w:val="70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E957B9"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Guinea pig IgG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75084"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Donkey</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8989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Cy3</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3B5DF"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1:400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5092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 hour,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5CC82D"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Jackson </w:t>
            </w:r>
            <w:proofErr w:type="spellStart"/>
            <w:r w:rsidRPr="00C81651">
              <w:rPr>
                <w:rFonts w:asciiTheme="minorHAnsi" w:hAnsiTheme="minorHAnsi" w:cstheme="minorHAnsi"/>
                <w:sz w:val="16"/>
                <w:szCs w:val="16"/>
              </w:rPr>
              <w:t>Inmunoresearch</w:t>
            </w:r>
            <w:proofErr w:type="spellEnd"/>
          </w:p>
        </w:tc>
      </w:tr>
      <w:tr w:rsidR="00261C92" w:rsidRPr="00C81651" w14:paraId="4DD0C50A" w14:textId="77777777" w:rsidTr="002840F1">
        <w:trPr>
          <w:trHeight w:val="660"/>
        </w:trPr>
        <w:tc>
          <w:tcPr>
            <w:tcW w:w="21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471C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 xml:space="preserve">Rabbit IgG </w:t>
            </w:r>
          </w:p>
        </w:tc>
        <w:tc>
          <w:tcPr>
            <w:tcW w:w="14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4DCFE9"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Donkey</w:t>
            </w:r>
          </w:p>
        </w:tc>
        <w:tc>
          <w:tcPr>
            <w:tcW w:w="12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2DF7B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Alexa Fluor 647</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84C156"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1:400</w:t>
            </w:r>
          </w:p>
        </w:tc>
        <w:tc>
          <w:tcPr>
            <w:tcW w:w="1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9A6E8"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1 hour, RT</w:t>
            </w:r>
          </w:p>
        </w:tc>
        <w:tc>
          <w:tcPr>
            <w:tcW w:w="17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4E1A1" w14:textId="77777777" w:rsidR="00261C92" w:rsidRPr="00C81651" w:rsidRDefault="00261C92" w:rsidP="002840F1">
            <w:pPr>
              <w:jc w:val="center"/>
              <w:rPr>
                <w:rFonts w:asciiTheme="minorHAnsi" w:eastAsia="Times New Roman" w:hAnsiTheme="minorHAnsi" w:cstheme="minorHAnsi"/>
              </w:rPr>
            </w:pPr>
            <w:r w:rsidRPr="00C81651">
              <w:rPr>
                <w:rFonts w:asciiTheme="minorHAnsi" w:hAnsiTheme="minorHAnsi" w:cstheme="minorHAnsi"/>
                <w:sz w:val="16"/>
                <w:szCs w:val="16"/>
              </w:rPr>
              <w:t>Molecular Probes</w:t>
            </w:r>
          </w:p>
        </w:tc>
      </w:tr>
    </w:tbl>
    <w:p w14:paraId="5D23EB85" w14:textId="77777777" w:rsidR="00261C92" w:rsidRPr="00C81651" w:rsidRDefault="00261C92" w:rsidP="00261C92">
      <w:pPr>
        <w:rPr>
          <w:rFonts w:asciiTheme="minorHAnsi" w:eastAsia="Times New Roman" w:hAnsiTheme="minorHAnsi" w:cstheme="minorHAnsi"/>
        </w:rPr>
      </w:pPr>
    </w:p>
    <w:p w14:paraId="460F33D1" w14:textId="77777777" w:rsidR="00261C92" w:rsidRPr="00C81651" w:rsidRDefault="00261C92" w:rsidP="00261C92">
      <w:pPr>
        <w:spacing w:after="240"/>
        <w:jc w:val="both"/>
        <w:rPr>
          <w:rFonts w:asciiTheme="minorHAnsi" w:eastAsia="Times New Roman" w:hAnsiTheme="minorHAnsi" w:cstheme="minorHAnsi"/>
        </w:rPr>
      </w:pPr>
      <w:r w:rsidRPr="00C81651">
        <w:rPr>
          <w:rFonts w:asciiTheme="minorHAnsi" w:hAnsiTheme="minorHAnsi" w:cstheme="minorHAnsi"/>
          <w:b/>
          <w:sz w:val="22"/>
          <w:szCs w:val="22"/>
        </w:rPr>
        <w:t>Abbreviations</w:t>
      </w:r>
      <w:r w:rsidRPr="00C81651">
        <w:rPr>
          <w:rFonts w:asciiTheme="minorHAnsi" w:hAnsiTheme="minorHAnsi" w:cstheme="minorHAnsi"/>
          <w:sz w:val="22"/>
          <w:szCs w:val="22"/>
        </w:rPr>
        <w:t>: CaMKIIα, α subunit of the Ca</w:t>
      </w:r>
      <w:r w:rsidRPr="00C81651">
        <w:rPr>
          <w:rFonts w:asciiTheme="minorHAnsi" w:hAnsiTheme="minorHAnsi" w:cstheme="minorHAnsi"/>
          <w:sz w:val="22"/>
          <w:szCs w:val="22"/>
          <w:vertAlign w:val="superscript"/>
        </w:rPr>
        <w:t xml:space="preserve">2+ </w:t>
      </w:r>
      <w:r w:rsidRPr="00C81651">
        <w:rPr>
          <w:rFonts w:asciiTheme="minorHAnsi" w:hAnsiTheme="minorHAnsi" w:cstheme="minorHAnsi"/>
          <w:sz w:val="22"/>
          <w:szCs w:val="22"/>
        </w:rPr>
        <w:t xml:space="preserve">/calmodulin dependent protein kinase II; CB1r, cannabinoid receptor 1; GFP, green fluorescent protein; PV, parvalbumin; SYN, synaptophysin; VGAT, vesicular γ-aminobutyric acid (GABA) transporter; VGLUT1, vesicular glutamate transporter 1; WFA, Wisteria Floribunda. </w:t>
      </w:r>
    </w:p>
    <w:p w14:paraId="5043C559" w14:textId="77777777" w:rsidR="00261C92" w:rsidRPr="00C81651" w:rsidRDefault="00261C92" w:rsidP="00261C92">
      <w:pPr>
        <w:spacing w:after="240"/>
        <w:jc w:val="both"/>
        <w:rPr>
          <w:rFonts w:asciiTheme="minorHAnsi" w:eastAsia="Times New Roman" w:hAnsiTheme="minorHAnsi" w:cstheme="minorHAnsi"/>
        </w:rPr>
      </w:pPr>
      <w:r w:rsidRPr="00C81651">
        <w:rPr>
          <w:rFonts w:asciiTheme="minorHAnsi" w:hAnsiTheme="minorHAnsi" w:cstheme="minorHAnsi"/>
          <w:sz w:val="22"/>
          <w:szCs w:val="22"/>
        </w:rPr>
        <w:t>RT, room temperature.</w:t>
      </w:r>
    </w:p>
    <w:p w14:paraId="52F6BACD" w14:textId="77777777" w:rsidR="00261C92" w:rsidRPr="00C81651" w:rsidRDefault="00261C92" w:rsidP="00261C92">
      <w:pPr>
        <w:spacing w:after="240"/>
        <w:jc w:val="both"/>
        <w:rPr>
          <w:rFonts w:asciiTheme="minorHAnsi" w:eastAsia="Times New Roman" w:hAnsiTheme="minorHAnsi" w:cstheme="minorHAnsi"/>
        </w:rPr>
      </w:pPr>
      <w:r w:rsidRPr="00C81651">
        <w:rPr>
          <w:rFonts w:asciiTheme="minorHAnsi" w:hAnsiTheme="minorHAnsi" w:cstheme="minorHAnsi"/>
          <w:sz w:val="22"/>
          <w:szCs w:val="22"/>
        </w:rPr>
        <w:lastRenderedPageBreak/>
        <w:t xml:space="preserve">* WFA is used to detect chondroitin sulphate </w:t>
      </w:r>
      <w:proofErr w:type="spellStart"/>
      <w:r w:rsidRPr="00C81651">
        <w:rPr>
          <w:rFonts w:asciiTheme="minorHAnsi" w:hAnsiTheme="minorHAnsi" w:cstheme="minorHAnsi"/>
          <w:sz w:val="22"/>
          <w:szCs w:val="22"/>
        </w:rPr>
        <w:t>proteoglicans</w:t>
      </w:r>
      <w:proofErr w:type="spellEnd"/>
      <w:r w:rsidRPr="00C81651">
        <w:rPr>
          <w:rFonts w:asciiTheme="minorHAnsi" w:hAnsiTheme="minorHAnsi" w:cstheme="minorHAnsi"/>
          <w:sz w:val="22"/>
          <w:szCs w:val="22"/>
        </w:rPr>
        <w:t xml:space="preserve"> in perineuronal nets (PNNs). This type of molecules can be recognized by the N-</w:t>
      </w:r>
      <w:proofErr w:type="spellStart"/>
      <w:r w:rsidRPr="00C81651">
        <w:rPr>
          <w:rFonts w:asciiTheme="minorHAnsi" w:hAnsiTheme="minorHAnsi" w:cstheme="minorHAnsi"/>
          <w:sz w:val="22"/>
          <w:szCs w:val="22"/>
        </w:rPr>
        <w:t>acetylgalactosamine</w:t>
      </w:r>
      <w:proofErr w:type="spellEnd"/>
      <w:r w:rsidRPr="00C81651">
        <w:rPr>
          <w:rFonts w:asciiTheme="minorHAnsi" w:hAnsiTheme="minorHAnsi" w:cstheme="minorHAnsi"/>
          <w:sz w:val="22"/>
          <w:szCs w:val="22"/>
        </w:rPr>
        <w:t>-(</w:t>
      </w:r>
      <w:proofErr w:type="spellStart"/>
      <w:r w:rsidRPr="00C81651">
        <w:rPr>
          <w:rFonts w:asciiTheme="minorHAnsi" w:hAnsiTheme="minorHAnsi" w:cstheme="minorHAnsi"/>
          <w:sz w:val="22"/>
          <w:szCs w:val="22"/>
        </w:rPr>
        <w:t>GalNac</w:t>
      </w:r>
      <w:proofErr w:type="spellEnd"/>
      <w:r w:rsidRPr="00C81651">
        <w:rPr>
          <w:rFonts w:asciiTheme="minorHAnsi" w:hAnsiTheme="minorHAnsi" w:cstheme="minorHAnsi"/>
          <w:sz w:val="22"/>
          <w:szCs w:val="22"/>
        </w:rPr>
        <w:t>-) binding plant lectin Wisteria Floribunda agglutinin.</w:t>
      </w:r>
    </w:p>
    <w:p w14:paraId="5E6931A6" w14:textId="77777777" w:rsidR="00261C92" w:rsidRPr="00C81651" w:rsidRDefault="00261C92" w:rsidP="00261C92">
      <w:pPr>
        <w:rPr>
          <w:rFonts w:asciiTheme="minorHAnsi" w:eastAsia="Times New Roman" w:hAnsiTheme="minorHAnsi" w:cstheme="minorHAnsi"/>
        </w:rPr>
      </w:pPr>
    </w:p>
    <w:p w14:paraId="04A28BB8" w14:textId="77777777" w:rsidR="00261C92" w:rsidRPr="00C81651" w:rsidRDefault="00261C92" w:rsidP="00261C92">
      <w:pPr>
        <w:spacing w:after="240"/>
        <w:jc w:val="both"/>
        <w:rPr>
          <w:rFonts w:asciiTheme="minorHAnsi" w:hAnsiTheme="minorHAnsi" w:cstheme="minorHAnsi"/>
          <w:b/>
          <w:sz w:val="22"/>
          <w:szCs w:val="22"/>
        </w:rPr>
      </w:pPr>
      <w:r w:rsidRPr="00C81651">
        <w:rPr>
          <w:rFonts w:asciiTheme="minorHAnsi" w:eastAsia="Times New Roman" w:hAnsiTheme="minorHAnsi" w:cstheme="minorHAnsi"/>
        </w:rPr>
        <w:br/>
      </w:r>
      <w:r w:rsidRPr="00C81651">
        <w:rPr>
          <w:rFonts w:asciiTheme="minorHAnsi" w:eastAsia="Times New Roman" w:hAnsiTheme="minorHAnsi" w:cstheme="minorHAnsi"/>
        </w:rPr>
        <w:br/>
      </w:r>
    </w:p>
    <w:p w14:paraId="6AD6C039" w14:textId="77777777" w:rsidR="00261C92" w:rsidRPr="00C81651" w:rsidRDefault="00261C92" w:rsidP="00261C92">
      <w:pPr>
        <w:rPr>
          <w:rFonts w:asciiTheme="minorHAnsi" w:hAnsiTheme="minorHAnsi" w:cstheme="minorHAnsi"/>
          <w:b/>
          <w:sz w:val="22"/>
          <w:szCs w:val="22"/>
        </w:rPr>
      </w:pPr>
      <w:r w:rsidRPr="00C81651">
        <w:rPr>
          <w:rFonts w:asciiTheme="minorHAnsi" w:hAnsiTheme="minorHAnsi" w:cstheme="minorHAnsi"/>
        </w:rPr>
        <w:br w:type="page"/>
      </w:r>
    </w:p>
    <w:p w14:paraId="4B993541" w14:textId="77777777" w:rsidR="00261C92" w:rsidRPr="00C81651" w:rsidRDefault="00261C92" w:rsidP="00261C92">
      <w:pPr>
        <w:jc w:val="both"/>
        <w:rPr>
          <w:rFonts w:asciiTheme="minorHAnsi" w:hAnsiTheme="minorHAnsi" w:cstheme="minorHAnsi"/>
          <w:sz w:val="22"/>
          <w:szCs w:val="22"/>
        </w:rPr>
      </w:pPr>
      <w:r w:rsidRPr="00C81651">
        <w:rPr>
          <w:rFonts w:asciiTheme="minorHAnsi" w:hAnsiTheme="minorHAnsi" w:cstheme="minorHAnsi"/>
          <w:b/>
          <w:sz w:val="22"/>
          <w:szCs w:val="22"/>
        </w:rPr>
        <w:lastRenderedPageBreak/>
        <w:t xml:space="preserve">Table S3. </w:t>
      </w:r>
      <w:r w:rsidRPr="00C81651">
        <w:rPr>
          <w:rFonts w:asciiTheme="minorHAnsi" w:hAnsiTheme="minorHAnsi" w:cstheme="minorHAnsi"/>
          <w:sz w:val="22"/>
          <w:szCs w:val="22"/>
        </w:rPr>
        <w:t xml:space="preserve">Summary of results </w:t>
      </w:r>
    </w:p>
    <w:p w14:paraId="7EFB7653" w14:textId="681672A8" w:rsidR="00261C92" w:rsidRPr="00C81651" w:rsidRDefault="00261C92" w:rsidP="00261C92">
      <w:pPr>
        <w:jc w:val="both"/>
        <w:rPr>
          <w:rFonts w:asciiTheme="minorHAnsi" w:hAnsiTheme="minorHAnsi" w:cstheme="minorHAnsi"/>
          <w:sz w:val="22"/>
          <w:szCs w:val="22"/>
        </w:rPr>
      </w:pPr>
    </w:p>
    <w:tbl>
      <w:tblPr>
        <w:tblW w:w="9782" w:type="dxa"/>
        <w:tblLayout w:type="fixed"/>
        <w:tblLook w:val="0400" w:firstRow="0" w:lastRow="0" w:firstColumn="0" w:lastColumn="0" w:noHBand="0" w:noVBand="1"/>
      </w:tblPr>
      <w:tblGrid>
        <w:gridCol w:w="2321"/>
        <w:gridCol w:w="1071"/>
        <w:gridCol w:w="1470"/>
        <w:gridCol w:w="1304"/>
        <w:gridCol w:w="1304"/>
        <w:gridCol w:w="2312"/>
      </w:tblGrid>
      <w:tr w:rsidR="00E514B0" w:rsidRPr="00C81651" w14:paraId="48F23923" w14:textId="77777777" w:rsidTr="00A44ED6">
        <w:trPr>
          <w:trHeight w:val="680"/>
        </w:trPr>
        <w:tc>
          <w:tcPr>
            <w:tcW w:w="232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BDED0C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parameter</w:t>
            </w:r>
          </w:p>
          <w:p w14:paraId="2DFD525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 xml:space="preserve"> </w:t>
            </w:r>
          </w:p>
        </w:tc>
        <w:tc>
          <w:tcPr>
            <w:tcW w:w="5149" w:type="dxa"/>
            <w:gridSpan w:val="4"/>
            <w:tcBorders>
              <w:top w:val="single" w:sz="8" w:space="0" w:color="000000"/>
              <w:left w:val="single" w:sz="8" w:space="0" w:color="000000"/>
              <w:bottom w:val="single" w:sz="8" w:space="0" w:color="000000"/>
              <w:right w:val="single" w:sz="8" w:space="0" w:color="000000"/>
            </w:tcBorders>
            <w:shd w:val="clear" w:color="auto" w:fill="D9D9D9"/>
          </w:tcPr>
          <w:p w14:paraId="6A4CB5D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Main effects (two-way ANOVA, three-way ANOVA, Kruskal Wallis or Friedman’s test)</w:t>
            </w:r>
          </w:p>
        </w:tc>
        <w:tc>
          <w:tcPr>
            <w:tcW w:w="23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BE8B19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Group differences (Bonferroni post-hoc unless otherwise stated)</w:t>
            </w:r>
          </w:p>
        </w:tc>
      </w:tr>
      <w:tr w:rsidR="00E514B0" w:rsidRPr="00C81651" w14:paraId="381A2A96"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6C58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 xml:space="preserve"> </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5001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model</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1851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administration</w:t>
            </w:r>
          </w:p>
        </w:tc>
        <w:tc>
          <w:tcPr>
            <w:tcW w:w="1304" w:type="dxa"/>
            <w:tcBorders>
              <w:top w:val="single" w:sz="8" w:space="0" w:color="000000"/>
              <w:left w:val="single" w:sz="8" w:space="0" w:color="000000"/>
              <w:bottom w:val="single" w:sz="8" w:space="0" w:color="000000"/>
              <w:right w:val="single" w:sz="8" w:space="0" w:color="000000"/>
            </w:tcBorders>
          </w:tcPr>
          <w:p w14:paraId="278AA9AE" w14:textId="77777777" w:rsidR="00E514B0" w:rsidRPr="00C81651" w:rsidRDefault="00E514B0" w:rsidP="00A44ED6">
            <w:pPr>
              <w:spacing w:after="240"/>
              <w:jc w:val="center"/>
              <w:rPr>
                <w:rFonts w:asciiTheme="minorHAnsi" w:hAnsiTheme="minorHAnsi" w:cstheme="minorHAnsi"/>
                <w:b/>
                <w:sz w:val="20"/>
                <w:szCs w:val="20"/>
              </w:rPr>
            </w:pPr>
            <w:proofErr w:type="gramStart"/>
            <w:r w:rsidRPr="00C81651">
              <w:rPr>
                <w:rFonts w:asciiTheme="minorHAnsi" w:hAnsiTheme="minorHAnsi" w:cstheme="minorHAnsi"/>
                <w:b/>
                <w:sz w:val="20"/>
                <w:szCs w:val="20"/>
              </w:rPr>
              <w:t>Other</w:t>
            </w:r>
            <w:proofErr w:type="gramEnd"/>
            <w:r w:rsidRPr="00C81651">
              <w:rPr>
                <w:rFonts w:asciiTheme="minorHAnsi" w:hAnsiTheme="minorHAnsi" w:cstheme="minorHAnsi"/>
                <w:b/>
                <w:sz w:val="20"/>
                <w:szCs w:val="20"/>
              </w:rPr>
              <w:t xml:space="preserve"> factor (specify if required)</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C3D2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interaction</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2927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 xml:space="preserve"> </w:t>
            </w:r>
          </w:p>
        </w:tc>
      </w:tr>
      <w:tr w:rsidR="00E514B0" w:rsidRPr="00C81651" w14:paraId="23FDFFDE" w14:textId="77777777" w:rsidTr="00A44ED6">
        <w:trPr>
          <w:trHeight w:val="7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09548" w14:textId="77777777" w:rsidR="00E514B0" w:rsidRPr="00C81651" w:rsidRDefault="00E514B0" w:rsidP="00A44ED6">
            <w:pPr>
              <w:spacing w:after="240"/>
              <w:jc w:val="center"/>
              <w:rPr>
                <w:rFonts w:asciiTheme="minorHAnsi" w:hAnsiTheme="minorHAnsi" w:cstheme="minorHAnsi"/>
                <w:sz w:val="20"/>
                <w:szCs w:val="20"/>
              </w:rPr>
            </w:pPr>
            <w:proofErr w:type="spellStart"/>
            <w:r w:rsidRPr="00C81651">
              <w:rPr>
                <w:rFonts w:asciiTheme="minorHAnsi" w:hAnsiTheme="minorHAnsi" w:cstheme="minorHAnsi"/>
                <w:b/>
                <w:sz w:val="20"/>
                <w:szCs w:val="20"/>
              </w:rPr>
              <w:t>behaviour</w:t>
            </w:r>
            <w:proofErr w:type="spellEnd"/>
          </w:p>
          <w:p w14:paraId="68CBCE5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 xml:space="preserve"> </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88C2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5306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027F7615"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1A4B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A182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3EE773DA"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D9DB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i/>
                <w:sz w:val="20"/>
                <w:szCs w:val="20"/>
              </w:rPr>
              <w:t>% PPI</w:t>
            </w:r>
          </w:p>
        </w:tc>
        <w:tc>
          <w:tcPr>
            <w:tcW w:w="1071"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56A987C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bottom w:val="single" w:sz="8" w:space="0" w:color="000000"/>
              <w:right w:val="single" w:sz="4" w:space="0" w:color="auto"/>
            </w:tcBorders>
            <w:tcMar>
              <w:top w:w="100" w:type="dxa"/>
              <w:left w:w="100" w:type="dxa"/>
              <w:bottom w:w="100" w:type="dxa"/>
              <w:right w:w="100" w:type="dxa"/>
            </w:tcMar>
          </w:tcPr>
          <w:p w14:paraId="40CA732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4" w:space="0" w:color="auto"/>
              <w:bottom w:val="single" w:sz="4" w:space="0" w:color="auto"/>
              <w:right w:val="single" w:sz="4" w:space="0" w:color="auto"/>
            </w:tcBorders>
          </w:tcPr>
          <w:p w14:paraId="31B13A53" w14:textId="77777777" w:rsidR="00E514B0" w:rsidRPr="00C81651" w:rsidRDefault="00E514B0" w:rsidP="00A44ED6">
            <w:pPr>
              <w:spacing w:after="240"/>
              <w:jc w:val="center"/>
              <w:rPr>
                <w:rFonts w:asciiTheme="minorHAnsi" w:hAnsiTheme="minorHAnsi" w:cstheme="minorHAnsi"/>
                <w:b/>
                <w:sz w:val="20"/>
                <w:szCs w:val="20"/>
              </w:rPr>
            </w:pPr>
            <w:r w:rsidRPr="00C81651">
              <w:rPr>
                <w:rFonts w:asciiTheme="minorHAnsi" w:hAnsiTheme="minorHAnsi" w:cstheme="minorHAnsi"/>
                <w:b/>
                <w:sz w:val="20"/>
                <w:szCs w:val="20"/>
              </w:rPr>
              <w:t>Prepulse intensities (third factor in Friedman’s test)</w:t>
            </w:r>
          </w:p>
        </w:tc>
        <w:tc>
          <w:tcPr>
            <w:tcW w:w="1304"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771745B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B375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649E836C" w14:textId="77777777" w:rsidTr="00A44ED6">
        <w:trPr>
          <w:trHeight w:val="60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44B3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73dB</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6285D" w14:textId="77777777" w:rsidR="00E514B0" w:rsidRPr="00C81651" w:rsidRDefault="00E514B0" w:rsidP="00A44ED6">
            <w:pPr>
              <w:spacing w:after="240"/>
              <w:jc w:val="center"/>
              <w:rPr>
                <w:rFonts w:asciiTheme="minorHAnsi" w:hAnsiTheme="minorHAnsi" w:cstheme="minorHAnsi"/>
                <w:sz w:val="20"/>
                <w:szCs w:val="20"/>
              </w:rPr>
            </w:pPr>
            <w:proofErr w:type="gramStart"/>
            <w:r w:rsidRPr="00C81651">
              <w:rPr>
                <w:rFonts w:asciiTheme="minorHAnsi" w:hAnsiTheme="minorHAnsi" w:cstheme="minorHAnsi"/>
                <w:color w:val="595959" w:themeColor="text1" w:themeTint="A6"/>
                <w:sz w:val="20"/>
                <w:szCs w:val="20"/>
              </w:rPr>
              <w:t>↓</w:t>
            </w:r>
            <w:r w:rsidRPr="00C81651">
              <w:rPr>
                <w:rFonts w:asciiTheme="minorHAnsi" w:hAnsiTheme="minorHAnsi" w:cstheme="minorHAnsi"/>
                <w:sz w:val="20"/>
                <w:szCs w:val="20"/>
              </w:rPr>
              <w:t>(</w:t>
            </w:r>
            <w:proofErr w:type="gramEnd"/>
            <w:r w:rsidRPr="00C81651">
              <w:rPr>
                <w:rFonts w:asciiTheme="minorHAnsi" w:hAnsiTheme="minorHAnsi" w:cstheme="minorHAnsi"/>
                <w:sz w:val="20"/>
                <w:szCs w:val="20"/>
              </w:rPr>
              <w:t>1)</w:t>
            </w:r>
          </w:p>
        </w:tc>
        <w:tc>
          <w:tcPr>
            <w:tcW w:w="147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4ED7582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4" w:space="0" w:color="auto"/>
              <w:left w:val="single" w:sz="4" w:space="0" w:color="auto"/>
              <w:right w:val="single" w:sz="4" w:space="0" w:color="auto"/>
            </w:tcBorders>
          </w:tcPr>
          <w:p w14:paraId="365D4D8C" w14:textId="77777777" w:rsidR="00E514B0" w:rsidRPr="00C81651" w:rsidRDefault="00E514B0" w:rsidP="00A44ED6">
            <w:pPr>
              <w:spacing w:after="240"/>
              <w:jc w:val="center"/>
              <w:rPr>
                <w:rFonts w:asciiTheme="minorHAnsi" w:hAnsiTheme="minorHAnsi" w:cstheme="minorHAnsi"/>
                <w:b/>
                <w:sz w:val="20"/>
                <w:szCs w:val="20"/>
              </w:rPr>
            </w:pPr>
            <w:r w:rsidRPr="00C81651">
              <w:rPr>
                <w:rFonts w:asciiTheme="minorHAnsi" w:hAnsiTheme="minorHAnsi" w:cstheme="minorHAnsi"/>
                <w:b/>
                <w:sz w:val="20"/>
                <w:szCs w:val="20"/>
              </w:rPr>
              <w:t>(4)</w:t>
            </w:r>
          </w:p>
        </w:tc>
        <w:tc>
          <w:tcPr>
            <w:tcW w:w="1304"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3474BFF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6155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71446262"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4C32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76dB</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F0E0E" w14:textId="77777777" w:rsidR="00E514B0" w:rsidRPr="00C81651" w:rsidRDefault="00E514B0" w:rsidP="00A44ED6">
            <w:pPr>
              <w:spacing w:after="240"/>
              <w:jc w:val="center"/>
              <w:rPr>
                <w:rFonts w:asciiTheme="minorHAnsi" w:hAnsiTheme="minorHAnsi" w:cstheme="minorHAnsi"/>
                <w:sz w:val="20"/>
                <w:szCs w:val="20"/>
              </w:rPr>
            </w:pPr>
            <w:proofErr w:type="gramStart"/>
            <w:r w:rsidRPr="00C81651">
              <w:rPr>
                <w:rFonts w:asciiTheme="minorHAnsi" w:hAnsiTheme="minorHAnsi" w:cstheme="minorHAnsi"/>
                <w:color w:val="595959" w:themeColor="text1" w:themeTint="A6"/>
                <w:sz w:val="20"/>
                <w:szCs w:val="20"/>
              </w:rPr>
              <w:t>↓</w:t>
            </w:r>
            <w:r w:rsidRPr="00C81651">
              <w:rPr>
                <w:rFonts w:asciiTheme="minorHAnsi" w:hAnsiTheme="minorHAnsi" w:cstheme="minorHAnsi"/>
                <w:sz w:val="20"/>
                <w:szCs w:val="20"/>
              </w:rPr>
              <w:t xml:space="preserve">  (</w:t>
            </w:r>
            <w:proofErr w:type="gramEnd"/>
            <w:r w:rsidRPr="00C81651">
              <w:rPr>
                <w:rFonts w:asciiTheme="minorHAnsi" w:hAnsiTheme="minorHAnsi" w:cstheme="minorHAnsi"/>
                <w:sz w:val="20"/>
                <w:szCs w:val="20"/>
              </w:rPr>
              <w:t>2)</w:t>
            </w:r>
          </w:p>
        </w:tc>
        <w:tc>
          <w:tcPr>
            <w:tcW w:w="147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12AAD7A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left w:val="single" w:sz="4" w:space="0" w:color="auto"/>
              <w:right w:val="single" w:sz="4" w:space="0" w:color="auto"/>
            </w:tcBorders>
          </w:tcPr>
          <w:p w14:paraId="3F1ED2D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76dB&gt;73dB</w:t>
            </w:r>
          </w:p>
        </w:tc>
        <w:tc>
          <w:tcPr>
            <w:tcW w:w="1304"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1C8C5BE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E6AC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B&gt;A *** (Mann-Whitney)</w:t>
            </w:r>
          </w:p>
        </w:tc>
      </w:tr>
      <w:tr w:rsidR="00E514B0" w:rsidRPr="00C81651" w14:paraId="249861D8"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F4BF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82dB</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291C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color w:val="595959" w:themeColor="text1" w:themeTint="A6"/>
                <w:sz w:val="20"/>
                <w:szCs w:val="20"/>
              </w:rPr>
              <w:t xml:space="preserve">↓ </w:t>
            </w:r>
            <w:r w:rsidRPr="00C81651">
              <w:rPr>
                <w:rFonts w:asciiTheme="minorHAnsi" w:hAnsiTheme="minorHAnsi" w:cstheme="minorHAnsi"/>
                <w:sz w:val="20"/>
                <w:szCs w:val="20"/>
              </w:rPr>
              <w:t>(3)</w:t>
            </w:r>
          </w:p>
        </w:tc>
        <w:tc>
          <w:tcPr>
            <w:tcW w:w="147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6EE947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left w:val="single" w:sz="4" w:space="0" w:color="auto"/>
              <w:bottom w:val="single" w:sz="4" w:space="0" w:color="auto"/>
              <w:right w:val="single" w:sz="4" w:space="0" w:color="auto"/>
            </w:tcBorders>
          </w:tcPr>
          <w:p w14:paraId="29C1B28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82dB&gt;76dB 82dB&gt;73dB</w:t>
            </w:r>
          </w:p>
        </w:tc>
        <w:tc>
          <w:tcPr>
            <w:tcW w:w="1304"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6E9D79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0250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37D30970"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E641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Gene expression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2071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7D80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4" w:space="0" w:color="auto"/>
              <w:left w:val="single" w:sz="8" w:space="0" w:color="000000"/>
              <w:bottom w:val="single" w:sz="8" w:space="0" w:color="000000"/>
              <w:right w:val="single" w:sz="8" w:space="0" w:color="000000"/>
            </w:tcBorders>
          </w:tcPr>
          <w:p w14:paraId="28082F82"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35E5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676A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3F3F672C"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DD19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CB1r</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DBD9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FCEE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23916DD4"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F25C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9DD6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2CE2A68E"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5EA0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GAD67</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F459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(5)</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C827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0D154727"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760D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AB80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2D6F9C0C"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C706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ErbB4</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0D89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1E30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717FA383"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0D13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762A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542BD760"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C23ED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SIA II</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2A19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D062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5C50DA48"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2E22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A145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016C9F35"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2626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SIA IV</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6E6A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BACE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56E5B72B"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0D9D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2ED0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14F0834A"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4706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Protein expression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9B39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C147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465A7E23"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5DB2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6651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7E3A3E7C"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E96B3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lastRenderedPageBreak/>
              <w:t>GAD67</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4470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(6)</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583A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7DF95D29"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77DB8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D26E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B&gt;D *</w:t>
            </w:r>
          </w:p>
        </w:tc>
      </w:tr>
      <w:tr w:rsidR="00E514B0" w:rsidRPr="00C81651" w14:paraId="7AB481AF"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C21B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SYN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56CE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(7)</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EA49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548D1F2E"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1F7E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F809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6648DF78" w14:textId="77777777" w:rsidTr="00A44ED6">
        <w:trPr>
          <w:trHeight w:val="62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0013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Brain volume</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AC74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C198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1BCD34DB"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167F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F11C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12FF8729"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1EDF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PrL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1E6E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325A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78C817F5"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C1D3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9DA1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5296B9D1"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0E03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IL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6CA9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7D60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084BBBF1"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5D2E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8FDA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41B9330C"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366D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Cg1</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CE66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(8)</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FBBF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5F6B7FB9"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FB9A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1B5D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29FB4F3A" w14:textId="77777777" w:rsidTr="00A44ED6">
        <w:trPr>
          <w:trHeight w:val="9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8339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Structure of interneurons</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F243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CD9B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536876C7"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1867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0495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1C632813"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B20D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i/>
                <w:sz w:val="20"/>
                <w:szCs w:val="20"/>
              </w:rPr>
              <w:t>Dendritic arborization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7977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BB03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5F74EA7A" w14:textId="77777777" w:rsidR="00E514B0" w:rsidRPr="00C81651" w:rsidRDefault="00E514B0" w:rsidP="00A44ED6">
            <w:pPr>
              <w:spacing w:after="240"/>
              <w:jc w:val="center"/>
              <w:rPr>
                <w:rFonts w:asciiTheme="minorHAnsi" w:hAnsiTheme="minorHAnsi" w:cstheme="minorHAnsi"/>
                <w:b/>
                <w:color w:val="000000" w:themeColor="text1"/>
                <w:sz w:val="20"/>
                <w:szCs w:val="20"/>
              </w:rPr>
            </w:pPr>
            <w:r w:rsidRPr="00C81651">
              <w:rPr>
                <w:rFonts w:asciiTheme="minorHAnsi" w:hAnsiTheme="minorHAnsi" w:cstheme="minorHAnsi"/>
                <w:b/>
                <w:color w:val="000000" w:themeColor="text1"/>
                <w:sz w:val="20"/>
                <w:szCs w:val="20"/>
              </w:rPr>
              <w:t xml:space="preserve">Distance from the soma (third factor in a </w:t>
            </w:r>
            <w:proofErr w:type="gramStart"/>
            <w:r w:rsidRPr="00C81651">
              <w:rPr>
                <w:rFonts w:asciiTheme="minorHAnsi" w:hAnsiTheme="minorHAnsi" w:cstheme="minorHAnsi"/>
                <w:b/>
                <w:color w:val="000000" w:themeColor="text1"/>
                <w:sz w:val="20"/>
                <w:szCs w:val="20"/>
              </w:rPr>
              <w:t>three way</w:t>
            </w:r>
            <w:proofErr w:type="gramEnd"/>
            <w:r w:rsidRPr="00C81651">
              <w:rPr>
                <w:rFonts w:asciiTheme="minorHAnsi" w:hAnsiTheme="minorHAnsi" w:cstheme="minorHAnsi"/>
                <w:b/>
                <w:color w:val="000000" w:themeColor="text1"/>
                <w:sz w:val="20"/>
                <w:szCs w:val="20"/>
              </w:rPr>
              <w:t xml:space="preserve"> ANOVA analysis)</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42DC1" w14:textId="77777777" w:rsidR="00E514B0" w:rsidRPr="00C81651" w:rsidRDefault="00E514B0" w:rsidP="00A44ED6">
            <w:pPr>
              <w:spacing w:after="240"/>
              <w:jc w:val="center"/>
              <w:rPr>
                <w:rFonts w:asciiTheme="minorHAnsi" w:hAnsiTheme="minorHAnsi" w:cstheme="minorHAnsi"/>
                <w:b/>
                <w:color w:val="000000" w:themeColor="text1"/>
                <w:sz w:val="20"/>
                <w:szCs w:val="20"/>
              </w:rPr>
            </w:pPr>
            <w:r w:rsidRPr="00C81651">
              <w:rPr>
                <w:rFonts w:asciiTheme="minorHAnsi" w:hAnsiTheme="minorHAnsi" w:cstheme="minorHAnsi"/>
                <w:b/>
                <w:color w:val="000000" w:themeColor="text1"/>
                <w:sz w:val="20"/>
                <w:szCs w:val="20"/>
              </w:rPr>
              <w:t xml:space="preserve"> Interaction model x administration</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BFA0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76BA056D"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5126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total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0E24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B1568E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(9)</w:t>
            </w:r>
          </w:p>
        </w:tc>
        <w:tc>
          <w:tcPr>
            <w:tcW w:w="1304" w:type="dxa"/>
            <w:tcBorders>
              <w:top w:val="single" w:sz="8" w:space="0" w:color="000000"/>
              <w:left w:val="single" w:sz="8" w:space="0" w:color="000000"/>
              <w:bottom w:val="single" w:sz="4" w:space="0" w:color="auto"/>
              <w:right w:val="single" w:sz="8" w:space="0" w:color="000000"/>
            </w:tcBorders>
          </w:tcPr>
          <w:p w14:paraId="7F654438"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AF7197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8030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64E31F46"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F228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0</w:t>
            </w:r>
          </w:p>
        </w:tc>
        <w:tc>
          <w:tcPr>
            <w:tcW w:w="107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178C7FA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4" w:space="0" w:color="auto"/>
              <w:left w:val="single" w:sz="4" w:space="0" w:color="auto"/>
              <w:right w:val="single" w:sz="4" w:space="0" w:color="auto"/>
            </w:tcBorders>
            <w:tcMar>
              <w:top w:w="100" w:type="dxa"/>
              <w:left w:w="100" w:type="dxa"/>
              <w:bottom w:w="100" w:type="dxa"/>
              <w:right w:w="100" w:type="dxa"/>
            </w:tcMar>
          </w:tcPr>
          <w:p w14:paraId="040A88CF" w14:textId="77777777" w:rsidR="00E514B0" w:rsidRPr="00C81651" w:rsidRDefault="00E514B0" w:rsidP="00A44ED6">
            <w:pPr>
              <w:spacing w:after="240"/>
              <w:jc w:val="center"/>
              <w:rPr>
                <w:rFonts w:asciiTheme="minorHAnsi" w:hAnsiTheme="minorHAnsi" w:cstheme="minorHAnsi"/>
                <w:sz w:val="20"/>
                <w:szCs w:val="20"/>
              </w:rPr>
            </w:pPr>
            <w:r w:rsidRPr="00C81651" w:rsidDel="002A0EA9">
              <w:rPr>
                <w:rFonts w:asciiTheme="minorHAnsi" w:hAnsiTheme="minorHAnsi" w:cstheme="minorHAnsi"/>
                <w:sz w:val="20"/>
                <w:szCs w:val="20"/>
              </w:rPr>
              <w:t xml:space="preserve"> </w:t>
            </w:r>
            <w:proofErr w:type="gramStart"/>
            <w:r w:rsidRPr="00C81651">
              <w:rPr>
                <w:rFonts w:asciiTheme="minorHAnsi" w:hAnsiTheme="minorHAnsi" w:cstheme="minorHAnsi"/>
                <w:sz w:val="20"/>
                <w:szCs w:val="20"/>
              </w:rPr>
              <w:t>↑(</w:t>
            </w:r>
            <w:proofErr w:type="gramEnd"/>
            <w:r w:rsidRPr="00C81651">
              <w:rPr>
                <w:rFonts w:asciiTheme="minorHAnsi" w:hAnsiTheme="minorHAnsi" w:cstheme="minorHAnsi"/>
                <w:sz w:val="20"/>
                <w:szCs w:val="20"/>
              </w:rPr>
              <w:t>10)</w:t>
            </w:r>
          </w:p>
        </w:tc>
        <w:tc>
          <w:tcPr>
            <w:tcW w:w="1304" w:type="dxa"/>
            <w:tcBorders>
              <w:top w:val="single" w:sz="4" w:space="0" w:color="auto"/>
              <w:left w:val="single" w:sz="4" w:space="0" w:color="auto"/>
              <w:right w:val="single" w:sz="4" w:space="0" w:color="auto"/>
            </w:tcBorders>
          </w:tcPr>
          <w:p w14:paraId="232F1DD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(11)</w:t>
            </w:r>
          </w:p>
        </w:tc>
        <w:tc>
          <w:tcPr>
            <w:tcW w:w="1304" w:type="dxa"/>
            <w:tcBorders>
              <w:top w:val="single" w:sz="4" w:space="0" w:color="auto"/>
              <w:left w:val="single" w:sz="4" w:space="0" w:color="auto"/>
              <w:right w:val="single" w:sz="4" w:space="0" w:color="auto"/>
            </w:tcBorders>
            <w:tcMar>
              <w:top w:w="100" w:type="dxa"/>
              <w:left w:w="100" w:type="dxa"/>
              <w:bottom w:w="100" w:type="dxa"/>
              <w:right w:w="100" w:type="dxa"/>
            </w:tcMar>
          </w:tcPr>
          <w:p w14:paraId="6198236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(12)</w:t>
            </w:r>
          </w:p>
        </w:tc>
        <w:tc>
          <w:tcPr>
            <w:tcW w:w="2312"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249435D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38A76CA8"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39EE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20</w:t>
            </w:r>
          </w:p>
        </w:tc>
        <w:tc>
          <w:tcPr>
            <w:tcW w:w="107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F6452B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left w:val="single" w:sz="4" w:space="0" w:color="auto"/>
              <w:right w:val="single" w:sz="4" w:space="0" w:color="auto"/>
            </w:tcBorders>
            <w:tcMar>
              <w:top w:w="100" w:type="dxa"/>
              <w:left w:w="100" w:type="dxa"/>
              <w:bottom w:w="100" w:type="dxa"/>
              <w:right w:w="100" w:type="dxa"/>
            </w:tcMar>
          </w:tcPr>
          <w:p w14:paraId="76C64345"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Pr>
          <w:p w14:paraId="2F0F9398"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Mar>
              <w:top w:w="100" w:type="dxa"/>
              <w:left w:w="100" w:type="dxa"/>
              <w:bottom w:w="100" w:type="dxa"/>
              <w:right w:w="100" w:type="dxa"/>
            </w:tcMar>
          </w:tcPr>
          <w:p w14:paraId="039E0CDB" w14:textId="77777777" w:rsidR="00E514B0" w:rsidRPr="00C81651" w:rsidRDefault="00E514B0" w:rsidP="00A44ED6">
            <w:pPr>
              <w:spacing w:after="240"/>
              <w:jc w:val="center"/>
              <w:rPr>
                <w:rFonts w:asciiTheme="minorHAnsi" w:hAnsiTheme="minorHAnsi" w:cstheme="minorHAnsi"/>
                <w:sz w:val="20"/>
                <w:szCs w:val="20"/>
              </w:rPr>
            </w:pPr>
          </w:p>
        </w:tc>
        <w:tc>
          <w:tcPr>
            <w:tcW w:w="2312"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615FF0D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78E94A6C"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028E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40</w:t>
            </w:r>
          </w:p>
        </w:tc>
        <w:tc>
          <w:tcPr>
            <w:tcW w:w="107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432CC38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left w:val="single" w:sz="4" w:space="0" w:color="auto"/>
              <w:right w:val="single" w:sz="4" w:space="0" w:color="auto"/>
            </w:tcBorders>
            <w:tcMar>
              <w:top w:w="100" w:type="dxa"/>
              <w:left w:w="100" w:type="dxa"/>
              <w:bottom w:w="100" w:type="dxa"/>
              <w:right w:w="100" w:type="dxa"/>
            </w:tcMar>
          </w:tcPr>
          <w:p w14:paraId="275728E8"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Pr>
          <w:p w14:paraId="55C90B98"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Mar>
              <w:top w:w="100" w:type="dxa"/>
              <w:left w:w="100" w:type="dxa"/>
              <w:bottom w:w="100" w:type="dxa"/>
              <w:right w:w="100" w:type="dxa"/>
            </w:tcMar>
          </w:tcPr>
          <w:p w14:paraId="1CCEB2B8" w14:textId="77777777" w:rsidR="00E514B0" w:rsidRPr="00C81651" w:rsidRDefault="00E514B0" w:rsidP="00A44ED6">
            <w:pPr>
              <w:spacing w:after="240"/>
              <w:jc w:val="center"/>
              <w:rPr>
                <w:rFonts w:asciiTheme="minorHAnsi" w:hAnsiTheme="minorHAnsi" w:cstheme="minorHAnsi"/>
                <w:sz w:val="20"/>
                <w:szCs w:val="20"/>
              </w:rPr>
            </w:pPr>
          </w:p>
        </w:tc>
        <w:tc>
          <w:tcPr>
            <w:tcW w:w="2312"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0AAF0E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5A20895B"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9166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60</w:t>
            </w:r>
          </w:p>
        </w:tc>
        <w:tc>
          <w:tcPr>
            <w:tcW w:w="107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B3C7EE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left w:val="single" w:sz="4" w:space="0" w:color="auto"/>
              <w:right w:val="single" w:sz="4" w:space="0" w:color="auto"/>
            </w:tcBorders>
            <w:tcMar>
              <w:top w:w="100" w:type="dxa"/>
              <w:left w:w="100" w:type="dxa"/>
              <w:bottom w:w="100" w:type="dxa"/>
              <w:right w:w="100" w:type="dxa"/>
            </w:tcMar>
          </w:tcPr>
          <w:p w14:paraId="4ADD1A77"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Pr>
          <w:p w14:paraId="1F4D2A10"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Mar>
              <w:top w:w="100" w:type="dxa"/>
              <w:left w:w="100" w:type="dxa"/>
              <w:bottom w:w="100" w:type="dxa"/>
              <w:right w:w="100" w:type="dxa"/>
            </w:tcMar>
          </w:tcPr>
          <w:p w14:paraId="6E5371B0" w14:textId="77777777" w:rsidR="00E514B0" w:rsidRPr="00C81651" w:rsidRDefault="00E514B0" w:rsidP="00A44ED6">
            <w:pPr>
              <w:spacing w:after="240"/>
              <w:jc w:val="center"/>
              <w:rPr>
                <w:rFonts w:asciiTheme="minorHAnsi" w:hAnsiTheme="minorHAnsi" w:cstheme="minorHAnsi"/>
                <w:sz w:val="20"/>
                <w:szCs w:val="20"/>
              </w:rPr>
            </w:pPr>
          </w:p>
        </w:tc>
        <w:tc>
          <w:tcPr>
            <w:tcW w:w="2312"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123D70E4" w14:textId="77777777" w:rsidR="00E514B0" w:rsidRPr="00C81651" w:rsidRDefault="00E514B0" w:rsidP="00A44ED6">
            <w:pPr>
              <w:spacing w:after="240"/>
              <w:jc w:val="center"/>
              <w:rPr>
                <w:rFonts w:asciiTheme="minorHAnsi" w:hAnsiTheme="minorHAnsi" w:cstheme="minorHAnsi"/>
                <w:sz w:val="20"/>
                <w:szCs w:val="20"/>
              </w:rPr>
            </w:pPr>
          </w:p>
        </w:tc>
      </w:tr>
      <w:tr w:rsidR="00E514B0" w:rsidRPr="00C81651" w14:paraId="157B56E2"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2608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80</w:t>
            </w:r>
          </w:p>
        </w:tc>
        <w:tc>
          <w:tcPr>
            <w:tcW w:w="107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67E915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left w:val="single" w:sz="4" w:space="0" w:color="auto"/>
              <w:right w:val="single" w:sz="4" w:space="0" w:color="auto"/>
            </w:tcBorders>
            <w:tcMar>
              <w:top w:w="100" w:type="dxa"/>
              <w:left w:w="100" w:type="dxa"/>
              <w:bottom w:w="100" w:type="dxa"/>
              <w:right w:w="100" w:type="dxa"/>
            </w:tcMar>
          </w:tcPr>
          <w:p w14:paraId="209A45BE"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Pr>
          <w:p w14:paraId="59725806"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Mar>
              <w:top w:w="100" w:type="dxa"/>
              <w:left w:w="100" w:type="dxa"/>
              <w:bottom w:w="100" w:type="dxa"/>
              <w:right w:w="100" w:type="dxa"/>
            </w:tcMar>
          </w:tcPr>
          <w:p w14:paraId="12A7BB65" w14:textId="77777777" w:rsidR="00E514B0" w:rsidRPr="00C81651" w:rsidRDefault="00E514B0" w:rsidP="00A44ED6">
            <w:pPr>
              <w:spacing w:after="240"/>
              <w:jc w:val="center"/>
              <w:rPr>
                <w:rFonts w:asciiTheme="minorHAnsi" w:hAnsiTheme="minorHAnsi" w:cstheme="minorHAnsi"/>
                <w:sz w:val="20"/>
                <w:szCs w:val="20"/>
              </w:rPr>
            </w:pPr>
          </w:p>
        </w:tc>
        <w:tc>
          <w:tcPr>
            <w:tcW w:w="2312"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7CCC3A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39322875"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0D4D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100</w:t>
            </w:r>
          </w:p>
        </w:tc>
        <w:tc>
          <w:tcPr>
            <w:tcW w:w="107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BB1696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left w:val="single" w:sz="4" w:space="0" w:color="auto"/>
              <w:right w:val="single" w:sz="4" w:space="0" w:color="auto"/>
            </w:tcBorders>
            <w:tcMar>
              <w:top w:w="100" w:type="dxa"/>
              <w:left w:w="100" w:type="dxa"/>
              <w:bottom w:w="100" w:type="dxa"/>
              <w:right w:w="100" w:type="dxa"/>
            </w:tcMar>
          </w:tcPr>
          <w:p w14:paraId="6024C06C"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Pr>
          <w:p w14:paraId="7CF6D7C2"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Mar>
              <w:top w:w="100" w:type="dxa"/>
              <w:left w:w="100" w:type="dxa"/>
              <w:bottom w:w="100" w:type="dxa"/>
              <w:right w:w="100" w:type="dxa"/>
            </w:tcMar>
          </w:tcPr>
          <w:p w14:paraId="24C0163A" w14:textId="77777777" w:rsidR="00E514B0" w:rsidRPr="00C81651" w:rsidRDefault="00E514B0" w:rsidP="00A44ED6">
            <w:pPr>
              <w:spacing w:after="240"/>
              <w:jc w:val="center"/>
              <w:rPr>
                <w:rFonts w:asciiTheme="minorHAnsi" w:hAnsiTheme="minorHAnsi" w:cstheme="minorHAnsi"/>
                <w:sz w:val="20"/>
                <w:szCs w:val="20"/>
              </w:rPr>
            </w:pPr>
          </w:p>
        </w:tc>
        <w:tc>
          <w:tcPr>
            <w:tcW w:w="2312"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7821868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01343DBE"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6D47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120</w:t>
            </w:r>
          </w:p>
        </w:tc>
        <w:tc>
          <w:tcPr>
            <w:tcW w:w="107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3C51A96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left w:val="single" w:sz="4" w:space="0" w:color="auto"/>
              <w:right w:val="single" w:sz="4" w:space="0" w:color="auto"/>
            </w:tcBorders>
            <w:tcMar>
              <w:top w:w="100" w:type="dxa"/>
              <w:left w:w="100" w:type="dxa"/>
              <w:bottom w:w="100" w:type="dxa"/>
              <w:right w:w="100" w:type="dxa"/>
            </w:tcMar>
          </w:tcPr>
          <w:p w14:paraId="23DCBBE5"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Pr>
          <w:p w14:paraId="6621141C"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Mar>
              <w:top w:w="100" w:type="dxa"/>
              <w:left w:w="100" w:type="dxa"/>
              <w:bottom w:w="100" w:type="dxa"/>
              <w:right w:w="100" w:type="dxa"/>
            </w:tcMar>
          </w:tcPr>
          <w:p w14:paraId="1E0D60C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024737CC" w14:textId="77777777" w:rsidR="00E514B0" w:rsidRPr="00C81651" w:rsidRDefault="00E514B0" w:rsidP="00A44ED6">
            <w:pPr>
              <w:spacing w:after="240"/>
              <w:jc w:val="center"/>
              <w:rPr>
                <w:rFonts w:asciiTheme="minorHAnsi" w:hAnsiTheme="minorHAnsi" w:cstheme="minorHAnsi"/>
                <w:sz w:val="20"/>
                <w:szCs w:val="20"/>
              </w:rPr>
            </w:pPr>
          </w:p>
        </w:tc>
      </w:tr>
      <w:tr w:rsidR="00E514B0" w:rsidRPr="00C81651" w14:paraId="24D77AC8" w14:textId="77777777" w:rsidTr="00A44ED6">
        <w:trPr>
          <w:trHeight w:val="46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1511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lastRenderedPageBreak/>
              <w:t>140</w:t>
            </w:r>
          </w:p>
        </w:tc>
        <w:tc>
          <w:tcPr>
            <w:tcW w:w="107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1B005FC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left w:val="single" w:sz="4" w:space="0" w:color="auto"/>
              <w:right w:val="single" w:sz="4" w:space="0" w:color="auto"/>
            </w:tcBorders>
            <w:tcMar>
              <w:top w:w="100" w:type="dxa"/>
              <w:left w:w="100" w:type="dxa"/>
              <w:bottom w:w="100" w:type="dxa"/>
              <w:right w:w="100" w:type="dxa"/>
            </w:tcMar>
          </w:tcPr>
          <w:p w14:paraId="786805A6"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Pr>
          <w:p w14:paraId="49ADAAC3"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left w:val="single" w:sz="4" w:space="0" w:color="auto"/>
              <w:right w:val="single" w:sz="4" w:space="0" w:color="auto"/>
            </w:tcBorders>
            <w:tcMar>
              <w:top w:w="100" w:type="dxa"/>
              <w:left w:w="100" w:type="dxa"/>
              <w:bottom w:w="100" w:type="dxa"/>
              <w:right w:w="100" w:type="dxa"/>
            </w:tcMar>
          </w:tcPr>
          <w:p w14:paraId="267CE59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20818BA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29FED89A"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E20D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i/>
                <w:sz w:val="20"/>
                <w:szCs w:val="20"/>
              </w:rPr>
              <w:t>Dendritic spines</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E142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1A7B30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4" w:space="0" w:color="auto"/>
              <w:left w:val="single" w:sz="8" w:space="0" w:color="000000"/>
              <w:bottom w:val="single" w:sz="8" w:space="0" w:color="000000"/>
              <w:right w:val="single" w:sz="8" w:space="0" w:color="000000"/>
            </w:tcBorders>
          </w:tcPr>
          <w:p w14:paraId="298BB004"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EEC643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C845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617A0800"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8465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total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E580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3229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4113AB5D"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1EFD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A076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313138D9"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1DA3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50</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C5CB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EE82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658CCED9"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83AE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8116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03B9C853"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EA3C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100</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E56B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2B97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1F6239F1"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5840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5EFB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6F1FAD75"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6DC4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150</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CD47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F1F0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11858AD6"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BF7E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3242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4A1CDBF1" w14:textId="77777777" w:rsidTr="00A44ED6">
        <w:trPr>
          <w:trHeight w:val="6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E5CE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Density of neuropil puncta</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F36C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54BD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146BE90D"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85F0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372E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0158FE91"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E915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PrL</w:t>
            </w:r>
          </w:p>
        </w:tc>
        <w:tc>
          <w:tcPr>
            <w:tcW w:w="1071"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58A291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bottom w:val="single" w:sz="8" w:space="0" w:color="000000"/>
            </w:tcBorders>
            <w:tcMar>
              <w:top w:w="100" w:type="dxa"/>
              <w:left w:w="100" w:type="dxa"/>
              <w:bottom w:w="100" w:type="dxa"/>
              <w:right w:w="100" w:type="dxa"/>
            </w:tcMar>
          </w:tcPr>
          <w:p w14:paraId="4058496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bottom w:val="single" w:sz="8" w:space="0" w:color="000000"/>
            </w:tcBorders>
          </w:tcPr>
          <w:p w14:paraId="1605B929"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9D163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9F7E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1D843B9F" w14:textId="77777777" w:rsidTr="00A44ED6">
        <w:trPr>
          <w:trHeight w:val="56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AAE6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VGLUT1</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0B7C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7FC6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(13)</w:t>
            </w:r>
          </w:p>
        </w:tc>
        <w:tc>
          <w:tcPr>
            <w:tcW w:w="1304" w:type="dxa"/>
            <w:tcBorders>
              <w:top w:val="single" w:sz="8" w:space="0" w:color="000000"/>
              <w:left w:val="single" w:sz="8" w:space="0" w:color="000000"/>
              <w:bottom w:val="single" w:sz="8" w:space="0" w:color="000000"/>
              <w:right w:val="single" w:sz="8" w:space="0" w:color="000000"/>
            </w:tcBorders>
          </w:tcPr>
          <w:p w14:paraId="0DA9E4F7"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1956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D305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5FB33D94"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FF73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VGAT</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BB22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E4C6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(14)</w:t>
            </w:r>
          </w:p>
        </w:tc>
        <w:tc>
          <w:tcPr>
            <w:tcW w:w="1304" w:type="dxa"/>
            <w:tcBorders>
              <w:top w:val="single" w:sz="8" w:space="0" w:color="000000"/>
              <w:left w:val="single" w:sz="8" w:space="0" w:color="000000"/>
              <w:bottom w:val="single" w:sz="8" w:space="0" w:color="000000"/>
              <w:right w:val="single" w:sz="8" w:space="0" w:color="000000"/>
            </w:tcBorders>
          </w:tcPr>
          <w:p w14:paraId="1266A54D"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03B3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B6D7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6BF3CAE3"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E3E5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IL</w:t>
            </w:r>
          </w:p>
        </w:tc>
        <w:tc>
          <w:tcPr>
            <w:tcW w:w="1071" w:type="dxa"/>
            <w:tcBorders>
              <w:top w:val="single" w:sz="8" w:space="0" w:color="000000"/>
              <w:left w:val="single" w:sz="8" w:space="0" w:color="000000"/>
              <w:bottom w:val="single" w:sz="8" w:space="0" w:color="000000"/>
            </w:tcBorders>
            <w:tcMar>
              <w:top w:w="100" w:type="dxa"/>
              <w:left w:w="100" w:type="dxa"/>
              <w:bottom w:w="100" w:type="dxa"/>
              <w:right w:w="100" w:type="dxa"/>
            </w:tcMar>
          </w:tcPr>
          <w:p w14:paraId="26B9845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bottom w:val="single" w:sz="8" w:space="0" w:color="000000"/>
            </w:tcBorders>
            <w:tcMar>
              <w:top w:w="100" w:type="dxa"/>
              <w:left w:w="100" w:type="dxa"/>
              <w:bottom w:w="100" w:type="dxa"/>
              <w:right w:w="100" w:type="dxa"/>
            </w:tcMar>
          </w:tcPr>
          <w:p w14:paraId="3615D7A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bottom w:val="single" w:sz="8" w:space="0" w:color="000000"/>
            </w:tcBorders>
          </w:tcPr>
          <w:p w14:paraId="7EFE7B9A"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D8B8A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0ECA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3109B2A1"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B48D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VGLUT1</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6735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3A78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3C9EA522"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1E0F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F645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368D257F" w14:textId="77777777" w:rsidTr="00A44ED6">
        <w:trPr>
          <w:trHeight w:val="52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68D8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VGAT</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1238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BD81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499CD399"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E831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8533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5A36D29F" w14:textId="77777777" w:rsidTr="00A44ED6">
        <w:trPr>
          <w:trHeight w:val="6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43BA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Excitation/inhibition ratio</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21AB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7A12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30CEBB6D"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8FF0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D168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4171D9F3"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B0ED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PrL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4B88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7E0E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(15)</w:t>
            </w:r>
          </w:p>
        </w:tc>
        <w:tc>
          <w:tcPr>
            <w:tcW w:w="1304" w:type="dxa"/>
            <w:tcBorders>
              <w:top w:val="single" w:sz="8" w:space="0" w:color="000000"/>
              <w:left w:val="single" w:sz="8" w:space="0" w:color="000000"/>
              <w:bottom w:val="single" w:sz="8" w:space="0" w:color="000000"/>
              <w:right w:val="single" w:sz="8" w:space="0" w:color="000000"/>
            </w:tcBorders>
          </w:tcPr>
          <w:p w14:paraId="471B8077"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C35F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(16)</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F0B5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C&gt;D *</w:t>
            </w:r>
          </w:p>
        </w:tc>
      </w:tr>
      <w:tr w:rsidR="00E514B0" w:rsidRPr="00C81651" w14:paraId="21177C34"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3099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IL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4605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0CC0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19A14F37"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8BCC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(17)</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0242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C&gt;D *</w:t>
            </w:r>
          </w:p>
        </w:tc>
      </w:tr>
      <w:tr w:rsidR="00E514B0" w:rsidRPr="00C81651" w14:paraId="6AADB050"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4ABC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 xml:space="preserve">Perisomatic </w:t>
            </w:r>
            <w:proofErr w:type="spellStart"/>
            <w:r w:rsidRPr="00C81651">
              <w:rPr>
                <w:rFonts w:asciiTheme="minorHAnsi" w:hAnsiTheme="minorHAnsi" w:cstheme="minorHAnsi"/>
                <w:b/>
                <w:sz w:val="20"/>
                <w:szCs w:val="20"/>
              </w:rPr>
              <w:t>inervation</w:t>
            </w:r>
            <w:proofErr w:type="spellEnd"/>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F102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B11E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25CB19DF"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C4E0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9A64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0ED57102"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1CCD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PrL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B735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5F09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381C5622"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1187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3627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159EC1E6"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D244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CB1R</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5ADB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6B50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34FB9C12"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F1FC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3DD5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43BB1821" w14:textId="77777777" w:rsidTr="00A44ED6">
        <w:trPr>
          <w:trHeight w:val="46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15B1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lastRenderedPageBreak/>
              <w:t>SYN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F4BB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(18)</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9136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7B497741"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104F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7E6B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4274E447"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998A6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CB1R-SYN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0224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0F8D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6927C053"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A170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2507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63C3007E"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660D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IL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E0B4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336D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42FCFCED"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FE9D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B8DF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04968FB8"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6DCF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CB1R</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76E2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9D57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499FF80C"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BC3D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94128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08CE633D"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449C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SYN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0340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8183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2A8556D0"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02DD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ABD5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02A01D36"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1CA4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CB1R-SYN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A5C6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7243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28747106"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20CB6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6CD5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011AD594"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D403D" w14:textId="77777777" w:rsidR="00E514B0" w:rsidRPr="00C81651" w:rsidRDefault="00E514B0" w:rsidP="00A44ED6">
            <w:pPr>
              <w:spacing w:after="240"/>
              <w:jc w:val="center"/>
              <w:rPr>
                <w:rFonts w:asciiTheme="minorHAnsi" w:hAnsiTheme="minorHAnsi" w:cstheme="minorHAnsi"/>
                <w:b/>
                <w:sz w:val="20"/>
                <w:szCs w:val="20"/>
              </w:rPr>
            </w:pPr>
            <w:r w:rsidRPr="00C81651">
              <w:rPr>
                <w:rFonts w:asciiTheme="minorHAnsi" w:hAnsiTheme="minorHAnsi" w:cstheme="minorHAnsi"/>
                <w:b/>
                <w:sz w:val="20"/>
                <w:szCs w:val="20"/>
              </w:rPr>
              <w:t>Cg1</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647A8" w14:textId="77777777" w:rsidR="00E514B0" w:rsidRPr="00C81651" w:rsidRDefault="00E514B0" w:rsidP="00A44ED6">
            <w:pPr>
              <w:spacing w:after="240"/>
              <w:jc w:val="center"/>
              <w:rPr>
                <w:rFonts w:asciiTheme="minorHAnsi" w:hAnsiTheme="minorHAnsi" w:cstheme="minorHAnsi"/>
                <w:sz w:val="20"/>
                <w:szCs w:val="20"/>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7F8FB"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Pr>
          <w:p w14:paraId="1EF7A641"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1C2C3" w14:textId="77777777" w:rsidR="00E514B0" w:rsidRPr="00C81651" w:rsidRDefault="00E514B0" w:rsidP="00A44ED6">
            <w:pPr>
              <w:spacing w:after="240"/>
              <w:jc w:val="center"/>
              <w:rPr>
                <w:rFonts w:asciiTheme="minorHAnsi" w:hAnsiTheme="minorHAnsi" w:cstheme="minorHAnsi"/>
                <w:sz w:val="20"/>
                <w:szCs w:val="20"/>
              </w:rPr>
            </w:pP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980B1" w14:textId="77777777" w:rsidR="00E514B0" w:rsidRPr="00C81651" w:rsidRDefault="00E514B0" w:rsidP="00A44ED6">
            <w:pPr>
              <w:spacing w:after="240"/>
              <w:jc w:val="center"/>
              <w:rPr>
                <w:rFonts w:asciiTheme="minorHAnsi" w:hAnsiTheme="minorHAnsi" w:cstheme="minorHAnsi"/>
                <w:sz w:val="20"/>
                <w:szCs w:val="20"/>
              </w:rPr>
            </w:pPr>
          </w:p>
        </w:tc>
      </w:tr>
      <w:tr w:rsidR="00E514B0" w:rsidRPr="00C81651" w14:paraId="37EDC93D"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048F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CB1R</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CCA8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39B4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(19)</w:t>
            </w:r>
          </w:p>
        </w:tc>
        <w:tc>
          <w:tcPr>
            <w:tcW w:w="1304" w:type="dxa"/>
            <w:tcBorders>
              <w:top w:val="single" w:sz="8" w:space="0" w:color="000000"/>
              <w:left w:val="single" w:sz="8" w:space="0" w:color="000000"/>
              <w:bottom w:val="single" w:sz="8" w:space="0" w:color="000000"/>
              <w:right w:val="single" w:sz="8" w:space="0" w:color="000000"/>
            </w:tcBorders>
          </w:tcPr>
          <w:p w14:paraId="2917D525"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8BFB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(20)</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E953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D&gt;C*</w:t>
            </w:r>
          </w:p>
          <w:p w14:paraId="376EFD0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D&gt;B*</w:t>
            </w:r>
          </w:p>
        </w:tc>
      </w:tr>
      <w:tr w:rsidR="00E514B0" w:rsidRPr="00C81651" w14:paraId="2B6C0AD4"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DFEE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SYN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7CFC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B27E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25A60F73"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B7C6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05C2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11052CA1"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8258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CB1R-SYN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3B26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12DC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64171DBD"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CB6B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9BF1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27821BEE"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DCA5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PV+ neurons</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8721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E2B0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6EA4C45D"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0E1F6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81A9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585D31CE" w14:textId="77777777" w:rsidTr="00A44ED6">
        <w:trPr>
          <w:trHeight w:val="46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64EF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PrL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FCA2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(21)</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ACFA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27BDD858"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18029"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E76B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58157655"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C983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IL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70F9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(22)</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D65B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4A536210"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5D82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22FE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r w:rsidR="00E514B0" w:rsidRPr="00C81651" w14:paraId="35F5238F"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96F8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Cg1</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9317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A7EE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1D82A535"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8947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41AC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11799F00"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1ECC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PNNs</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67C1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375B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4017D4F5"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518EF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7BE3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213CE378"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5741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PrL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2FC21"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(23)</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F682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18EBEC80"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CAACA"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0DB6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76FFCD3E"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F342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IL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B9E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(24)</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87E7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6877F025"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4AAA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2F7F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B&gt;D *</w:t>
            </w:r>
          </w:p>
        </w:tc>
      </w:tr>
      <w:tr w:rsidR="00E514B0" w:rsidRPr="00C81651" w14:paraId="7EB5491E" w14:textId="77777777" w:rsidTr="00A44ED6">
        <w:trPr>
          <w:trHeight w:val="46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1AFC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Cg1</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1EAB7"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664D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4A987230"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177A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(25)</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8F25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061D4F90"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3047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b/>
                <w:sz w:val="20"/>
                <w:szCs w:val="20"/>
              </w:rPr>
              <w:t>PV-PNNs colocalization</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F8A7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008BE"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161C3120"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552C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5279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31CEBDC8"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1EA28"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lastRenderedPageBreak/>
              <w:t>PrL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0C5C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(26)</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FC3B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(27)</w:t>
            </w:r>
          </w:p>
        </w:tc>
        <w:tc>
          <w:tcPr>
            <w:tcW w:w="1304" w:type="dxa"/>
            <w:tcBorders>
              <w:top w:val="single" w:sz="8" w:space="0" w:color="000000"/>
              <w:left w:val="single" w:sz="8" w:space="0" w:color="000000"/>
              <w:bottom w:val="single" w:sz="8" w:space="0" w:color="000000"/>
              <w:right w:val="single" w:sz="8" w:space="0" w:color="000000"/>
            </w:tcBorders>
          </w:tcPr>
          <w:p w14:paraId="15F5649C"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16FA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4BE8B"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B&gt;D #</w:t>
            </w:r>
          </w:p>
        </w:tc>
      </w:tr>
      <w:tr w:rsidR="00E514B0" w:rsidRPr="00C81651" w14:paraId="3627EE10" w14:textId="77777777" w:rsidTr="00A44ED6">
        <w:trPr>
          <w:trHeight w:val="48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35F9F"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IL</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838EC"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(28)</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C6743"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c>
          <w:tcPr>
            <w:tcW w:w="1304" w:type="dxa"/>
            <w:tcBorders>
              <w:top w:val="single" w:sz="8" w:space="0" w:color="000000"/>
              <w:left w:val="single" w:sz="8" w:space="0" w:color="000000"/>
              <w:bottom w:val="single" w:sz="8" w:space="0" w:color="000000"/>
              <w:right w:val="single" w:sz="8" w:space="0" w:color="000000"/>
            </w:tcBorders>
          </w:tcPr>
          <w:p w14:paraId="721251A6"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3451D"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F547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 xml:space="preserve"> </w:t>
            </w:r>
          </w:p>
        </w:tc>
      </w:tr>
      <w:tr w:rsidR="00E514B0" w:rsidRPr="00C81651" w14:paraId="1299CDB5" w14:textId="77777777" w:rsidTr="00A44ED6">
        <w:trPr>
          <w:trHeight w:val="440"/>
        </w:trPr>
        <w:tc>
          <w:tcPr>
            <w:tcW w:w="2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4A252"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Cg1</w:t>
            </w:r>
          </w:p>
        </w:tc>
        <w:tc>
          <w:tcPr>
            <w:tcW w:w="1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3FAB5"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5C034"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1304" w:type="dxa"/>
            <w:tcBorders>
              <w:top w:val="single" w:sz="8" w:space="0" w:color="000000"/>
              <w:left w:val="single" w:sz="8" w:space="0" w:color="000000"/>
              <w:bottom w:val="single" w:sz="8" w:space="0" w:color="000000"/>
              <w:right w:val="single" w:sz="8" w:space="0" w:color="000000"/>
            </w:tcBorders>
          </w:tcPr>
          <w:p w14:paraId="464B6B8C" w14:textId="77777777" w:rsidR="00E514B0" w:rsidRPr="00C81651" w:rsidRDefault="00E514B0" w:rsidP="00A44ED6">
            <w:pPr>
              <w:spacing w:after="240"/>
              <w:jc w:val="center"/>
              <w:rPr>
                <w:rFonts w:asciiTheme="minorHAnsi" w:hAnsiTheme="minorHAnsi" w:cstheme="minorHAnsi"/>
                <w:sz w:val="20"/>
                <w:szCs w:val="20"/>
              </w:rPr>
            </w:pP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9BFD6"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156C0" w14:textId="77777777" w:rsidR="00E514B0" w:rsidRPr="00C81651" w:rsidRDefault="00E514B0" w:rsidP="00A44ED6">
            <w:pPr>
              <w:spacing w:after="240"/>
              <w:jc w:val="center"/>
              <w:rPr>
                <w:rFonts w:asciiTheme="minorHAnsi" w:hAnsiTheme="minorHAnsi" w:cstheme="minorHAnsi"/>
                <w:sz w:val="20"/>
                <w:szCs w:val="20"/>
              </w:rPr>
            </w:pPr>
            <w:r w:rsidRPr="00C81651">
              <w:rPr>
                <w:rFonts w:asciiTheme="minorHAnsi" w:hAnsiTheme="minorHAnsi" w:cstheme="minorHAnsi"/>
                <w:sz w:val="20"/>
                <w:szCs w:val="20"/>
              </w:rPr>
              <w:t>-</w:t>
            </w:r>
          </w:p>
        </w:tc>
      </w:tr>
    </w:tbl>
    <w:p w14:paraId="40399390" w14:textId="77777777" w:rsidR="00E514B0" w:rsidRPr="00C81651" w:rsidRDefault="00E514B0" w:rsidP="00261C92">
      <w:pPr>
        <w:jc w:val="both"/>
        <w:rPr>
          <w:rFonts w:asciiTheme="minorHAnsi" w:hAnsiTheme="minorHAnsi" w:cstheme="minorHAnsi"/>
          <w:sz w:val="22"/>
          <w:szCs w:val="22"/>
        </w:rPr>
      </w:pPr>
    </w:p>
    <w:p w14:paraId="0FF74764" w14:textId="77777777" w:rsidR="00261C92" w:rsidRPr="00C81651" w:rsidRDefault="00261C92" w:rsidP="00261C92">
      <w:pPr>
        <w:jc w:val="both"/>
        <w:rPr>
          <w:rFonts w:asciiTheme="minorHAnsi" w:hAnsiTheme="minorHAnsi" w:cstheme="minorHAnsi"/>
          <w:sz w:val="22"/>
          <w:szCs w:val="22"/>
        </w:rPr>
      </w:pPr>
      <w:r w:rsidRPr="00C81651">
        <w:rPr>
          <w:rFonts w:asciiTheme="minorHAnsi" w:hAnsiTheme="minorHAnsi" w:cstheme="minorHAnsi"/>
          <w:sz w:val="22"/>
          <w:szCs w:val="22"/>
        </w:rPr>
        <w:t xml:space="preserve"> </w:t>
      </w:r>
    </w:p>
    <w:p w14:paraId="1C7A76E9" w14:textId="77777777" w:rsidR="00261C92" w:rsidRPr="00C81651" w:rsidRDefault="00261C92" w:rsidP="00261C92">
      <w:pPr>
        <w:jc w:val="both"/>
        <w:rPr>
          <w:rFonts w:asciiTheme="minorHAnsi" w:hAnsiTheme="minorHAnsi" w:cstheme="minorHAnsi"/>
          <w:sz w:val="22"/>
          <w:szCs w:val="22"/>
        </w:rPr>
      </w:pPr>
      <w:r w:rsidRPr="00C81651">
        <w:rPr>
          <w:rFonts w:asciiTheme="minorHAnsi" w:hAnsiTheme="minorHAnsi" w:cstheme="minorHAnsi"/>
          <w:sz w:val="22"/>
          <w:szCs w:val="22"/>
        </w:rPr>
        <w:t>Symbols: (↓) statistically significant decrease (Kruskal-Wallis), (↑) statistically significant increase or (↓) decrease (two-way or three-way ANOVA); (-) no statistically significant effect (two-way or three-way ANOVA); *</w:t>
      </w:r>
      <w:r w:rsidRPr="00C81651">
        <w:rPr>
          <w:rFonts w:asciiTheme="minorHAnsi" w:hAnsiTheme="minorHAnsi" w:cstheme="minorHAnsi"/>
          <w:i/>
          <w:sz w:val="22"/>
          <w:szCs w:val="22"/>
        </w:rPr>
        <w:t>p</w:t>
      </w:r>
      <w:r w:rsidRPr="00C81651">
        <w:rPr>
          <w:rFonts w:asciiTheme="minorHAnsi" w:hAnsiTheme="minorHAnsi" w:cstheme="minorHAnsi"/>
          <w:sz w:val="22"/>
          <w:szCs w:val="22"/>
        </w:rPr>
        <w:t xml:space="preserve"> &lt; 0.05; **</w:t>
      </w:r>
      <w:r w:rsidRPr="00C81651">
        <w:rPr>
          <w:rFonts w:asciiTheme="minorHAnsi" w:hAnsiTheme="minorHAnsi" w:cstheme="minorHAnsi"/>
          <w:i/>
          <w:sz w:val="22"/>
          <w:szCs w:val="22"/>
        </w:rPr>
        <w:t>p</w:t>
      </w:r>
      <w:r w:rsidRPr="00C81651">
        <w:rPr>
          <w:rFonts w:asciiTheme="minorHAnsi" w:hAnsiTheme="minorHAnsi" w:cstheme="minorHAnsi"/>
          <w:sz w:val="22"/>
          <w:szCs w:val="22"/>
        </w:rPr>
        <w:t xml:space="preserve"> &lt; 0.01; ***</w:t>
      </w:r>
      <w:r w:rsidRPr="00C81651">
        <w:rPr>
          <w:rFonts w:asciiTheme="minorHAnsi" w:hAnsiTheme="minorHAnsi" w:cstheme="minorHAnsi"/>
          <w:i/>
          <w:sz w:val="22"/>
          <w:szCs w:val="22"/>
        </w:rPr>
        <w:t>p</w:t>
      </w:r>
      <w:r w:rsidRPr="00C81651">
        <w:rPr>
          <w:rFonts w:asciiTheme="minorHAnsi" w:hAnsiTheme="minorHAnsi" w:cstheme="minorHAnsi"/>
          <w:sz w:val="22"/>
          <w:szCs w:val="22"/>
        </w:rPr>
        <w:t xml:space="preserve"> &lt; 0.001; # 0.10 ≥ </w:t>
      </w:r>
      <w:r w:rsidRPr="00C81651">
        <w:rPr>
          <w:rFonts w:asciiTheme="minorHAnsi" w:hAnsiTheme="minorHAnsi" w:cstheme="minorHAnsi"/>
          <w:i/>
          <w:sz w:val="22"/>
          <w:szCs w:val="22"/>
        </w:rPr>
        <w:t>p</w:t>
      </w:r>
      <w:r w:rsidRPr="00C81651">
        <w:rPr>
          <w:rFonts w:asciiTheme="minorHAnsi" w:hAnsiTheme="minorHAnsi" w:cstheme="minorHAnsi"/>
          <w:sz w:val="22"/>
          <w:szCs w:val="22"/>
        </w:rPr>
        <w:t xml:space="preserve"> ≥ 0.05; A (CTRL-VEH), B (CTRL-THC), C (DHM-VEH), D (DHM-THC).</w:t>
      </w:r>
    </w:p>
    <w:p w14:paraId="2130893C" w14:textId="77777777" w:rsidR="00261C92" w:rsidRPr="00C81651" w:rsidRDefault="00261C92" w:rsidP="00261C92">
      <w:pPr>
        <w:jc w:val="both"/>
        <w:rPr>
          <w:rFonts w:asciiTheme="minorHAnsi" w:hAnsiTheme="minorHAnsi" w:cstheme="minorHAnsi"/>
          <w:sz w:val="22"/>
          <w:szCs w:val="22"/>
        </w:rPr>
      </w:pPr>
    </w:p>
    <w:p w14:paraId="5E0D8C4D" w14:textId="77777777" w:rsidR="00261C92" w:rsidRPr="00C81651" w:rsidRDefault="00261C92" w:rsidP="00261C92">
      <w:pPr>
        <w:jc w:val="both"/>
        <w:rPr>
          <w:rFonts w:asciiTheme="minorHAnsi" w:hAnsiTheme="minorHAnsi" w:cstheme="minorHAnsi"/>
          <w:sz w:val="22"/>
          <w:szCs w:val="22"/>
        </w:rPr>
      </w:pPr>
      <w:r w:rsidRPr="00C81651">
        <w:rPr>
          <w:rFonts w:asciiTheme="minorHAnsi" w:hAnsiTheme="minorHAnsi" w:cstheme="minorHAnsi"/>
          <w:sz w:val="22"/>
          <w:szCs w:val="22"/>
        </w:rPr>
        <w:t>F and p-values: (1) p&lt;0.001; (2) p&lt;0.001; (3) p&lt;0.001; (4) p&lt;0.001; (5) F(1,28)=4.436, p=0.044; (6) F(1,11)=9.285, p=0.011; (7) F(1,11)=6.490, p=0.021; (8) F(1,28)=5.298, p=0.040; (9) F(1,28)=4.358, p=0.046; (10) (F(1, 243)= 25.723, p&lt;0.001); (11) (F(8, 243)= 137.101, p&lt;0.001); (12) F(1,243)=9.337, p=0.002); (13) F(1,20)=4.435, p=0.048; (14) F(1,20)=5.189, p=0.034; (15) F(1,18)=3.318, p=0.085; (16) F(1,18)=9.816, p=0.006; (17) F(1,18)=17.179, p=0.001; (18) F(1,20)=3.474, p=0.077; (19) F(1,19)=4.476, p=0.048; (20) F(1,19)=7.969, p=0.011; (21) F(1,18)=4.070, p=0.059; (22) F(1,18)=3.288, p=0.087; (23) F(1,18)=5.102, p=0.037; (24) F(1,17)=11.327,p=0.004; (25) F(1,19) =3.466, p=0.079; (26) F(1,17)=9.232, p=0.007; (27) F(1,17)=5.079, p=0.038; (28) F(1,17)=6.874, p=0.018.</w:t>
      </w:r>
    </w:p>
    <w:p w14:paraId="48CC4714" w14:textId="77777777" w:rsidR="009A1B4E" w:rsidRPr="00C81651" w:rsidRDefault="009A1B4E">
      <w:pPr>
        <w:rPr>
          <w:rFonts w:asciiTheme="minorHAnsi" w:hAnsiTheme="minorHAnsi" w:cstheme="minorHAnsi"/>
          <w:sz w:val="22"/>
          <w:szCs w:val="22"/>
        </w:rPr>
      </w:pPr>
      <w:r w:rsidRPr="00C81651">
        <w:rPr>
          <w:rFonts w:asciiTheme="minorHAnsi" w:hAnsiTheme="minorHAnsi" w:cstheme="minorHAnsi"/>
          <w:sz w:val="22"/>
          <w:szCs w:val="22"/>
        </w:rPr>
        <w:br w:type="page"/>
      </w:r>
    </w:p>
    <w:p w14:paraId="5FCFB3B0" w14:textId="77777777" w:rsidR="009A1B4E" w:rsidRPr="00C81651" w:rsidRDefault="009A1B4E" w:rsidP="009A1B4E">
      <w:pPr>
        <w:spacing w:line="360" w:lineRule="auto"/>
        <w:rPr>
          <w:rFonts w:asciiTheme="minorHAnsi" w:hAnsiTheme="minorHAnsi" w:cstheme="minorHAnsi"/>
        </w:rPr>
      </w:pPr>
      <w:r w:rsidRPr="00C81651">
        <w:rPr>
          <w:rFonts w:asciiTheme="minorHAnsi" w:hAnsiTheme="minorHAnsi" w:cstheme="minorHAnsi"/>
          <w:b/>
        </w:rPr>
        <w:lastRenderedPageBreak/>
        <w:t>Table S4</w:t>
      </w:r>
      <w:r w:rsidRPr="00C81651">
        <w:rPr>
          <w:rFonts w:asciiTheme="minorHAnsi" w:hAnsiTheme="minorHAnsi" w:cstheme="minorHAnsi"/>
        </w:rPr>
        <w:t>. Spearman’s Rho correlation analysis between prepulse inhibition of startle reflex at different intensities (73, 76 and 82 dB) and other variables.</w:t>
      </w:r>
    </w:p>
    <w:p w14:paraId="3E2D5695" w14:textId="77777777" w:rsidR="009A1B4E" w:rsidRPr="00C81651" w:rsidRDefault="009A1B4E" w:rsidP="009A1B4E">
      <w:pPr>
        <w:spacing w:line="360" w:lineRule="auto"/>
        <w:rPr>
          <w:rFonts w:asciiTheme="minorHAnsi" w:hAnsiTheme="minorHAnsi" w:cstheme="minorHAnsi"/>
          <w:b/>
        </w:rPr>
      </w:pPr>
      <w:r w:rsidRPr="00C81651">
        <w:rPr>
          <w:rFonts w:asciiTheme="minorHAnsi" w:hAnsiTheme="minorHAnsi" w:cstheme="minorHAnsi"/>
          <w:b/>
          <w:noProof/>
        </w:rPr>
        <w:drawing>
          <wp:inline distT="0" distB="0" distL="0" distR="0" wp14:anchorId="06B3620A" wp14:editId="2AC4D6DA">
            <wp:extent cx="6240133" cy="5862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68485" cy="607747"/>
                    </a:xfrm>
                    <a:prstGeom prst="rect">
                      <a:avLst/>
                    </a:prstGeom>
                  </pic:spPr>
                </pic:pic>
              </a:graphicData>
            </a:graphic>
          </wp:inline>
        </w:drawing>
      </w:r>
    </w:p>
    <w:p w14:paraId="6C5F5E54" w14:textId="77777777" w:rsidR="009A1B4E" w:rsidRPr="00C81651" w:rsidRDefault="009A1B4E" w:rsidP="009A1B4E">
      <w:pPr>
        <w:spacing w:line="360" w:lineRule="auto"/>
        <w:rPr>
          <w:rFonts w:asciiTheme="minorHAnsi" w:hAnsiTheme="minorHAnsi" w:cstheme="minorHAnsi"/>
          <w:b/>
        </w:rPr>
      </w:pPr>
    </w:p>
    <w:p w14:paraId="3A3A6113" w14:textId="77777777" w:rsidR="007B1CFC" w:rsidRPr="00C81651" w:rsidRDefault="007B1CFC" w:rsidP="007B1CFC">
      <w:pPr>
        <w:spacing w:line="360" w:lineRule="auto"/>
        <w:jc w:val="both"/>
        <w:rPr>
          <w:rFonts w:asciiTheme="minorHAnsi" w:hAnsiTheme="minorHAnsi" w:cstheme="minorHAnsi"/>
          <w:sz w:val="22"/>
          <w:szCs w:val="22"/>
        </w:rPr>
      </w:pPr>
      <w:r w:rsidRPr="00C81651">
        <w:rPr>
          <w:rFonts w:asciiTheme="minorHAnsi" w:hAnsiTheme="minorHAnsi" w:cstheme="minorHAnsi"/>
        </w:rPr>
        <w:t>- Bold values indicate: **correlation is significant at the 0.01 level (2-tailed); * correlation is significant at the 0.05 level (2-tailed).</w:t>
      </w:r>
    </w:p>
    <w:p w14:paraId="6CAAF0CA" w14:textId="77777777" w:rsidR="007B1CFC" w:rsidRPr="00C81651" w:rsidRDefault="007B1CFC" w:rsidP="007B1CFC">
      <w:pPr>
        <w:jc w:val="both"/>
        <w:rPr>
          <w:rFonts w:asciiTheme="minorHAnsi" w:hAnsiTheme="minorHAnsi" w:cstheme="minorHAnsi"/>
          <w:sz w:val="22"/>
          <w:szCs w:val="22"/>
        </w:rPr>
      </w:pPr>
    </w:p>
    <w:p w14:paraId="74E45BE2" w14:textId="77777777" w:rsidR="007B1CFC" w:rsidRPr="00C81651" w:rsidRDefault="007B1CFC" w:rsidP="007B1CFC">
      <w:pPr>
        <w:rPr>
          <w:rFonts w:asciiTheme="minorHAnsi" w:hAnsiTheme="minorHAnsi" w:cstheme="minorHAnsi"/>
        </w:rPr>
      </w:pPr>
    </w:p>
    <w:p w14:paraId="21B2B24E" w14:textId="77777777" w:rsidR="009A1B4E" w:rsidRPr="00C81651" w:rsidRDefault="009A1B4E">
      <w:pPr>
        <w:rPr>
          <w:rFonts w:asciiTheme="minorHAnsi" w:hAnsiTheme="minorHAnsi" w:cstheme="minorHAnsi"/>
          <w:b/>
        </w:rPr>
      </w:pPr>
      <w:r w:rsidRPr="00C81651">
        <w:rPr>
          <w:rFonts w:asciiTheme="minorHAnsi" w:hAnsiTheme="minorHAnsi" w:cstheme="minorHAnsi"/>
          <w:b/>
        </w:rPr>
        <w:br w:type="page"/>
      </w:r>
    </w:p>
    <w:p w14:paraId="5F6F227E" w14:textId="77777777" w:rsidR="009A1B4E" w:rsidRPr="00C81651" w:rsidRDefault="009A1B4E" w:rsidP="009A1B4E">
      <w:pPr>
        <w:spacing w:line="360" w:lineRule="auto"/>
        <w:rPr>
          <w:rFonts w:asciiTheme="minorHAnsi" w:hAnsiTheme="minorHAnsi" w:cstheme="minorHAnsi"/>
        </w:rPr>
      </w:pPr>
      <w:r w:rsidRPr="00C81651">
        <w:rPr>
          <w:rFonts w:asciiTheme="minorHAnsi" w:hAnsiTheme="minorHAnsi" w:cstheme="minorHAnsi"/>
          <w:b/>
        </w:rPr>
        <w:lastRenderedPageBreak/>
        <w:t xml:space="preserve">Table S5. </w:t>
      </w:r>
      <w:r w:rsidRPr="00C81651">
        <w:rPr>
          <w:rFonts w:asciiTheme="minorHAnsi" w:hAnsiTheme="minorHAnsi" w:cstheme="minorHAnsi"/>
        </w:rPr>
        <w:t>Pearson’s correlation analysis of the different molecular and histological variables studied.</w:t>
      </w:r>
    </w:p>
    <w:p w14:paraId="458B128A" w14:textId="77777777" w:rsidR="009A1B4E" w:rsidRPr="00C81651" w:rsidRDefault="009A1B4E" w:rsidP="009A1B4E">
      <w:pPr>
        <w:spacing w:line="360" w:lineRule="auto"/>
        <w:rPr>
          <w:rFonts w:asciiTheme="minorHAnsi" w:hAnsiTheme="minorHAnsi" w:cstheme="minorHAnsi"/>
        </w:rPr>
      </w:pPr>
      <w:r w:rsidRPr="00C81651">
        <w:rPr>
          <w:rFonts w:asciiTheme="minorHAnsi" w:hAnsiTheme="minorHAnsi" w:cstheme="minorHAnsi"/>
          <w:noProof/>
        </w:rPr>
        <w:drawing>
          <wp:inline distT="0" distB="0" distL="0" distR="0" wp14:anchorId="38FFE927" wp14:editId="4CA04433">
            <wp:extent cx="6231293" cy="316681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50323" cy="3176481"/>
                    </a:xfrm>
                    <a:prstGeom prst="rect">
                      <a:avLst/>
                    </a:prstGeom>
                  </pic:spPr>
                </pic:pic>
              </a:graphicData>
            </a:graphic>
          </wp:inline>
        </w:drawing>
      </w:r>
    </w:p>
    <w:p w14:paraId="26D978A1" w14:textId="31C363F6" w:rsidR="009A1B4E" w:rsidRPr="00C81651" w:rsidRDefault="009A1B4E" w:rsidP="007B1CFC">
      <w:pPr>
        <w:spacing w:line="360" w:lineRule="auto"/>
        <w:jc w:val="both"/>
        <w:rPr>
          <w:rFonts w:asciiTheme="minorHAnsi" w:hAnsiTheme="minorHAnsi" w:cstheme="minorHAnsi"/>
          <w:sz w:val="22"/>
          <w:szCs w:val="22"/>
        </w:rPr>
      </w:pPr>
      <w:r w:rsidRPr="00C81651">
        <w:rPr>
          <w:rFonts w:asciiTheme="minorHAnsi" w:hAnsiTheme="minorHAnsi" w:cstheme="minorHAnsi"/>
        </w:rPr>
        <w:t>- Bold values indicate</w:t>
      </w:r>
      <w:r w:rsidR="00365258" w:rsidRPr="00C81651">
        <w:rPr>
          <w:rFonts w:asciiTheme="minorHAnsi" w:hAnsiTheme="minorHAnsi" w:cstheme="minorHAnsi"/>
        </w:rPr>
        <w:t>:</w:t>
      </w:r>
      <w:r w:rsidRPr="00C81651">
        <w:rPr>
          <w:rFonts w:asciiTheme="minorHAnsi" w:hAnsiTheme="minorHAnsi" w:cstheme="minorHAnsi"/>
        </w:rPr>
        <w:t xml:space="preserve"> </w:t>
      </w:r>
      <w:r w:rsidR="00365258" w:rsidRPr="00C81651">
        <w:rPr>
          <w:rFonts w:asciiTheme="minorHAnsi" w:hAnsiTheme="minorHAnsi" w:cstheme="minorHAnsi"/>
        </w:rPr>
        <w:t>**</w:t>
      </w:r>
      <w:r w:rsidRPr="00C81651">
        <w:rPr>
          <w:rFonts w:asciiTheme="minorHAnsi" w:hAnsiTheme="minorHAnsi" w:cstheme="minorHAnsi"/>
        </w:rPr>
        <w:t xml:space="preserve">correlation </w:t>
      </w:r>
      <w:r w:rsidR="00365258" w:rsidRPr="00C81651">
        <w:rPr>
          <w:rFonts w:asciiTheme="minorHAnsi" w:hAnsiTheme="minorHAnsi" w:cstheme="minorHAnsi"/>
        </w:rPr>
        <w:t>is</w:t>
      </w:r>
      <w:r w:rsidRPr="00C81651">
        <w:rPr>
          <w:rFonts w:asciiTheme="minorHAnsi" w:hAnsiTheme="minorHAnsi" w:cstheme="minorHAnsi"/>
        </w:rPr>
        <w:t xml:space="preserve"> significant</w:t>
      </w:r>
      <w:r w:rsidR="00365258" w:rsidRPr="00C81651">
        <w:rPr>
          <w:rFonts w:asciiTheme="minorHAnsi" w:hAnsiTheme="minorHAnsi" w:cstheme="minorHAnsi"/>
        </w:rPr>
        <w:t xml:space="preserve"> at the 0.01 level</w:t>
      </w:r>
      <w:r w:rsidR="007B1CFC" w:rsidRPr="00C81651">
        <w:rPr>
          <w:rFonts w:asciiTheme="minorHAnsi" w:hAnsiTheme="minorHAnsi" w:cstheme="minorHAnsi"/>
        </w:rPr>
        <w:t xml:space="preserve"> (2-tailed)</w:t>
      </w:r>
      <w:r w:rsidRPr="00C81651">
        <w:rPr>
          <w:rFonts w:asciiTheme="minorHAnsi" w:hAnsiTheme="minorHAnsi" w:cstheme="minorHAnsi"/>
        </w:rPr>
        <w:t>; *</w:t>
      </w:r>
      <w:r w:rsidR="007B1CFC" w:rsidRPr="00C81651">
        <w:rPr>
          <w:rFonts w:asciiTheme="minorHAnsi" w:hAnsiTheme="minorHAnsi" w:cstheme="minorHAnsi"/>
        </w:rPr>
        <w:t xml:space="preserve"> </w:t>
      </w:r>
      <w:r w:rsidR="00365258" w:rsidRPr="00C81651">
        <w:rPr>
          <w:rFonts w:asciiTheme="minorHAnsi" w:hAnsiTheme="minorHAnsi" w:cstheme="minorHAnsi"/>
        </w:rPr>
        <w:t>correlation is significant at the 0.05 level</w:t>
      </w:r>
      <w:r w:rsidR="007B1CFC" w:rsidRPr="00C81651">
        <w:rPr>
          <w:rFonts w:asciiTheme="minorHAnsi" w:hAnsiTheme="minorHAnsi" w:cstheme="minorHAnsi"/>
        </w:rPr>
        <w:t xml:space="preserve"> (2-tailed).</w:t>
      </w:r>
    </w:p>
    <w:p w14:paraId="7FF5775A" w14:textId="77777777" w:rsidR="00261C92" w:rsidRPr="00C81651" w:rsidRDefault="00261C92" w:rsidP="00261C92">
      <w:pPr>
        <w:jc w:val="both"/>
        <w:rPr>
          <w:rFonts w:asciiTheme="minorHAnsi" w:hAnsiTheme="minorHAnsi" w:cstheme="minorHAnsi"/>
          <w:sz w:val="22"/>
          <w:szCs w:val="22"/>
        </w:rPr>
      </w:pPr>
    </w:p>
    <w:p w14:paraId="06F0B7C0" w14:textId="77777777" w:rsidR="002840F1" w:rsidRPr="00C81651" w:rsidRDefault="002840F1">
      <w:pPr>
        <w:rPr>
          <w:rFonts w:asciiTheme="minorHAnsi" w:hAnsiTheme="minorHAnsi" w:cstheme="minorHAnsi"/>
        </w:rPr>
      </w:pPr>
    </w:p>
    <w:sectPr w:rsidR="002840F1" w:rsidRPr="00C81651" w:rsidSect="0084718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92"/>
    <w:rsid w:val="000A4043"/>
    <w:rsid w:val="00140EE2"/>
    <w:rsid w:val="00163233"/>
    <w:rsid w:val="00223043"/>
    <w:rsid w:val="00261C92"/>
    <w:rsid w:val="002840F1"/>
    <w:rsid w:val="002C0E55"/>
    <w:rsid w:val="00365258"/>
    <w:rsid w:val="004209A1"/>
    <w:rsid w:val="0064751E"/>
    <w:rsid w:val="007B1CFC"/>
    <w:rsid w:val="00847185"/>
    <w:rsid w:val="008C35D0"/>
    <w:rsid w:val="008E6146"/>
    <w:rsid w:val="008F5C2B"/>
    <w:rsid w:val="009A1B4E"/>
    <w:rsid w:val="009D7CBE"/>
    <w:rsid w:val="00AB3B53"/>
    <w:rsid w:val="00B2319C"/>
    <w:rsid w:val="00B34D9B"/>
    <w:rsid w:val="00BF58E7"/>
    <w:rsid w:val="00C81651"/>
    <w:rsid w:val="00CD426D"/>
    <w:rsid w:val="00D1681C"/>
    <w:rsid w:val="00D21F84"/>
    <w:rsid w:val="00E514B0"/>
    <w:rsid w:val="00E75610"/>
    <w:rsid w:val="00FE0FE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1CC7ED0"/>
  <w15:chartTrackingRefBased/>
  <w15:docId w15:val="{F05D9EC8-77D2-8C42-9AC9-3628E9E8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1C92"/>
    <w:rPr>
      <w:rFonts w:ascii="Calibri" w:eastAsia="Calibri" w:hAnsi="Calibri" w:cs="Calibri"/>
      <w:lang w:val="en-U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pile.com/b/lzOkZl/EcJc" TargetMode="External"/><Relationship Id="rId3" Type="http://schemas.openxmlformats.org/officeDocument/2006/relationships/webSettings" Target="webSettings.xml"/><Relationship Id="rId7" Type="http://schemas.openxmlformats.org/officeDocument/2006/relationships/hyperlink" Target="http://paperpile.com/b/lzOkZl/1HMC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ile.com/b/lzOkZl/Ime8" TargetMode="External"/><Relationship Id="rId11" Type="http://schemas.openxmlformats.org/officeDocument/2006/relationships/fontTable" Target="fontTable.xml"/><Relationship Id="rId5" Type="http://schemas.openxmlformats.org/officeDocument/2006/relationships/hyperlink" Target="https://paperpile.com/c/prigpV/6qix7" TargetMode="External"/><Relationship Id="rId10" Type="http://schemas.openxmlformats.org/officeDocument/2006/relationships/image" Target="media/image2.emf"/><Relationship Id="rId4" Type="http://schemas.openxmlformats.org/officeDocument/2006/relationships/hyperlink" Target="https://paperpile.com/c/prigpV/7RUYE" TargetMode="Externa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2285</Words>
  <Characters>12545</Characters>
  <Application>Microsoft Office Word</Application>
  <DocSecurity>0</DocSecurity>
  <Lines>404</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Juan.Nacher@uv.es</dc:creator>
  <cp:keywords/>
  <dc:description/>
  <cp:lastModifiedBy>Juan.Nacher@uv.es</cp:lastModifiedBy>
  <cp:revision>2</cp:revision>
  <dcterms:created xsi:type="dcterms:W3CDTF">2020-05-25T10:37:00Z</dcterms:created>
  <dcterms:modified xsi:type="dcterms:W3CDTF">2020-05-25T10:37:00Z</dcterms:modified>
</cp:coreProperties>
</file>