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CA2B93" w14:textId="32F6809E" w:rsidR="00F10EE2" w:rsidRPr="00F10EE2" w:rsidRDefault="00F10EE2">
      <w:pPr>
        <w:rPr>
          <w:u w:val="single"/>
        </w:rPr>
      </w:pPr>
      <w:r w:rsidRPr="00F10EE2">
        <w:rPr>
          <w:u w:val="single"/>
        </w:rPr>
        <w:t>Table 2. Wholebrain analysis for salience-vs-neutral contrast</w:t>
      </w:r>
    </w:p>
    <w:tbl>
      <w:tblPr>
        <w:tblStyle w:val="TableGrid"/>
        <w:tblW w:w="8754" w:type="dxa"/>
        <w:tblLook w:val="04A0" w:firstRow="1" w:lastRow="0" w:firstColumn="1" w:lastColumn="0" w:noHBand="0" w:noVBand="1"/>
      </w:tblPr>
      <w:tblGrid>
        <w:gridCol w:w="3897"/>
        <w:gridCol w:w="739"/>
        <w:gridCol w:w="739"/>
        <w:gridCol w:w="740"/>
        <w:gridCol w:w="1305"/>
        <w:gridCol w:w="1334"/>
      </w:tblGrid>
      <w:tr w:rsidR="008B684E" w:rsidRPr="004A389A" w14:paraId="3E3357D8" w14:textId="77777777" w:rsidTr="006472C2">
        <w:trPr>
          <w:trHeight w:val="300"/>
        </w:trPr>
        <w:tc>
          <w:tcPr>
            <w:tcW w:w="3897" w:type="dxa"/>
            <w:vMerge w:val="restart"/>
          </w:tcPr>
          <w:p w14:paraId="0A191C29" w14:textId="77777777" w:rsidR="008B684E" w:rsidRPr="004A389A" w:rsidRDefault="008B684E" w:rsidP="006472C2">
            <w:pPr>
              <w:jc w:val="center"/>
            </w:pPr>
            <w:r w:rsidRPr="004A389A">
              <w:t>Region</w:t>
            </w:r>
          </w:p>
        </w:tc>
        <w:tc>
          <w:tcPr>
            <w:tcW w:w="2218" w:type="dxa"/>
            <w:gridSpan w:val="3"/>
            <w:noWrap/>
            <w:hideMark/>
          </w:tcPr>
          <w:p w14:paraId="005A0A4B" w14:textId="77777777" w:rsidR="008B684E" w:rsidRPr="004A389A" w:rsidRDefault="008B684E" w:rsidP="006472C2">
            <w:pPr>
              <w:jc w:val="center"/>
            </w:pPr>
            <w:r w:rsidRPr="004A389A">
              <w:t>Peak coordinate (MNI)</w:t>
            </w:r>
          </w:p>
        </w:tc>
        <w:tc>
          <w:tcPr>
            <w:tcW w:w="1305" w:type="dxa"/>
            <w:vMerge w:val="restart"/>
            <w:noWrap/>
            <w:hideMark/>
          </w:tcPr>
          <w:p w14:paraId="194997F8" w14:textId="77777777" w:rsidR="008B684E" w:rsidRPr="004A389A" w:rsidRDefault="008B684E" w:rsidP="006472C2">
            <w:pPr>
              <w:jc w:val="center"/>
            </w:pPr>
            <w:r w:rsidRPr="004A389A">
              <w:t>Cluster size</w:t>
            </w:r>
          </w:p>
        </w:tc>
        <w:tc>
          <w:tcPr>
            <w:tcW w:w="1334" w:type="dxa"/>
            <w:vMerge w:val="restart"/>
          </w:tcPr>
          <w:p w14:paraId="3757CBD4" w14:textId="77777777" w:rsidR="008B684E" w:rsidRPr="004A389A" w:rsidRDefault="008B684E" w:rsidP="006472C2">
            <w:pPr>
              <w:jc w:val="center"/>
            </w:pPr>
            <w:r w:rsidRPr="004A389A">
              <w:t>p</w:t>
            </w:r>
          </w:p>
        </w:tc>
      </w:tr>
      <w:tr w:rsidR="008B684E" w:rsidRPr="004A389A" w14:paraId="05B8B056" w14:textId="77777777" w:rsidTr="006472C2">
        <w:trPr>
          <w:trHeight w:val="300"/>
        </w:trPr>
        <w:tc>
          <w:tcPr>
            <w:tcW w:w="3897" w:type="dxa"/>
            <w:vMerge/>
          </w:tcPr>
          <w:p w14:paraId="52BDBEA0" w14:textId="77777777" w:rsidR="008B684E" w:rsidRPr="004A389A" w:rsidRDefault="008B684E" w:rsidP="006472C2"/>
        </w:tc>
        <w:tc>
          <w:tcPr>
            <w:tcW w:w="739" w:type="dxa"/>
            <w:noWrap/>
          </w:tcPr>
          <w:p w14:paraId="5446F310" w14:textId="77777777" w:rsidR="008B684E" w:rsidRPr="004A389A" w:rsidRDefault="008B684E" w:rsidP="006472C2">
            <w:pPr>
              <w:jc w:val="center"/>
            </w:pPr>
            <w:r w:rsidRPr="004A389A">
              <w:t>x</w:t>
            </w:r>
          </w:p>
        </w:tc>
        <w:tc>
          <w:tcPr>
            <w:tcW w:w="739" w:type="dxa"/>
          </w:tcPr>
          <w:p w14:paraId="40E79F14" w14:textId="77777777" w:rsidR="008B684E" w:rsidRPr="004A389A" w:rsidRDefault="008B684E" w:rsidP="006472C2">
            <w:pPr>
              <w:jc w:val="center"/>
            </w:pPr>
            <w:r w:rsidRPr="004A389A">
              <w:t>y</w:t>
            </w:r>
          </w:p>
        </w:tc>
        <w:tc>
          <w:tcPr>
            <w:tcW w:w="740" w:type="dxa"/>
          </w:tcPr>
          <w:p w14:paraId="10CE9C2F" w14:textId="77777777" w:rsidR="008B684E" w:rsidRPr="004A389A" w:rsidRDefault="008B684E" w:rsidP="006472C2">
            <w:pPr>
              <w:jc w:val="center"/>
            </w:pPr>
            <w:r w:rsidRPr="004A389A">
              <w:t>z</w:t>
            </w:r>
          </w:p>
        </w:tc>
        <w:tc>
          <w:tcPr>
            <w:tcW w:w="1305" w:type="dxa"/>
            <w:vMerge/>
            <w:noWrap/>
          </w:tcPr>
          <w:p w14:paraId="614A6959" w14:textId="77777777" w:rsidR="008B684E" w:rsidRPr="004A389A" w:rsidRDefault="008B684E" w:rsidP="006472C2">
            <w:pPr>
              <w:jc w:val="center"/>
            </w:pPr>
          </w:p>
        </w:tc>
        <w:tc>
          <w:tcPr>
            <w:tcW w:w="1334" w:type="dxa"/>
            <w:vMerge/>
          </w:tcPr>
          <w:p w14:paraId="7EB876F6" w14:textId="77777777" w:rsidR="008B684E" w:rsidRPr="004A389A" w:rsidRDefault="008B684E" w:rsidP="006472C2">
            <w:pPr>
              <w:jc w:val="center"/>
            </w:pPr>
          </w:p>
        </w:tc>
      </w:tr>
      <w:tr w:rsidR="008B684E" w:rsidRPr="004A389A" w14:paraId="363860EE" w14:textId="77777777" w:rsidTr="006472C2">
        <w:trPr>
          <w:trHeight w:val="485"/>
        </w:trPr>
        <w:tc>
          <w:tcPr>
            <w:tcW w:w="8754" w:type="dxa"/>
            <w:gridSpan w:val="6"/>
          </w:tcPr>
          <w:p w14:paraId="19517530" w14:textId="77777777" w:rsidR="008B684E" w:rsidRPr="004A389A" w:rsidRDefault="008B684E" w:rsidP="006472C2">
            <w:pPr>
              <w:rPr>
                <w:b/>
              </w:rPr>
            </w:pPr>
            <w:r w:rsidRPr="004A389A">
              <w:rPr>
                <w:b/>
              </w:rPr>
              <w:t>Pairwise comparison</w:t>
            </w:r>
          </w:p>
          <w:p w14:paraId="650970C7" w14:textId="77777777" w:rsidR="008B684E" w:rsidRPr="004A389A" w:rsidRDefault="008B684E" w:rsidP="006472C2">
            <w:pPr>
              <w:rPr>
                <w:b/>
              </w:rPr>
            </w:pPr>
            <w:r w:rsidRPr="004A389A">
              <w:rPr>
                <w:b/>
              </w:rPr>
              <w:t>CHR-PLB&gt;HC</w:t>
            </w:r>
          </w:p>
        </w:tc>
      </w:tr>
      <w:tr w:rsidR="008B684E" w:rsidRPr="004A389A" w14:paraId="77EF3503" w14:textId="77777777" w:rsidTr="006472C2">
        <w:trPr>
          <w:trHeight w:val="485"/>
        </w:trPr>
        <w:tc>
          <w:tcPr>
            <w:tcW w:w="3897" w:type="dxa"/>
          </w:tcPr>
          <w:p w14:paraId="2BEB4DC0" w14:textId="77777777" w:rsidR="008B684E" w:rsidRPr="004A389A" w:rsidRDefault="008B684E" w:rsidP="006472C2">
            <w:r w:rsidRPr="004A389A">
              <w:t>Left superior frontal gyrus medial part</w:t>
            </w:r>
          </w:p>
        </w:tc>
        <w:tc>
          <w:tcPr>
            <w:tcW w:w="739" w:type="dxa"/>
            <w:noWrap/>
          </w:tcPr>
          <w:p w14:paraId="7D127691" w14:textId="77777777" w:rsidR="008B684E" w:rsidRPr="004A389A" w:rsidRDefault="008B684E" w:rsidP="006472C2">
            <w:pPr>
              <w:jc w:val="center"/>
            </w:pPr>
            <w:r w:rsidRPr="004A389A">
              <w:t>-8</w:t>
            </w:r>
          </w:p>
        </w:tc>
        <w:tc>
          <w:tcPr>
            <w:tcW w:w="739" w:type="dxa"/>
            <w:noWrap/>
          </w:tcPr>
          <w:p w14:paraId="485BA53E" w14:textId="77777777" w:rsidR="008B684E" w:rsidRPr="004A389A" w:rsidRDefault="008B684E" w:rsidP="006472C2">
            <w:pPr>
              <w:jc w:val="center"/>
            </w:pPr>
            <w:r w:rsidRPr="004A389A">
              <w:t>24</w:t>
            </w:r>
          </w:p>
        </w:tc>
        <w:tc>
          <w:tcPr>
            <w:tcW w:w="740" w:type="dxa"/>
            <w:noWrap/>
          </w:tcPr>
          <w:p w14:paraId="7EDF0C11" w14:textId="77777777" w:rsidR="008B684E" w:rsidRPr="004A389A" w:rsidRDefault="008B684E" w:rsidP="006472C2">
            <w:pPr>
              <w:jc w:val="center"/>
            </w:pPr>
            <w:r w:rsidRPr="004A389A">
              <w:t>58</w:t>
            </w:r>
          </w:p>
        </w:tc>
        <w:tc>
          <w:tcPr>
            <w:tcW w:w="1305" w:type="dxa"/>
            <w:noWrap/>
          </w:tcPr>
          <w:p w14:paraId="4DDEF27E" w14:textId="77777777" w:rsidR="008B684E" w:rsidRPr="004A389A" w:rsidRDefault="008B684E" w:rsidP="006472C2">
            <w:pPr>
              <w:jc w:val="center"/>
            </w:pPr>
            <w:r w:rsidRPr="004A389A">
              <w:t>141</w:t>
            </w:r>
          </w:p>
        </w:tc>
        <w:tc>
          <w:tcPr>
            <w:tcW w:w="1334" w:type="dxa"/>
          </w:tcPr>
          <w:p w14:paraId="7D09B199" w14:textId="77777777" w:rsidR="008B684E" w:rsidRPr="004A389A" w:rsidRDefault="008B684E" w:rsidP="006472C2">
            <w:pPr>
              <w:jc w:val="center"/>
            </w:pPr>
            <w:r w:rsidRPr="004A389A">
              <w:t>&lt;0.001</w:t>
            </w:r>
          </w:p>
        </w:tc>
      </w:tr>
      <w:tr w:rsidR="008B684E" w:rsidRPr="004A389A" w14:paraId="59E558BB" w14:textId="77777777" w:rsidTr="006472C2">
        <w:trPr>
          <w:trHeight w:val="485"/>
        </w:trPr>
        <w:tc>
          <w:tcPr>
            <w:tcW w:w="3897" w:type="dxa"/>
            <w:vMerge w:val="restart"/>
          </w:tcPr>
          <w:p w14:paraId="2ED1ACCD" w14:textId="77777777" w:rsidR="008B684E" w:rsidRPr="004A389A" w:rsidRDefault="008B684E" w:rsidP="006472C2">
            <w:r w:rsidRPr="004A389A">
              <w:t>Left inferior frontal gyrus opercular part</w:t>
            </w:r>
          </w:p>
          <w:p w14:paraId="3CDEFFED" w14:textId="77777777" w:rsidR="008B684E" w:rsidRPr="004A389A" w:rsidRDefault="008B684E" w:rsidP="006472C2"/>
          <w:p w14:paraId="520CFD90" w14:textId="77777777" w:rsidR="008B684E" w:rsidRPr="004A389A" w:rsidRDefault="008B684E" w:rsidP="006472C2">
            <w:r w:rsidRPr="004A389A">
              <w:t>(Left frontal operculum)</w:t>
            </w:r>
          </w:p>
        </w:tc>
        <w:tc>
          <w:tcPr>
            <w:tcW w:w="739" w:type="dxa"/>
            <w:noWrap/>
          </w:tcPr>
          <w:p w14:paraId="57686EAE" w14:textId="77777777" w:rsidR="008B684E" w:rsidRPr="004A389A" w:rsidRDefault="008B684E" w:rsidP="006472C2">
            <w:pPr>
              <w:jc w:val="center"/>
            </w:pPr>
            <w:r w:rsidRPr="004A389A">
              <w:t>-54</w:t>
            </w:r>
          </w:p>
        </w:tc>
        <w:tc>
          <w:tcPr>
            <w:tcW w:w="739" w:type="dxa"/>
            <w:noWrap/>
          </w:tcPr>
          <w:p w14:paraId="5C6ADC3B" w14:textId="77777777" w:rsidR="008B684E" w:rsidRPr="004A389A" w:rsidRDefault="008B684E" w:rsidP="006472C2">
            <w:pPr>
              <w:jc w:val="center"/>
            </w:pPr>
            <w:r w:rsidRPr="004A389A">
              <w:t>20</w:t>
            </w:r>
          </w:p>
        </w:tc>
        <w:tc>
          <w:tcPr>
            <w:tcW w:w="740" w:type="dxa"/>
            <w:noWrap/>
          </w:tcPr>
          <w:p w14:paraId="0A8FA72B" w14:textId="77777777" w:rsidR="008B684E" w:rsidRPr="004A389A" w:rsidRDefault="008B684E" w:rsidP="006472C2">
            <w:pPr>
              <w:jc w:val="center"/>
            </w:pPr>
            <w:r w:rsidRPr="004A389A">
              <w:t>20</w:t>
            </w:r>
          </w:p>
        </w:tc>
        <w:tc>
          <w:tcPr>
            <w:tcW w:w="1305" w:type="dxa"/>
            <w:vMerge w:val="restart"/>
            <w:noWrap/>
          </w:tcPr>
          <w:p w14:paraId="440CC708" w14:textId="77777777" w:rsidR="008B684E" w:rsidRPr="004A389A" w:rsidRDefault="008B684E" w:rsidP="006472C2">
            <w:pPr>
              <w:jc w:val="center"/>
            </w:pPr>
            <w:r w:rsidRPr="004A389A">
              <w:t>65</w:t>
            </w:r>
          </w:p>
        </w:tc>
        <w:tc>
          <w:tcPr>
            <w:tcW w:w="1334" w:type="dxa"/>
          </w:tcPr>
          <w:p w14:paraId="393C5067" w14:textId="77777777" w:rsidR="008B684E" w:rsidRPr="004A389A" w:rsidRDefault="008B684E" w:rsidP="006472C2">
            <w:pPr>
              <w:jc w:val="center"/>
            </w:pPr>
            <w:r w:rsidRPr="004A389A">
              <w:t>0.002</w:t>
            </w:r>
          </w:p>
        </w:tc>
      </w:tr>
      <w:tr w:rsidR="008B684E" w:rsidRPr="004A389A" w14:paraId="25DE2383" w14:textId="77777777" w:rsidTr="006472C2">
        <w:trPr>
          <w:trHeight w:val="485"/>
        </w:trPr>
        <w:tc>
          <w:tcPr>
            <w:tcW w:w="3897" w:type="dxa"/>
            <w:vMerge/>
          </w:tcPr>
          <w:p w14:paraId="4E89EB8E" w14:textId="77777777" w:rsidR="008B684E" w:rsidRPr="004A389A" w:rsidRDefault="008B684E" w:rsidP="006472C2"/>
        </w:tc>
        <w:tc>
          <w:tcPr>
            <w:tcW w:w="739" w:type="dxa"/>
            <w:noWrap/>
          </w:tcPr>
          <w:p w14:paraId="1C1E7676" w14:textId="77777777" w:rsidR="008B684E" w:rsidRPr="004A389A" w:rsidRDefault="008B684E" w:rsidP="006472C2">
            <w:pPr>
              <w:jc w:val="center"/>
            </w:pPr>
            <w:r w:rsidRPr="004A389A">
              <w:t>-44</w:t>
            </w:r>
          </w:p>
        </w:tc>
        <w:tc>
          <w:tcPr>
            <w:tcW w:w="739" w:type="dxa"/>
            <w:noWrap/>
          </w:tcPr>
          <w:p w14:paraId="57B35878" w14:textId="77777777" w:rsidR="008B684E" w:rsidRPr="004A389A" w:rsidRDefault="008B684E" w:rsidP="006472C2">
            <w:pPr>
              <w:jc w:val="center"/>
            </w:pPr>
            <w:r w:rsidRPr="004A389A">
              <w:t>16</w:t>
            </w:r>
          </w:p>
        </w:tc>
        <w:tc>
          <w:tcPr>
            <w:tcW w:w="740" w:type="dxa"/>
            <w:noWrap/>
          </w:tcPr>
          <w:p w14:paraId="1655D800" w14:textId="77777777" w:rsidR="008B684E" w:rsidRPr="004A389A" w:rsidRDefault="008B684E" w:rsidP="006472C2">
            <w:pPr>
              <w:jc w:val="center"/>
            </w:pPr>
            <w:r w:rsidRPr="004A389A">
              <w:t>12</w:t>
            </w:r>
          </w:p>
        </w:tc>
        <w:tc>
          <w:tcPr>
            <w:tcW w:w="1305" w:type="dxa"/>
            <w:vMerge/>
            <w:noWrap/>
          </w:tcPr>
          <w:p w14:paraId="764C3AC2" w14:textId="77777777" w:rsidR="008B684E" w:rsidRPr="004A389A" w:rsidRDefault="008B684E" w:rsidP="006472C2">
            <w:pPr>
              <w:jc w:val="center"/>
            </w:pPr>
          </w:p>
        </w:tc>
        <w:tc>
          <w:tcPr>
            <w:tcW w:w="1334" w:type="dxa"/>
          </w:tcPr>
          <w:p w14:paraId="65771E9C" w14:textId="77777777" w:rsidR="008B684E" w:rsidRPr="004A389A" w:rsidRDefault="008B684E" w:rsidP="006472C2">
            <w:pPr>
              <w:jc w:val="center"/>
            </w:pPr>
            <w:r w:rsidRPr="004A389A">
              <w:t>0.004</w:t>
            </w:r>
          </w:p>
        </w:tc>
      </w:tr>
      <w:tr w:rsidR="008B684E" w:rsidRPr="004A389A" w14:paraId="78244A13" w14:textId="77777777" w:rsidTr="006472C2">
        <w:trPr>
          <w:trHeight w:val="485"/>
        </w:trPr>
        <w:tc>
          <w:tcPr>
            <w:tcW w:w="3897" w:type="dxa"/>
          </w:tcPr>
          <w:p w14:paraId="56050E16" w14:textId="5C5FE4DB" w:rsidR="008B684E" w:rsidRPr="004A389A" w:rsidRDefault="008B684E" w:rsidP="006472C2">
            <w:r w:rsidRPr="004A389A">
              <w:t>Left superior temporal gyrus</w:t>
            </w:r>
            <w:r w:rsidR="00E64A23">
              <w:t xml:space="preserve">/supramarginal </w:t>
            </w:r>
            <w:r w:rsidR="009E7690">
              <w:t>gyrus</w:t>
            </w:r>
          </w:p>
        </w:tc>
        <w:tc>
          <w:tcPr>
            <w:tcW w:w="739" w:type="dxa"/>
            <w:noWrap/>
          </w:tcPr>
          <w:p w14:paraId="1AFA565C" w14:textId="77777777" w:rsidR="008B684E" w:rsidRPr="004A389A" w:rsidRDefault="008B684E" w:rsidP="006472C2">
            <w:pPr>
              <w:jc w:val="center"/>
            </w:pPr>
            <w:r w:rsidRPr="004A389A">
              <w:t>-54</w:t>
            </w:r>
          </w:p>
        </w:tc>
        <w:tc>
          <w:tcPr>
            <w:tcW w:w="739" w:type="dxa"/>
            <w:noWrap/>
          </w:tcPr>
          <w:p w14:paraId="10CFBE46" w14:textId="77777777" w:rsidR="008B684E" w:rsidRPr="004A389A" w:rsidRDefault="008B684E" w:rsidP="006472C2">
            <w:pPr>
              <w:jc w:val="center"/>
            </w:pPr>
            <w:r w:rsidRPr="004A389A">
              <w:t>-54</w:t>
            </w:r>
          </w:p>
        </w:tc>
        <w:tc>
          <w:tcPr>
            <w:tcW w:w="740" w:type="dxa"/>
            <w:noWrap/>
          </w:tcPr>
          <w:p w14:paraId="0CC33569" w14:textId="77777777" w:rsidR="008B684E" w:rsidRPr="004A389A" w:rsidRDefault="008B684E" w:rsidP="006472C2">
            <w:pPr>
              <w:jc w:val="center"/>
            </w:pPr>
            <w:r w:rsidRPr="004A389A">
              <w:t>30</w:t>
            </w:r>
          </w:p>
        </w:tc>
        <w:tc>
          <w:tcPr>
            <w:tcW w:w="1305" w:type="dxa"/>
            <w:noWrap/>
          </w:tcPr>
          <w:p w14:paraId="37E4B68A" w14:textId="77777777" w:rsidR="008B684E" w:rsidRPr="004A389A" w:rsidRDefault="008B684E" w:rsidP="006472C2">
            <w:pPr>
              <w:jc w:val="center"/>
            </w:pPr>
            <w:r w:rsidRPr="004A389A">
              <w:t>13</w:t>
            </w:r>
          </w:p>
        </w:tc>
        <w:tc>
          <w:tcPr>
            <w:tcW w:w="1334" w:type="dxa"/>
          </w:tcPr>
          <w:p w14:paraId="5C3BAB37" w14:textId="77777777" w:rsidR="008B684E" w:rsidRPr="004A389A" w:rsidRDefault="008B684E" w:rsidP="006472C2">
            <w:pPr>
              <w:jc w:val="center"/>
            </w:pPr>
            <w:r w:rsidRPr="004A389A">
              <w:t>0.009</w:t>
            </w:r>
          </w:p>
        </w:tc>
      </w:tr>
      <w:tr w:rsidR="008B684E" w:rsidRPr="004A389A" w14:paraId="506BC1AF" w14:textId="77777777" w:rsidTr="006472C2">
        <w:trPr>
          <w:trHeight w:val="472"/>
        </w:trPr>
        <w:tc>
          <w:tcPr>
            <w:tcW w:w="8754" w:type="dxa"/>
            <w:gridSpan w:val="6"/>
          </w:tcPr>
          <w:p w14:paraId="233AA6BA" w14:textId="77777777" w:rsidR="008B684E" w:rsidRPr="004A389A" w:rsidRDefault="008B684E" w:rsidP="006472C2">
            <w:pPr>
              <w:rPr>
                <w:b/>
              </w:rPr>
            </w:pPr>
            <w:r w:rsidRPr="004A389A">
              <w:rPr>
                <w:b/>
              </w:rPr>
              <w:t>Pairwise comparison</w:t>
            </w:r>
          </w:p>
          <w:p w14:paraId="1C1AEFBC" w14:textId="77777777" w:rsidR="008B684E" w:rsidRPr="004A389A" w:rsidRDefault="008B684E" w:rsidP="006472C2">
            <w:pPr>
              <w:rPr>
                <w:b/>
              </w:rPr>
            </w:pPr>
            <w:r w:rsidRPr="004A389A">
              <w:rPr>
                <w:b/>
              </w:rPr>
              <w:t>CHR-PLB&gt;CHR-CBD</w:t>
            </w:r>
          </w:p>
        </w:tc>
      </w:tr>
      <w:tr w:rsidR="008B684E" w:rsidRPr="004A389A" w14:paraId="246CADA0" w14:textId="77777777" w:rsidTr="006472C2">
        <w:trPr>
          <w:trHeight w:val="443"/>
        </w:trPr>
        <w:tc>
          <w:tcPr>
            <w:tcW w:w="3897" w:type="dxa"/>
          </w:tcPr>
          <w:p w14:paraId="50F22DDD" w14:textId="77777777" w:rsidR="008B684E" w:rsidRPr="004A389A" w:rsidRDefault="008B684E" w:rsidP="006472C2">
            <w:r w:rsidRPr="004A389A">
              <w:t>Right superior frontal gyrus lateral part</w:t>
            </w:r>
          </w:p>
        </w:tc>
        <w:tc>
          <w:tcPr>
            <w:tcW w:w="739" w:type="dxa"/>
            <w:noWrap/>
          </w:tcPr>
          <w:p w14:paraId="75D66893" w14:textId="77777777" w:rsidR="008B684E" w:rsidRPr="004A389A" w:rsidRDefault="008B684E" w:rsidP="006472C2">
            <w:pPr>
              <w:jc w:val="center"/>
            </w:pPr>
            <w:r w:rsidRPr="004A389A">
              <w:t>20</w:t>
            </w:r>
          </w:p>
        </w:tc>
        <w:tc>
          <w:tcPr>
            <w:tcW w:w="739" w:type="dxa"/>
            <w:noWrap/>
          </w:tcPr>
          <w:p w14:paraId="3D76C1D1" w14:textId="77777777" w:rsidR="008B684E" w:rsidRPr="004A389A" w:rsidRDefault="008B684E" w:rsidP="006472C2">
            <w:pPr>
              <w:jc w:val="center"/>
            </w:pPr>
            <w:r w:rsidRPr="004A389A">
              <w:t>-4</w:t>
            </w:r>
          </w:p>
        </w:tc>
        <w:tc>
          <w:tcPr>
            <w:tcW w:w="740" w:type="dxa"/>
            <w:noWrap/>
          </w:tcPr>
          <w:p w14:paraId="0FF656DB" w14:textId="77777777" w:rsidR="008B684E" w:rsidRPr="004A389A" w:rsidRDefault="008B684E" w:rsidP="006472C2">
            <w:pPr>
              <w:jc w:val="center"/>
            </w:pPr>
            <w:r w:rsidRPr="004A389A">
              <w:t>48</w:t>
            </w:r>
          </w:p>
        </w:tc>
        <w:tc>
          <w:tcPr>
            <w:tcW w:w="1305" w:type="dxa"/>
            <w:noWrap/>
          </w:tcPr>
          <w:p w14:paraId="786EC08F" w14:textId="77777777" w:rsidR="008B684E" w:rsidRPr="004A389A" w:rsidRDefault="008B684E" w:rsidP="006472C2">
            <w:pPr>
              <w:jc w:val="center"/>
            </w:pPr>
            <w:r w:rsidRPr="004A389A">
              <w:t>3</w:t>
            </w:r>
          </w:p>
        </w:tc>
        <w:tc>
          <w:tcPr>
            <w:tcW w:w="1334" w:type="dxa"/>
          </w:tcPr>
          <w:p w14:paraId="4BDE2635" w14:textId="77777777" w:rsidR="008B684E" w:rsidRPr="004A389A" w:rsidRDefault="008B684E" w:rsidP="006472C2">
            <w:pPr>
              <w:jc w:val="center"/>
            </w:pPr>
            <w:r w:rsidRPr="004A389A">
              <w:t>0.025</w:t>
            </w:r>
          </w:p>
        </w:tc>
      </w:tr>
      <w:tr w:rsidR="008B684E" w:rsidRPr="004A389A" w14:paraId="3A5CD0B4" w14:textId="77777777" w:rsidTr="006472C2">
        <w:trPr>
          <w:trHeight w:val="365"/>
        </w:trPr>
        <w:tc>
          <w:tcPr>
            <w:tcW w:w="8754" w:type="dxa"/>
            <w:gridSpan w:val="6"/>
          </w:tcPr>
          <w:p w14:paraId="784D9BF4" w14:textId="77777777" w:rsidR="008B684E" w:rsidRPr="004A389A" w:rsidRDefault="008B684E" w:rsidP="006472C2">
            <w:pPr>
              <w:rPr>
                <w:b/>
              </w:rPr>
            </w:pPr>
            <w:r w:rsidRPr="004A389A">
              <w:rPr>
                <w:b/>
              </w:rPr>
              <w:t>Pairwise comparison</w:t>
            </w:r>
          </w:p>
          <w:p w14:paraId="5464CEC2" w14:textId="77777777" w:rsidR="008B684E" w:rsidRPr="004A389A" w:rsidRDefault="008B684E" w:rsidP="006472C2">
            <w:pPr>
              <w:rPr>
                <w:b/>
              </w:rPr>
            </w:pPr>
            <w:r w:rsidRPr="004A389A">
              <w:rPr>
                <w:b/>
              </w:rPr>
              <w:t>CHR-CBD&gt;CHR-PLB</w:t>
            </w:r>
          </w:p>
        </w:tc>
      </w:tr>
      <w:tr w:rsidR="008B684E" w:rsidRPr="004A389A" w14:paraId="30C4CE5D" w14:textId="77777777" w:rsidTr="006472C2">
        <w:trPr>
          <w:trHeight w:val="387"/>
        </w:trPr>
        <w:tc>
          <w:tcPr>
            <w:tcW w:w="3897" w:type="dxa"/>
          </w:tcPr>
          <w:p w14:paraId="15BF5645" w14:textId="77777777" w:rsidR="008B684E" w:rsidRPr="004A389A" w:rsidRDefault="008B684E" w:rsidP="006472C2">
            <w:r w:rsidRPr="004A389A">
              <w:t>Right cerebellum posterior lobe</w:t>
            </w:r>
          </w:p>
        </w:tc>
        <w:tc>
          <w:tcPr>
            <w:tcW w:w="739" w:type="dxa"/>
            <w:noWrap/>
          </w:tcPr>
          <w:p w14:paraId="685D567A" w14:textId="77777777" w:rsidR="008B684E" w:rsidRPr="004A389A" w:rsidRDefault="008B684E" w:rsidP="006472C2">
            <w:pPr>
              <w:jc w:val="center"/>
            </w:pPr>
            <w:r w:rsidRPr="004A389A">
              <w:t>6</w:t>
            </w:r>
          </w:p>
        </w:tc>
        <w:tc>
          <w:tcPr>
            <w:tcW w:w="739" w:type="dxa"/>
            <w:noWrap/>
          </w:tcPr>
          <w:p w14:paraId="5FCB761D" w14:textId="77777777" w:rsidR="008B684E" w:rsidRPr="004A389A" w:rsidRDefault="008B684E" w:rsidP="006472C2">
            <w:pPr>
              <w:jc w:val="center"/>
            </w:pPr>
            <w:r w:rsidRPr="004A389A">
              <w:t>-82</w:t>
            </w:r>
          </w:p>
        </w:tc>
        <w:tc>
          <w:tcPr>
            <w:tcW w:w="740" w:type="dxa"/>
            <w:noWrap/>
          </w:tcPr>
          <w:p w14:paraId="1B7F10AD" w14:textId="77777777" w:rsidR="008B684E" w:rsidRPr="004A389A" w:rsidRDefault="008B684E" w:rsidP="006472C2">
            <w:pPr>
              <w:jc w:val="center"/>
            </w:pPr>
            <w:r w:rsidRPr="004A389A">
              <w:t>-38</w:t>
            </w:r>
          </w:p>
        </w:tc>
        <w:tc>
          <w:tcPr>
            <w:tcW w:w="1305" w:type="dxa"/>
            <w:noWrap/>
          </w:tcPr>
          <w:p w14:paraId="74AF8407" w14:textId="77777777" w:rsidR="008B684E" w:rsidRPr="004A389A" w:rsidRDefault="008B684E" w:rsidP="006472C2">
            <w:pPr>
              <w:jc w:val="center"/>
            </w:pPr>
            <w:r w:rsidRPr="004A389A">
              <w:t>6</w:t>
            </w:r>
          </w:p>
        </w:tc>
        <w:tc>
          <w:tcPr>
            <w:tcW w:w="1334" w:type="dxa"/>
          </w:tcPr>
          <w:p w14:paraId="0C68EFD1" w14:textId="77777777" w:rsidR="008B684E" w:rsidRPr="004A389A" w:rsidRDefault="008B684E" w:rsidP="006472C2">
            <w:pPr>
              <w:jc w:val="center"/>
            </w:pPr>
            <w:r w:rsidRPr="004A389A">
              <w:t>0.022</w:t>
            </w:r>
          </w:p>
        </w:tc>
      </w:tr>
      <w:tr w:rsidR="008B684E" w:rsidRPr="004A389A" w14:paraId="0A08F272" w14:textId="77777777" w:rsidTr="006472C2">
        <w:trPr>
          <w:trHeight w:val="387"/>
        </w:trPr>
        <w:tc>
          <w:tcPr>
            <w:tcW w:w="8754" w:type="dxa"/>
            <w:gridSpan w:val="6"/>
          </w:tcPr>
          <w:p w14:paraId="092D8A6C" w14:textId="77777777" w:rsidR="008B684E" w:rsidRPr="004A389A" w:rsidRDefault="008B684E" w:rsidP="006472C2">
            <w:pPr>
              <w:rPr>
                <w:b/>
              </w:rPr>
            </w:pPr>
            <w:r w:rsidRPr="004A389A">
              <w:rPr>
                <w:b/>
              </w:rPr>
              <w:t xml:space="preserve">3-way ANOVA </w:t>
            </w:r>
          </w:p>
          <w:p w14:paraId="33241366" w14:textId="77777777" w:rsidR="008B684E" w:rsidRPr="004A389A" w:rsidRDefault="008B684E" w:rsidP="006472C2">
            <w:r w:rsidRPr="004A389A">
              <w:rPr>
                <w:b/>
              </w:rPr>
              <w:t>CHR-PLB&gt;CHR-CBD&gt;HC</w:t>
            </w:r>
          </w:p>
        </w:tc>
      </w:tr>
      <w:tr w:rsidR="008B684E" w:rsidRPr="004A389A" w14:paraId="2C9E1A8B" w14:textId="77777777" w:rsidTr="006472C2">
        <w:trPr>
          <w:trHeight w:val="387"/>
        </w:trPr>
        <w:tc>
          <w:tcPr>
            <w:tcW w:w="3897" w:type="dxa"/>
          </w:tcPr>
          <w:p w14:paraId="1449B058" w14:textId="77777777" w:rsidR="008B684E" w:rsidRPr="004A389A" w:rsidRDefault="008B684E" w:rsidP="006472C2">
            <w:r w:rsidRPr="004A389A">
              <w:t>Left superior frontal gyrus medial part</w:t>
            </w:r>
          </w:p>
        </w:tc>
        <w:tc>
          <w:tcPr>
            <w:tcW w:w="739" w:type="dxa"/>
            <w:noWrap/>
          </w:tcPr>
          <w:p w14:paraId="69FEEAE5" w14:textId="77777777" w:rsidR="008B684E" w:rsidRPr="004A389A" w:rsidRDefault="008B684E" w:rsidP="006472C2">
            <w:pPr>
              <w:jc w:val="center"/>
            </w:pPr>
            <w:r w:rsidRPr="004A389A">
              <w:t>-10</w:t>
            </w:r>
          </w:p>
        </w:tc>
        <w:tc>
          <w:tcPr>
            <w:tcW w:w="739" w:type="dxa"/>
            <w:noWrap/>
          </w:tcPr>
          <w:p w14:paraId="7386459B" w14:textId="77777777" w:rsidR="008B684E" w:rsidRPr="004A389A" w:rsidRDefault="008B684E" w:rsidP="006472C2">
            <w:pPr>
              <w:jc w:val="center"/>
            </w:pPr>
            <w:r w:rsidRPr="004A389A">
              <w:t>22</w:t>
            </w:r>
          </w:p>
        </w:tc>
        <w:tc>
          <w:tcPr>
            <w:tcW w:w="740" w:type="dxa"/>
            <w:noWrap/>
          </w:tcPr>
          <w:p w14:paraId="0129332A" w14:textId="77777777" w:rsidR="008B684E" w:rsidRPr="004A389A" w:rsidRDefault="008B684E" w:rsidP="006472C2">
            <w:pPr>
              <w:jc w:val="center"/>
            </w:pPr>
            <w:r w:rsidRPr="004A389A">
              <w:t>58</w:t>
            </w:r>
          </w:p>
        </w:tc>
        <w:tc>
          <w:tcPr>
            <w:tcW w:w="1305" w:type="dxa"/>
            <w:noWrap/>
          </w:tcPr>
          <w:p w14:paraId="249C7C72" w14:textId="77777777" w:rsidR="008B684E" w:rsidRPr="004A389A" w:rsidRDefault="008B684E" w:rsidP="006472C2">
            <w:pPr>
              <w:jc w:val="center"/>
            </w:pPr>
            <w:r w:rsidRPr="004A389A">
              <w:t>18</w:t>
            </w:r>
          </w:p>
        </w:tc>
        <w:tc>
          <w:tcPr>
            <w:tcW w:w="1334" w:type="dxa"/>
          </w:tcPr>
          <w:p w14:paraId="225EDF02" w14:textId="77777777" w:rsidR="008B684E" w:rsidRPr="004A389A" w:rsidRDefault="008B684E" w:rsidP="006472C2">
            <w:pPr>
              <w:jc w:val="center"/>
            </w:pPr>
            <w:r w:rsidRPr="004A389A">
              <w:t>0.006</w:t>
            </w:r>
          </w:p>
        </w:tc>
      </w:tr>
    </w:tbl>
    <w:p w14:paraId="486D1B47" w14:textId="7EFB82D0" w:rsidR="008B684E" w:rsidRDefault="008B684E" w:rsidP="008B684E">
      <w:pPr>
        <w:jc w:val="both"/>
      </w:pPr>
      <w:r w:rsidRPr="004A389A">
        <w:t xml:space="preserve">Table </w:t>
      </w:r>
      <w:r>
        <w:t>2</w:t>
      </w:r>
      <w:r w:rsidRPr="004A389A">
        <w:t>. Wholebrain analysis for salience-vs-neutral contrast. Family wise error-corrected p&lt;0.05, k≥3voxels. Abbreviations: HC=healthy control group, CHR-CBD=clinical-high risk cannabidiol group, CHR-PLB=clinical-high risk placebo group.</w:t>
      </w:r>
    </w:p>
    <w:p w14:paraId="090D917F" w14:textId="6893647D" w:rsidR="000A7863" w:rsidRDefault="000A7863">
      <w:pPr>
        <w:rPr>
          <w:u w:val="single"/>
        </w:rPr>
      </w:pPr>
    </w:p>
    <w:p w14:paraId="798307D1" w14:textId="32CFD928" w:rsidR="000A7863" w:rsidRDefault="000A7863">
      <w:pPr>
        <w:rPr>
          <w:u w:val="single"/>
        </w:rPr>
      </w:pPr>
    </w:p>
    <w:p w14:paraId="6ACAB3A9" w14:textId="77777777" w:rsidR="000A7863" w:rsidRDefault="000A7863">
      <w:pPr>
        <w:rPr>
          <w:u w:val="single"/>
        </w:rPr>
      </w:pPr>
    </w:p>
    <w:p w14:paraId="44194361" w14:textId="5640A0C6" w:rsidR="00F462D5" w:rsidRDefault="00F462D5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64ACF7" w14:textId="194C3BD3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1C9FDB0E" w14:textId="3BA373EA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8A2AAF5" w14:textId="63852F66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07785751" w14:textId="2EBA6A2F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08869E9" w14:textId="4C53EB82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4A7EA83A" w14:textId="78089647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C7A207E" w14:textId="743D87F8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77961B38" w14:textId="549F235C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21D02E1E" w14:textId="04BFFCC3" w:rsidR="00F462D5" w:rsidRDefault="00F462D5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54507398" w14:textId="77777777" w:rsidR="009D344B" w:rsidRDefault="009D344B" w:rsidP="00F462D5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0CC89F5" w14:textId="153D735F" w:rsidR="004B0A99" w:rsidRPr="00F35D6B" w:rsidRDefault="004B0A99">
      <w:pPr>
        <w:rPr>
          <w:u w:val="single"/>
        </w:rPr>
      </w:pPr>
      <w:bookmarkStart w:id="0" w:name="_GoBack"/>
      <w:bookmarkEnd w:id="0"/>
    </w:p>
    <w:sectPr w:rsidR="004B0A99" w:rsidRPr="00F35D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rrr0wzpuap2aietaz6vrd57vrfattex59wa&quot;&gt;My EndNote Library-Saved&lt;record-ids&gt;&lt;item&gt;1364&lt;/item&gt;&lt;/record-ids&gt;&lt;/item&gt;&lt;/Libraries&gt;"/>
  </w:docVars>
  <w:rsids>
    <w:rsidRoot w:val="008E69BB"/>
    <w:rsid w:val="00014821"/>
    <w:rsid w:val="00023982"/>
    <w:rsid w:val="00051985"/>
    <w:rsid w:val="0006257E"/>
    <w:rsid w:val="00065FBC"/>
    <w:rsid w:val="00076A6C"/>
    <w:rsid w:val="000972D6"/>
    <w:rsid w:val="000A1733"/>
    <w:rsid w:val="000A2F15"/>
    <w:rsid w:val="000A7863"/>
    <w:rsid w:val="000D1208"/>
    <w:rsid w:val="000D4B3E"/>
    <w:rsid w:val="000F22E2"/>
    <w:rsid w:val="000F2649"/>
    <w:rsid w:val="00140E3E"/>
    <w:rsid w:val="00160255"/>
    <w:rsid w:val="0017028E"/>
    <w:rsid w:val="001C053C"/>
    <w:rsid w:val="001E4453"/>
    <w:rsid w:val="0021688F"/>
    <w:rsid w:val="002371DD"/>
    <w:rsid w:val="00242B4D"/>
    <w:rsid w:val="0026328C"/>
    <w:rsid w:val="002962A3"/>
    <w:rsid w:val="00333B7C"/>
    <w:rsid w:val="003567CC"/>
    <w:rsid w:val="003A41C2"/>
    <w:rsid w:val="003B2D6B"/>
    <w:rsid w:val="003D2CD2"/>
    <w:rsid w:val="003E6A60"/>
    <w:rsid w:val="004252D3"/>
    <w:rsid w:val="004268E6"/>
    <w:rsid w:val="0043382A"/>
    <w:rsid w:val="00473A05"/>
    <w:rsid w:val="004970DF"/>
    <w:rsid w:val="004A22B8"/>
    <w:rsid w:val="004B0A99"/>
    <w:rsid w:val="004C02A5"/>
    <w:rsid w:val="004C33ED"/>
    <w:rsid w:val="00571296"/>
    <w:rsid w:val="00592DD9"/>
    <w:rsid w:val="005B0285"/>
    <w:rsid w:val="005B0AA8"/>
    <w:rsid w:val="0060226C"/>
    <w:rsid w:val="00605847"/>
    <w:rsid w:val="00687138"/>
    <w:rsid w:val="006A3D2C"/>
    <w:rsid w:val="006C3402"/>
    <w:rsid w:val="006F3CF1"/>
    <w:rsid w:val="0076534C"/>
    <w:rsid w:val="0077420F"/>
    <w:rsid w:val="0077781B"/>
    <w:rsid w:val="00794B6F"/>
    <w:rsid w:val="007A2549"/>
    <w:rsid w:val="007A6859"/>
    <w:rsid w:val="007F3567"/>
    <w:rsid w:val="0080135F"/>
    <w:rsid w:val="008254F0"/>
    <w:rsid w:val="00830A56"/>
    <w:rsid w:val="0083183F"/>
    <w:rsid w:val="008458FF"/>
    <w:rsid w:val="0085794A"/>
    <w:rsid w:val="008650DB"/>
    <w:rsid w:val="00874273"/>
    <w:rsid w:val="00884CB5"/>
    <w:rsid w:val="008B684E"/>
    <w:rsid w:val="008E69BB"/>
    <w:rsid w:val="00911791"/>
    <w:rsid w:val="009369C3"/>
    <w:rsid w:val="00937FD3"/>
    <w:rsid w:val="0095497F"/>
    <w:rsid w:val="009D344B"/>
    <w:rsid w:val="009E10FB"/>
    <w:rsid w:val="009E44B7"/>
    <w:rsid w:val="009E7690"/>
    <w:rsid w:val="009F7DED"/>
    <w:rsid w:val="00A537DA"/>
    <w:rsid w:val="00A6314E"/>
    <w:rsid w:val="00A91512"/>
    <w:rsid w:val="00AA12E0"/>
    <w:rsid w:val="00AC7E79"/>
    <w:rsid w:val="00AD3326"/>
    <w:rsid w:val="00AD64BD"/>
    <w:rsid w:val="00AE0BEA"/>
    <w:rsid w:val="00AE42E0"/>
    <w:rsid w:val="00AF00DB"/>
    <w:rsid w:val="00B068C1"/>
    <w:rsid w:val="00B2373C"/>
    <w:rsid w:val="00B34C6A"/>
    <w:rsid w:val="00B84C77"/>
    <w:rsid w:val="00BA1E65"/>
    <w:rsid w:val="00C02572"/>
    <w:rsid w:val="00C75C16"/>
    <w:rsid w:val="00C764B6"/>
    <w:rsid w:val="00C80422"/>
    <w:rsid w:val="00C8101A"/>
    <w:rsid w:val="00C86868"/>
    <w:rsid w:val="00CA78B4"/>
    <w:rsid w:val="00CD0935"/>
    <w:rsid w:val="00CD7F9A"/>
    <w:rsid w:val="00D337B0"/>
    <w:rsid w:val="00D614EC"/>
    <w:rsid w:val="00D8013F"/>
    <w:rsid w:val="00D97323"/>
    <w:rsid w:val="00DB16D9"/>
    <w:rsid w:val="00DD50BA"/>
    <w:rsid w:val="00DD6F53"/>
    <w:rsid w:val="00DF76D0"/>
    <w:rsid w:val="00E010B7"/>
    <w:rsid w:val="00E158B3"/>
    <w:rsid w:val="00E34B8D"/>
    <w:rsid w:val="00E64A23"/>
    <w:rsid w:val="00E64BE9"/>
    <w:rsid w:val="00E7775D"/>
    <w:rsid w:val="00EB0B98"/>
    <w:rsid w:val="00EB6999"/>
    <w:rsid w:val="00ED13AD"/>
    <w:rsid w:val="00F038A6"/>
    <w:rsid w:val="00F10EE2"/>
    <w:rsid w:val="00F12843"/>
    <w:rsid w:val="00F154CC"/>
    <w:rsid w:val="00F26A39"/>
    <w:rsid w:val="00F35D6B"/>
    <w:rsid w:val="00F462D5"/>
    <w:rsid w:val="00F464DD"/>
    <w:rsid w:val="00F55044"/>
    <w:rsid w:val="00FC7E84"/>
    <w:rsid w:val="00FD404E"/>
    <w:rsid w:val="00FF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DB2A"/>
  <w15:chartTrackingRefBased/>
  <w15:docId w15:val="{BFDCC133-C96B-4F3B-A8EE-61D1DA2D5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B0A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0A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0A9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9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2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F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F9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462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EndNoteBibliographyTitle">
    <w:name w:val="EndNote Bibliography Title"/>
    <w:basedOn w:val="Normal"/>
    <w:link w:val="EndNoteBibliographyTitleChar"/>
    <w:rsid w:val="00CA78B4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CA78B4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CA78B4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CA78B4"/>
    <w:rPr>
      <w:rFonts w:ascii="Calibri" w:hAnsi="Calibri" w:cs="Calibri"/>
      <w:noProof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Robin</dc:creator>
  <cp:keywords/>
  <dc:description/>
  <cp:lastModifiedBy>Wilson, Robin</cp:lastModifiedBy>
  <cp:revision>2</cp:revision>
  <dcterms:created xsi:type="dcterms:W3CDTF">2019-03-04T16:50:00Z</dcterms:created>
  <dcterms:modified xsi:type="dcterms:W3CDTF">2019-03-04T16:50:00Z</dcterms:modified>
</cp:coreProperties>
</file>