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B1105" w14:textId="44DBB7B0" w:rsidR="0079241C" w:rsidRDefault="0079241C" w:rsidP="0079241C">
      <w:pPr>
        <w:pStyle w:val="Title"/>
      </w:pPr>
      <w:r>
        <w:t xml:space="preserve">Systematic </w:t>
      </w:r>
      <w:r w:rsidRPr="0079241C">
        <w:t>Review of the Impact of Cannabinoids on Neurobehavioral Outcomes in Preclinical Models of Traumatic and Nontraumatic Spinal Cord Injury</w:t>
      </w:r>
    </w:p>
    <w:p w14:paraId="4AC2C987" w14:textId="2DBA1756" w:rsidR="0079241C" w:rsidRDefault="0079241C" w:rsidP="0079241C"/>
    <w:p w14:paraId="571E092B" w14:textId="77777777" w:rsidR="0079241C" w:rsidRPr="0079241C" w:rsidRDefault="0079241C" w:rsidP="0079241C"/>
    <w:p w14:paraId="0303D0BE" w14:textId="7D3AEAB5" w:rsidR="0079241C" w:rsidRDefault="0079241C" w:rsidP="0079241C">
      <w:pPr>
        <w:pStyle w:val="Title"/>
      </w:pPr>
      <w:r>
        <w:t>Supplementary Data</w:t>
      </w:r>
    </w:p>
    <w:sdt>
      <w:sdtPr>
        <w:rPr>
          <w:rFonts w:asciiTheme="minorHAnsi" w:eastAsiaTheme="minorHAnsi" w:hAnsiTheme="minorHAnsi" w:cstheme="minorBidi"/>
          <w:b w:val="0"/>
          <w:bCs w:val="0"/>
          <w:color w:val="auto"/>
          <w:sz w:val="24"/>
          <w:szCs w:val="24"/>
          <w:lang w:val="en-GB"/>
        </w:rPr>
        <w:id w:val="-1684048798"/>
        <w:docPartObj>
          <w:docPartGallery w:val="Table of Contents"/>
          <w:docPartUnique/>
        </w:docPartObj>
      </w:sdtPr>
      <w:sdtEndPr>
        <w:rPr>
          <w:noProof/>
        </w:rPr>
      </w:sdtEndPr>
      <w:sdtContent>
        <w:p w14:paraId="446BC50B" w14:textId="77777777" w:rsidR="0079241C" w:rsidRDefault="0079241C" w:rsidP="0079241C">
          <w:pPr>
            <w:pStyle w:val="TOCHeading"/>
          </w:pPr>
          <w:r>
            <w:t>Table of Contents</w:t>
          </w:r>
        </w:p>
        <w:p w14:paraId="630B7635" w14:textId="7E81FF57" w:rsidR="00C26DF3" w:rsidRDefault="0079241C">
          <w:pPr>
            <w:pStyle w:val="TOC1"/>
            <w:tabs>
              <w:tab w:val="right" w:leader="dot" w:pos="9010"/>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76983020" w:history="1">
            <w:r w:rsidR="00C26DF3" w:rsidRPr="00FC2F97">
              <w:rPr>
                <w:rStyle w:val="Hyperlink"/>
                <w:noProof/>
              </w:rPr>
              <w:t>Supplementary File 1 – Search Strategy</w:t>
            </w:r>
            <w:r w:rsidR="00C26DF3">
              <w:rPr>
                <w:noProof/>
                <w:webHidden/>
              </w:rPr>
              <w:tab/>
            </w:r>
            <w:r w:rsidR="00C26DF3">
              <w:rPr>
                <w:noProof/>
                <w:webHidden/>
              </w:rPr>
              <w:fldChar w:fldCharType="begin"/>
            </w:r>
            <w:r w:rsidR="00C26DF3">
              <w:rPr>
                <w:noProof/>
                <w:webHidden/>
              </w:rPr>
              <w:instrText xml:space="preserve"> PAGEREF _Toc76983020 \h </w:instrText>
            </w:r>
            <w:r w:rsidR="00C26DF3">
              <w:rPr>
                <w:noProof/>
                <w:webHidden/>
              </w:rPr>
            </w:r>
            <w:r w:rsidR="00C26DF3">
              <w:rPr>
                <w:noProof/>
                <w:webHidden/>
              </w:rPr>
              <w:fldChar w:fldCharType="separate"/>
            </w:r>
            <w:r w:rsidR="00C26DF3">
              <w:rPr>
                <w:noProof/>
                <w:webHidden/>
              </w:rPr>
              <w:t>2</w:t>
            </w:r>
            <w:r w:rsidR="00C26DF3">
              <w:rPr>
                <w:noProof/>
                <w:webHidden/>
              </w:rPr>
              <w:fldChar w:fldCharType="end"/>
            </w:r>
          </w:hyperlink>
        </w:p>
        <w:p w14:paraId="49C2AE56" w14:textId="7C3E3261" w:rsidR="00C26DF3" w:rsidRDefault="00C26DF3">
          <w:pPr>
            <w:pStyle w:val="TOC1"/>
            <w:tabs>
              <w:tab w:val="right" w:leader="dot" w:pos="9010"/>
            </w:tabs>
            <w:rPr>
              <w:rFonts w:eastAsiaTheme="minorEastAsia" w:cstheme="minorBidi"/>
              <w:b w:val="0"/>
              <w:bCs w:val="0"/>
              <w:i w:val="0"/>
              <w:iCs w:val="0"/>
              <w:noProof/>
              <w:lang w:eastAsia="en-GB"/>
            </w:rPr>
          </w:pPr>
          <w:hyperlink w:anchor="_Toc76983021" w:history="1">
            <w:r w:rsidRPr="00FC2F97">
              <w:rPr>
                <w:rStyle w:val="Hyperlink"/>
                <w:noProof/>
              </w:rPr>
              <w:t>Supplementary File 2 – Inclusion and exclusion criteria</w:t>
            </w:r>
            <w:r>
              <w:rPr>
                <w:noProof/>
                <w:webHidden/>
              </w:rPr>
              <w:tab/>
            </w:r>
            <w:r>
              <w:rPr>
                <w:noProof/>
                <w:webHidden/>
              </w:rPr>
              <w:fldChar w:fldCharType="begin"/>
            </w:r>
            <w:r>
              <w:rPr>
                <w:noProof/>
                <w:webHidden/>
              </w:rPr>
              <w:instrText xml:space="preserve"> PAGEREF _Toc76983021 \h </w:instrText>
            </w:r>
            <w:r>
              <w:rPr>
                <w:noProof/>
                <w:webHidden/>
              </w:rPr>
            </w:r>
            <w:r>
              <w:rPr>
                <w:noProof/>
                <w:webHidden/>
              </w:rPr>
              <w:fldChar w:fldCharType="separate"/>
            </w:r>
            <w:r>
              <w:rPr>
                <w:noProof/>
                <w:webHidden/>
              </w:rPr>
              <w:t>3</w:t>
            </w:r>
            <w:r>
              <w:rPr>
                <w:noProof/>
                <w:webHidden/>
              </w:rPr>
              <w:fldChar w:fldCharType="end"/>
            </w:r>
          </w:hyperlink>
        </w:p>
        <w:p w14:paraId="4CA70656" w14:textId="6A3D0C12" w:rsidR="00C26DF3" w:rsidRDefault="00C26DF3">
          <w:pPr>
            <w:pStyle w:val="TOC1"/>
            <w:tabs>
              <w:tab w:val="right" w:leader="dot" w:pos="9010"/>
            </w:tabs>
            <w:rPr>
              <w:rFonts w:eastAsiaTheme="minorEastAsia" w:cstheme="minorBidi"/>
              <w:b w:val="0"/>
              <w:bCs w:val="0"/>
              <w:i w:val="0"/>
              <w:iCs w:val="0"/>
              <w:noProof/>
              <w:lang w:eastAsia="en-GB"/>
            </w:rPr>
          </w:pPr>
          <w:hyperlink w:anchor="_Toc76983022" w:history="1">
            <w:r w:rsidRPr="00FC2F97">
              <w:rPr>
                <w:rStyle w:val="Hyperlink"/>
                <w:noProof/>
              </w:rPr>
              <w:t>Supplementary File 3 – Reasons for full-text exclusion</w:t>
            </w:r>
            <w:r>
              <w:rPr>
                <w:noProof/>
                <w:webHidden/>
              </w:rPr>
              <w:tab/>
            </w:r>
            <w:r>
              <w:rPr>
                <w:noProof/>
                <w:webHidden/>
              </w:rPr>
              <w:fldChar w:fldCharType="begin"/>
            </w:r>
            <w:r>
              <w:rPr>
                <w:noProof/>
                <w:webHidden/>
              </w:rPr>
              <w:instrText xml:space="preserve"> PAGEREF _Toc76983022 \h </w:instrText>
            </w:r>
            <w:r>
              <w:rPr>
                <w:noProof/>
                <w:webHidden/>
              </w:rPr>
            </w:r>
            <w:r>
              <w:rPr>
                <w:noProof/>
                <w:webHidden/>
              </w:rPr>
              <w:fldChar w:fldCharType="separate"/>
            </w:r>
            <w:r>
              <w:rPr>
                <w:noProof/>
                <w:webHidden/>
              </w:rPr>
              <w:t>4</w:t>
            </w:r>
            <w:r>
              <w:rPr>
                <w:noProof/>
                <w:webHidden/>
              </w:rPr>
              <w:fldChar w:fldCharType="end"/>
            </w:r>
          </w:hyperlink>
        </w:p>
        <w:p w14:paraId="3EAAFD10" w14:textId="1308DE03" w:rsidR="00C26DF3" w:rsidRDefault="00C26DF3">
          <w:pPr>
            <w:pStyle w:val="TOC1"/>
            <w:tabs>
              <w:tab w:val="right" w:leader="dot" w:pos="9010"/>
            </w:tabs>
            <w:rPr>
              <w:rFonts w:eastAsiaTheme="minorEastAsia" w:cstheme="minorBidi"/>
              <w:b w:val="0"/>
              <w:bCs w:val="0"/>
              <w:i w:val="0"/>
              <w:iCs w:val="0"/>
              <w:noProof/>
              <w:lang w:eastAsia="en-GB"/>
            </w:rPr>
          </w:pPr>
          <w:hyperlink w:anchor="_Toc76983023" w:history="1">
            <w:r w:rsidRPr="00FC2F97">
              <w:rPr>
                <w:rStyle w:val="Hyperlink"/>
                <w:noProof/>
              </w:rPr>
              <w:t>Supplementary File 4 – Summary of drugs acting on the cannabinoid system used in included studies</w:t>
            </w:r>
            <w:r>
              <w:rPr>
                <w:noProof/>
                <w:webHidden/>
              </w:rPr>
              <w:tab/>
            </w:r>
            <w:r>
              <w:rPr>
                <w:noProof/>
                <w:webHidden/>
              </w:rPr>
              <w:fldChar w:fldCharType="begin"/>
            </w:r>
            <w:r>
              <w:rPr>
                <w:noProof/>
                <w:webHidden/>
              </w:rPr>
              <w:instrText xml:space="preserve"> PAGEREF _Toc76983023 \h </w:instrText>
            </w:r>
            <w:r>
              <w:rPr>
                <w:noProof/>
                <w:webHidden/>
              </w:rPr>
            </w:r>
            <w:r>
              <w:rPr>
                <w:noProof/>
                <w:webHidden/>
              </w:rPr>
              <w:fldChar w:fldCharType="separate"/>
            </w:r>
            <w:r>
              <w:rPr>
                <w:noProof/>
                <w:webHidden/>
              </w:rPr>
              <w:t>6</w:t>
            </w:r>
            <w:r>
              <w:rPr>
                <w:noProof/>
                <w:webHidden/>
              </w:rPr>
              <w:fldChar w:fldCharType="end"/>
            </w:r>
          </w:hyperlink>
        </w:p>
        <w:p w14:paraId="40BB3743" w14:textId="6B87D3B3" w:rsidR="00C26DF3" w:rsidRDefault="00C26DF3">
          <w:pPr>
            <w:pStyle w:val="TOC1"/>
            <w:tabs>
              <w:tab w:val="right" w:leader="dot" w:pos="9010"/>
            </w:tabs>
            <w:rPr>
              <w:rFonts w:eastAsiaTheme="minorEastAsia" w:cstheme="minorBidi"/>
              <w:b w:val="0"/>
              <w:bCs w:val="0"/>
              <w:i w:val="0"/>
              <w:iCs w:val="0"/>
              <w:noProof/>
              <w:lang w:eastAsia="en-GB"/>
            </w:rPr>
          </w:pPr>
          <w:hyperlink w:anchor="_Toc76983024" w:history="1">
            <w:r w:rsidRPr="00FC2F97">
              <w:rPr>
                <w:rStyle w:val="Hyperlink"/>
                <w:noProof/>
              </w:rPr>
              <w:t>Supplementary File 5 – Summary of included studies</w:t>
            </w:r>
            <w:r>
              <w:rPr>
                <w:noProof/>
                <w:webHidden/>
              </w:rPr>
              <w:tab/>
            </w:r>
            <w:r>
              <w:rPr>
                <w:noProof/>
                <w:webHidden/>
              </w:rPr>
              <w:fldChar w:fldCharType="begin"/>
            </w:r>
            <w:r>
              <w:rPr>
                <w:noProof/>
                <w:webHidden/>
              </w:rPr>
              <w:instrText xml:space="preserve"> PAGEREF _Toc76983024 \h </w:instrText>
            </w:r>
            <w:r>
              <w:rPr>
                <w:noProof/>
                <w:webHidden/>
              </w:rPr>
            </w:r>
            <w:r>
              <w:rPr>
                <w:noProof/>
                <w:webHidden/>
              </w:rPr>
              <w:fldChar w:fldCharType="separate"/>
            </w:r>
            <w:r>
              <w:rPr>
                <w:noProof/>
                <w:webHidden/>
              </w:rPr>
              <w:t>7</w:t>
            </w:r>
            <w:r>
              <w:rPr>
                <w:noProof/>
                <w:webHidden/>
              </w:rPr>
              <w:fldChar w:fldCharType="end"/>
            </w:r>
          </w:hyperlink>
        </w:p>
        <w:p w14:paraId="6943E71E" w14:textId="716F1D29" w:rsidR="00C26DF3" w:rsidRDefault="00C26DF3">
          <w:pPr>
            <w:pStyle w:val="TOC1"/>
            <w:tabs>
              <w:tab w:val="right" w:leader="dot" w:pos="9010"/>
            </w:tabs>
            <w:rPr>
              <w:rFonts w:eastAsiaTheme="minorEastAsia" w:cstheme="minorBidi"/>
              <w:b w:val="0"/>
              <w:bCs w:val="0"/>
              <w:i w:val="0"/>
              <w:iCs w:val="0"/>
              <w:noProof/>
              <w:lang w:eastAsia="en-GB"/>
            </w:rPr>
          </w:pPr>
          <w:hyperlink w:anchor="_Toc76983025" w:history="1">
            <w:r w:rsidRPr="00FC2F97">
              <w:rPr>
                <w:rStyle w:val="Hyperlink"/>
                <w:noProof/>
              </w:rPr>
              <w:t>Supplementary File 6 – Risk of bias assessment</w:t>
            </w:r>
            <w:r>
              <w:rPr>
                <w:noProof/>
                <w:webHidden/>
              </w:rPr>
              <w:tab/>
            </w:r>
            <w:r>
              <w:rPr>
                <w:noProof/>
                <w:webHidden/>
              </w:rPr>
              <w:fldChar w:fldCharType="begin"/>
            </w:r>
            <w:r>
              <w:rPr>
                <w:noProof/>
                <w:webHidden/>
              </w:rPr>
              <w:instrText xml:space="preserve"> PAGEREF _Toc76983025 \h </w:instrText>
            </w:r>
            <w:r>
              <w:rPr>
                <w:noProof/>
                <w:webHidden/>
              </w:rPr>
            </w:r>
            <w:r>
              <w:rPr>
                <w:noProof/>
                <w:webHidden/>
              </w:rPr>
              <w:fldChar w:fldCharType="separate"/>
            </w:r>
            <w:r>
              <w:rPr>
                <w:noProof/>
                <w:webHidden/>
              </w:rPr>
              <w:t>20</w:t>
            </w:r>
            <w:r>
              <w:rPr>
                <w:noProof/>
                <w:webHidden/>
              </w:rPr>
              <w:fldChar w:fldCharType="end"/>
            </w:r>
          </w:hyperlink>
        </w:p>
        <w:p w14:paraId="6D066BAC" w14:textId="3204A76F" w:rsidR="00C26DF3" w:rsidRDefault="00C26DF3">
          <w:pPr>
            <w:pStyle w:val="TOC1"/>
            <w:tabs>
              <w:tab w:val="right" w:leader="dot" w:pos="9010"/>
            </w:tabs>
            <w:rPr>
              <w:rFonts w:eastAsiaTheme="minorEastAsia" w:cstheme="minorBidi"/>
              <w:b w:val="0"/>
              <w:bCs w:val="0"/>
              <w:i w:val="0"/>
              <w:iCs w:val="0"/>
              <w:noProof/>
              <w:lang w:eastAsia="en-GB"/>
            </w:rPr>
          </w:pPr>
          <w:hyperlink w:anchor="_Toc76983026" w:history="1">
            <w:r w:rsidRPr="00FC2F97">
              <w:rPr>
                <w:rStyle w:val="Hyperlink"/>
                <w:noProof/>
              </w:rPr>
              <w:t>Supplementary File 7 – Synthesis Without Meta-analysis (SWiM) reporting items checklist</w:t>
            </w:r>
            <w:r>
              <w:rPr>
                <w:noProof/>
                <w:webHidden/>
              </w:rPr>
              <w:tab/>
            </w:r>
            <w:r>
              <w:rPr>
                <w:noProof/>
                <w:webHidden/>
              </w:rPr>
              <w:fldChar w:fldCharType="begin"/>
            </w:r>
            <w:r>
              <w:rPr>
                <w:noProof/>
                <w:webHidden/>
              </w:rPr>
              <w:instrText xml:space="preserve"> PAGEREF _Toc76983026 \h </w:instrText>
            </w:r>
            <w:r>
              <w:rPr>
                <w:noProof/>
                <w:webHidden/>
              </w:rPr>
            </w:r>
            <w:r>
              <w:rPr>
                <w:noProof/>
                <w:webHidden/>
              </w:rPr>
              <w:fldChar w:fldCharType="separate"/>
            </w:r>
            <w:r>
              <w:rPr>
                <w:noProof/>
                <w:webHidden/>
              </w:rPr>
              <w:t>21</w:t>
            </w:r>
            <w:r>
              <w:rPr>
                <w:noProof/>
                <w:webHidden/>
              </w:rPr>
              <w:fldChar w:fldCharType="end"/>
            </w:r>
          </w:hyperlink>
        </w:p>
        <w:p w14:paraId="6965A69B" w14:textId="2A5D9667" w:rsidR="0079241C" w:rsidRDefault="0079241C" w:rsidP="0079241C">
          <w:r>
            <w:rPr>
              <w:b/>
              <w:bCs/>
              <w:noProof/>
            </w:rPr>
            <w:fldChar w:fldCharType="end"/>
          </w:r>
        </w:p>
      </w:sdtContent>
    </w:sdt>
    <w:p w14:paraId="7BB5892F" w14:textId="77777777" w:rsidR="0079241C" w:rsidRDefault="0079241C" w:rsidP="0079241C"/>
    <w:p w14:paraId="7E5CBA18" w14:textId="77777777" w:rsidR="0079241C" w:rsidRDefault="0079241C" w:rsidP="0079241C">
      <w:pPr>
        <w:rPr>
          <w:rFonts w:asciiTheme="majorHAnsi" w:eastAsiaTheme="majorEastAsia" w:hAnsiTheme="majorHAnsi" w:cstheme="majorBidi"/>
          <w:color w:val="2F5496" w:themeColor="accent1" w:themeShade="BF"/>
          <w:sz w:val="32"/>
          <w:szCs w:val="32"/>
        </w:rPr>
      </w:pPr>
      <w:r>
        <w:br w:type="page"/>
      </w:r>
    </w:p>
    <w:p w14:paraId="465C2BD2" w14:textId="544BB438" w:rsidR="0079241C" w:rsidRDefault="0079241C" w:rsidP="0079241C">
      <w:pPr>
        <w:pStyle w:val="Heading1"/>
      </w:pPr>
      <w:bookmarkStart w:id="0" w:name="_Toc76983020"/>
      <w:r>
        <w:lastRenderedPageBreak/>
        <w:t xml:space="preserve">Supplementary </w:t>
      </w:r>
      <w:r w:rsidR="00EA36D7">
        <w:t>File</w:t>
      </w:r>
      <w:r>
        <w:t xml:space="preserve"> 1 – Search Strategy</w:t>
      </w:r>
      <w:bookmarkEnd w:id="0"/>
    </w:p>
    <w:p w14:paraId="04F97F86" w14:textId="729DE169" w:rsidR="0079241C" w:rsidRDefault="0079241C" w:rsidP="0079241C"/>
    <w:p w14:paraId="263DB639" w14:textId="02C8A3AE" w:rsidR="0079241C" w:rsidRPr="0079241C" w:rsidRDefault="0079241C" w:rsidP="0079241C">
      <w:pPr>
        <w:rPr>
          <w:b/>
          <w:bCs/>
        </w:rPr>
      </w:pPr>
      <w:r w:rsidRPr="0079241C">
        <w:rPr>
          <w:b/>
          <w:bCs/>
        </w:rPr>
        <w:t>Database: Ovid MEDLINE(R) and Epub Ahead of Print, In-Process &amp; Other Non-</w:t>
      </w:r>
    </w:p>
    <w:p w14:paraId="28847223" w14:textId="4192C02D" w:rsidR="0079241C" w:rsidRDefault="0079241C" w:rsidP="0079241C">
      <w:pPr>
        <w:rPr>
          <w:b/>
          <w:bCs/>
        </w:rPr>
      </w:pPr>
      <w:r w:rsidRPr="0079241C">
        <w:rPr>
          <w:b/>
          <w:bCs/>
        </w:rPr>
        <w:t xml:space="preserve">Indexed Citations, Daily and Versions(R) </w:t>
      </w:r>
      <w:r>
        <w:rPr>
          <w:b/>
          <w:bCs/>
        </w:rPr>
        <w:t>&lt;</w:t>
      </w:r>
      <w:r w:rsidRPr="0079241C">
        <w:rPr>
          <w:b/>
          <w:bCs/>
        </w:rPr>
        <w:t>1946 to December 14, 2020</w:t>
      </w:r>
      <w:r>
        <w:rPr>
          <w:b/>
          <w:bCs/>
        </w:rPr>
        <w:t>&gt;</w:t>
      </w:r>
    </w:p>
    <w:p w14:paraId="2BF08997" w14:textId="03B05B9D" w:rsidR="0079241C" w:rsidRDefault="0079241C" w:rsidP="0079241C">
      <w:r>
        <w:t>Search Strategy:</w:t>
      </w:r>
    </w:p>
    <w:p w14:paraId="1FB75115" w14:textId="7BDE7C10" w:rsidR="0079241C" w:rsidRPr="0079241C" w:rsidRDefault="0079241C" w:rsidP="0079241C">
      <w:r>
        <w:t>-------------------------------------------------------------------</w:t>
      </w:r>
    </w:p>
    <w:p w14:paraId="4677D2BE" w14:textId="3F1BFFC0" w:rsidR="0079241C" w:rsidRPr="0079241C" w:rsidRDefault="0079241C" w:rsidP="0079241C">
      <w:r w:rsidRPr="0079241C">
        <w:t>1</w:t>
      </w:r>
      <w:r>
        <w:tab/>
      </w:r>
      <w:r w:rsidRPr="0079241C">
        <w:t>(Cannabinoid* or TETRAHYDROCANNABINOL or Dronabinol or</w:t>
      </w:r>
    </w:p>
    <w:p w14:paraId="7DDC8C13" w14:textId="22750BE5" w:rsidR="0079241C" w:rsidRPr="0079241C" w:rsidRDefault="0079241C" w:rsidP="0079241C">
      <w:pPr>
        <w:ind w:firstLine="720"/>
      </w:pPr>
      <w:r w:rsidRPr="0079241C">
        <w:t xml:space="preserve">THC).mp. or exp *cannabinoids/ </w:t>
      </w:r>
      <w:r>
        <w:t>(</w:t>
      </w:r>
      <w:r w:rsidRPr="0079241C">
        <w:t>30683</w:t>
      </w:r>
      <w:r>
        <w:t>)</w:t>
      </w:r>
    </w:p>
    <w:p w14:paraId="10F6B8EE" w14:textId="2427C528" w:rsidR="0079241C" w:rsidRPr="0079241C" w:rsidRDefault="0079241C" w:rsidP="0079241C">
      <w:r w:rsidRPr="0079241C">
        <w:t xml:space="preserve">2 </w:t>
      </w:r>
      <w:r>
        <w:tab/>
      </w:r>
      <w:r w:rsidRPr="0079241C">
        <w:t xml:space="preserve">exp Brain Injuries/ </w:t>
      </w:r>
      <w:r>
        <w:t>(</w:t>
      </w:r>
      <w:r w:rsidRPr="0079241C">
        <w:t>70534</w:t>
      </w:r>
      <w:r>
        <w:t>)</w:t>
      </w:r>
    </w:p>
    <w:p w14:paraId="64213808" w14:textId="75864C03" w:rsidR="0079241C" w:rsidRPr="0079241C" w:rsidRDefault="0079241C" w:rsidP="0079241C">
      <w:r w:rsidRPr="0079241C">
        <w:t xml:space="preserve">3 </w:t>
      </w:r>
      <w:r>
        <w:tab/>
      </w:r>
      <w:r w:rsidRPr="0079241C">
        <w:t xml:space="preserve">exp Nervous System Diseases/ </w:t>
      </w:r>
      <w:r>
        <w:t>(</w:t>
      </w:r>
      <w:r w:rsidRPr="0079241C">
        <w:t>2546223</w:t>
      </w:r>
      <w:r>
        <w:t>)</w:t>
      </w:r>
    </w:p>
    <w:p w14:paraId="696F863C" w14:textId="0C615B9A" w:rsidR="0079241C" w:rsidRPr="0079241C" w:rsidRDefault="0079241C" w:rsidP="0079241C">
      <w:r w:rsidRPr="0079241C">
        <w:t xml:space="preserve">4 </w:t>
      </w:r>
      <w:r>
        <w:tab/>
      </w:r>
      <w:r w:rsidRPr="0079241C">
        <w:t xml:space="preserve">exp Nerve Degeneration/ </w:t>
      </w:r>
      <w:r>
        <w:t>(</w:t>
      </w:r>
      <w:r w:rsidRPr="0079241C">
        <w:t>25175</w:t>
      </w:r>
      <w:r>
        <w:t>)</w:t>
      </w:r>
    </w:p>
    <w:p w14:paraId="767DAB3F" w14:textId="4CDB4955" w:rsidR="0079241C" w:rsidRPr="0079241C" w:rsidRDefault="0079241C" w:rsidP="0079241C">
      <w:r w:rsidRPr="0079241C">
        <w:t xml:space="preserve">5 </w:t>
      </w:r>
      <w:r>
        <w:tab/>
      </w:r>
      <w:r w:rsidRPr="0079241C">
        <w:t xml:space="preserve">exp Spinal Diseases/ </w:t>
      </w:r>
      <w:r>
        <w:t>(</w:t>
      </w:r>
      <w:r w:rsidRPr="0079241C">
        <w:t>125439</w:t>
      </w:r>
      <w:r>
        <w:t>)</w:t>
      </w:r>
    </w:p>
    <w:p w14:paraId="4E1F8EF7" w14:textId="73A994EF" w:rsidR="0079241C" w:rsidRPr="0079241C" w:rsidRDefault="0079241C" w:rsidP="0079241C">
      <w:r w:rsidRPr="0079241C">
        <w:t xml:space="preserve">6 </w:t>
      </w:r>
      <w:r>
        <w:tab/>
      </w:r>
      <w:r w:rsidRPr="0079241C">
        <w:t xml:space="preserve">neurotrauma*.mp. </w:t>
      </w:r>
      <w:r>
        <w:t>(</w:t>
      </w:r>
      <w:r w:rsidRPr="0079241C">
        <w:t>2133</w:t>
      </w:r>
      <w:r>
        <w:t>)</w:t>
      </w:r>
    </w:p>
    <w:p w14:paraId="78067592" w14:textId="5BAF465D" w:rsidR="0079241C" w:rsidRPr="0079241C" w:rsidRDefault="0079241C" w:rsidP="0079241C">
      <w:r w:rsidRPr="0079241C">
        <w:t>7</w:t>
      </w:r>
      <w:r>
        <w:tab/>
      </w:r>
      <w:r w:rsidRPr="0079241C">
        <w:t>((neuro* or brain* or nerve*) adj4 (trauma* or demyelinat* or</w:t>
      </w:r>
    </w:p>
    <w:p w14:paraId="2AD95102" w14:textId="2A33141D" w:rsidR="0079241C" w:rsidRPr="0079241C" w:rsidRDefault="0079241C" w:rsidP="0079241C">
      <w:pPr>
        <w:ind w:firstLine="720"/>
      </w:pPr>
      <w:r w:rsidRPr="0079241C">
        <w:t xml:space="preserve">remyelinat*)).mp. </w:t>
      </w:r>
      <w:r>
        <w:t>(</w:t>
      </w:r>
      <w:r w:rsidRPr="0079241C">
        <w:t>61069</w:t>
      </w:r>
      <w:r>
        <w:t>)</w:t>
      </w:r>
    </w:p>
    <w:p w14:paraId="6E059403" w14:textId="040F86FB" w:rsidR="0079241C" w:rsidRPr="0079241C" w:rsidRDefault="0079241C" w:rsidP="0079241C">
      <w:r w:rsidRPr="0079241C">
        <w:t>8</w:t>
      </w:r>
      <w:r>
        <w:tab/>
      </w:r>
      <w:r w:rsidRPr="0079241C">
        <w:t xml:space="preserve">((neuro* or brain* or nerve*) adj4 injur*).mp. </w:t>
      </w:r>
      <w:r>
        <w:t>(</w:t>
      </w:r>
      <w:r w:rsidRPr="0079241C">
        <w:t>166372</w:t>
      </w:r>
      <w:r>
        <w:t>)</w:t>
      </w:r>
    </w:p>
    <w:p w14:paraId="670C3292" w14:textId="5CA27C15" w:rsidR="0079241C" w:rsidRPr="0079241C" w:rsidRDefault="0079241C" w:rsidP="0079241C">
      <w:r w:rsidRPr="0079241C">
        <w:t>9</w:t>
      </w:r>
      <w:r>
        <w:tab/>
      </w:r>
      <w:r w:rsidRPr="0079241C">
        <w:t xml:space="preserve">concussion*.mp. </w:t>
      </w:r>
      <w:r>
        <w:t>(</w:t>
      </w:r>
      <w:r w:rsidRPr="0079241C">
        <w:t>13475</w:t>
      </w:r>
      <w:r>
        <w:t>)</w:t>
      </w:r>
    </w:p>
    <w:p w14:paraId="59FCF210" w14:textId="06F5D49A" w:rsidR="0079241C" w:rsidRPr="0079241C" w:rsidRDefault="0079241C" w:rsidP="0079241C">
      <w:r w:rsidRPr="0079241C">
        <w:t>10</w:t>
      </w:r>
      <w:r>
        <w:tab/>
      </w:r>
      <w:r w:rsidRPr="0079241C">
        <w:t xml:space="preserve">or/2-9 </w:t>
      </w:r>
      <w:r>
        <w:t>(</w:t>
      </w:r>
      <w:r w:rsidRPr="0079241C">
        <w:t>2710876</w:t>
      </w:r>
      <w:r>
        <w:t>)</w:t>
      </w:r>
    </w:p>
    <w:p w14:paraId="57DF46A6" w14:textId="69138A0C" w:rsidR="0079241C" w:rsidRDefault="0079241C" w:rsidP="0079241C">
      <w:r w:rsidRPr="0079241C">
        <w:t>11</w:t>
      </w:r>
      <w:r>
        <w:tab/>
      </w:r>
      <w:r w:rsidRPr="0079241C">
        <w:t xml:space="preserve">1 and 10 </w:t>
      </w:r>
      <w:r>
        <w:t>(</w:t>
      </w:r>
      <w:r w:rsidRPr="0079241C">
        <w:t>3855</w:t>
      </w:r>
      <w:r>
        <w:t>)</w:t>
      </w:r>
    </w:p>
    <w:p w14:paraId="64F9BFE1" w14:textId="5C430FB3" w:rsidR="0079241C" w:rsidRDefault="0079241C" w:rsidP="0079241C"/>
    <w:p w14:paraId="06E96B37" w14:textId="77777777" w:rsidR="0079241C" w:rsidRDefault="0079241C">
      <w:r>
        <w:rPr>
          <w:b/>
          <w:bCs/>
        </w:rPr>
        <w:t>*****************************************</w:t>
      </w:r>
    </w:p>
    <w:p w14:paraId="36ABC64D" w14:textId="76E33EB4" w:rsidR="0079241C" w:rsidRPr="0079241C" w:rsidRDefault="0079241C" w:rsidP="0079241C">
      <w:pPr>
        <w:rPr>
          <w:b/>
          <w:bCs/>
        </w:rPr>
      </w:pPr>
    </w:p>
    <w:p w14:paraId="2BA62B4B" w14:textId="6E81522F" w:rsidR="0079241C" w:rsidRPr="0079241C" w:rsidRDefault="0079241C" w:rsidP="0079241C">
      <w:pPr>
        <w:rPr>
          <w:b/>
          <w:bCs/>
        </w:rPr>
      </w:pPr>
      <w:r w:rsidRPr="0079241C">
        <w:rPr>
          <w:b/>
          <w:bCs/>
        </w:rPr>
        <w:t xml:space="preserve">Database: Embase </w:t>
      </w:r>
      <w:r>
        <w:rPr>
          <w:b/>
          <w:bCs/>
        </w:rPr>
        <w:t>&lt;</w:t>
      </w:r>
      <w:r w:rsidRPr="0079241C">
        <w:rPr>
          <w:b/>
          <w:bCs/>
        </w:rPr>
        <w:t>1974 to 2020 December 14</w:t>
      </w:r>
      <w:r>
        <w:rPr>
          <w:b/>
          <w:bCs/>
        </w:rPr>
        <w:t>&gt;</w:t>
      </w:r>
    </w:p>
    <w:p w14:paraId="18ABC178" w14:textId="43801779" w:rsidR="0079241C" w:rsidRDefault="0079241C" w:rsidP="0079241C">
      <w:r>
        <w:t>Search strategy</w:t>
      </w:r>
    </w:p>
    <w:p w14:paraId="24115453" w14:textId="37D95E55" w:rsidR="0079241C" w:rsidRDefault="0079241C" w:rsidP="0079241C">
      <w:r>
        <w:t>-------------------------------------------------------------------</w:t>
      </w:r>
    </w:p>
    <w:p w14:paraId="0B15C256" w14:textId="2EB31DA1" w:rsidR="0079241C" w:rsidRPr="0079241C" w:rsidRDefault="0079241C" w:rsidP="0079241C">
      <w:r w:rsidRPr="0079241C">
        <w:t>1</w:t>
      </w:r>
      <w:r>
        <w:tab/>
      </w:r>
      <w:r w:rsidRPr="0079241C">
        <w:t>(Cannabinoid* or TETRAHYDROCANNABINOL or Dronabinol or</w:t>
      </w:r>
    </w:p>
    <w:p w14:paraId="5CCD14D6" w14:textId="7011F3A2" w:rsidR="0079241C" w:rsidRPr="0079241C" w:rsidRDefault="0079241C" w:rsidP="0079241C">
      <w:pPr>
        <w:ind w:firstLine="720"/>
      </w:pPr>
      <w:r w:rsidRPr="0079241C">
        <w:t xml:space="preserve">THC).ti,ab. or exp *cannabinoids/ </w:t>
      </w:r>
      <w:r>
        <w:t>(</w:t>
      </w:r>
      <w:r w:rsidRPr="0079241C">
        <w:t>52519</w:t>
      </w:r>
      <w:r>
        <w:t>)</w:t>
      </w:r>
    </w:p>
    <w:p w14:paraId="42A54D67" w14:textId="09AE5757" w:rsidR="0079241C" w:rsidRPr="0079241C" w:rsidRDefault="0079241C" w:rsidP="0079241C">
      <w:r w:rsidRPr="0079241C">
        <w:t>2</w:t>
      </w:r>
      <w:r>
        <w:tab/>
      </w:r>
      <w:r w:rsidRPr="0079241C">
        <w:t xml:space="preserve">exp *Brain Injuries/ </w:t>
      </w:r>
      <w:r>
        <w:t>(</w:t>
      </w:r>
      <w:r w:rsidRPr="0079241C">
        <w:t>95986</w:t>
      </w:r>
      <w:r>
        <w:t>)</w:t>
      </w:r>
    </w:p>
    <w:p w14:paraId="5A974554" w14:textId="7DCBB85A" w:rsidR="0079241C" w:rsidRPr="0079241C" w:rsidRDefault="0079241C" w:rsidP="0079241C">
      <w:r w:rsidRPr="0079241C">
        <w:t>3</w:t>
      </w:r>
      <w:r>
        <w:tab/>
      </w:r>
      <w:r w:rsidRPr="0079241C">
        <w:t xml:space="preserve">exp *Nervous System Diseases/ </w:t>
      </w:r>
      <w:r>
        <w:t>(</w:t>
      </w:r>
      <w:r w:rsidRPr="0079241C">
        <w:t>2222540</w:t>
      </w:r>
      <w:r>
        <w:t>)</w:t>
      </w:r>
    </w:p>
    <w:p w14:paraId="784B8A58" w14:textId="532D7C47" w:rsidR="0079241C" w:rsidRPr="0079241C" w:rsidRDefault="0079241C" w:rsidP="0079241C">
      <w:r w:rsidRPr="0079241C">
        <w:t>4</w:t>
      </w:r>
      <w:r>
        <w:tab/>
      </w:r>
      <w:r w:rsidRPr="0079241C">
        <w:t xml:space="preserve">exp *Nerve Degeneration/ </w:t>
      </w:r>
      <w:r>
        <w:t>(</w:t>
      </w:r>
      <w:r w:rsidRPr="0079241C">
        <w:t>17818</w:t>
      </w:r>
      <w:r>
        <w:t>)</w:t>
      </w:r>
    </w:p>
    <w:p w14:paraId="05074237" w14:textId="572775E4" w:rsidR="0079241C" w:rsidRPr="0079241C" w:rsidRDefault="0079241C" w:rsidP="0079241C">
      <w:r w:rsidRPr="0079241C">
        <w:t>5</w:t>
      </w:r>
      <w:r>
        <w:tab/>
      </w:r>
      <w:r w:rsidRPr="0079241C">
        <w:t xml:space="preserve">exp *Spinal Diseases/ </w:t>
      </w:r>
      <w:r>
        <w:t>(</w:t>
      </w:r>
      <w:r w:rsidRPr="0079241C">
        <w:t>139176</w:t>
      </w:r>
      <w:r>
        <w:t>)</w:t>
      </w:r>
    </w:p>
    <w:p w14:paraId="0283EF5B" w14:textId="53EBF7BA" w:rsidR="0079241C" w:rsidRPr="0079241C" w:rsidRDefault="0079241C" w:rsidP="0079241C">
      <w:r w:rsidRPr="0079241C">
        <w:t>6</w:t>
      </w:r>
      <w:r>
        <w:tab/>
      </w:r>
      <w:r w:rsidRPr="0079241C">
        <w:t xml:space="preserve">neurotrauma*.ti,ab. </w:t>
      </w:r>
      <w:r>
        <w:t>(</w:t>
      </w:r>
      <w:r w:rsidRPr="0079241C">
        <w:t>2878</w:t>
      </w:r>
      <w:r>
        <w:t>)</w:t>
      </w:r>
    </w:p>
    <w:p w14:paraId="0FD64F0F" w14:textId="2E6DA8D2" w:rsidR="0079241C" w:rsidRPr="0079241C" w:rsidRDefault="0079241C" w:rsidP="0079241C">
      <w:r w:rsidRPr="0079241C">
        <w:t>7</w:t>
      </w:r>
      <w:r>
        <w:tab/>
      </w:r>
      <w:r w:rsidRPr="0079241C">
        <w:t>((neuro* or brain* or nerve*) adj4 (trauma* or demyelinat* or</w:t>
      </w:r>
    </w:p>
    <w:p w14:paraId="2BA39E6F" w14:textId="683CC376" w:rsidR="0079241C" w:rsidRPr="0079241C" w:rsidRDefault="0079241C" w:rsidP="0079241C">
      <w:pPr>
        <w:ind w:left="720"/>
      </w:pPr>
      <w:r w:rsidRPr="0079241C">
        <w:t xml:space="preserve">remyelinat*)).ti,ab. </w:t>
      </w:r>
      <w:r>
        <w:t>(</w:t>
      </w:r>
      <w:r w:rsidRPr="0079241C">
        <w:t>84036</w:t>
      </w:r>
      <w:r>
        <w:t>)</w:t>
      </w:r>
    </w:p>
    <w:p w14:paraId="3F01D3B4" w14:textId="2E7A5029" w:rsidR="0079241C" w:rsidRPr="0079241C" w:rsidRDefault="0079241C" w:rsidP="0079241C">
      <w:r w:rsidRPr="0079241C">
        <w:t xml:space="preserve">8 </w:t>
      </w:r>
      <w:r>
        <w:tab/>
      </w:r>
      <w:r w:rsidRPr="0079241C">
        <w:t xml:space="preserve">((neuro* or brain* or nerve*) adj4 injur*).ti,ab. </w:t>
      </w:r>
      <w:r>
        <w:t>(</w:t>
      </w:r>
      <w:r w:rsidRPr="0079241C">
        <w:t>178077</w:t>
      </w:r>
      <w:r>
        <w:t>)</w:t>
      </w:r>
    </w:p>
    <w:p w14:paraId="44236FE4" w14:textId="3AABB8B3" w:rsidR="0079241C" w:rsidRPr="0079241C" w:rsidRDefault="0079241C" w:rsidP="0079241C">
      <w:r w:rsidRPr="0079241C">
        <w:t xml:space="preserve">9 </w:t>
      </w:r>
      <w:r>
        <w:tab/>
      </w:r>
      <w:r w:rsidRPr="0079241C">
        <w:t xml:space="preserve">concussion*.ti,ab. </w:t>
      </w:r>
      <w:r>
        <w:t>(</w:t>
      </w:r>
      <w:r w:rsidRPr="0079241C">
        <w:t>11605</w:t>
      </w:r>
      <w:r>
        <w:t>)</w:t>
      </w:r>
    </w:p>
    <w:p w14:paraId="1E884CF4" w14:textId="78E56BAF" w:rsidR="0079241C" w:rsidRPr="0079241C" w:rsidRDefault="0079241C" w:rsidP="0079241C">
      <w:r w:rsidRPr="0079241C">
        <w:t xml:space="preserve">10 </w:t>
      </w:r>
      <w:r>
        <w:tab/>
      </w:r>
      <w:r w:rsidRPr="0079241C">
        <w:t xml:space="preserve">or/2-9 </w:t>
      </w:r>
      <w:r>
        <w:t>(</w:t>
      </w:r>
      <w:r w:rsidRPr="0079241C">
        <w:t>2419876</w:t>
      </w:r>
      <w:r>
        <w:t>)</w:t>
      </w:r>
    </w:p>
    <w:p w14:paraId="6DFCFF49" w14:textId="723AC504" w:rsidR="0079241C" w:rsidRDefault="0079241C" w:rsidP="0079241C">
      <w:r w:rsidRPr="0079241C">
        <w:t xml:space="preserve">11 </w:t>
      </w:r>
      <w:r>
        <w:tab/>
      </w:r>
      <w:r w:rsidRPr="0079241C">
        <w:t xml:space="preserve">1 and 10 </w:t>
      </w:r>
      <w:r>
        <w:t>(</w:t>
      </w:r>
      <w:r w:rsidRPr="0079241C">
        <w:t>4859</w:t>
      </w:r>
      <w:r>
        <w:t>)</w:t>
      </w:r>
    </w:p>
    <w:p w14:paraId="53A512AD" w14:textId="18C1E296" w:rsidR="0079241C" w:rsidRDefault="0079241C" w:rsidP="0079241C"/>
    <w:p w14:paraId="611E6410" w14:textId="4757EC08" w:rsidR="0079241C" w:rsidRPr="0079241C" w:rsidRDefault="0079241C" w:rsidP="0079241C">
      <w:r>
        <w:rPr>
          <w:b/>
          <w:bCs/>
        </w:rPr>
        <w:t>*****************************************</w:t>
      </w:r>
    </w:p>
    <w:p w14:paraId="1DDA7AC6" w14:textId="099D538B" w:rsidR="0079241C" w:rsidRPr="0079241C" w:rsidRDefault="0079241C" w:rsidP="0079241C">
      <w:pPr>
        <w:rPr>
          <w:b/>
          <w:bCs/>
        </w:rPr>
      </w:pPr>
      <w:r w:rsidRPr="0079241C">
        <w:rPr>
          <w:b/>
          <w:bCs/>
        </w:rPr>
        <w:t xml:space="preserve">Total Search Results </w:t>
      </w:r>
      <w:r>
        <w:rPr>
          <w:b/>
          <w:bCs/>
        </w:rPr>
        <w:tab/>
      </w:r>
      <w:r>
        <w:rPr>
          <w:b/>
          <w:bCs/>
        </w:rPr>
        <w:tab/>
      </w:r>
      <w:r>
        <w:rPr>
          <w:b/>
          <w:bCs/>
        </w:rPr>
        <w:tab/>
      </w:r>
      <w:r w:rsidRPr="0079241C">
        <w:rPr>
          <w:b/>
          <w:bCs/>
        </w:rPr>
        <w:t>8714</w:t>
      </w:r>
    </w:p>
    <w:p w14:paraId="47C52083" w14:textId="4C1BE594" w:rsidR="0079241C" w:rsidRDefault="0079241C" w:rsidP="0079241C">
      <w:pPr>
        <w:rPr>
          <w:b/>
          <w:bCs/>
        </w:rPr>
      </w:pPr>
      <w:r w:rsidRPr="0079241C">
        <w:rPr>
          <w:b/>
          <w:bCs/>
        </w:rPr>
        <w:t xml:space="preserve">With Duplicates Removed </w:t>
      </w:r>
      <w:r>
        <w:rPr>
          <w:b/>
          <w:bCs/>
        </w:rPr>
        <w:tab/>
      </w:r>
      <w:r>
        <w:rPr>
          <w:b/>
          <w:bCs/>
        </w:rPr>
        <w:tab/>
      </w:r>
      <w:r w:rsidRPr="0079241C">
        <w:rPr>
          <w:b/>
          <w:bCs/>
        </w:rPr>
        <w:t>6652</w:t>
      </w:r>
    </w:p>
    <w:p w14:paraId="65433F0C" w14:textId="77777777" w:rsidR="0079241C" w:rsidRPr="0079241C" w:rsidRDefault="0079241C" w:rsidP="0079241C">
      <w:pPr>
        <w:rPr>
          <w:b/>
          <w:bCs/>
        </w:rPr>
      </w:pPr>
    </w:p>
    <w:p w14:paraId="4C059914" w14:textId="77777777" w:rsidR="0079241C" w:rsidRDefault="0079241C" w:rsidP="0079241C"/>
    <w:p w14:paraId="447F66AD" w14:textId="4FA7F507" w:rsidR="0079241C" w:rsidRDefault="0079241C" w:rsidP="0079241C">
      <w:r>
        <w:t>Search executed 14/12/20. Number of citations for each search term shown in brackets.</w:t>
      </w:r>
    </w:p>
    <w:p w14:paraId="6692E23F" w14:textId="7D307726" w:rsidR="0079241C" w:rsidRDefault="0079241C" w:rsidP="0079241C">
      <w:pPr>
        <w:pStyle w:val="Heading1"/>
      </w:pPr>
      <w:bookmarkStart w:id="1" w:name="_Toc76983021"/>
      <w:r>
        <w:lastRenderedPageBreak/>
        <w:t xml:space="preserve">Supplementary </w:t>
      </w:r>
      <w:r w:rsidR="00EA36D7">
        <w:t>File</w:t>
      </w:r>
      <w:r>
        <w:t xml:space="preserve"> 2 – Inclusion and exclusion criteria</w:t>
      </w:r>
      <w:bookmarkEnd w:id="1"/>
    </w:p>
    <w:p w14:paraId="127636CA" w14:textId="3008D77D" w:rsidR="0079241C" w:rsidRDefault="0079241C" w:rsidP="0079241C"/>
    <w:p w14:paraId="5E3FAF93" w14:textId="1453F6F9" w:rsidR="0079241C" w:rsidRPr="0079241C" w:rsidRDefault="0079241C" w:rsidP="0079241C">
      <w:r>
        <w:t xml:space="preserve">All inclusion criteria had to be met for a study to be included. Studies involving any of the exclusion criteria were excluded.  </w:t>
      </w:r>
    </w:p>
    <w:p w14:paraId="10FA31E9" w14:textId="695969C5" w:rsidR="0079241C" w:rsidRDefault="0079241C" w:rsidP="0079241C"/>
    <w:tbl>
      <w:tblPr>
        <w:tblW w:w="0" w:type="auto"/>
        <w:tblCellMar>
          <w:top w:w="28" w:type="dxa"/>
          <w:bottom w:w="85" w:type="dxa"/>
        </w:tblCellMar>
        <w:tblLook w:val="04A0" w:firstRow="1" w:lastRow="0" w:firstColumn="1" w:lastColumn="0" w:noHBand="0" w:noVBand="1"/>
      </w:tblPr>
      <w:tblGrid>
        <w:gridCol w:w="1701"/>
        <w:gridCol w:w="3104"/>
        <w:gridCol w:w="3119"/>
      </w:tblGrid>
      <w:tr w:rsidR="0079241C" w:rsidRPr="003476B3" w14:paraId="37296CBD" w14:textId="77777777" w:rsidTr="004F03E2">
        <w:trPr>
          <w:trHeight w:val="411"/>
        </w:trPr>
        <w:tc>
          <w:tcPr>
            <w:tcW w:w="1701" w:type="dxa"/>
            <w:tcBorders>
              <w:top w:val="single" w:sz="4" w:space="0" w:color="auto"/>
              <w:bottom w:val="single" w:sz="4" w:space="0" w:color="auto"/>
            </w:tcBorders>
          </w:tcPr>
          <w:p w14:paraId="278B629C" w14:textId="77777777" w:rsidR="0079241C" w:rsidRPr="003476B3" w:rsidRDefault="0079241C" w:rsidP="004F03E2">
            <w:pPr>
              <w:rPr>
                <w:rFonts w:ascii="Myriad Pro" w:hAnsi="Myriad Pro" w:cstheme="minorHAnsi"/>
                <w:sz w:val="21"/>
                <w:szCs w:val="21"/>
              </w:rPr>
            </w:pPr>
          </w:p>
        </w:tc>
        <w:tc>
          <w:tcPr>
            <w:tcW w:w="2835" w:type="dxa"/>
            <w:tcBorders>
              <w:top w:val="single" w:sz="4" w:space="0" w:color="auto"/>
              <w:bottom w:val="single" w:sz="4" w:space="0" w:color="auto"/>
            </w:tcBorders>
          </w:tcPr>
          <w:p w14:paraId="2952C6CD" w14:textId="1B3F0299" w:rsidR="0079241C" w:rsidRPr="0079241C" w:rsidRDefault="0079241C" w:rsidP="004F03E2">
            <w:pPr>
              <w:rPr>
                <w:rFonts w:ascii="Myriad Pro Semibold" w:hAnsi="Myriad Pro Semibold" w:cstheme="minorHAnsi"/>
                <w:sz w:val="21"/>
                <w:szCs w:val="21"/>
              </w:rPr>
            </w:pPr>
            <w:r w:rsidRPr="003476B3">
              <w:rPr>
                <w:rFonts w:ascii="Myriad Pro Semibold" w:hAnsi="Myriad Pro Semibold" w:cstheme="minorHAnsi"/>
                <w:b/>
                <w:bCs/>
                <w:sz w:val="21"/>
                <w:szCs w:val="21"/>
              </w:rPr>
              <w:t>Inclusio</w:t>
            </w:r>
            <w:r>
              <w:rPr>
                <w:rFonts w:ascii="Myriad Pro Semibold" w:hAnsi="Myriad Pro Semibold" w:cstheme="minorHAnsi"/>
                <w:b/>
                <w:bCs/>
                <w:sz w:val="21"/>
                <w:szCs w:val="21"/>
              </w:rPr>
              <w:t>n Criteria</w:t>
            </w:r>
          </w:p>
        </w:tc>
        <w:tc>
          <w:tcPr>
            <w:tcW w:w="3119" w:type="dxa"/>
            <w:tcBorders>
              <w:top w:val="single" w:sz="4" w:space="0" w:color="auto"/>
              <w:bottom w:val="single" w:sz="4" w:space="0" w:color="auto"/>
            </w:tcBorders>
          </w:tcPr>
          <w:p w14:paraId="67A16EED" w14:textId="5100E92B" w:rsidR="0079241C" w:rsidRPr="003476B3" w:rsidRDefault="0079241C" w:rsidP="004F03E2">
            <w:pPr>
              <w:rPr>
                <w:rFonts w:ascii="Myriad Pro Semibold" w:hAnsi="Myriad Pro Semibold" w:cstheme="minorHAnsi"/>
                <w:b/>
                <w:bCs/>
                <w:sz w:val="21"/>
                <w:szCs w:val="21"/>
              </w:rPr>
            </w:pPr>
            <w:r w:rsidRPr="003476B3">
              <w:rPr>
                <w:rFonts w:ascii="Myriad Pro Semibold" w:hAnsi="Myriad Pro Semibold" w:cstheme="minorHAnsi"/>
                <w:b/>
                <w:bCs/>
                <w:sz w:val="21"/>
                <w:szCs w:val="21"/>
              </w:rPr>
              <w:t>Exclusion</w:t>
            </w:r>
            <w:r>
              <w:rPr>
                <w:rFonts w:ascii="Myriad Pro Semibold" w:hAnsi="Myriad Pro Semibold" w:cstheme="minorHAnsi"/>
                <w:b/>
                <w:bCs/>
                <w:sz w:val="21"/>
                <w:szCs w:val="21"/>
              </w:rPr>
              <w:t xml:space="preserve"> Criteria</w:t>
            </w:r>
          </w:p>
        </w:tc>
      </w:tr>
      <w:tr w:rsidR="0079241C" w:rsidRPr="00DE235E" w14:paraId="51CDDCC6" w14:textId="77777777" w:rsidTr="004F03E2">
        <w:trPr>
          <w:trHeight w:val="282"/>
        </w:trPr>
        <w:tc>
          <w:tcPr>
            <w:tcW w:w="1701" w:type="dxa"/>
            <w:tcBorders>
              <w:top w:val="single" w:sz="4" w:space="0" w:color="auto"/>
              <w:bottom w:val="single" w:sz="4" w:space="0" w:color="auto"/>
            </w:tcBorders>
          </w:tcPr>
          <w:p w14:paraId="4B3D650D" w14:textId="77777777" w:rsidR="0079241C" w:rsidRPr="003476B3" w:rsidRDefault="0079241C" w:rsidP="004F03E2">
            <w:pPr>
              <w:pStyle w:val="NormalWeb"/>
              <w:spacing w:before="0" w:beforeAutospacing="0" w:after="0" w:afterAutospacing="0"/>
              <w:rPr>
                <w:rFonts w:ascii="Myriad Pro Semibold" w:hAnsi="Myriad Pro Semibold" w:cstheme="minorHAnsi"/>
                <w:b/>
                <w:bCs/>
                <w:sz w:val="21"/>
                <w:szCs w:val="21"/>
              </w:rPr>
            </w:pPr>
            <w:r w:rsidRPr="003476B3">
              <w:rPr>
                <w:rFonts w:ascii="Myriad Pro Semibold" w:hAnsi="Myriad Pro Semibold" w:cstheme="minorHAnsi"/>
                <w:b/>
                <w:bCs/>
                <w:sz w:val="21"/>
                <w:szCs w:val="21"/>
              </w:rPr>
              <w:t>Population</w:t>
            </w:r>
          </w:p>
        </w:tc>
        <w:tc>
          <w:tcPr>
            <w:tcW w:w="2835" w:type="dxa"/>
            <w:tcBorders>
              <w:top w:val="single" w:sz="4" w:space="0" w:color="auto"/>
              <w:bottom w:val="single" w:sz="4" w:space="0" w:color="auto"/>
            </w:tcBorders>
          </w:tcPr>
          <w:p w14:paraId="0D5A8E20" w14:textId="77777777" w:rsidR="0079241C" w:rsidRPr="007B53B4" w:rsidRDefault="0079241C" w:rsidP="0079241C">
            <w:pPr>
              <w:pStyle w:val="ListParagraph"/>
              <w:numPr>
                <w:ilvl w:val="0"/>
                <w:numId w:val="3"/>
              </w:numPr>
            </w:pPr>
            <w:r w:rsidRPr="00402B6D">
              <w:rPr>
                <w:rFonts w:ascii="Myriad Pro" w:hAnsi="Myriad Pro" w:cstheme="minorHAnsi"/>
                <w:sz w:val="21"/>
                <w:szCs w:val="21"/>
              </w:rPr>
              <w:t>Any animal model</w:t>
            </w:r>
          </w:p>
        </w:tc>
        <w:tc>
          <w:tcPr>
            <w:tcW w:w="3119" w:type="dxa"/>
            <w:tcBorders>
              <w:top w:val="single" w:sz="4" w:space="0" w:color="auto"/>
              <w:bottom w:val="single" w:sz="4" w:space="0" w:color="auto"/>
            </w:tcBorders>
          </w:tcPr>
          <w:p w14:paraId="660B1267" w14:textId="77777777" w:rsidR="0079241C" w:rsidRPr="00DE235E" w:rsidRDefault="0079241C" w:rsidP="0079241C">
            <w:pPr>
              <w:pStyle w:val="ListParagraph"/>
              <w:numPr>
                <w:ilvl w:val="0"/>
                <w:numId w:val="3"/>
              </w:numPr>
              <w:rPr>
                <w:rFonts w:ascii="Myriad Pro" w:hAnsi="Myriad Pro" w:cstheme="minorHAnsi"/>
                <w:sz w:val="21"/>
                <w:szCs w:val="21"/>
              </w:rPr>
            </w:pPr>
            <w:r w:rsidRPr="00DE235E">
              <w:rPr>
                <w:rFonts w:ascii="Myriad Pro" w:hAnsi="Myriad Pro" w:cstheme="minorHAnsi"/>
                <w:sz w:val="21"/>
                <w:szCs w:val="21"/>
              </w:rPr>
              <w:t>Humans</w:t>
            </w:r>
          </w:p>
        </w:tc>
      </w:tr>
      <w:tr w:rsidR="0079241C" w:rsidRPr="00BE588D" w14:paraId="583C24E4" w14:textId="77777777" w:rsidTr="004F03E2">
        <w:trPr>
          <w:trHeight w:val="2165"/>
        </w:trPr>
        <w:tc>
          <w:tcPr>
            <w:tcW w:w="1701" w:type="dxa"/>
            <w:tcBorders>
              <w:top w:val="single" w:sz="4" w:space="0" w:color="auto"/>
              <w:bottom w:val="single" w:sz="4" w:space="0" w:color="auto"/>
            </w:tcBorders>
          </w:tcPr>
          <w:p w14:paraId="619B6C39" w14:textId="77777777" w:rsidR="0079241C" w:rsidRPr="003476B3" w:rsidRDefault="0079241C" w:rsidP="004F03E2">
            <w:pPr>
              <w:rPr>
                <w:rFonts w:ascii="Myriad Pro Semibold" w:hAnsi="Myriad Pro Semibold" w:cstheme="minorHAnsi"/>
                <w:b/>
                <w:bCs/>
                <w:sz w:val="21"/>
                <w:szCs w:val="21"/>
              </w:rPr>
            </w:pPr>
            <w:r w:rsidRPr="003476B3">
              <w:rPr>
                <w:rFonts w:ascii="Myriad Pro Semibold" w:hAnsi="Myriad Pro Semibold" w:cstheme="minorHAnsi"/>
                <w:b/>
                <w:bCs/>
                <w:sz w:val="21"/>
                <w:szCs w:val="21"/>
              </w:rPr>
              <w:t>Injury models</w:t>
            </w:r>
          </w:p>
        </w:tc>
        <w:tc>
          <w:tcPr>
            <w:tcW w:w="2835" w:type="dxa"/>
            <w:tcBorders>
              <w:top w:val="single" w:sz="4" w:space="0" w:color="auto"/>
              <w:bottom w:val="single" w:sz="4" w:space="0" w:color="auto"/>
            </w:tcBorders>
          </w:tcPr>
          <w:p w14:paraId="2293ADCF" w14:textId="77777777" w:rsidR="0079241C" w:rsidRPr="003476B3" w:rsidRDefault="0079241C" w:rsidP="0079241C">
            <w:pPr>
              <w:pStyle w:val="ListParagraph"/>
              <w:numPr>
                <w:ilvl w:val="0"/>
                <w:numId w:val="4"/>
              </w:numPr>
              <w:rPr>
                <w:rFonts w:ascii="Myriad Pro" w:hAnsi="Myriad Pro" w:cstheme="minorHAnsi"/>
                <w:sz w:val="21"/>
                <w:szCs w:val="21"/>
              </w:rPr>
            </w:pPr>
            <w:r w:rsidRPr="003476B3">
              <w:rPr>
                <w:rFonts w:ascii="Myriad Pro" w:hAnsi="Myriad Pro" w:cstheme="minorHAnsi"/>
                <w:sz w:val="21"/>
                <w:szCs w:val="21"/>
              </w:rPr>
              <w:t>Traumatic spinal cord injury</w:t>
            </w:r>
          </w:p>
          <w:p w14:paraId="167FB5A5" w14:textId="77777777" w:rsidR="0079241C" w:rsidRPr="003476B3" w:rsidRDefault="0079241C" w:rsidP="0079241C">
            <w:pPr>
              <w:pStyle w:val="ListParagraph"/>
              <w:numPr>
                <w:ilvl w:val="0"/>
                <w:numId w:val="4"/>
              </w:numPr>
              <w:rPr>
                <w:rFonts w:ascii="Myriad Pro" w:hAnsi="Myriad Pro" w:cstheme="minorHAnsi"/>
                <w:sz w:val="21"/>
                <w:szCs w:val="21"/>
              </w:rPr>
            </w:pPr>
            <w:r w:rsidRPr="003476B3">
              <w:rPr>
                <w:rFonts w:ascii="Myriad Pro" w:hAnsi="Myriad Pro" w:cstheme="minorHAnsi"/>
                <w:sz w:val="21"/>
                <w:szCs w:val="21"/>
              </w:rPr>
              <w:t>Degenerative cervical myelopathy</w:t>
            </w:r>
          </w:p>
          <w:p w14:paraId="3C682D72" w14:textId="77777777" w:rsidR="0079241C" w:rsidRPr="003476B3" w:rsidRDefault="0079241C" w:rsidP="0079241C">
            <w:pPr>
              <w:pStyle w:val="ListParagraph"/>
              <w:numPr>
                <w:ilvl w:val="0"/>
                <w:numId w:val="4"/>
              </w:numPr>
              <w:rPr>
                <w:rFonts w:ascii="Myriad Pro" w:hAnsi="Myriad Pro" w:cstheme="minorHAnsi"/>
                <w:sz w:val="21"/>
                <w:szCs w:val="21"/>
              </w:rPr>
            </w:pPr>
            <w:r w:rsidRPr="003476B3">
              <w:rPr>
                <w:rFonts w:ascii="Myriad Pro" w:hAnsi="Myriad Pro" w:cstheme="minorHAnsi"/>
                <w:sz w:val="21"/>
                <w:szCs w:val="21"/>
              </w:rPr>
              <w:t>Spinal cord ischaemia</w:t>
            </w:r>
          </w:p>
        </w:tc>
        <w:tc>
          <w:tcPr>
            <w:tcW w:w="3119" w:type="dxa"/>
            <w:tcBorders>
              <w:top w:val="single" w:sz="4" w:space="0" w:color="auto"/>
              <w:bottom w:val="single" w:sz="4" w:space="0" w:color="auto"/>
            </w:tcBorders>
          </w:tcPr>
          <w:p w14:paraId="03A4323A" w14:textId="77777777" w:rsidR="0079241C" w:rsidRPr="00402B6D" w:rsidRDefault="0079241C" w:rsidP="0079241C">
            <w:pPr>
              <w:pStyle w:val="ListParagraph"/>
              <w:numPr>
                <w:ilvl w:val="0"/>
                <w:numId w:val="4"/>
              </w:numPr>
              <w:rPr>
                <w:rFonts w:ascii="Myriad Pro" w:hAnsi="Myriad Pro" w:cstheme="minorHAnsi"/>
                <w:sz w:val="21"/>
                <w:szCs w:val="21"/>
              </w:rPr>
            </w:pPr>
            <w:r w:rsidRPr="000A366D">
              <w:rPr>
                <w:rFonts w:ascii="Myriad Pro" w:hAnsi="Myriad Pro" w:cstheme="minorHAnsi"/>
                <w:sz w:val="21"/>
                <w:szCs w:val="21"/>
              </w:rPr>
              <w:t>Non-spinal pathologies</w:t>
            </w:r>
            <w:r>
              <w:rPr>
                <w:rFonts w:ascii="Myriad Pro" w:hAnsi="Myriad Pro" w:cstheme="minorHAnsi"/>
                <w:sz w:val="21"/>
                <w:szCs w:val="21"/>
              </w:rPr>
              <w:t xml:space="preserve"> e.g.</w:t>
            </w:r>
          </w:p>
          <w:p w14:paraId="4D279D4E" w14:textId="77777777" w:rsidR="0079241C" w:rsidRPr="000A366D" w:rsidRDefault="0079241C" w:rsidP="004F03E2">
            <w:pPr>
              <w:pStyle w:val="ListParagraph"/>
              <w:numPr>
                <w:ilvl w:val="1"/>
                <w:numId w:val="5"/>
              </w:numPr>
              <w:ind w:left="754" w:hanging="357"/>
              <w:rPr>
                <w:rFonts w:ascii="Myriad Pro" w:hAnsi="Myriad Pro" w:cstheme="minorHAnsi"/>
                <w:sz w:val="21"/>
                <w:szCs w:val="21"/>
              </w:rPr>
            </w:pPr>
            <w:r w:rsidRPr="000A366D">
              <w:rPr>
                <w:rFonts w:ascii="Myriad Pro" w:hAnsi="Myriad Pro" w:cstheme="minorHAnsi"/>
                <w:sz w:val="21"/>
                <w:szCs w:val="21"/>
              </w:rPr>
              <w:t>Root evulsion injuries</w:t>
            </w:r>
          </w:p>
          <w:p w14:paraId="03CAA90F" w14:textId="77777777" w:rsidR="0079241C" w:rsidRDefault="0079241C" w:rsidP="004F03E2">
            <w:pPr>
              <w:pStyle w:val="ListParagraph"/>
              <w:numPr>
                <w:ilvl w:val="1"/>
                <w:numId w:val="5"/>
              </w:numPr>
              <w:ind w:left="754" w:hanging="357"/>
              <w:rPr>
                <w:rFonts w:ascii="Myriad Pro" w:hAnsi="Myriad Pro" w:cstheme="minorHAnsi"/>
                <w:sz w:val="21"/>
                <w:szCs w:val="21"/>
              </w:rPr>
            </w:pPr>
            <w:r w:rsidRPr="000A366D">
              <w:rPr>
                <w:rFonts w:ascii="Myriad Pro" w:hAnsi="Myriad Pro" w:cstheme="minorHAnsi"/>
                <w:sz w:val="21"/>
                <w:szCs w:val="21"/>
              </w:rPr>
              <w:t>Peripheral nerve injuries (e.g. sciatic nerve)</w:t>
            </w:r>
          </w:p>
          <w:p w14:paraId="10C45142" w14:textId="77777777" w:rsidR="0079241C" w:rsidRPr="000A366D" w:rsidRDefault="0079241C" w:rsidP="004F03E2">
            <w:pPr>
              <w:pStyle w:val="ListParagraph"/>
              <w:numPr>
                <w:ilvl w:val="1"/>
                <w:numId w:val="5"/>
              </w:numPr>
              <w:ind w:left="754" w:hanging="357"/>
              <w:rPr>
                <w:rFonts w:ascii="Myriad Pro" w:hAnsi="Myriad Pro" w:cstheme="minorHAnsi"/>
                <w:sz w:val="21"/>
                <w:szCs w:val="21"/>
              </w:rPr>
            </w:pPr>
            <w:r w:rsidRPr="000A366D">
              <w:rPr>
                <w:rFonts w:ascii="Myriad Pro" w:hAnsi="Myriad Pro" w:cstheme="minorHAnsi"/>
                <w:sz w:val="21"/>
                <w:szCs w:val="21"/>
              </w:rPr>
              <w:t>Traumatic brain injury</w:t>
            </w:r>
          </w:p>
          <w:p w14:paraId="566E1C47" w14:textId="77777777" w:rsidR="0079241C" w:rsidRPr="000A366D" w:rsidRDefault="0079241C" w:rsidP="004F03E2">
            <w:pPr>
              <w:pStyle w:val="ListParagraph"/>
              <w:numPr>
                <w:ilvl w:val="1"/>
                <w:numId w:val="5"/>
              </w:numPr>
              <w:ind w:left="754" w:hanging="357"/>
              <w:rPr>
                <w:rFonts w:ascii="Myriad Pro" w:hAnsi="Myriad Pro" w:cstheme="minorHAnsi"/>
                <w:sz w:val="21"/>
                <w:szCs w:val="21"/>
              </w:rPr>
            </w:pPr>
            <w:r w:rsidRPr="000A366D">
              <w:rPr>
                <w:rFonts w:ascii="Myriad Pro" w:hAnsi="Myriad Pro" w:cstheme="minorHAnsi"/>
                <w:sz w:val="21"/>
                <w:szCs w:val="21"/>
              </w:rPr>
              <w:t>Epilepsy</w:t>
            </w:r>
          </w:p>
          <w:p w14:paraId="593FBEB0" w14:textId="77777777" w:rsidR="0079241C" w:rsidRDefault="0079241C" w:rsidP="004F03E2">
            <w:pPr>
              <w:pStyle w:val="ListParagraph"/>
              <w:numPr>
                <w:ilvl w:val="1"/>
                <w:numId w:val="5"/>
              </w:numPr>
              <w:ind w:left="754" w:hanging="357"/>
              <w:rPr>
                <w:rFonts w:ascii="Myriad Pro" w:hAnsi="Myriad Pro" w:cstheme="minorHAnsi"/>
                <w:sz w:val="21"/>
                <w:szCs w:val="21"/>
              </w:rPr>
            </w:pPr>
            <w:r w:rsidRPr="000A366D">
              <w:rPr>
                <w:rFonts w:ascii="Myriad Pro" w:hAnsi="Myriad Pro" w:cstheme="minorHAnsi"/>
                <w:sz w:val="21"/>
                <w:szCs w:val="21"/>
              </w:rPr>
              <w:t>Parkinson’s disease</w:t>
            </w:r>
          </w:p>
          <w:p w14:paraId="7D83392E" w14:textId="77777777" w:rsidR="0079241C" w:rsidRDefault="0079241C" w:rsidP="004F03E2">
            <w:pPr>
              <w:pStyle w:val="ListParagraph"/>
              <w:numPr>
                <w:ilvl w:val="1"/>
                <w:numId w:val="5"/>
              </w:numPr>
              <w:ind w:left="754" w:hanging="357"/>
              <w:rPr>
                <w:rFonts w:ascii="Myriad Pro" w:hAnsi="Myriad Pro" w:cstheme="minorHAnsi"/>
                <w:sz w:val="21"/>
                <w:szCs w:val="21"/>
              </w:rPr>
            </w:pPr>
            <w:r>
              <w:rPr>
                <w:rFonts w:ascii="Myriad Pro" w:hAnsi="Myriad Pro" w:cstheme="minorHAnsi"/>
                <w:sz w:val="21"/>
                <w:szCs w:val="21"/>
              </w:rPr>
              <w:t>Amyotrophic lateral sclerosis</w:t>
            </w:r>
          </w:p>
          <w:p w14:paraId="2E359259" w14:textId="77777777" w:rsidR="0079241C" w:rsidRPr="00BE588D" w:rsidRDefault="0079241C" w:rsidP="004F03E2">
            <w:pPr>
              <w:pStyle w:val="ListParagraph"/>
              <w:numPr>
                <w:ilvl w:val="1"/>
                <w:numId w:val="5"/>
              </w:numPr>
              <w:ind w:left="754" w:hanging="357"/>
              <w:rPr>
                <w:rFonts w:ascii="Myriad Pro" w:hAnsi="Myriad Pro" w:cstheme="minorHAnsi"/>
                <w:sz w:val="21"/>
                <w:szCs w:val="21"/>
              </w:rPr>
            </w:pPr>
            <w:r>
              <w:rPr>
                <w:rFonts w:ascii="Myriad Pro" w:hAnsi="Myriad Pro" w:cstheme="minorHAnsi"/>
                <w:sz w:val="21"/>
                <w:szCs w:val="21"/>
              </w:rPr>
              <w:t>Transverse myelitis</w:t>
            </w:r>
          </w:p>
        </w:tc>
      </w:tr>
      <w:tr w:rsidR="0079241C" w:rsidRPr="000A366D" w14:paraId="42721B04" w14:textId="77777777" w:rsidTr="004F03E2">
        <w:trPr>
          <w:trHeight w:val="680"/>
        </w:trPr>
        <w:tc>
          <w:tcPr>
            <w:tcW w:w="1701" w:type="dxa"/>
            <w:tcBorders>
              <w:top w:val="single" w:sz="4" w:space="0" w:color="auto"/>
              <w:bottom w:val="single" w:sz="4" w:space="0" w:color="auto"/>
            </w:tcBorders>
          </w:tcPr>
          <w:p w14:paraId="16602063" w14:textId="77777777" w:rsidR="0079241C" w:rsidRPr="003476B3" w:rsidRDefault="0079241C" w:rsidP="004F03E2">
            <w:pPr>
              <w:rPr>
                <w:rFonts w:ascii="Myriad Pro Semibold" w:hAnsi="Myriad Pro Semibold" w:cstheme="minorHAnsi"/>
                <w:b/>
                <w:bCs/>
                <w:sz w:val="21"/>
                <w:szCs w:val="21"/>
              </w:rPr>
            </w:pPr>
            <w:r w:rsidRPr="003476B3">
              <w:rPr>
                <w:rFonts w:ascii="Myriad Pro Semibold" w:hAnsi="Myriad Pro Semibold" w:cstheme="minorHAnsi"/>
                <w:b/>
                <w:bCs/>
                <w:sz w:val="21"/>
                <w:szCs w:val="21"/>
              </w:rPr>
              <w:t>Intervention</w:t>
            </w:r>
          </w:p>
        </w:tc>
        <w:tc>
          <w:tcPr>
            <w:tcW w:w="2835" w:type="dxa"/>
            <w:tcBorders>
              <w:top w:val="single" w:sz="4" w:space="0" w:color="auto"/>
              <w:bottom w:val="single" w:sz="4" w:space="0" w:color="auto"/>
            </w:tcBorders>
          </w:tcPr>
          <w:p w14:paraId="00C73C7A" w14:textId="77777777" w:rsidR="0079241C" w:rsidRDefault="0079241C" w:rsidP="0079241C">
            <w:pPr>
              <w:pStyle w:val="ListParagraph"/>
              <w:numPr>
                <w:ilvl w:val="0"/>
                <w:numId w:val="4"/>
              </w:numPr>
              <w:rPr>
                <w:rFonts w:ascii="Myriad Pro" w:hAnsi="Myriad Pro" w:cstheme="minorHAnsi"/>
                <w:sz w:val="21"/>
                <w:szCs w:val="21"/>
              </w:rPr>
            </w:pPr>
            <w:r>
              <w:rPr>
                <w:rFonts w:ascii="Myriad Pro" w:hAnsi="Myriad Pro" w:cstheme="minorHAnsi"/>
                <w:sz w:val="21"/>
                <w:szCs w:val="21"/>
              </w:rPr>
              <w:t xml:space="preserve">Drug acting at cannabinoid receptors (either agonists or antagonists) delivered: </w:t>
            </w:r>
          </w:p>
          <w:p w14:paraId="7667C4DF" w14:textId="77777777" w:rsidR="0079241C" w:rsidRDefault="0079241C" w:rsidP="004F03E2">
            <w:pPr>
              <w:pStyle w:val="ListParagraph"/>
              <w:numPr>
                <w:ilvl w:val="0"/>
                <w:numId w:val="6"/>
              </w:numPr>
              <w:ind w:left="754" w:hanging="357"/>
              <w:rPr>
                <w:rFonts w:ascii="Myriad Pro" w:hAnsi="Myriad Pro" w:cstheme="minorHAnsi"/>
                <w:sz w:val="21"/>
                <w:szCs w:val="21"/>
              </w:rPr>
            </w:pPr>
            <w:r w:rsidRPr="00854C6E">
              <w:rPr>
                <w:rFonts w:ascii="Myriad Pro" w:hAnsi="Myriad Pro" w:cstheme="minorHAnsi"/>
                <w:sz w:val="21"/>
                <w:szCs w:val="21"/>
              </w:rPr>
              <w:t>intravenously</w:t>
            </w:r>
          </w:p>
          <w:p w14:paraId="05F893D4" w14:textId="77777777" w:rsidR="0079241C" w:rsidRDefault="0079241C" w:rsidP="004F03E2">
            <w:pPr>
              <w:pStyle w:val="ListParagraph"/>
              <w:numPr>
                <w:ilvl w:val="0"/>
                <w:numId w:val="6"/>
              </w:numPr>
              <w:ind w:left="754" w:hanging="357"/>
              <w:rPr>
                <w:rFonts w:ascii="Myriad Pro" w:hAnsi="Myriad Pro" w:cstheme="minorHAnsi"/>
                <w:sz w:val="21"/>
                <w:szCs w:val="21"/>
              </w:rPr>
            </w:pPr>
            <w:r w:rsidRPr="00854C6E">
              <w:rPr>
                <w:rFonts w:ascii="Myriad Pro" w:hAnsi="Myriad Pro" w:cstheme="minorHAnsi"/>
                <w:sz w:val="21"/>
                <w:szCs w:val="21"/>
              </w:rPr>
              <w:t>intraperitoneally</w:t>
            </w:r>
          </w:p>
          <w:p w14:paraId="2C4BF1ED" w14:textId="77777777" w:rsidR="0079241C" w:rsidRDefault="0079241C" w:rsidP="004F03E2">
            <w:pPr>
              <w:pStyle w:val="ListParagraph"/>
              <w:numPr>
                <w:ilvl w:val="0"/>
                <w:numId w:val="6"/>
              </w:numPr>
              <w:ind w:left="754" w:hanging="357"/>
              <w:rPr>
                <w:rFonts w:ascii="Myriad Pro" w:hAnsi="Myriad Pro" w:cstheme="minorHAnsi"/>
                <w:sz w:val="21"/>
                <w:szCs w:val="21"/>
              </w:rPr>
            </w:pPr>
            <w:r w:rsidRPr="00854C6E">
              <w:rPr>
                <w:rFonts w:ascii="Myriad Pro" w:hAnsi="Myriad Pro" w:cstheme="minorHAnsi"/>
                <w:sz w:val="21"/>
                <w:szCs w:val="21"/>
              </w:rPr>
              <w:t>intrathecally</w:t>
            </w:r>
          </w:p>
          <w:p w14:paraId="788CD6A1" w14:textId="77777777" w:rsidR="0079241C" w:rsidRPr="0016759D" w:rsidRDefault="0079241C" w:rsidP="004F03E2">
            <w:pPr>
              <w:pStyle w:val="ListParagraph"/>
              <w:numPr>
                <w:ilvl w:val="0"/>
                <w:numId w:val="6"/>
              </w:numPr>
              <w:ind w:left="754" w:hanging="357"/>
              <w:rPr>
                <w:rFonts w:ascii="Myriad Pro" w:hAnsi="Myriad Pro" w:cstheme="minorHAnsi"/>
                <w:sz w:val="21"/>
                <w:szCs w:val="21"/>
              </w:rPr>
            </w:pPr>
            <w:r w:rsidRPr="00960929">
              <w:rPr>
                <w:rFonts w:ascii="Myriad Pro" w:hAnsi="Myriad Pro" w:cstheme="minorHAnsi"/>
                <w:color w:val="000000" w:themeColor="text1"/>
                <w:sz w:val="21"/>
                <w:szCs w:val="21"/>
              </w:rPr>
              <w:t>intracerebroventricularly</w:t>
            </w:r>
          </w:p>
        </w:tc>
        <w:tc>
          <w:tcPr>
            <w:tcW w:w="3119" w:type="dxa"/>
            <w:tcBorders>
              <w:top w:val="single" w:sz="4" w:space="0" w:color="auto"/>
              <w:bottom w:val="single" w:sz="4" w:space="0" w:color="auto"/>
            </w:tcBorders>
          </w:tcPr>
          <w:p w14:paraId="4E12CDE8" w14:textId="77777777" w:rsidR="0079241C" w:rsidRPr="000A366D" w:rsidRDefault="0079241C" w:rsidP="0079241C">
            <w:pPr>
              <w:pStyle w:val="ListParagraph"/>
              <w:numPr>
                <w:ilvl w:val="0"/>
                <w:numId w:val="4"/>
              </w:numPr>
              <w:rPr>
                <w:rFonts w:ascii="Myriad Pro" w:hAnsi="Myriad Pro" w:cstheme="minorHAnsi"/>
                <w:sz w:val="21"/>
                <w:szCs w:val="21"/>
              </w:rPr>
            </w:pPr>
            <w:r w:rsidRPr="000A366D">
              <w:rPr>
                <w:rFonts w:ascii="Myriad Pro" w:hAnsi="Myriad Pro" w:cstheme="minorHAnsi"/>
                <w:sz w:val="21"/>
                <w:szCs w:val="21"/>
              </w:rPr>
              <w:t>N/A</w:t>
            </w:r>
          </w:p>
        </w:tc>
      </w:tr>
      <w:tr w:rsidR="0079241C" w:rsidRPr="00BE588D" w14:paraId="7AD26731" w14:textId="77777777" w:rsidTr="004F03E2">
        <w:trPr>
          <w:trHeight w:val="516"/>
        </w:trPr>
        <w:tc>
          <w:tcPr>
            <w:tcW w:w="1701" w:type="dxa"/>
            <w:tcBorders>
              <w:top w:val="single" w:sz="4" w:space="0" w:color="auto"/>
              <w:bottom w:val="single" w:sz="4" w:space="0" w:color="auto"/>
            </w:tcBorders>
          </w:tcPr>
          <w:p w14:paraId="2E834B36" w14:textId="77777777" w:rsidR="0079241C" w:rsidRPr="003476B3" w:rsidRDefault="0079241C" w:rsidP="004F03E2">
            <w:pPr>
              <w:rPr>
                <w:rFonts w:ascii="Myriad Pro Semibold" w:hAnsi="Myriad Pro Semibold" w:cstheme="minorHAnsi"/>
                <w:b/>
                <w:bCs/>
                <w:sz w:val="21"/>
                <w:szCs w:val="21"/>
              </w:rPr>
            </w:pPr>
            <w:r w:rsidRPr="003476B3">
              <w:rPr>
                <w:rFonts w:ascii="Myriad Pro Semibold" w:hAnsi="Myriad Pro Semibold" w:cstheme="minorHAnsi"/>
                <w:b/>
                <w:bCs/>
                <w:sz w:val="21"/>
                <w:szCs w:val="21"/>
              </w:rPr>
              <w:t>Comparison</w:t>
            </w:r>
          </w:p>
        </w:tc>
        <w:tc>
          <w:tcPr>
            <w:tcW w:w="2835" w:type="dxa"/>
            <w:tcBorders>
              <w:top w:val="single" w:sz="4" w:space="0" w:color="auto"/>
              <w:bottom w:val="single" w:sz="4" w:space="0" w:color="auto"/>
            </w:tcBorders>
          </w:tcPr>
          <w:p w14:paraId="7DE91986" w14:textId="77777777" w:rsidR="0079241C" w:rsidRPr="000A366D" w:rsidRDefault="0079241C" w:rsidP="0079241C">
            <w:pPr>
              <w:pStyle w:val="ListParagraph"/>
              <w:numPr>
                <w:ilvl w:val="0"/>
                <w:numId w:val="4"/>
              </w:numPr>
              <w:rPr>
                <w:rFonts w:ascii="Myriad Pro" w:hAnsi="Myriad Pro" w:cstheme="minorHAnsi"/>
                <w:sz w:val="21"/>
                <w:szCs w:val="21"/>
              </w:rPr>
            </w:pPr>
            <w:r>
              <w:rPr>
                <w:rFonts w:ascii="Myriad Pro" w:hAnsi="Myriad Pro" w:cstheme="minorHAnsi"/>
                <w:sz w:val="21"/>
                <w:szCs w:val="21"/>
              </w:rPr>
              <w:t>Control (vehicle injection)</w:t>
            </w:r>
          </w:p>
        </w:tc>
        <w:tc>
          <w:tcPr>
            <w:tcW w:w="3119" w:type="dxa"/>
            <w:tcBorders>
              <w:top w:val="single" w:sz="4" w:space="0" w:color="auto"/>
              <w:bottom w:val="single" w:sz="4" w:space="0" w:color="auto"/>
            </w:tcBorders>
          </w:tcPr>
          <w:p w14:paraId="728531BF" w14:textId="77777777" w:rsidR="0079241C" w:rsidRPr="00BE588D" w:rsidRDefault="0079241C" w:rsidP="0079241C">
            <w:pPr>
              <w:pStyle w:val="ListParagraph"/>
              <w:numPr>
                <w:ilvl w:val="0"/>
                <w:numId w:val="4"/>
              </w:numPr>
              <w:rPr>
                <w:rFonts w:ascii="Myriad Pro" w:hAnsi="Myriad Pro" w:cstheme="minorHAnsi"/>
                <w:sz w:val="21"/>
                <w:szCs w:val="21"/>
              </w:rPr>
            </w:pPr>
            <w:r>
              <w:rPr>
                <w:rFonts w:ascii="Myriad Pro" w:hAnsi="Myriad Pro" w:cstheme="minorHAnsi"/>
                <w:sz w:val="21"/>
                <w:szCs w:val="21"/>
              </w:rPr>
              <w:t>Non-drug treatments</w:t>
            </w:r>
          </w:p>
        </w:tc>
      </w:tr>
      <w:tr w:rsidR="0079241C" w:rsidRPr="008A2AAA" w14:paraId="1AC3D30E" w14:textId="77777777" w:rsidTr="004F03E2">
        <w:trPr>
          <w:trHeight w:val="2028"/>
        </w:trPr>
        <w:tc>
          <w:tcPr>
            <w:tcW w:w="1701" w:type="dxa"/>
            <w:tcBorders>
              <w:top w:val="single" w:sz="4" w:space="0" w:color="auto"/>
              <w:bottom w:val="single" w:sz="4" w:space="0" w:color="auto"/>
            </w:tcBorders>
          </w:tcPr>
          <w:p w14:paraId="74CDB7E9" w14:textId="77777777" w:rsidR="0079241C" w:rsidRPr="003476B3" w:rsidRDefault="0079241C" w:rsidP="004F03E2">
            <w:pPr>
              <w:rPr>
                <w:rFonts w:ascii="Myriad Pro Semibold" w:hAnsi="Myriad Pro Semibold" w:cstheme="minorHAnsi"/>
                <w:b/>
                <w:bCs/>
                <w:sz w:val="21"/>
                <w:szCs w:val="21"/>
              </w:rPr>
            </w:pPr>
            <w:r w:rsidRPr="003476B3">
              <w:rPr>
                <w:rFonts w:ascii="Myriad Pro Semibold" w:hAnsi="Myriad Pro Semibold" w:cstheme="minorHAnsi"/>
                <w:b/>
                <w:bCs/>
                <w:sz w:val="21"/>
                <w:szCs w:val="21"/>
              </w:rPr>
              <w:t>Outcomes</w:t>
            </w:r>
          </w:p>
        </w:tc>
        <w:tc>
          <w:tcPr>
            <w:tcW w:w="2835" w:type="dxa"/>
            <w:tcBorders>
              <w:top w:val="single" w:sz="4" w:space="0" w:color="auto"/>
              <w:bottom w:val="single" w:sz="4" w:space="0" w:color="auto"/>
            </w:tcBorders>
          </w:tcPr>
          <w:p w14:paraId="13156241" w14:textId="77777777" w:rsidR="0079241C" w:rsidRDefault="0079241C" w:rsidP="0079241C">
            <w:pPr>
              <w:pStyle w:val="ListParagraph"/>
              <w:numPr>
                <w:ilvl w:val="0"/>
                <w:numId w:val="4"/>
              </w:numPr>
              <w:rPr>
                <w:rFonts w:ascii="Myriad Pro" w:hAnsi="Myriad Pro" w:cstheme="minorHAnsi"/>
                <w:sz w:val="21"/>
                <w:szCs w:val="21"/>
              </w:rPr>
            </w:pPr>
            <w:r>
              <w:rPr>
                <w:rFonts w:ascii="Myriad Pro" w:hAnsi="Myriad Pro" w:cstheme="minorHAnsi"/>
                <w:sz w:val="21"/>
                <w:szCs w:val="21"/>
              </w:rPr>
              <w:t>Neurobehavioral outcomes</w:t>
            </w:r>
          </w:p>
          <w:p w14:paraId="36670DCA" w14:textId="77777777" w:rsidR="0079241C" w:rsidRPr="00516756" w:rsidRDefault="0079241C" w:rsidP="0079241C">
            <w:pPr>
              <w:pStyle w:val="ListParagraph"/>
              <w:numPr>
                <w:ilvl w:val="1"/>
                <w:numId w:val="4"/>
              </w:numPr>
              <w:ind w:left="700"/>
              <w:rPr>
                <w:rFonts w:ascii="Myriad Pro" w:hAnsi="Myriad Pro" w:cstheme="minorHAnsi"/>
                <w:color w:val="000000" w:themeColor="text1"/>
                <w:sz w:val="21"/>
                <w:szCs w:val="21"/>
              </w:rPr>
            </w:pPr>
            <w:r>
              <w:rPr>
                <w:rFonts w:ascii="Myriad Pro" w:hAnsi="Myriad Pro" w:cstheme="minorHAnsi"/>
                <w:color w:val="000000" w:themeColor="text1"/>
                <w:sz w:val="21"/>
                <w:szCs w:val="21"/>
              </w:rPr>
              <w:t>D</w:t>
            </w:r>
            <w:r w:rsidRPr="00516756">
              <w:rPr>
                <w:rFonts w:ascii="Myriad Pro" w:hAnsi="Myriad Pro" w:cstheme="minorHAnsi"/>
                <w:color w:val="000000" w:themeColor="text1"/>
                <w:sz w:val="21"/>
                <w:szCs w:val="21"/>
              </w:rPr>
              <w:t>efined as outcomes of motor and/or sensory function, including pain, using tools such a</w:t>
            </w:r>
            <w:r>
              <w:rPr>
                <w:rFonts w:ascii="Myriad Pro" w:hAnsi="Myriad Pro" w:cstheme="minorHAnsi"/>
                <w:color w:val="000000" w:themeColor="text1"/>
                <w:sz w:val="21"/>
                <w:szCs w:val="21"/>
              </w:rPr>
              <w:t>s BBB score</w:t>
            </w:r>
            <w:r w:rsidRPr="00516756">
              <w:rPr>
                <w:rFonts w:ascii="Myriad Pro" w:hAnsi="Myriad Pro" w:cstheme="minorHAnsi"/>
                <w:color w:val="000000" w:themeColor="text1"/>
                <w:sz w:val="21"/>
                <w:szCs w:val="21"/>
              </w:rPr>
              <w:t xml:space="preserve"> for locomotor function and </w:t>
            </w:r>
            <w:r>
              <w:rPr>
                <w:rFonts w:ascii="Myriad Pro" w:hAnsi="Myriad Pro" w:cstheme="minorHAnsi"/>
                <w:color w:val="000000" w:themeColor="text1"/>
                <w:sz w:val="21"/>
                <w:szCs w:val="21"/>
              </w:rPr>
              <w:t>hind foot withdrawal thresholds for thermal hyperalgesia</w:t>
            </w:r>
          </w:p>
        </w:tc>
        <w:tc>
          <w:tcPr>
            <w:tcW w:w="3119" w:type="dxa"/>
            <w:tcBorders>
              <w:top w:val="single" w:sz="4" w:space="0" w:color="auto"/>
              <w:bottom w:val="single" w:sz="4" w:space="0" w:color="auto"/>
            </w:tcBorders>
          </w:tcPr>
          <w:p w14:paraId="2A88BE60" w14:textId="77777777" w:rsidR="0079241C" w:rsidRPr="008A2AAA" w:rsidRDefault="0079241C" w:rsidP="0079241C">
            <w:pPr>
              <w:pStyle w:val="ListParagraph"/>
              <w:numPr>
                <w:ilvl w:val="0"/>
                <w:numId w:val="4"/>
              </w:numPr>
              <w:rPr>
                <w:rFonts w:ascii="Myriad Pro" w:hAnsi="Myriad Pro" w:cstheme="minorHAnsi"/>
                <w:sz w:val="21"/>
                <w:szCs w:val="21"/>
              </w:rPr>
            </w:pPr>
            <w:r w:rsidRPr="008A2AAA">
              <w:rPr>
                <w:rFonts w:ascii="Myriad Pro" w:hAnsi="Myriad Pro" w:cstheme="minorHAnsi"/>
                <w:sz w:val="21"/>
                <w:szCs w:val="21"/>
              </w:rPr>
              <w:t>Autonomic function or physiological parameters e.g.</w:t>
            </w:r>
          </w:p>
          <w:p w14:paraId="5AFC20FF" w14:textId="77777777" w:rsidR="0079241C" w:rsidRDefault="0079241C" w:rsidP="0079241C">
            <w:pPr>
              <w:pStyle w:val="ListParagraph"/>
              <w:numPr>
                <w:ilvl w:val="1"/>
                <w:numId w:val="4"/>
              </w:numPr>
              <w:ind w:left="700"/>
              <w:rPr>
                <w:rFonts w:ascii="Myriad Pro" w:hAnsi="Myriad Pro" w:cstheme="minorHAnsi"/>
                <w:sz w:val="21"/>
                <w:szCs w:val="21"/>
              </w:rPr>
            </w:pPr>
            <w:r>
              <w:rPr>
                <w:rFonts w:ascii="Myriad Pro" w:hAnsi="Myriad Pro" w:cstheme="minorHAnsi"/>
                <w:sz w:val="21"/>
                <w:szCs w:val="21"/>
              </w:rPr>
              <w:t>Respiratory function</w:t>
            </w:r>
          </w:p>
          <w:p w14:paraId="158AB25A" w14:textId="77777777" w:rsidR="0079241C" w:rsidRDefault="0079241C" w:rsidP="0079241C">
            <w:pPr>
              <w:pStyle w:val="ListParagraph"/>
              <w:numPr>
                <w:ilvl w:val="1"/>
                <w:numId w:val="4"/>
              </w:numPr>
              <w:ind w:left="700"/>
              <w:rPr>
                <w:rFonts w:ascii="Myriad Pro" w:hAnsi="Myriad Pro" w:cstheme="minorHAnsi"/>
                <w:sz w:val="21"/>
                <w:szCs w:val="21"/>
              </w:rPr>
            </w:pPr>
            <w:r>
              <w:rPr>
                <w:rFonts w:ascii="Myriad Pro" w:hAnsi="Myriad Pro" w:cstheme="minorHAnsi"/>
                <w:sz w:val="21"/>
                <w:szCs w:val="21"/>
              </w:rPr>
              <w:t>Heart rate</w:t>
            </w:r>
          </w:p>
          <w:p w14:paraId="04E8E6C3" w14:textId="77777777" w:rsidR="0079241C" w:rsidRPr="00955BC1" w:rsidRDefault="0079241C" w:rsidP="0079241C">
            <w:pPr>
              <w:pStyle w:val="ListParagraph"/>
              <w:numPr>
                <w:ilvl w:val="1"/>
                <w:numId w:val="4"/>
              </w:numPr>
              <w:ind w:left="700"/>
              <w:rPr>
                <w:rFonts w:ascii="Myriad Pro" w:hAnsi="Myriad Pro" w:cstheme="minorHAnsi"/>
                <w:sz w:val="21"/>
                <w:szCs w:val="21"/>
              </w:rPr>
            </w:pPr>
            <w:r>
              <w:rPr>
                <w:rFonts w:ascii="Myriad Pro" w:hAnsi="Myriad Pro" w:cstheme="minorHAnsi"/>
                <w:sz w:val="21"/>
                <w:szCs w:val="21"/>
              </w:rPr>
              <w:t>Temperature</w:t>
            </w:r>
          </w:p>
          <w:p w14:paraId="75E985ED" w14:textId="77777777" w:rsidR="0079241C" w:rsidRPr="008A2AAA" w:rsidRDefault="0079241C" w:rsidP="0079241C">
            <w:pPr>
              <w:pStyle w:val="ListParagraph"/>
              <w:numPr>
                <w:ilvl w:val="0"/>
                <w:numId w:val="4"/>
              </w:numPr>
              <w:rPr>
                <w:rFonts w:ascii="Myriad Pro" w:hAnsi="Myriad Pro" w:cstheme="minorHAnsi"/>
                <w:sz w:val="21"/>
                <w:szCs w:val="21"/>
              </w:rPr>
            </w:pPr>
            <w:r w:rsidRPr="008A2AAA">
              <w:rPr>
                <w:rFonts w:ascii="Myriad Pro" w:hAnsi="Myriad Pro" w:cstheme="minorHAnsi"/>
                <w:sz w:val="21"/>
                <w:szCs w:val="21"/>
              </w:rPr>
              <w:t>In vitro assessment</w:t>
            </w:r>
          </w:p>
        </w:tc>
      </w:tr>
    </w:tbl>
    <w:p w14:paraId="3B82F680" w14:textId="313AEB0B" w:rsidR="0079241C" w:rsidRDefault="0079241C" w:rsidP="0079241C"/>
    <w:p w14:paraId="2A375F4C" w14:textId="77777777" w:rsidR="0079241C" w:rsidRDefault="0079241C" w:rsidP="0079241C"/>
    <w:p w14:paraId="294FB570" w14:textId="77777777" w:rsidR="0079241C" w:rsidRPr="008464D7" w:rsidRDefault="0079241C" w:rsidP="0079241C"/>
    <w:p w14:paraId="71F04075" w14:textId="77777777" w:rsidR="0079241C" w:rsidRDefault="0079241C" w:rsidP="0079241C">
      <w:pPr>
        <w:rPr>
          <w:rFonts w:asciiTheme="majorHAnsi" w:eastAsiaTheme="majorEastAsia" w:hAnsiTheme="majorHAnsi" w:cstheme="majorBidi"/>
          <w:color w:val="2F5496" w:themeColor="accent1" w:themeShade="BF"/>
          <w:sz w:val="32"/>
          <w:szCs w:val="32"/>
        </w:rPr>
      </w:pPr>
      <w:r>
        <w:br w:type="page"/>
      </w:r>
    </w:p>
    <w:p w14:paraId="7D2EBD91" w14:textId="40B27296" w:rsidR="004F03E2" w:rsidRDefault="0050504E" w:rsidP="0050504E">
      <w:pPr>
        <w:pStyle w:val="Heading1"/>
      </w:pPr>
      <w:bookmarkStart w:id="2" w:name="_Toc76983022"/>
      <w:r>
        <w:lastRenderedPageBreak/>
        <w:t xml:space="preserve">Supplementary </w:t>
      </w:r>
      <w:r w:rsidR="00EA36D7">
        <w:t>File</w:t>
      </w:r>
      <w:r>
        <w:t xml:space="preserve"> 3 </w:t>
      </w:r>
      <w:r w:rsidR="009D0D32">
        <w:t>–</w:t>
      </w:r>
      <w:r>
        <w:t xml:space="preserve"> </w:t>
      </w:r>
      <w:r w:rsidR="009D0D32">
        <w:t>Reasons for full-text exclusion</w:t>
      </w:r>
      <w:bookmarkEnd w:id="2"/>
    </w:p>
    <w:p w14:paraId="1193615F" w14:textId="3EFD7547" w:rsidR="009D0D32" w:rsidRDefault="009D0D32" w:rsidP="009D0D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1"/>
      </w:tblGrid>
      <w:tr w:rsidR="009D0D32" w14:paraId="0C796858" w14:textId="77777777" w:rsidTr="004F03E2">
        <w:trPr>
          <w:trHeight w:val="567"/>
        </w:trPr>
        <w:tc>
          <w:tcPr>
            <w:tcW w:w="4675" w:type="dxa"/>
            <w:tcBorders>
              <w:top w:val="single" w:sz="4" w:space="0" w:color="auto"/>
              <w:bottom w:val="single" w:sz="4" w:space="0" w:color="auto"/>
            </w:tcBorders>
          </w:tcPr>
          <w:p w14:paraId="4B44C510" w14:textId="77777777" w:rsidR="009D0D32" w:rsidRPr="001D5D5A" w:rsidRDefault="009D0D32" w:rsidP="004F03E2">
            <w:pPr>
              <w:rPr>
                <w:rFonts w:ascii="Myriad Pro Semibold" w:hAnsi="Myriad Pro Semibold"/>
                <w:b/>
                <w:bCs/>
                <w:sz w:val="22"/>
                <w:szCs w:val="22"/>
              </w:rPr>
            </w:pPr>
            <w:r w:rsidRPr="001D5D5A">
              <w:rPr>
                <w:rFonts w:ascii="Myriad Pro Semibold" w:hAnsi="Myriad Pro Semibold"/>
                <w:b/>
                <w:bCs/>
                <w:sz w:val="22"/>
                <w:szCs w:val="22"/>
              </w:rPr>
              <w:t>Author (year)</w:t>
            </w:r>
          </w:p>
        </w:tc>
        <w:tc>
          <w:tcPr>
            <w:tcW w:w="4675" w:type="dxa"/>
            <w:tcBorders>
              <w:top w:val="single" w:sz="4" w:space="0" w:color="auto"/>
              <w:bottom w:val="single" w:sz="4" w:space="0" w:color="auto"/>
            </w:tcBorders>
          </w:tcPr>
          <w:p w14:paraId="2848D0A7" w14:textId="77777777" w:rsidR="009D0D32" w:rsidRPr="001D5D5A" w:rsidRDefault="009D0D32" w:rsidP="004F03E2">
            <w:pPr>
              <w:rPr>
                <w:rFonts w:ascii="Myriad Pro Semibold" w:hAnsi="Myriad Pro Semibold"/>
                <w:b/>
                <w:bCs/>
                <w:sz w:val="22"/>
                <w:szCs w:val="22"/>
              </w:rPr>
            </w:pPr>
            <w:r w:rsidRPr="001D5D5A">
              <w:rPr>
                <w:rFonts w:ascii="Myriad Pro Semibold" w:hAnsi="Myriad Pro Semibold"/>
                <w:b/>
                <w:bCs/>
                <w:sz w:val="22"/>
                <w:szCs w:val="22"/>
              </w:rPr>
              <w:t>Reason for exclusion</w:t>
            </w:r>
          </w:p>
        </w:tc>
      </w:tr>
      <w:tr w:rsidR="009D0D32" w14:paraId="6019D809" w14:textId="77777777" w:rsidTr="004F03E2">
        <w:trPr>
          <w:trHeight w:val="567"/>
        </w:trPr>
        <w:tc>
          <w:tcPr>
            <w:tcW w:w="4675" w:type="dxa"/>
            <w:tcBorders>
              <w:top w:val="single" w:sz="4" w:space="0" w:color="auto"/>
            </w:tcBorders>
          </w:tcPr>
          <w:p w14:paraId="28A4AAFF" w14:textId="77777777" w:rsidR="009D0D32" w:rsidRPr="001D5D5A" w:rsidRDefault="009D0D32" w:rsidP="004F03E2">
            <w:pPr>
              <w:rPr>
                <w:rFonts w:ascii="Myriad Pro" w:hAnsi="Myriad Pro"/>
                <w:sz w:val="22"/>
                <w:szCs w:val="22"/>
              </w:rPr>
            </w:pPr>
            <w:r>
              <w:rPr>
                <w:rFonts w:ascii="Myriad Pro" w:hAnsi="Myriad Pro"/>
                <w:sz w:val="22"/>
                <w:szCs w:val="22"/>
              </w:rPr>
              <w:t>Adhikary et al. (2010)</w:t>
            </w:r>
          </w:p>
        </w:tc>
        <w:tc>
          <w:tcPr>
            <w:tcW w:w="4675" w:type="dxa"/>
            <w:tcBorders>
              <w:top w:val="single" w:sz="4" w:space="0" w:color="auto"/>
            </w:tcBorders>
          </w:tcPr>
          <w:p w14:paraId="5040C6DC"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tc>
      </w:tr>
      <w:tr w:rsidR="009D0D32" w14:paraId="32CCD41B" w14:textId="77777777" w:rsidTr="004F03E2">
        <w:trPr>
          <w:trHeight w:val="567"/>
        </w:trPr>
        <w:tc>
          <w:tcPr>
            <w:tcW w:w="4675" w:type="dxa"/>
          </w:tcPr>
          <w:p w14:paraId="5A81C39C" w14:textId="77777777" w:rsidR="009D0D32" w:rsidRDefault="009D0D32" w:rsidP="004F03E2">
            <w:pPr>
              <w:rPr>
                <w:rFonts w:ascii="Myriad Pro" w:hAnsi="Myriad Pro"/>
                <w:sz w:val="22"/>
                <w:szCs w:val="22"/>
              </w:rPr>
            </w:pPr>
            <w:r>
              <w:rPr>
                <w:rFonts w:ascii="Myriad Pro" w:hAnsi="Myriad Pro"/>
                <w:sz w:val="22"/>
                <w:szCs w:val="22"/>
              </w:rPr>
              <w:t>Adhikary et al. (2010)</w:t>
            </w:r>
          </w:p>
        </w:tc>
        <w:tc>
          <w:tcPr>
            <w:tcW w:w="4675" w:type="dxa"/>
          </w:tcPr>
          <w:p w14:paraId="3F3A188E" w14:textId="77777777" w:rsidR="009D0D32" w:rsidRDefault="009D0D32" w:rsidP="004F03E2">
            <w:pPr>
              <w:rPr>
                <w:rFonts w:ascii="Myriad Pro" w:hAnsi="Myriad Pro"/>
                <w:sz w:val="22"/>
                <w:szCs w:val="22"/>
              </w:rPr>
            </w:pPr>
            <w:r>
              <w:rPr>
                <w:rFonts w:ascii="Myriad Pro" w:hAnsi="Myriad Pro"/>
                <w:sz w:val="22"/>
                <w:szCs w:val="22"/>
              </w:rPr>
              <w:t>Duplicate</w:t>
            </w:r>
          </w:p>
        </w:tc>
      </w:tr>
      <w:tr w:rsidR="009D0D32" w14:paraId="44B7647C" w14:textId="77777777" w:rsidTr="004F03E2">
        <w:trPr>
          <w:trHeight w:val="567"/>
        </w:trPr>
        <w:tc>
          <w:tcPr>
            <w:tcW w:w="4675" w:type="dxa"/>
          </w:tcPr>
          <w:p w14:paraId="76F1E573" w14:textId="77777777" w:rsidR="009D0D32" w:rsidRDefault="009D0D32" w:rsidP="004F03E2">
            <w:pPr>
              <w:rPr>
                <w:rFonts w:ascii="Myriad Pro" w:hAnsi="Myriad Pro"/>
                <w:sz w:val="22"/>
                <w:szCs w:val="22"/>
              </w:rPr>
            </w:pPr>
            <w:r>
              <w:rPr>
                <w:rFonts w:ascii="Myriad Pro" w:hAnsi="Myriad Pro"/>
                <w:sz w:val="22"/>
                <w:szCs w:val="22"/>
              </w:rPr>
              <w:t>Adhikary et al. (2011)</w:t>
            </w:r>
          </w:p>
        </w:tc>
        <w:tc>
          <w:tcPr>
            <w:tcW w:w="4675" w:type="dxa"/>
          </w:tcPr>
          <w:p w14:paraId="38FC5E38" w14:textId="77777777" w:rsidR="009D0D32" w:rsidRDefault="009D0D32" w:rsidP="004F03E2">
            <w:pPr>
              <w:rPr>
                <w:rFonts w:ascii="Myriad Pro" w:hAnsi="Myriad Pro"/>
                <w:sz w:val="22"/>
                <w:szCs w:val="22"/>
              </w:rPr>
            </w:pPr>
            <w:r>
              <w:rPr>
                <w:rFonts w:ascii="Myriad Pro" w:hAnsi="Myriad Pro"/>
                <w:sz w:val="22"/>
                <w:szCs w:val="22"/>
              </w:rPr>
              <w:t>Conference abstract</w:t>
            </w:r>
          </w:p>
        </w:tc>
      </w:tr>
      <w:tr w:rsidR="009D0D32" w14:paraId="47F52954" w14:textId="77777777" w:rsidTr="004F03E2">
        <w:trPr>
          <w:trHeight w:val="567"/>
        </w:trPr>
        <w:tc>
          <w:tcPr>
            <w:tcW w:w="4675" w:type="dxa"/>
          </w:tcPr>
          <w:p w14:paraId="4A96B03A" w14:textId="77777777" w:rsidR="009D0D32" w:rsidRDefault="009D0D32" w:rsidP="004F03E2">
            <w:pPr>
              <w:rPr>
                <w:rFonts w:ascii="Myriad Pro" w:hAnsi="Myriad Pro"/>
                <w:sz w:val="22"/>
                <w:szCs w:val="22"/>
              </w:rPr>
            </w:pPr>
            <w:r>
              <w:rPr>
                <w:rFonts w:ascii="Myriad Pro" w:hAnsi="Myriad Pro"/>
                <w:sz w:val="22"/>
                <w:szCs w:val="22"/>
              </w:rPr>
              <w:t>Arevalo-Martin et al. (2012)</w:t>
            </w:r>
          </w:p>
        </w:tc>
        <w:tc>
          <w:tcPr>
            <w:tcW w:w="4675" w:type="dxa"/>
          </w:tcPr>
          <w:p w14:paraId="11F39058"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5FA499F4" w14:textId="77777777" w:rsidTr="004F03E2">
        <w:trPr>
          <w:trHeight w:val="567"/>
        </w:trPr>
        <w:tc>
          <w:tcPr>
            <w:tcW w:w="4675" w:type="dxa"/>
          </w:tcPr>
          <w:p w14:paraId="233F5F8C" w14:textId="77777777" w:rsidR="009D0D32" w:rsidRDefault="009D0D32" w:rsidP="004F03E2">
            <w:pPr>
              <w:rPr>
                <w:rFonts w:ascii="Myriad Pro" w:hAnsi="Myriad Pro"/>
                <w:sz w:val="22"/>
                <w:szCs w:val="22"/>
              </w:rPr>
            </w:pPr>
            <w:r>
              <w:rPr>
                <w:rFonts w:ascii="Myriad Pro" w:hAnsi="Myriad Pro"/>
                <w:sz w:val="22"/>
                <w:szCs w:val="22"/>
              </w:rPr>
              <w:t>Baty</w:t>
            </w:r>
            <w:r w:rsidRPr="001D5D5A">
              <w:rPr>
                <w:rFonts w:ascii="Myriad Pro" w:hAnsi="Myriad Pro"/>
                <w:sz w:val="22"/>
                <w:szCs w:val="22"/>
              </w:rPr>
              <w:t xml:space="preserve"> et al. (20</w:t>
            </w:r>
            <w:r>
              <w:rPr>
                <w:rFonts w:ascii="Myriad Pro" w:hAnsi="Myriad Pro"/>
                <w:sz w:val="22"/>
                <w:szCs w:val="22"/>
              </w:rPr>
              <w:t>08</w:t>
            </w:r>
            <w:r w:rsidRPr="001D5D5A">
              <w:rPr>
                <w:rFonts w:ascii="Myriad Pro" w:hAnsi="Myriad Pro"/>
                <w:sz w:val="22"/>
                <w:szCs w:val="22"/>
              </w:rPr>
              <w:t>)</w:t>
            </w:r>
          </w:p>
        </w:tc>
        <w:tc>
          <w:tcPr>
            <w:tcW w:w="4675" w:type="dxa"/>
          </w:tcPr>
          <w:p w14:paraId="51414424"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p w14:paraId="4FE00174" w14:textId="77777777" w:rsidR="009D0D32" w:rsidRDefault="009D0D32" w:rsidP="004F03E2">
            <w:pPr>
              <w:rPr>
                <w:rFonts w:ascii="Myriad Pro" w:hAnsi="Myriad Pro"/>
                <w:sz w:val="22"/>
                <w:szCs w:val="22"/>
              </w:rPr>
            </w:pPr>
          </w:p>
        </w:tc>
      </w:tr>
      <w:tr w:rsidR="009D0D32" w14:paraId="51A96323" w14:textId="77777777" w:rsidTr="004F03E2">
        <w:trPr>
          <w:trHeight w:val="567"/>
        </w:trPr>
        <w:tc>
          <w:tcPr>
            <w:tcW w:w="4675" w:type="dxa"/>
          </w:tcPr>
          <w:p w14:paraId="48B3052D" w14:textId="77777777" w:rsidR="009D0D32" w:rsidRDefault="009D0D32" w:rsidP="004F03E2">
            <w:pPr>
              <w:rPr>
                <w:rFonts w:ascii="Myriad Pro" w:hAnsi="Myriad Pro"/>
                <w:sz w:val="22"/>
                <w:szCs w:val="22"/>
              </w:rPr>
            </w:pPr>
            <w:r>
              <w:rPr>
                <w:rFonts w:ascii="Myriad Pro" w:hAnsi="Myriad Pro"/>
                <w:sz w:val="22"/>
                <w:szCs w:val="22"/>
              </w:rPr>
              <w:t>Berger et al. (2014)</w:t>
            </w:r>
          </w:p>
        </w:tc>
        <w:tc>
          <w:tcPr>
            <w:tcW w:w="4675" w:type="dxa"/>
          </w:tcPr>
          <w:p w14:paraId="16DA5988" w14:textId="77777777" w:rsidR="009D0D32" w:rsidRDefault="009D0D32" w:rsidP="004F03E2">
            <w:pPr>
              <w:rPr>
                <w:rFonts w:ascii="Myriad Pro" w:hAnsi="Myriad Pro"/>
                <w:sz w:val="22"/>
                <w:szCs w:val="22"/>
              </w:rPr>
            </w:pPr>
            <w:r>
              <w:rPr>
                <w:rFonts w:ascii="Myriad Pro" w:hAnsi="Myriad Pro"/>
                <w:sz w:val="22"/>
                <w:szCs w:val="22"/>
              </w:rPr>
              <w:t>No spinal cord injury model used</w:t>
            </w:r>
          </w:p>
        </w:tc>
      </w:tr>
      <w:tr w:rsidR="009D0D32" w14:paraId="7DA6AAC3" w14:textId="77777777" w:rsidTr="004F03E2">
        <w:trPr>
          <w:trHeight w:val="567"/>
        </w:trPr>
        <w:tc>
          <w:tcPr>
            <w:tcW w:w="4675" w:type="dxa"/>
          </w:tcPr>
          <w:p w14:paraId="6A4D2069" w14:textId="77777777" w:rsidR="009D0D32" w:rsidRDefault="009D0D32" w:rsidP="004F03E2">
            <w:pPr>
              <w:rPr>
                <w:rFonts w:ascii="Myriad Pro" w:hAnsi="Myriad Pro"/>
                <w:sz w:val="22"/>
                <w:szCs w:val="22"/>
              </w:rPr>
            </w:pPr>
            <w:r>
              <w:rPr>
                <w:rFonts w:ascii="Myriad Pro" w:hAnsi="Myriad Pro"/>
                <w:sz w:val="22"/>
                <w:szCs w:val="22"/>
              </w:rPr>
              <w:t>Clarke et al. (2001)</w:t>
            </w:r>
          </w:p>
        </w:tc>
        <w:tc>
          <w:tcPr>
            <w:tcW w:w="4675" w:type="dxa"/>
          </w:tcPr>
          <w:p w14:paraId="2BE14F29"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2087515D" w14:textId="77777777" w:rsidTr="004F03E2">
        <w:trPr>
          <w:trHeight w:val="567"/>
        </w:trPr>
        <w:tc>
          <w:tcPr>
            <w:tcW w:w="4675" w:type="dxa"/>
          </w:tcPr>
          <w:p w14:paraId="7DF1F6FE" w14:textId="77777777" w:rsidR="009D0D32" w:rsidRDefault="009D0D32" w:rsidP="004F03E2">
            <w:pPr>
              <w:rPr>
                <w:rFonts w:ascii="Myriad Pro" w:hAnsi="Myriad Pro"/>
                <w:sz w:val="22"/>
                <w:szCs w:val="22"/>
              </w:rPr>
            </w:pPr>
            <w:r>
              <w:rPr>
                <w:rFonts w:ascii="Myriad Pro" w:hAnsi="Myriad Pro"/>
                <w:sz w:val="22"/>
                <w:szCs w:val="22"/>
              </w:rPr>
              <w:t>Esposito and Cuzzocrea et al. (2013)</w:t>
            </w:r>
          </w:p>
        </w:tc>
        <w:tc>
          <w:tcPr>
            <w:tcW w:w="4675" w:type="dxa"/>
          </w:tcPr>
          <w:p w14:paraId="469D6DBA" w14:textId="77777777" w:rsidR="009D0D32" w:rsidRDefault="009D0D32" w:rsidP="004F03E2">
            <w:pPr>
              <w:rPr>
                <w:rFonts w:ascii="Myriad Pro" w:hAnsi="Myriad Pro"/>
                <w:sz w:val="22"/>
                <w:szCs w:val="22"/>
              </w:rPr>
            </w:pPr>
            <w:r>
              <w:rPr>
                <w:rFonts w:ascii="Myriad Pro" w:hAnsi="Myriad Pro"/>
                <w:sz w:val="22"/>
                <w:szCs w:val="22"/>
              </w:rPr>
              <w:t>Literature review</w:t>
            </w:r>
          </w:p>
        </w:tc>
      </w:tr>
      <w:tr w:rsidR="009D0D32" w14:paraId="5B927CD0" w14:textId="77777777" w:rsidTr="004F03E2">
        <w:trPr>
          <w:trHeight w:val="567"/>
        </w:trPr>
        <w:tc>
          <w:tcPr>
            <w:tcW w:w="4675" w:type="dxa"/>
          </w:tcPr>
          <w:p w14:paraId="024919A2" w14:textId="77777777" w:rsidR="009D0D32" w:rsidRPr="001D5D5A" w:rsidRDefault="009D0D32" w:rsidP="004F03E2">
            <w:pPr>
              <w:rPr>
                <w:rFonts w:ascii="Myriad Pro" w:hAnsi="Myriad Pro"/>
                <w:sz w:val="22"/>
                <w:szCs w:val="22"/>
              </w:rPr>
            </w:pPr>
            <w:r>
              <w:rPr>
                <w:rFonts w:ascii="Myriad Pro" w:hAnsi="Myriad Pro"/>
                <w:sz w:val="22"/>
                <w:szCs w:val="22"/>
              </w:rPr>
              <w:t>Grenald et al. (2018)</w:t>
            </w:r>
          </w:p>
        </w:tc>
        <w:tc>
          <w:tcPr>
            <w:tcW w:w="4675" w:type="dxa"/>
          </w:tcPr>
          <w:p w14:paraId="4968FBD8"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tc>
      </w:tr>
      <w:tr w:rsidR="009D0D32" w14:paraId="4BDADEC5" w14:textId="77777777" w:rsidTr="004F03E2">
        <w:trPr>
          <w:trHeight w:val="567"/>
        </w:trPr>
        <w:tc>
          <w:tcPr>
            <w:tcW w:w="4675" w:type="dxa"/>
          </w:tcPr>
          <w:p w14:paraId="1DCB2543" w14:textId="77777777" w:rsidR="009D0D32" w:rsidRPr="001D5D5A" w:rsidRDefault="009D0D32" w:rsidP="004F03E2">
            <w:pPr>
              <w:rPr>
                <w:rFonts w:ascii="Myriad Pro" w:hAnsi="Myriad Pro"/>
                <w:sz w:val="22"/>
                <w:szCs w:val="22"/>
              </w:rPr>
            </w:pPr>
            <w:r>
              <w:rPr>
                <w:rFonts w:ascii="Myriad Pro" w:hAnsi="Myriad Pro"/>
                <w:sz w:val="22"/>
                <w:szCs w:val="22"/>
              </w:rPr>
              <w:t>Heller et al. (2009)</w:t>
            </w:r>
          </w:p>
        </w:tc>
        <w:tc>
          <w:tcPr>
            <w:tcW w:w="4675" w:type="dxa"/>
          </w:tcPr>
          <w:p w14:paraId="15612BD2"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tc>
      </w:tr>
      <w:tr w:rsidR="009D0D32" w14:paraId="7FFFF790" w14:textId="77777777" w:rsidTr="004F03E2">
        <w:trPr>
          <w:trHeight w:val="567"/>
        </w:trPr>
        <w:tc>
          <w:tcPr>
            <w:tcW w:w="4675" w:type="dxa"/>
          </w:tcPr>
          <w:p w14:paraId="26A11059" w14:textId="77777777" w:rsidR="009D0D32" w:rsidRDefault="009D0D32" w:rsidP="004F03E2">
            <w:pPr>
              <w:rPr>
                <w:rFonts w:ascii="Myriad Pro" w:hAnsi="Myriad Pro"/>
                <w:sz w:val="22"/>
                <w:szCs w:val="22"/>
              </w:rPr>
            </w:pPr>
            <w:r>
              <w:rPr>
                <w:rFonts w:ascii="Myriad Pro" w:hAnsi="Myriad Pro"/>
                <w:sz w:val="22"/>
                <w:szCs w:val="22"/>
              </w:rPr>
              <w:t>Jenkins et al. (2004)</w:t>
            </w:r>
          </w:p>
        </w:tc>
        <w:tc>
          <w:tcPr>
            <w:tcW w:w="4675" w:type="dxa"/>
          </w:tcPr>
          <w:p w14:paraId="0BFCE593"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3F6E3E5E" w14:textId="77777777" w:rsidTr="004F03E2">
        <w:trPr>
          <w:trHeight w:val="567"/>
        </w:trPr>
        <w:tc>
          <w:tcPr>
            <w:tcW w:w="4675" w:type="dxa"/>
          </w:tcPr>
          <w:p w14:paraId="19C9543D" w14:textId="77777777" w:rsidR="009D0D32" w:rsidRDefault="009D0D32" w:rsidP="004F03E2">
            <w:pPr>
              <w:rPr>
                <w:rFonts w:ascii="Myriad Pro" w:hAnsi="Myriad Pro"/>
                <w:sz w:val="22"/>
                <w:szCs w:val="22"/>
              </w:rPr>
            </w:pPr>
            <w:r>
              <w:rPr>
                <w:rFonts w:ascii="Myriad Pro" w:hAnsi="Myriad Pro"/>
                <w:sz w:val="22"/>
                <w:szCs w:val="22"/>
              </w:rPr>
              <w:t xml:space="preserve">Kappel da Silva. (2018) </w:t>
            </w:r>
          </w:p>
        </w:tc>
        <w:tc>
          <w:tcPr>
            <w:tcW w:w="4675" w:type="dxa"/>
          </w:tcPr>
          <w:p w14:paraId="5BB164A0" w14:textId="77777777" w:rsidR="009D0D32" w:rsidRDefault="009D0D32" w:rsidP="004F03E2">
            <w:pPr>
              <w:rPr>
                <w:rFonts w:ascii="Myriad Pro" w:hAnsi="Myriad Pro"/>
                <w:sz w:val="22"/>
                <w:szCs w:val="22"/>
              </w:rPr>
            </w:pPr>
            <w:r>
              <w:rPr>
                <w:rFonts w:ascii="Myriad Pro" w:hAnsi="Myriad Pro"/>
                <w:sz w:val="22"/>
                <w:szCs w:val="22"/>
              </w:rPr>
              <w:t>No spinal cord injury model used</w:t>
            </w:r>
          </w:p>
        </w:tc>
      </w:tr>
      <w:tr w:rsidR="009D0D32" w14:paraId="0143A80E" w14:textId="77777777" w:rsidTr="004F03E2">
        <w:trPr>
          <w:trHeight w:val="567"/>
        </w:trPr>
        <w:tc>
          <w:tcPr>
            <w:tcW w:w="4675" w:type="dxa"/>
          </w:tcPr>
          <w:p w14:paraId="035B79BD" w14:textId="77777777" w:rsidR="009D0D32" w:rsidRDefault="009D0D32" w:rsidP="004F03E2">
            <w:pPr>
              <w:rPr>
                <w:rFonts w:ascii="Myriad Pro" w:hAnsi="Myriad Pro"/>
                <w:sz w:val="22"/>
                <w:szCs w:val="22"/>
              </w:rPr>
            </w:pPr>
            <w:r>
              <w:rPr>
                <w:rFonts w:ascii="Myriad Pro" w:hAnsi="Myriad Pro"/>
                <w:sz w:val="22"/>
                <w:szCs w:val="22"/>
              </w:rPr>
              <w:t>Kazantzis et al. (2016)</w:t>
            </w:r>
          </w:p>
        </w:tc>
        <w:tc>
          <w:tcPr>
            <w:tcW w:w="4675" w:type="dxa"/>
          </w:tcPr>
          <w:p w14:paraId="6759F61D" w14:textId="77777777" w:rsidR="009D0D32" w:rsidRDefault="009D0D32" w:rsidP="004F03E2">
            <w:pPr>
              <w:rPr>
                <w:rFonts w:ascii="Myriad Pro" w:hAnsi="Myriad Pro"/>
                <w:sz w:val="22"/>
                <w:szCs w:val="22"/>
              </w:rPr>
            </w:pPr>
            <w:r>
              <w:rPr>
                <w:rFonts w:ascii="Myriad Pro" w:hAnsi="Myriad Pro"/>
                <w:sz w:val="22"/>
                <w:szCs w:val="22"/>
              </w:rPr>
              <w:t>No spinal cord injury model used</w:t>
            </w:r>
          </w:p>
        </w:tc>
      </w:tr>
      <w:tr w:rsidR="009D0D32" w14:paraId="369D190D" w14:textId="77777777" w:rsidTr="004F03E2">
        <w:trPr>
          <w:trHeight w:val="567"/>
        </w:trPr>
        <w:tc>
          <w:tcPr>
            <w:tcW w:w="4675" w:type="dxa"/>
          </w:tcPr>
          <w:p w14:paraId="1B92DBAF" w14:textId="77777777" w:rsidR="009D0D32" w:rsidRDefault="009D0D32" w:rsidP="004F03E2">
            <w:pPr>
              <w:rPr>
                <w:rFonts w:ascii="Myriad Pro" w:hAnsi="Myriad Pro"/>
                <w:sz w:val="22"/>
                <w:szCs w:val="22"/>
              </w:rPr>
            </w:pPr>
            <w:r>
              <w:rPr>
                <w:rFonts w:ascii="Myriad Pro" w:hAnsi="Myriad Pro"/>
                <w:sz w:val="22"/>
                <w:szCs w:val="22"/>
              </w:rPr>
              <w:t>Krowicki et al. (1999)</w:t>
            </w:r>
          </w:p>
        </w:tc>
        <w:tc>
          <w:tcPr>
            <w:tcW w:w="4675" w:type="dxa"/>
          </w:tcPr>
          <w:p w14:paraId="6C027DB2"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119C9E81" w14:textId="77777777" w:rsidTr="004F03E2">
        <w:trPr>
          <w:trHeight w:val="567"/>
        </w:trPr>
        <w:tc>
          <w:tcPr>
            <w:tcW w:w="4675" w:type="dxa"/>
          </w:tcPr>
          <w:p w14:paraId="43D6E1DD" w14:textId="77777777" w:rsidR="009D0D32" w:rsidRDefault="009D0D32" w:rsidP="004F03E2">
            <w:pPr>
              <w:rPr>
                <w:rFonts w:ascii="Myriad Pro" w:hAnsi="Myriad Pro"/>
                <w:sz w:val="22"/>
                <w:szCs w:val="22"/>
              </w:rPr>
            </w:pPr>
            <w:r>
              <w:rPr>
                <w:rFonts w:ascii="Myriad Pro" w:hAnsi="Myriad Pro"/>
                <w:sz w:val="22"/>
                <w:szCs w:val="22"/>
              </w:rPr>
              <w:t>LaBuda et al. (2004)</w:t>
            </w:r>
          </w:p>
        </w:tc>
        <w:tc>
          <w:tcPr>
            <w:tcW w:w="4675" w:type="dxa"/>
          </w:tcPr>
          <w:p w14:paraId="25A3A278" w14:textId="77777777" w:rsidR="009D0D32" w:rsidRDefault="009D0D32" w:rsidP="004F03E2">
            <w:pPr>
              <w:rPr>
                <w:rFonts w:ascii="Myriad Pro" w:hAnsi="Myriad Pro"/>
                <w:sz w:val="22"/>
                <w:szCs w:val="22"/>
              </w:rPr>
            </w:pPr>
            <w:r>
              <w:rPr>
                <w:rFonts w:ascii="Myriad Pro" w:hAnsi="Myriad Pro"/>
                <w:sz w:val="22"/>
                <w:szCs w:val="22"/>
              </w:rPr>
              <w:t>No spinal cord injury model used</w:t>
            </w:r>
          </w:p>
        </w:tc>
      </w:tr>
      <w:tr w:rsidR="009D0D32" w14:paraId="7A6992F1" w14:textId="77777777" w:rsidTr="004F03E2">
        <w:trPr>
          <w:trHeight w:val="567"/>
        </w:trPr>
        <w:tc>
          <w:tcPr>
            <w:tcW w:w="4675" w:type="dxa"/>
          </w:tcPr>
          <w:p w14:paraId="40796439" w14:textId="77777777" w:rsidR="009D0D32" w:rsidRDefault="009D0D32" w:rsidP="004F03E2">
            <w:pPr>
              <w:rPr>
                <w:rFonts w:ascii="Myriad Pro" w:hAnsi="Myriad Pro"/>
                <w:sz w:val="22"/>
                <w:szCs w:val="22"/>
              </w:rPr>
            </w:pPr>
            <w:r>
              <w:rPr>
                <w:rFonts w:ascii="Myriad Pro" w:hAnsi="Myriad Pro"/>
                <w:sz w:val="22"/>
                <w:szCs w:val="22"/>
              </w:rPr>
              <w:t>Li et al (2017)</w:t>
            </w:r>
          </w:p>
        </w:tc>
        <w:tc>
          <w:tcPr>
            <w:tcW w:w="4675" w:type="dxa"/>
          </w:tcPr>
          <w:p w14:paraId="0C06C2BD"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2306970D" w14:textId="77777777" w:rsidTr="004F03E2">
        <w:trPr>
          <w:trHeight w:val="567"/>
        </w:trPr>
        <w:tc>
          <w:tcPr>
            <w:tcW w:w="4675" w:type="dxa"/>
          </w:tcPr>
          <w:p w14:paraId="3F370FED" w14:textId="77777777" w:rsidR="009D0D32" w:rsidRPr="001D5D5A" w:rsidRDefault="009D0D32" w:rsidP="004F03E2">
            <w:pPr>
              <w:rPr>
                <w:rFonts w:ascii="Myriad Pro" w:hAnsi="Myriad Pro"/>
                <w:sz w:val="22"/>
                <w:szCs w:val="22"/>
              </w:rPr>
            </w:pPr>
            <w:r>
              <w:rPr>
                <w:rFonts w:ascii="Myriad Pro" w:hAnsi="Myriad Pro"/>
                <w:sz w:val="22"/>
                <w:szCs w:val="22"/>
              </w:rPr>
              <w:t xml:space="preserve">Mohaimany et al. (2017) </w:t>
            </w:r>
          </w:p>
        </w:tc>
        <w:tc>
          <w:tcPr>
            <w:tcW w:w="4675" w:type="dxa"/>
          </w:tcPr>
          <w:p w14:paraId="3E6AD1FC"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tc>
      </w:tr>
      <w:tr w:rsidR="009D0D32" w14:paraId="00674BE3" w14:textId="77777777" w:rsidTr="004F03E2">
        <w:trPr>
          <w:trHeight w:val="567"/>
        </w:trPr>
        <w:tc>
          <w:tcPr>
            <w:tcW w:w="4675" w:type="dxa"/>
          </w:tcPr>
          <w:p w14:paraId="4EDD93C8" w14:textId="77777777" w:rsidR="009D0D32" w:rsidRPr="001D5D5A" w:rsidRDefault="009D0D32" w:rsidP="004F03E2">
            <w:pPr>
              <w:rPr>
                <w:rFonts w:ascii="Myriad Pro" w:hAnsi="Myriad Pro"/>
                <w:sz w:val="22"/>
                <w:szCs w:val="22"/>
              </w:rPr>
            </w:pPr>
            <w:r>
              <w:rPr>
                <w:rFonts w:ascii="Myriad Pro" w:hAnsi="Myriad Pro"/>
                <w:sz w:val="22"/>
                <w:szCs w:val="22"/>
              </w:rPr>
              <w:t>Mukhopanhyay et al. (2011)</w:t>
            </w:r>
          </w:p>
        </w:tc>
        <w:tc>
          <w:tcPr>
            <w:tcW w:w="4675" w:type="dxa"/>
          </w:tcPr>
          <w:p w14:paraId="257B3321" w14:textId="77777777" w:rsidR="009D0D32" w:rsidRPr="001D5D5A" w:rsidRDefault="009D0D32" w:rsidP="004F03E2">
            <w:pPr>
              <w:rPr>
                <w:rFonts w:ascii="Myriad Pro" w:hAnsi="Myriad Pro"/>
                <w:sz w:val="22"/>
                <w:szCs w:val="22"/>
              </w:rPr>
            </w:pPr>
            <w:r>
              <w:rPr>
                <w:rFonts w:ascii="Myriad Pro" w:hAnsi="Myriad Pro"/>
                <w:sz w:val="22"/>
                <w:szCs w:val="22"/>
              </w:rPr>
              <w:t>Abstract only - Full text not found</w:t>
            </w:r>
          </w:p>
          <w:p w14:paraId="026539CE" w14:textId="77777777" w:rsidR="009D0D32" w:rsidRPr="001D5D5A" w:rsidRDefault="009D0D32" w:rsidP="004F03E2">
            <w:pPr>
              <w:rPr>
                <w:rFonts w:ascii="Myriad Pro" w:hAnsi="Myriad Pro"/>
                <w:sz w:val="22"/>
                <w:szCs w:val="22"/>
              </w:rPr>
            </w:pPr>
          </w:p>
        </w:tc>
      </w:tr>
      <w:tr w:rsidR="009D0D32" w14:paraId="5B797E34" w14:textId="77777777" w:rsidTr="004F03E2">
        <w:trPr>
          <w:trHeight w:val="567"/>
        </w:trPr>
        <w:tc>
          <w:tcPr>
            <w:tcW w:w="4675" w:type="dxa"/>
          </w:tcPr>
          <w:p w14:paraId="15D6F1DA" w14:textId="77777777" w:rsidR="009D0D32" w:rsidRDefault="009D0D32" w:rsidP="004F03E2">
            <w:pPr>
              <w:rPr>
                <w:rFonts w:ascii="Myriad Pro" w:hAnsi="Myriad Pro"/>
                <w:sz w:val="22"/>
                <w:szCs w:val="22"/>
              </w:rPr>
            </w:pPr>
            <w:r>
              <w:rPr>
                <w:rFonts w:ascii="Myriad Pro" w:hAnsi="Myriad Pro"/>
                <w:sz w:val="22"/>
                <w:szCs w:val="22"/>
              </w:rPr>
              <w:t>Paterniti et al. (2013)</w:t>
            </w:r>
          </w:p>
        </w:tc>
        <w:tc>
          <w:tcPr>
            <w:tcW w:w="4675" w:type="dxa"/>
          </w:tcPr>
          <w:p w14:paraId="7208ED03" w14:textId="77777777" w:rsidR="009D0D32" w:rsidRDefault="009D0D32" w:rsidP="004F03E2">
            <w:pPr>
              <w:rPr>
                <w:rFonts w:ascii="Myriad Pro" w:hAnsi="Myriad Pro"/>
                <w:sz w:val="22"/>
                <w:szCs w:val="22"/>
              </w:rPr>
            </w:pPr>
            <w:r>
              <w:rPr>
                <w:rFonts w:ascii="Myriad Pro" w:hAnsi="Myriad Pro"/>
                <w:sz w:val="22"/>
                <w:szCs w:val="22"/>
              </w:rPr>
              <w:t>Duplicate</w:t>
            </w:r>
          </w:p>
        </w:tc>
      </w:tr>
      <w:tr w:rsidR="009D0D32" w14:paraId="3D3414D6" w14:textId="77777777" w:rsidTr="004F03E2">
        <w:trPr>
          <w:trHeight w:val="567"/>
        </w:trPr>
        <w:tc>
          <w:tcPr>
            <w:tcW w:w="4675" w:type="dxa"/>
          </w:tcPr>
          <w:p w14:paraId="5EEB834E" w14:textId="77777777" w:rsidR="009D0D32" w:rsidRPr="001D5D5A" w:rsidRDefault="009D0D32" w:rsidP="004F03E2">
            <w:pPr>
              <w:rPr>
                <w:rFonts w:ascii="Myriad Pro" w:hAnsi="Myriad Pro"/>
                <w:sz w:val="22"/>
                <w:szCs w:val="22"/>
              </w:rPr>
            </w:pPr>
            <w:r>
              <w:rPr>
                <w:rFonts w:ascii="Myriad Pro" w:hAnsi="Myriad Pro"/>
                <w:sz w:val="22"/>
                <w:szCs w:val="22"/>
              </w:rPr>
              <w:t>Resnick et al. (2010)</w:t>
            </w:r>
          </w:p>
        </w:tc>
        <w:tc>
          <w:tcPr>
            <w:tcW w:w="4675" w:type="dxa"/>
          </w:tcPr>
          <w:p w14:paraId="0C192F31" w14:textId="77777777" w:rsidR="009D0D32" w:rsidRPr="001D5D5A" w:rsidRDefault="009D0D32" w:rsidP="004F03E2">
            <w:pPr>
              <w:rPr>
                <w:rFonts w:ascii="Myriad Pro" w:hAnsi="Myriad Pro"/>
                <w:sz w:val="22"/>
                <w:szCs w:val="22"/>
              </w:rPr>
            </w:pPr>
            <w:r>
              <w:rPr>
                <w:rFonts w:ascii="Myriad Pro" w:hAnsi="Myriad Pro"/>
                <w:sz w:val="22"/>
                <w:szCs w:val="22"/>
              </w:rPr>
              <w:t>Conference abstract</w:t>
            </w:r>
          </w:p>
        </w:tc>
      </w:tr>
      <w:tr w:rsidR="009D0D32" w14:paraId="68CED170" w14:textId="77777777" w:rsidTr="004F03E2">
        <w:trPr>
          <w:trHeight w:val="567"/>
        </w:trPr>
        <w:tc>
          <w:tcPr>
            <w:tcW w:w="4675" w:type="dxa"/>
          </w:tcPr>
          <w:p w14:paraId="12102BC3" w14:textId="77777777" w:rsidR="009D0D32" w:rsidRDefault="009D0D32" w:rsidP="004F03E2">
            <w:pPr>
              <w:rPr>
                <w:rFonts w:ascii="Myriad Pro" w:hAnsi="Myriad Pro"/>
                <w:sz w:val="22"/>
                <w:szCs w:val="22"/>
              </w:rPr>
            </w:pPr>
            <w:r>
              <w:rPr>
                <w:rFonts w:ascii="Myriad Pro" w:hAnsi="Myriad Pro"/>
                <w:sz w:val="22"/>
                <w:szCs w:val="22"/>
              </w:rPr>
              <w:t>Silveira et al. (2014)</w:t>
            </w:r>
          </w:p>
        </w:tc>
        <w:tc>
          <w:tcPr>
            <w:tcW w:w="4675" w:type="dxa"/>
          </w:tcPr>
          <w:p w14:paraId="116B9F66" w14:textId="77777777" w:rsidR="009D0D32" w:rsidRDefault="009D0D32" w:rsidP="004F03E2">
            <w:pPr>
              <w:rPr>
                <w:rFonts w:ascii="Myriad Pro" w:hAnsi="Myriad Pro"/>
                <w:sz w:val="22"/>
                <w:szCs w:val="22"/>
              </w:rPr>
            </w:pPr>
            <w:r>
              <w:rPr>
                <w:rFonts w:ascii="Myriad Pro" w:hAnsi="Myriad Pro"/>
                <w:sz w:val="22"/>
                <w:szCs w:val="22"/>
              </w:rPr>
              <w:t>No spinal cord injury model used</w:t>
            </w:r>
          </w:p>
        </w:tc>
      </w:tr>
      <w:tr w:rsidR="009D0D32" w14:paraId="393019B8" w14:textId="77777777" w:rsidTr="004F03E2">
        <w:trPr>
          <w:trHeight w:val="567"/>
        </w:trPr>
        <w:tc>
          <w:tcPr>
            <w:tcW w:w="4675" w:type="dxa"/>
          </w:tcPr>
          <w:p w14:paraId="6145972B" w14:textId="77777777" w:rsidR="009D0D32" w:rsidRDefault="009D0D32" w:rsidP="004F03E2">
            <w:pPr>
              <w:rPr>
                <w:rFonts w:ascii="Myriad Pro" w:hAnsi="Myriad Pro"/>
                <w:sz w:val="22"/>
                <w:szCs w:val="22"/>
              </w:rPr>
            </w:pPr>
            <w:r>
              <w:rPr>
                <w:rFonts w:ascii="Myriad Pro" w:hAnsi="Myriad Pro"/>
                <w:sz w:val="22"/>
                <w:szCs w:val="22"/>
              </w:rPr>
              <w:lastRenderedPageBreak/>
              <w:t xml:space="preserve">Smith and Martine et al. (1992) </w:t>
            </w:r>
          </w:p>
        </w:tc>
        <w:tc>
          <w:tcPr>
            <w:tcW w:w="4675" w:type="dxa"/>
          </w:tcPr>
          <w:p w14:paraId="45C53286" w14:textId="77777777" w:rsidR="009D0D32" w:rsidRDefault="009D0D32" w:rsidP="004F03E2">
            <w:pPr>
              <w:rPr>
                <w:rFonts w:ascii="Myriad Pro" w:hAnsi="Myriad Pro"/>
                <w:sz w:val="22"/>
                <w:szCs w:val="22"/>
              </w:rPr>
            </w:pPr>
            <w:r>
              <w:rPr>
                <w:rFonts w:ascii="Myriad Pro" w:hAnsi="Myriad Pro"/>
                <w:sz w:val="22"/>
                <w:szCs w:val="22"/>
              </w:rPr>
              <w:t>Did not evaluate outcomes of interest</w:t>
            </w:r>
          </w:p>
        </w:tc>
      </w:tr>
      <w:tr w:rsidR="009D0D32" w14:paraId="2DA9A172" w14:textId="77777777" w:rsidTr="004F03E2">
        <w:trPr>
          <w:trHeight w:val="567"/>
        </w:trPr>
        <w:tc>
          <w:tcPr>
            <w:tcW w:w="4675" w:type="dxa"/>
            <w:tcBorders>
              <w:bottom w:val="single" w:sz="4" w:space="0" w:color="auto"/>
            </w:tcBorders>
          </w:tcPr>
          <w:p w14:paraId="055775EC" w14:textId="77777777" w:rsidR="009D0D32" w:rsidRPr="001D5D5A" w:rsidRDefault="009D0D32" w:rsidP="004F03E2">
            <w:pPr>
              <w:rPr>
                <w:rFonts w:ascii="Myriad Pro" w:hAnsi="Myriad Pro"/>
                <w:sz w:val="22"/>
                <w:szCs w:val="22"/>
              </w:rPr>
            </w:pPr>
            <w:r>
              <w:rPr>
                <w:rFonts w:ascii="Myriad Pro" w:hAnsi="Myriad Pro"/>
                <w:sz w:val="22"/>
                <w:szCs w:val="22"/>
              </w:rPr>
              <w:t>Turkanis et al. (1983)</w:t>
            </w:r>
          </w:p>
        </w:tc>
        <w:tc>
          <w:tcPr>
            <w:tcW w:w="4675" w:type="dxa"/>
            <w:tcBorders>
              <w:bottom w:val="single" w:sz="4" w:space="0" w:color="auto"/>
            </w:tcBorders>
          </w:tcPr>
          <w:p w14:paraId="07539C8E" w14:textId="77777777" w:rsidR="009D0D32" w:rsidRPr="001D5D5A" w:rsidRDefault="009D0D32" w:rsidP="004F03E2">
            <w:pPr>
              <w:rPr>
                <w:rFonts w:ascii="Myriad Pro" w:hAnsi="Myriad Pro"/>
                <w:sz w:val="22"/>
                <w:szCs w:val="22"/>
              </w:rPr>
            </w:pPr>
            <w:r>
              <w:rPr>
                <w:rFonts w:ascii="Myriad Pro" w:hAnsi="Myriad Pro"/>
                <w:sz w:val="22"/>
                <w:szCs w:val="22"/>
              </w:rPr>
              <w:t>Did not evaluate outcomes of interest</w:t>
            </w:r>
          </w:p>
        </w:tc>
      </w:tr>
    </w:tbl>
    <w:p w14:paraId="5FA34C2F" w14:textId="77777777" w:rsidR="009D0D32" w:rsidRPr="006959E6" w:rsidRDefault="009D0D32" w:rsidP="009D0D32">
      <w:pPr>
        <w:rPr>
          <w:b/>
          <w:bCs/>
        </w:rPr>
      </w:pPr>
    </w:p>
    <w:p w14:paraId="1C88E84E" w14:textId="5287CE8E" w:rsidR="009D0D32" w:rsidRDefault="009D0D32">
      <w:r>
        <w:br w:type="page"/>
      </w:r>
    </w:p>
    <w:p w14:paraId="3F0BF09B" w14:textId="6302B178" w:rsidR="009D0D32" w:rsidRDefault="009D0D32" w:rsidP="009D0D32">
      <w:pPr>
        <w:pStyle w:val="Heading1"/>
      </w:pPr>
      <w:bookmarkStart w:id="3" w:name="_Toc76983023"/>
      <w:r>
        <w:lastRenderedPageBreak/>
        <w:t>Supplementary</w:t>
      </w:r>
      <w:r w:rsidR="002B752B">
        <w:t xml:space="preserve"> </w:t>
      </w:r>
      <w:r w:rsidR="00EA36D7">
        <w:t>File</w:t>
      </w:r>
      <w:r>
        <w:t xml:space="preserve"> 4 – Summary of </w:t>
      </w:r>
      <w:r w:rsidR="00153920">
        <w:t>d</w:t>
      </w:r>
      <w:r>
        <w:t>rugs</w:t>
      </w:r>
      <w:r w:rsidR="00153920">
        <w:t xml:space="preserve"> acting on the cannabinoid system used in included studies</w:t>
      </w:r>
      <w:bookmarkEnd w:id="3"/>
    </w:p>
    <w:p w14:paraId="71363DF6" w14:textId="233630C3" w:rsidR="009D0D32" w:rsidRPr="00312566" w:rsidRDefault="009D0D32" w:rsidP="009D0D32">
      <w:pPr>
        <w:rPr>
          <w:rFonts w:cs="Times New Roman"/>
          <w:i/>
          <w:iCs/>
        </w:rPr>
      </w:pPr>
    </w:p>
    <w:tbl>
      <w:tblPr>
        <w:tblStyle w:val="TableGrid"/>
        <w:tblW w:w="8222" w:type="dxa"/>
        <w:tblInd w:w="-289" w:type="dxa"/>
        <w:tblCellMar>
          <w:top w:w="28" w:type="dxa"/>
          <w:bottom w:w="85" w:type="dxa"/>
        </w:tblCellMar>
        <w:tblLook w:val="04A0" w:firstRow="1" w:lastRow="0" w:firstColumn="1" w:lastColumn="0" w:noHBand="0" w:noVBand="1"/>
      </w:tblPr>
      <w:tblGrid>
        <w:gridCol w:w="1702"/>
        <w:gridCol w:w="3827"/>
        <w:gridCol w:w="2693"/>
      </w:tblGrid>
      <w:tr w:rsidR="009D0D32" w:rsidRPr="00547E4B" w14:paraId="0BD506DD" w14:textId="77777777" w:rsidTr="004F03E2">
        <w:tc>
          <w:tcPr>
            <w:tcW w:w="1702" w:type="dxa"/>
          </w:tcPr>
          <w:p w14:paraId="48F3E933" w14:textId="77777777" w:rsidR="009D0D32" w:rsidRPr="00547E4B" w:rsidRDefault="009D0D32" w:rsidP="004F03E2">
            <w:pPr>
              <w:rPr>
                <w:rFonts w:ascii="Myriad Pro" w:hAnsi="Myriad Pro" w:cs="Times New Roman"/>
                <w:b/>
                <w:bCs/>
                <w:sz w:val="18"/>
                <w:szCs w:val="18"/>
              </w:rPr>
            </w:pPr>
            <w:r>
              <w:rPr>
                <w:rFonts w:ascii="Myriad Pro" w:hAnsi="Myriad Pro" w:cs="Times New Roman"/>
                <w:b/>
                <w:bCs/>
                <w:sz w:val="18"/>
                <w:szCs w:val="18"/>
              </w:rPr>
              <w:t>Action on Receptor</w:t>
            </w:r>
          </w:p>
        </w:tc>
        <w:tc>
          <w:tcPr>
            <w:tcW w:w="3827" w:type="dxa"/>
          </w:tcPr>
          <w:p w14:paraId="5046137B" w14:textId="77777777" w:rsidR="009D0D32" w:rsidRPr="00547E4B" w:rsidRDefault="009D0D32" w:rsidP="004F03E2">
            <w:pPr>
              <w:rPr>
                <w:rFonts w:ascii="Myriad Pro" w:hAnsi="Myriad Pro" w:cs="Times New Roman"/>
                <w:b/>
                <w:bCs/>
                <w:sz w:val="18"/>
                <w:szCs w:val="18"/>
              </w:rPr>
            </w:pPr>
            <w:r>
              <w:rPr>
                <w:rFonts w:ascii="Myriad Pro" w:hAnsi="Myriad Pro" w:cs="Times New Roman"/>
                <w:b/>
                <w:bCs/>
                <w:sz w:val="18"/>
                <w:szCs w:val="18"/>
              </w:rPr>
              <w:t>Name</w:t>
            </w:r>
          </w:p>
        </w:tc>
        <w:tc>
          <w:tcPr>
            <w:tcW w:w="2693" w:type="dxa"/>
          </w:tcPr>
          <w:p w14:paraId="2B663A3D" w14:textId="77777777" w:rsidR="009D0D32" w:rsidRPr="00547E4B" w:rsidRDefault="009D0D32" w:rsidP="004F03E2">
            <w:pPr>
              <w:rPr>
                <w:rFonts w:ascii="Myriad Pro" w:hAnsi="Myriad Pro" w:cs="Times New Roman"/>
                <w:b/>
                <w:bCs/>
                <w:sz w:val="18"/>
                <w:szCs w:val="18"/>
              </w:rPr>
            </w:pPr>
            <w:r>
              <w:rPr>
                <w:rFonts w:ascii="Myriad Pro" w:hAnsi="Myriad Pro" w:cs="Times New Roman"/>
                <w:b/>
                <w:bCs/>
                <w:sz w:val="18"/>
                <w:szCs w:val="18"/>
              </w:rPr>
              <w:t>Cannabinoid Receptor Selectivity</w:t>
            </w:r>
          </w:p>
        </w:tc>
      </w:tr>
      <w:tr w:rsidR="009D0D32" w:rsidRPr="00547E4B" w14:paraId="5A0FBBAE" w14:textId="77777777" w:rsidTr="004F03E2">
        <w:tc>
          <w:tcPr>
            <w:tcW w:w="1702" w:type="dxa"/>
          </w:tcPr>
          <w:p w14:paraId="0674F174"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4F5FA636"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Cannabidiol (CBD)</w:t>
            </w:r>
          </w:p>
        </w:tc>
        <w:tc>
          <w:tcPr>
            <w:tcW w:w="2693" w:type="dxa"/>
          </w:tcPr>
          <w:p w14:paraId="237852DD" w14:textId="77777777" w:rsidR="009D0D32" w:rsidRPr="00312566" w:rsidRDefault="009D0D32" w:rsidP="004F03E2">
            <w:pPr>
              <w:rPr>
                <w:rFonts w:ascii="Myriad Pro" w:hAnsi="Myriad Pro" w:cs="Times New Roman"/>
                <w:sz w:val="18"/>
                <w:szCs w:val="18"/>
                <w:vertAlign w:val="subscript"/>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18445118" w14:textId="77777777" w:rsidTr="004F03E2">
        <w:tc>
          <w:tcPr>
            <w:tcW w:w="1702" w:type="dxa"/>
          </w:tcPr>
          <w:p w14:paraId="289FE26C"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18BE0568" w14:textId="77777777" w:rsidR="009D0D32" w:rsidRDefault="009D0D32" w:rsidP="004F03E2">
            <w:pPr>
              <w:rPr>
                <w:rFonts w:ascii="Myriad Pro" w:hAnsi="Myriad Pro" w:cs="Times New Roman"/>
                <w:sz w:val="18"/>
                <w:szCs w:val="18"/>
              </w:rPr>
            </w:pPr>
            <w:r>
              <w:rPr>
                <w:rFonts w:ascii="Myriad Pro" w:hAnsi="Myriad Pro" w:cs="Times New Roman"/>
                <w:sz w:val="18"/>
                <w:szCs w:val="18"/>
              </w:rPr>
              <w:t>CP 55,940</w:t>
            </w:r>
          </w:p>
        </w:tc>
        <w:tc>
          <w:tcPr>
            <w:tcW w:w="2693" w:type="dxa"/>
          </w:tcPr>
          <w:p w14:paraId="4CE214C9"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0BA9A7F1" w14:textId="77777777" w:rsidTr="004F03E2">
        <w:tc>
          <w:tcPr>
            <w:tcW w:w="1702" w:type="dxa"/>
          </w:tcPr>
          <w:p w14:paraId="0FE7B2AE"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46BE7016" w14:textId="77777777" w:rsidR="009D0D32" w:rsidRDefault="009D0D32" w:rsidP="004F03E2">
            <w:pPr>
              <w:rPr>
                <w:rFonts w:ascii="Myriad Pro" w:hAnsi="Myriad Pro" w:cs="Times New Roman"/>
                <w:sz w:val="18"/>
                <w:szCs w:val="18"/>
              </w:rPr>
            </w:pPr>
            <w:r>
              <w:rPr>
                <w:rFonts w:ascii="Myriad Pro" w:hAnsi="Myriad Pro" w:cs="Times New Roman"/>
                <w:sz w:val="18"/>
                <w:szCs w:val="18"/>
              </w:rPr>
              <w:t>JWH-015</w:t>
            </w:r>
          </w:p>
        </w:tc>
        <w:tc>
          <w:tcPr>
            <w:tcW w:w="2693" w:type="dxa"/>
          </w:tcPr>
          <w:p w14:paraId="12DEE2A6" w14:textId="77777777" w:rsidR="009D0D32" w:rsidRPr="008353F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 xml:space="preserve">2 </w:t>
            </w:r>
            <w:r>
              <w:rPr>
                <w:rFonts w:ascii="Myriad Pro" w:hAnsi="Myriad Pro" w:cs="Times New Roman"/>
                <w:sz w:val="18"/>
                <w:szCs w:val="18"/>
              </w:rPr>
              <w:t xml:space="preserve"> </w:t>
            </w:r>
          </w:p>
        </w:tc>
      </w:tr>
      <w:tr w:rsidR="009D0D32" w:rsidRPr="00547E4B" w14:paraId="1BD85476" w14:textId="77777777" w:rsidTr="004F03E2">
        <w:tc>
          <w:tcPr>
            <w:tcW w:w="1702" w:type="dxa"/>
          </w:tcPr>
          <w:p w14:paraId="069C6D6B" w14:textId="77777777" w:rsidR="009D0D32" w:rsidRDefault="009D0D32" w:rsidP="004F03E2">
            <w:pPr>
              <w:rPr>
                <w:rFonts w:ascii="Myriad Pro" w:hAnsi="Myriad Pro" w:cs="Times New Roman"/>
                <w:sz w:val="18"/>
                <w:szCs w:val="18"/>
              </w:rPr>
            </w:pPr>
            <w:r>
              <w:rPr>
                <w:rFonts w:ascii="Myriad Pro" w:hAnsi="Myriad Pro" w:cs="Times New Roman"/>
                <w:sz w:val="18"/>
                <w:szCs w:val="18"/>
              </w:rPr>
              <w:t>Agonist</w:t>
            </w:r>
          </w:p>
          <w:p w14:paraId="3A1E636F" w14:textId="77777777" w:rsidR="009D0D32" w:rsidRPr="00547E4B" w:rsidRDefault="009D0D32" w:rsidP="004F03E2">
            <w:pPr>
              <w:rPr>
                <w:rFonts w:ascii="Myriad Pro" w:hAnsi="Myriad Pro" w:cs="Times New Roman"/>
                <w:sz w:val="18"/>
                <w:szCs w:val="18"/>
              </w:rPr>
            </w:pPr>
          </w:p>
        </w:tc>
        <w:tc>
          <w:tcPr>
            <w:tcW w:w="3827" w:type="dxa"/>
          </w:tcPr>
          <w:p w14:paraId="3AD970B1" w14:textId="77777777" w:rsidR="009D0D32" w:rsidRDefault="009D0D32" w:rsidP="004F03E2">
            <w:pPr>
              <w:rPr>
                <w:rFonts w:ascii="Myriad Pro" w:hAnsi="Myriad Pro" w:cs="Times New Roman"/>
                <w:sz w:val="18"/>
                <w:szCs w:val="18"/>
              </w:rPr>
            </w:pPr>
            <w:r w:rsidRPr="00312566">
              <w:rPr>
                <w:rFonts w:ascii="Myriad Pro" w:hAnsi="Myriad Pro" w:cs="Times New Roman"/>
                <w:sz w:val="18"/>
                <w:szCs w:val="18"/>
              </w:rPr>
              <w:t>N-(2</w:t>
            </w:r>
            <w:r>
              <w:rPr>
                <w:rFonts w:ascii="Myriad Pro" w:hAnsi="Myriad Pro" w:cs="Times New Roman"/>
                <w:sz w:val="18"/>
                <w:szCs w:val="18"/>
              </w:rPr>
              <w:t>-</w:t>
            </w:r>
            <w:r w:rsidRPr="00312566">
              <w:rPr>
                <w:rFonts w:ascii="Myriad Pro" w:hAnsi="Myriad Pro" w:cs="Times New Roman"/>
                <w:sz w:val="18"/>
                <w:szCs w:val="18"/>
              </w:rPr>
              <w:t>chloroethyl)</w:t>
            </w:r>
            <w:r>
              <w:rPr>
                <w:rFonts w:ascii="Myriad Pro" w:hAnsi="Myriad Pro" w:cs="Times New Roman"/>
                <w:sz w:val="18"/>
                <w:szCs w:val="18"/>
              </w:rPr>
              <w:t>-</w:t>
            </w:r>
            <w:r w:rsidRPr="00312566">
              <w:rPr>
                <w:rFonts w:ascii="Myriad Pro" w:hAnsi="Myriad Pro" w:cs="Times New Roman"/>
                <w:sz w:val="18"/>
                <w:szCs w:val="18"/>
              </w:rPr>
              <w:t>5Z, 8Z, 11Z, 14Z</w:t>
            </w:r>
            <w:r>
              <w:rPr>
                <w:rFonts w:ascii="Myriad Pro" w:hAnsi="Myriad Pro" w:cs="Times New Roman"/>
                <w:sz w:val="18"/>
                <w:szCs w:val="18"/>
              </w:rPr>
              <w:t>-</w:t>
            </w:r>
            <w:r w:rsidRPr="00312566">
              <w:rPr>
                <w:rFonts w:ascii="Myriad Pro" w:hAnsi="Myriad Pro" w:cs="Times New Roman"/>
                <w:sz w:val="18"/>
                <w:szCs w:val="18"/>
              </w:rPr>
              <w:t>eicosatetraenamide (ACEA)</w:t>
            </w:r>
          </w:p>
        </w:tc>
        <w:tc>
          <w:tcPr>
            <w:tcW w:w="2693" w:type="dxa"/>
          </w:tcPr>
          <w:p w14:paraId="42C50833"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07C6A241" w14:textId="77777777" w:rsidTr="004F03E2">
        <w:tc>
          <w:tcPr>
            <w:tcW w:w="1702" w:type="dxa"/>
          </w:tcPr>
          <w:p w14:paraId="552CF4BA"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38B576D0" w14:textId="77777777" w:rsidR="009D0D32" w:rsidRDefault="009D0D32" w:rsidP="004F03E2">
            <w:pPr>
              <w:rPr>
                <w:rFonts w:ascii="Myriad Pro" w:hAnsi="Myriad Pro" w:cs="Times New Roman"/>
                <w:sz w:val="18"/>
                <w:szCs w:val="18"/>
              </w:rPr>
            </w:pPr>
            <w:r>
              <w:rPr>
                <w:rFonts w:ascii="Myriad Pro" w:hAnsi="Myriad Pro" w:cs="Times New Roman"/>
                <w:sz w:val="18"/>
                <w:szCs w:val="18"/>
              </w:rPr>
              <w:t>P</w:t>
            </w:r>
            <w:r w:rsidRPr="00312566">
              <w:rPr>
                <w:rFonts w:ascii="Myriad Pro" w:hAnsi="Myriad Pro" w:cs="Times New Roman"/>
                <w:sz w:val="18"/>
                <w:szCs w:val="18"/>
              </w:rPr>
              <w:t>almitoylethanolamide (PEA)</w:t>
            </w:r>
          </w:p>
        </w:tc>
        <w:tc>
          <w:tcPr>
            <w:tcW w:w="2693" w:type="dxa"/>
          </w:tcPr>
          <w:p w14:paraId="249BCAFA"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4175EBDC" w14:textId="77777777" w:rsidTr="004F03E2">
        <w:tc>
          <w:tcPr>
            <w:tcW w:w="1702" w:type="dxa"/>
          </w:tcPr>
          <w:p w14:paraId="6A4B4B63"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65980282" w14:textId="77777777" w:rsidR="009D0D32" w:rsidRDefault="009D0D32" w:rsidP="004F03E2">
            <w:pPr>
              <w:rPr>
                <w:rFonts w:ascii="Myriad Pro" w:hAnsi="Myriad Pro" w:cs="Times New Roman"/>
                <w:sz w:val="18"/>
                <w:szCs w:val="18"/>
              </w:rPr>
            </w:pPr>
            <w:r>
              <w:rPr>
                <w:rFonts w:ascii="Myriad Pro" w:hAnsi="Myriad Pro" w:cs="Times New Roman"/>
                <w:sz w:val="18"/>
                <w:szCs w:val="18"/>
              </w:rPr>
              <w:t>O</w:t>
            </w:r>
            <w:r w:rsidRPr="00312566">
              <w:rPr>
                <w:rFonts w:ascii="Myriad Pro" w:hAnsi="Myriad Pro" w:cs="Times New Roman"/>
                <w:sz w:val="18"/>
                <w:szCs w:val="18"/>
              </w:rPr>
              <w:t xml:space="preserve">xazoline of </w:t>
            </w:r>
            <w:r>
              <w:rPr>
                <w:rFonts w:ascii="Myriad Pro" w:hAnsi="Myriad Pro" w:cs="Times New Roman"/>
                <w:sz w:val="18"/>
                <w:szCs w:val="18"/>
              </w:rPr>
              <w:t>Palmitoylethanolamide (PEA-OXA)</w:t>
            </w:r>
          </w:p>
        </w:tc>
        <w:tc>
          <w:tcPr>
            <w:tcW w:w="2693" w:type="dxa"/>
          </w:tcPr>
          <w:p w14:paraId="13A52480"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350822FC" w14:textId="77777777" w:rsidTr="004F03E2">
        <w:tc>
          <w:tcPr>
            <w:tcW w:w="1702" w:type="dxa"/>
          </w:tcPr>
          <w:p w14:paraId="63E63AF3"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Agonist</w:t>
            </w:r>
          </w:p>
        </w:tc>
        <w:tc>
          <w:tcPr>
            <w:tcW w:w="3827" w:type="dxa"/>
          </w:tcPr>
          <w:p w14:paraId="127068ED" w14:textId="77777777" w:rsidR="009D0D32" w:rsidRDefault="009D0D32" w:rsidP="004F03E2">
            <w:pPr>
              <w:rPr>
                <w:rFonts w:ascii="Myriad Pro" w:hAnsi="Myriad Pro" w:cs="Times New Roman"/>
                <w:sz w:val="18"/>
                <w:szCs w:val="18"/>
              </w:rPr>
            </w:pPr>
            <w:r>
              <w:rPr>
                <w:rFonts w:ascii="Myriad Pro" w:hAnsi="Myriad Pro" w:cs="Times New Roman"/>
                <w:sz w:val="18"/>
                <w:szCs w:val="18"/>
              </w:rPr>
              <w:t>WIN 55,212-2 (WIN)</w:t>
            </w:r>
          </w:p>
        </w:tc>
        <w:tc>
          <w:tcPr>
            <w:tcW w:w="2693" w:type="dxa"/>
          </w:tcPr>
          <w:p w14:paraId="7D760E1B"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r>
              <w:rPr>
                <w:rFonts w:ascii="Myriad Pro" w:hAnsi="Myriad Pro" w:cs="Times New Roman"/>
                <w:sz w:val="18"/>
                <w:szCs w:val="18"/>
              </w:rPr>
              <w:t xml:space="preserve"> and CB</w:t>
            </w:r>
            <w:r>
              <w:rPr>
                <w:rFonts w:ascii="Myriad Pro" w:hAnsi="Myriad Pro" w:cs="Times New Roman"/>
                <w:sz w:val="18"/>
                <w:szCs w:val="18"/>
                <w:vertAlign w:val="subscript"/>
              </w:rPr>
              <w:t>2</w:t>
            </w:r>
          </w:p>
        </w:tc>
      </w:tr>
      <w:tr w:rsidR="009D0D32" w:rsidRPr="00547E4B" w14:paraId="11B237F3" w14:textId="77777777" w:rsidTr="004F03E2">
        <w:tc>
          <w:tcPr>
            <w:tcW w:w="1702" w:type="dxa"/>
          </w:tcPr>
          <w:p w14:paraId="1432FD15"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Inverse agonist</w:t>
            </w:r>
          </w:p>
        </w:tc>
        <w:tc>
          <w:tcPr>
            <w:tcW w:w="3827" w:type="dxa"/>
          </w:tcPr>
          <w:p w14:paraId="0323D8D0" w14:textId="77777777" w:rsidR="009D0D32" w:rsidRDefault="009D0D32" w:rsidP="004F03E2">
            <w:pPr>
              <w:rPr>
                <w:rFonts w:ascii="Myriad Pro" w:hAnsi="Myriad Pro" w:cs="Times New Roman"/>
                <w:sz w:val="18"/>
                <w:szCs w:val="18"/>
              </w:rPr>
            </w:pPr>
            <w:r>
              <w:rPr>
                <w:rFonts w:ascii="Myriad Pro" w:hAnsi="Myriad Pro" w:cs="Times New Roman"/>
                <w:sz w:val="18"/>
                <w:szCs w:val="18"/>
              </w:rPr>
              <w:t>Rimonabant</w:t>
            </w:r>
          </w:p>
        </w:tc>
        <w:tc>
          <w:tcPr>
            <w:tcW w:w="2693" w:type="dxa"/>
          </w:tcPr>
          <w:p w14:paraId="1141504C"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p>
        </w:tc>
      </w:tr>
      <w:tr w:rsidR="009D0D32" w:rsidRPr="00547E4B" w14:paraId="062469CE" w14:textId="77777777" w:rsidTr="004F03E2">
        <w:tc>
          <w:tcPr>
            <w:tcW w:w="1702" w:type="dxa"/>
          </w:tcPr>
          <w:p w14:paraId="7D192291"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Inverse agonist</w:t>
            </w:r>
          </w:p>
        </w:tc>
        <w:tc>
          <w:tcPr>
            <w:tcW w:w="3827" w:type="dxa"/>
          </w:tcPr>
          <w:p w14:paraId="485004D8" w14:textId="77777777" w:rsidR="009D0D32" w:rsidRDefault="009D0D32" w:rsidP="004F03E2">
            <w:pPr>
              <w:rPr>
                <w:rFonts w:ascii="Myriad Pro" w:hAnsi="Myriad Pro" w:cs="Times New Roman"/>
                <w:sz w:val="18"/>
                <w:szCs w:val="18"/>
              </w:rPr>
            </w:pPr>
            <w:r>
              <w:rPr>
                <w:rFonts w:ascii="Myriad Pro" w:hAnsi="Myriad Pro" w:cs="Times New Roman"/>
                <w:sz w:val="18"/>
                <w:szCs w:val="18"/>
              </w:rPr>
              <w:t>Hemopressin</w:t>
            </w:r>
          </w:p>
        </w:tc>
        <w:tc>
          <w:tcPr>
            <w:tcW w:w="2693" w:type="dxa"/>
          </w:tcPr>
          <w:p w14:paraId="40D6A929"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p>
        </w:tc>
      </w:tr>
      <w:tr w:rsidR="009D0D32" w:rsidRPr="00547E4B" w14:paraId="568E8425" w14:textId="77777777" w:rsidTr="004F03E2">
        <w:tc>
          <w:tcPr>
            <w:tcW w:w="1702" w:type="dxa"/>
          </w:tcPr>
          <w:p w14:paraId="3DFBCA7E"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Antagonist</w:t>
            </w:r>
          </w:p>
        </w:tc>
        <w:tc>
          <w:tcPr>
            <w:tcW w:w="3827" w:type="dxa"/>
          </w:tcPr>
          <w:p w14:paraId="7F9428A0" w14:textId="77777777" w:rsidR="009D0D32" w:rsidRDefault="009D0D32" w:rsidP="004F03E2">
            <w:pPr>
              <w:rPr>
                <w:rFonts w:ascii="Myriad Pro" w:hAnsi="Myriad Pro" w:cs="Times New Roman"/>
                <w:sz w:val="18"/>
                <w:szCs w:val="18"/>
              </w:rPr>
            </w:pPr>
            <w:r>
              <w:rPr>
                <w:rFonts w:ascii="Myriad Pro" w:hAnsi="Myriad Pro" w:cs="Times New Roman"/>
                <w:sz w:val="18"/>
                <w:szCs w:val="18"/>
              </w:rPr>
              <w:t>AM 251</w:t>
            </w:r>
          </w:p>
        </w:tc>
        <w:tc>
          <w:tcPr>
            <w:tcW w:w="2693" w:type="dxa"/>
          </w:tcPr>
          <w:p w14:paraId="71E76EB2"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p>
        </w:tc>
      </w:tr>
      <w:tr w:rsidR="009D0D32" w:rsidRPr="00547E4B" w14:paraId="2EC1FADB" w14:textId="77777777" w:rsidTr="004F03E2">
        <w:tc>
          <w:tcPr>
            <w:tcW w:w="1702" w:type="dxa"/>
          </w:tcPr>
          <w:p w14:paraId="3470656B"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Antagonist</w:t>
            </w:r>
          </w:p>
        </w:tc>
        <w:tc>
          <w:tcPr>
            <w:tcW w:w="3827" w:type="dxa"/>
          </w:tcPr>
          <w:p w14:paraId="56EF9BE0" w14:textId="77777777" w:rsidR="009D0D32" w:rsidRDefault="009D0D32" w:rsidP="004F03E2">
            <w:pPr>
              <w:rPr>
                <w:rFonts w:ascii="Myriad Pro" w:hAnsi="Myriad Pro" w:cs="Times New Roman"/>
                <w:sz w:val="18"/>
                <w:szCs w:val="18"/>
              </w:rPr>
            </w:pPr>
            <w:r>
              <w:rPr>
                <w:rFonts w:ascii="Myriad Pro" w:hAnsi="Myriad Pro" w:cs="Times New Roman"/>
                <w:sz w:val="18"/>
                <w:szCs w:val="18"/>
              </w:rPr>
              <w:t>AM 281</w:t>
            </w:r>
          </w:p>
        </w:tc>
        <w:tc>
          <w:tcPr>
            <w:tcW w:w="2693" w:type="dxa"/>
          </w:tcPr>
          <w:p w14:paraId="413BD0B1"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Pr>
                <w:rFonts w:ascii="Myriad Pro" w:hAnsi="Myriad Pro" w:cs="Times New Roman"/>
                <w:sz w:val="18"/>
                <w:szCs w:val="18"/>
                <w:vertAlign w:val="subscript"/>
              </w:rPr>
              <w:t>1</w:t>
            </w:r>
          </w:p>
        </w:tc>
      </w:tr>
      <w:tr w:rsidR="009D0D32" w:rsidRPr="00547E4B" w14:paraId="7EA025DA" w14:textId="77777777" w:rsidTr="004F03E2">
        <w:tc>
          <w:tcPr>
            <w:tcW w:w="1702" w:type="dxa"/>
          </w:tcPr>
          <w:p w14:paraId="62C17441"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Antagonist</w:t>
            </w:r>
          </w:p>
        </w:tc>
        <w:tc>
          <w:tcPr>
            <w:tcW w:w="3827" w:type="dxa"/>
          </w:tcPr>
          <w:p w14:paraId="3295D381" w14:textId="77777777" w:rsidR="009D0D32" w:rsidRDefault="009D0D32" w:rsidP="004F03E2">
            <w:pPr>
              <w:rPr>
                <w:rFonts w:ascii="Myriad Pro" w:hAnsi="Myriad Pro" w:cs="Times New Roman"/>
                <w:sz w:val="18"/>
                <w:szCs w:val="18"/>
              </w:rPr>
            </w:pPr>
            <w:r>
              <w:rPr>
                <w:rFonts w:ascii="Myriad Pro" w:hAnsi="Myriad Pro" w:cs="Times New Roman"/>
                <w:sz w:val="18"/>
                <w:szCs w:val="18"/>
              </w:rPr>
              <w:t>AM 630</w:t>
            </w:r>
          </w:p>
        </w:tc>
        <w:tc>
          <w:tcPr>
            <w:tcW w:w="2693" w:type="dxa"/>
          </w:tcPr>
          <w:p w14:paraId="38DFD94D" w14:textId="77777777" w:rsidR="009D0D32" w:rsidRPr="00312566" w:rsidRDefault="009D0D32" w:rsidP="004F03E2">
            <w:pPr>
              <w:ind w:left="187" w:hanging="187"/>
              <w:rPr>
                <w:rFonts w:ascii="Myriad Pro" w:hAnsi="Myriad Pro" w:cs="Times New Roman"/>
                <w:b/>
                <w:bCs/>
                <w:sz w:val="18"/>
                <w:szCs w:val="18"/>
              </w:rPr>
            </w:pPr>
            <w:r>
              <w:rPr>
                <w:rFonts w:ascii="Myriad Pro" w:hAnsi="Myriad Pro" w:cs="Times New Roman"/>
                <w:sz w:val="18"/>
                <w:szCs w:val="18"/>
              </w:rPr>
              <w:t>CB</w:t>
            </w:r>
            <w:r w:rsidRPr="008353FB">
              <w:rPr>
                <w:rFonts w:ascii="Myriad Pro" w:hAnsi="Myriad Pro" w:cs="Times New Roman"/>
                <w:sz w:val="18"/>
                <w:szCs w:val="18"/>
                <w:vertAlign w:val="subscript"/>
              </w:rPr>
              <w:t>2</w:t>
            </w:r>
          </w:p>
        </w:tc>
      </w:tr>
      <w:tr w:rsidR="009D0D32" w:rsidRPr="00547E4B" w14:paraId="5B4FF20C" w14:textId="77777777" w:rsidTr="004F03E2">
        <w:tc>
          <w:tcPr>
            <w:tcW w:w="1702" w:type="dxa"/>
          </w:tcPr>
          <w:p w14:paraId="60D915F4"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Antagonist</w:t>
            </w:r>
          </w:p>
        </w:tc>
        <w:tc>
          <w:tcPr>
            <w:tcW w:w="3827" w:type="dxa"/>
          </w:tcPr>
          <w:p w14:paraId="032C11ED" w14:textId="6039FA8F" w:rsidR="009D0D32" w:rsidRDefault="00207EA3" w:rsidP="004F03E2">
            <w:pPr>
              <w:rPr>
                <w:rFonts w:ascii="Myriad Pro" w:hAnsi="Myriad Pro" w:cs="Times New Roman"/>
                <w:sz w:val="18"/>
                <w:szCs w:val="18"/>
              </w:rPr>
            </w:pPr>
            <w:r w:rsidRPr="00207EA3">
              <w:rPr>
                <w:rFonts w:ascii="Myriad Pro" w:hAnsi="Myriad Pro" w:cs="Times New Roman"/>
                <w:sz w:val="18"/>
                <w:szCs w:val="18"/>
              </w:rPr>
              <w:t>SR</w:t>
            </w:r>
            <w:r w:rsidR="00215935">
              <w:rPr>
                <w:rFonts w:ascii="Myriad Pro" w:hAnsi="Myriad Pro" w:cs="Times New Roman"/>
                <w:sz w:val="18"/>
                <w:szCs w:val="18"/>
              </w:rPr>
              <w:t xml:space="preserve"> </w:t>
            </w:r>
            <w:r w:rsidRPr="00207EA3">
              <w:rPr>
                <w:rFonts w:ascii="Myriad Pro" w:hAnsi="Myriad Pro" w:cs="Times New Roman"/>
                <w:sz w:val="18"/>
                <w:szCs w:val="18"/>
              </w:rPr>
              <w:t>144528</w:t>
            </w:r>
            <w:r>
              <w:rPr>
                <w:rFonts w:ascii="Myriad Pro" w:hAnsi="Myriad Pro" w:cs="Times New Roman"/>
                <w:sz w:val="18"/>
                <w:szCs w:val="18"/>
              </w:rPr>
              <w:t xml:space="preserve"> (</w:t>
            </w:r>
            <w:r w:rsidR="009D0D32">
              <w:rPr>
                <w:rFonts w:ascii="Myriad Pro" w:hAnsi="Myriad Pro" w:cs="Times New Roman"/>
                <w:sz w:val="18"/>
                <w:szCs w:val="18"/>
              </w:rPr>
              <w:t>SR 2</w:t>
            </w:r>
            <w:r>
              <w:rPr>
                <w:rFonts w:ascii="Myriad Pro" w:hAnsi="Myriad Pro" w:cs="Times New Roman"/>
                <w:sz w:val="18"/>
                <w:szCs w:val="18"/>
              </w:rPr>
              <w:t>)</w:t>
            </w:r>
          </w:p>
        </w:tc>
        <w:tc>
          <w:tcPr>
            <w:tcW w:w="2693" w:type="dxa"/>
          </w:tcPr>
          <w:p w14:paraId="4CB8743C"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CB</w:t>
            </w:r>
            <w:r w:rsidRPr="008353FB">
              <w:rPr>
                <w:rFonts w:ascii="Myriad Pro" w:hAnsi="Myriad Pro" w:cs="Times New Roman"/>
                <w:sz w:val="18"/>
                <w:szCs w:val="18"/>
                <w:vertAlign w:val="subscript"/>
              </w:rPr>
              <w:t>2</w:t>
            </w:r>
          </w:p>
        </w:tc>
      </w:tr>
      <w:tr w:rsidR="009D0D32" w:rsidRPr="00547E4B" w14:paraId="65AE0748" w14:textId="77777777" w:rsidTr="004F03E2">
        <w:tc>
          <w:tcPr>
            <w:tcW w:w="1702" w:type="dxa"/>
          </w:tcPr>
          <w:p w14:paraId="4EBE712A" w14:textId="77777777" w:rsidR="009D0D32" w:rsidRPr="00547E4B" w:rsidRDefault="009D0D32" w:rsidP="004F03E2">
            <w:pPr>
              <w:rPr>
                <w:rFonts w:ascii="Myriad Pro" w:hAnsi="Myriad Pro" w:cs="Times New Roman"/>
                <w:sz w:val="18"/>
                <w:szCs w:val="18"/>
              </w:rPr>
            </w:pPr>
            <w:r>
              <w:rPr>
                <w:rFonts w:ascii="Myriad Pro" w:hAnsi="Myriad Pro" w:cs="Times New Roman"/>
                <w:sz w:val="18"/>
                <w:szCs w:val="18"/>
              </w:rPr>
              <w:t xml:space="preserve">Other </w:t>
            </w:r>
          </w:p>
        </w:tc>
        <w:tc>
          <w:tcPr>
            <w:tcW w:w="3827" w:type="dxa"/>
          </w:tcPr>
          <w:p w14:paraId="7B0833AB" w14:textId="77777777" w:rsidR="009D0D32" w:rsidRDefault="009D0D32" w:rsidP="004F03E2">
            <w:pPr>
              <w:rPr>
                <w:rFonts w:ascii="Myriad Pro" w:hAnsi="Myriad Pro" w:cs="Times New Roman"/>
                <w:sz w:val="18"/>
                <w:szCs w:val="18"/>
              </w:rPr>
            </w:pPr>
            <w:r>
              <w:rPr>
                <w:rFonts w:ascii="Myriad Pro" w:hAnsi="Myriad Pro" w:cs="Times New Roman"/>
                <w:sz w:val="18"/>
                <w:szCs w:val="18"/>
              </w:rPr>
              <w:t>Acetaminophen (APAP)</w:t>
            </w:r>
          </w:p>
        </w:tc>
        <w:tc>
          <w:tcPr>
            <w:tcW w:w="2693" w:type="dxa"/>
          </w:tcPr>
          <w:p w14:paraId="04B3180B"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N/A</w:t>
            </w:r>
          </w:p>
        </w:tc>
      </w:tr>
      <w:tr w:rsidR="009D0D32" w:rsidRPr="00547E4B" w14:paraId="6AA5D74C" w14:textId="77777777" w:rsidTr="004F03E2">
        <w:tc>
          <w:tcPr>
            <w:tcW w:w="1702" w:type="dxa"/>
          </w:tcPr>
          <w:p w14:paraId="605A3237" w14:textId="77777777" w:rsidR="009D0D32" w:rsidRDefault="009D0D32" w:rsidP="004F03E2">
            <w:pPr>
              <w:rPr>
                <w:rFonts w:ascii="Myriad Pro" w:hAnsi="Myriad Pro" w:cs="Times New Roman"/>
                <w:sz w:val="18"/>
                <w:szCs w:val="18"/>
              </w:rPr>
            </w:pPr>
            <w:r>
              <w:rPr>
                <w:rFonts w:ascii="Myriad Pro" w:hAnsi="Myriad Pro" w:cs="Times New Roman"/>
                <w:sz w:val="18"/>
                <w:szCs w:val="18"/>
              </w:rPr>
              <w:t>Other</w:t>
            </w:r>
          </w:p>
        </w:tc>
        <w:tc>
          <w:tcPr>
            <w:tcW w:w="3827" w:type="dxa"/>
          </w:tcPr>
          <w:p w14:paraId="7F4558BE" w14:textId="77777777" w:rsidR="009D0D32" w:rsidRDefault="009D0D32" w:rsidP="004F03E2">
            <w:pPr>
              <w:rPr>
                <w:rFonts w:ascii="Myriad Pro" w:hAnsi="Myriad Pro" w:cs="Times New Roman"/>
                <w:sz w:val="18"/>
                <w:szCs w:val="18"/>
              </w:rPr>
            </w:pPr>
            <w:r>
              <w:rPr>
                <w:rFonts w:ascii="Myriad Pro" w:hAnsi="Myriad Pro" w:cs="Times New Roman"/>
                <w:sz w:val="18"/>
                <w:szCs w:val="18"/>
              </w:rPr>
              <w:t>Naloxone</w:t>
            </w:r>
          </w:p>
        </w:tc>
        <w:tc>
          <w:tcPr>
            <w:tcW w:w="2693" w:type="dxa"/>
          </w:tcPr>
          <w:p w14:paraId="226A7F64" w14:textId="77777777" w:rsidR="009D0D32" w:rsidRPr="00547E4B" w:rsidRDefault="009D0D32" w:rsidP="004F03E2">
            <w:pPr>
              <w:ind w:left="187" w:hanging="187"/>
              <w:rPr>
                <w:rFonts w:ascii="Myriad Pro" w:hAnsi="Myriad Pro" w:cs="Times New Roman"/>
                <w:sz w:val="18"/>
                <w:szCs w:val="18"/>
              </w:rPr>
            </w:pPr>
            <w:r>
              <w:rPr>
                <w:rFonts w:ascii="Myriad Pro" w:hAnsi="Myriad Pro" w:cs="Times New Roman"/>
                <w:sz w:val="18"/>
                <w:szCs w:val="18"/>
              </w:rPr>
              <w:t>N/A</w:t>
            </w:r>
          </w:p>
        </w:tc>
      </w:tr>
    </w:tbl>
    <w:p w14:paraId="774172BF" w14:textId="77777777" w:rsidR="009D0D32" w:rsidRDefault="009D0D32" w:rsidP="009D0D32">
      <w:pPr>
        <w:rPr>
          <w:rFonts w:cs="Times New Roman"/>
          <w:b/>
          <w:bCs/>
          <w:i/>
          <w:iCs/>
        </w:rPr>
      </w:pPr>
    </w:p>
    <w:p w14:paraId="24DBF80F" w14:textId="66205DCC" w:rsidR="009D0D32" w:rsidRDefault="009D0D32">
      <w:pPr>
        <w:rPr>
          <w:rFonts w:cs="Times New Roman"/>
          <w:b/>
          <w:bCs/>
          <w:i/>
          <w:iCs/>
        </w:rPr>
      </w:pPr>
      <w:r>
        <w:rPr>
          <w:rFonts w:cs="Times New Roman"/>
          <w:b/>
          <w:bCs/>
          <w:i/>
          <w:iCs/>
        </w:rPr>
        <w:br w:type="page"/>
      </w:r>
    </w:p>
    <w:p w14:paraId="040B87C1" w14:textId="77777777" w:rsidR="00886FB4" w:rsidRDefault="00886FB4" w:rsidP="00886FB4">
      <w:pPr>
        <w:rPr>
          <w:rFonts w:cs="Times New Roman"/>
          <w:b/>
          <w:bCs/>
          <w:i/>
          <w:iCs/>
        </w:rPr>
        <w:sectPr w:rsidR="00886FB4" w:rsidSect="00485619">
          <w:headerReference w:type="default" r:id="rId7"/>
          <w:pgSz w:w="11900" w:h="16840"/>
          <w:pgMar w:top="1440" w:right="1440" w:bottom="1440" w:left="1440" w:header="720" w:footer="720" w:gutter="0"/>
          <w:cols w:space="720"/>
          <w:docGrid w:linePitch="360"/>
        </w:sectPr>
      </w:pPr>
    </w:p>
    <w:p w14:paraId="53665A72" w14:textId="561369C9" w:rsidR="00886FB4" w:rsidRPr="00886FB4" w:rsidRDefault="00886FB4" w:rsidP="00886FB4">
      <w:pPr>
        <w:pStyle w:val="Heading1"/>
      </w:pPr>
      <w:bookmarkStart w:id="4" w:name="_Toc76983024"/>
      <w:r>
        <w:lastRenderedPageBreak/>
        <w:t xml:space="preserve">Supplementary </w:t>
      </w:r>
      <w:r w:rsidR="00EA36D7">
        <w:t>File</w:t>
      </w:r>
      <w:r>
        <w:t xml:space="preserve"> 5 – Summary of included studies</w:t>
      </w:r>
      <w:bookmarkEnd w:id="4"/>
    </w:p>
    <w:p w14:paraId="0C9C520B" w14:textId="70F96827" w:rsidR="00886FB4" w:rsidRPr="00607794" w:rsidRDefault="00886FB4" w:rsidP="00886FB4">
      <w:pPr>
        <w:rPr>
          <w:rFonts w:cs="Times New Roman"/>
        </w:rPr>
      </w:pPr>
    </w:p>
    <w:tbl>
      <w:tblPr>
        <w:tblStyle w:val="TableGrid"/>
        <w:tblW w:w="13325" w:type="dxa"/>
        <w:tblInd w:w="-289" w:type="dxa"/>
        <w:tblCellMar>
          <w:top w:w="28" w:type="dxa"/>
          <w:bottom w:w="85" w:type="dxa"/>
        </w:tblCellMar>
        <w:tblLook w:val="04A0" w:firstRow="1" w:lastRow="0" w:firstColumn="1" w:lastColumn="0" w:noHBand="0" w:noVBand="1"/>
      </w:tblPr>
      <w:tblGrid>
        <w:gridCol w:w="1351"/>
        <w:gridCol w:w="1021"/>
        <w:gridCol w:w="1462"/>
        <w:gridCol w:w="2262"/>
        <w:gridCol w:w="1276"/>
        <w:gridCol w:w="1559"/>
        <w:gridCol w:w="1418"/>
        <w:gridCol w:w="2976"/>
      </w:tblGrid>
      <w:tr w:rsidR="0017134B" w:rsidRPr="0042687C" w14:paraId="70DD58A2" w14:textId="3D6553E0" w:rsidTr="0017134B">
        <w:tc>
          <w:tcPr>
            <w:tcW w:w="1351" w:type="dxa"/>
          </w:tcPr>
          <w:p w14:paraId="640431DB" w14:textId="685D191A"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Author (Year)</w:t>
            </w:r>
          </w:p>
        </w:tc>
        <w:tc>
          <w:tcPr>
            <w:tcW w:w="1021" w:type="dxa"/>
          </w:tcPr>
          <w:p w14:paraId="0FF991CD" w14:textId="77777777"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Sample features</w:t>
            </w:r>
          </w:p>
        </w:tc>
        <w:tc>
          <w:tcPr>
            <w:tcW w:w="1462" w:type="dxa"/>
          </w:tcPr>
          <w:p w14:paraId="745B26E2" w14:textId="77777777"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Injury model</w:t>
            </w:r>
          </w:p>
        </w:tc>
        <w:tc>
          <w:tcPr>
            <w:tcW w:w="2262" w:type="dxa"/>
          </w:tcPr>
          <w:p w14:paraId="67EF9BE4" w14:textId="061BE596"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Intervention</w:t>
            </w:r>
          </w:p>
        </w:tc>
        <w:tc>
          <w:tcPr>
            <w:tcW w:w="1276" w:type="dxa"/>
          </w:tcPr>
          <w:p w14:paraId="6E3C7A54" w14:textId="77777777"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Outcomes Assessed</w:t>
            </w:r>
          </w:p>
        </w:tc>
        <w:tc>
          <w:tcPr>
            <w:tcW w:w="1559" w:type="dxa"/>
          </w:tcPr>
          <w:p w14:paraId="212DD610" w14:textId="77777777"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Time of Assessment</w:t>
            </w:r>
          </w:p>
        </w:tc>
        <w:tc>
          <w:tcPr>
            <w:tcW w:w="1418" w:type="dxa"/>
          </w:tcPr>
          <w:p w14:paraId="7679ECDD" w14:textId="77777777"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Statistical Analysis</w:t>
            </w:r>
          </w:p>
        </w:tc>
        <w:tc>
          <w:tcPr>
            <w:tcW w:w="2976" w:type="dxa"/>
          </w:tcPr>
          <w:p w14:paraId="31268AC4" w14:textId="4AF0E52F" w:rsidR="0017134B" w:rsidRPr="0042687C" w:rsidRDefault="0017134B" w:rsidP="009E1D1B">
            <w:pPr>
              <w:rPr>
                <w:rFonts w:ascii="Myriad Pro Semibold" w:hAnsi="Myriad Pro Semibold" w:cs="Times New Roman"/>
                <w:b/>
                <w:bCs/>
                <w:color w:val="000000" w:themeColor="text1"/>
                <w:sz w:val="14"/>
                <w:szCs w:val="14"/>
              </w:rPr>
            </w:pPr>
            <w:r w:rsidRPr="0042687C">
              <w:rPr>
                <w:rFonts w:ascii="Myriad Pro Semibold" w:hAnsi="Myriad Pro Semibold" w:cs="Times New Roman"/>
                <w:b/>
                <w:bCs/>
                <w:color w:val="000000" w:themeColor="text1"/>
                <w:sz w:val="14"/>
                <w:szCs w:val="14"/>
              </w:rPr>
              <w:t>Main Conclusions</w:t>
            </w:r>
          </w:p>
        </w:tc>
      </w:tr>
      <w:tr w:rsidR="0017134B" w:rsidRPr="0042687C" w14:paraId="579D25D7" w14:textId="4C58F44B" w:rsidTr="0017134B">
        <w:tc>
          <w:tcPr>
            <w:tcW w:w="1351" w:type="dxa"/>
          </w:tcPr>
          <w:p w14:paraId="2F2AF651" w14:textId="7EBFECC0"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Ahmed et al (2010)</w:t>
            </w:r>
          </w:p>
          <w:p w14:paraId="1E3841CB" w14:textId="77777777" w:rsidR="0017134B" w:rsidRPr="0042687C" w:rsidRDefault="0017134B" w:rsidP="009E1D1B">
            <w:pPr>
              <w:rPr>
                <w:rFonts w:ascii="Myriad Pro" w:hAnsi="Myriad Pro" w:cs="Times New Roman"/>
                <w:color w:val="000000" w:themeColor="text1"/>
                <w:sz w:val="14"/>
                <w:szCs w:val="14"/>
              </w:rPr>
            </w:pPr>
          </w:p>
        </w:tc>
        <w:tc>
          <w:tcPr>
            <w:tcW w:w="1021" w:type="dxa"/>
          </w:tcPr>
          <w:p w14:paraId="6F40BD5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91-99 (Unclear)</w:t>
            </w:r>
          </w:p>
          <w:p w14:paraId="21ACC67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7C459F0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Adult</w:t>
            </w:r>
          </w:p>
          <w:p w14:paraId="15F403A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Weight: 250-300 g </w:t>
            </w:r>
          </w:p>
          <w:p w14:paraId="4D3BF0A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T9</w:t>
            </w:r>
          </w:p>
        </w:tc>
        <w:tc>
          <w:tcPr>
            <w:tcW w:w="1462" w:type="dxa"/>
          </w:tcPr>
          <w:p w14:paraId="0F8C4D9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1488D38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Contusive injury using 10 g rod dropped from height of 12.5 mm </w:t>
            </w:r>
          </w:p>
        </w:tc>
        <w:tc>
          <w:tcPr>
            <w:tcW w:w="2262" w:type="dxa"/>
          </w:tcPr>
          <w:p w14:paraId="602699D5" w14:textId="6CDBD611"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 operated by laminectomy (n = 14-18)*</w:t>
            </w:r>
          </w:p>
          <w:p w14:paraId="43E87365"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Saline vehicle i.p. (n = 7-9)*</w:t>
            </w:r>
          </w:p>
          <w:p w14:paraId="479FBC9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DMSO vehicle i.p. (n = 19)</w:t>
            </w:r>
          </w:p>
          <w:p w14:paraId="5611B61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Low-dose WIN 55,212-2 0.2 mg/kg i.p. (n = 14)</w:t>
            </w:r>
          </w:p>
          <w:p w14:paraId="008402D4"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High-dose WIN 55,212-2 2.0 mg/kg i.p. (n = 13)</w:t>
            </w:r>
          </w:p>
          <w:p w14:paraId="636D2A66"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251 3 mg/kg s.c. followed by WIN 55,212-2 2.0 mg/kg i.p. 45 mins after (n = 12)</w:t>
            </w:r>
          </w:p>
          <w:p w14:paraId="6E006B6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630 1 mg/kg s.c. followed by WIN 55,212-2 2.0 mg/kg i.p. 45 min after (n = 7-9)*</w:t>
            </w:r>
          </w:p>
          <w:p w14:paraId="21259714" w14:textId="77777777" w:rsidR="0017134B" w:rsidRPr="0042687C" w:rsidRDefault="0017134B" w:rsidP="009E1D1B">
            <w:pPr>
              <w:rPr>
                <w:rFonts w:ascii="Myriad Pro" w:hAnsi="Myriad Pro" w:cs="Times New Roman"/>
                <w:color w:val="000000" w:themeColor="text1"/>
                <w:sz w:val="14"/>
                <w:szCs w:val="14"/>
              </w:rPr>
            </w:pPr>
          </w:p>
          <w:p w14:paraId="3A219E87" w14:textId="77777777" w:rsidR="0017134B" w:rsidRPr="0042687C" w:rsidRDefault="0017134B" w:rsidP="009E1D1B">
            <w:pPr>
              <w:rPr>
                <w:rFonts w:ascii="Myriad Pro" w:hAnsi="Myriad Pro" w:cs="Times New Roman"/>
                <w:color w:val="000000" w:themeColor="text1"/>
                <w:sz w:val="14"/>
                <w:szCs w:val="14"/>
              </w:rPr>
            </w:pPr>
          </w:p>
          <w:p w14:paraId="36CB66B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  indicates unclear sample size. </w:t>
            </w:r>
          </w:p>
        </w:tc>
        <w:tc>
          <w:tcPr>
            <w:tcW w:w="1276" w:type="dxa"/>
          </w:tcPr>
          <w:p w14:paraId="3430C490"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Hind paw withdrawal to a noxious thermal stimulus.</w:t>
            </w:r>
          </w:p>
          <w:p w14:paraId="4DF19DBB" w14:textId="77777777" w:rsidR="0017134B" w:rsidRPr="0042687C" w:rsidRDefault="0017134B" w:rsidP="009E1D1B">
            <w:pPr>
              <w:pStyle w:val="ListParagraph"/>
              <w:ind w:left="187"/>
              <w:rPr>
                <w:rFonts w:ascii="Myriad Pro" w:hAnsi="Myriad Pro" w:cs="Times New Roman"/>
                <w:color w:val="000000" w:themeColor="text1"/>
                <w:sz w:val="14"/>
                <w:szCs w:val="14"/>
              </w:rPr>
            </w:pPr>
          </w:p>
        </w:tc>
        <w:tc>
          <w:tcPr>
            <w:tcW w:w="1559" w:type="dxa"/>
          </w:tcPr>
          <w:p w14:paraId="493CEB7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Pre SCI </w:t>
            </w:r>
          </w:p>
          <w:p w14:paraId="412240F2"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Post SCI (days 21, 28, 35, 42).</w:t>
            </w:r>
          </w:p>
          <w:p w14:paraId="5A226266"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Before drug administration, 45 min after AM 251 or AM 630 administration and 45 min after WIN 55,212-2 administration.  </w:t>
            </w:r>
          </w:p>
        </w:tc>
        <w:tc>
          <w:tcPr>
            <w:tcW w:w="1418" w:type="dxa"/>
          </w:tcPr>
          <w:p w14:paraId="7425BEC4"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67144BA1"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Student-Newman-Keuls test for post hoc comparisons</w:t>
            </w:r>
          </w:p>
          <w:p w14:paraId="10A64505" w14:textId="77777777" w:rsidR="0017134B" w:rsidRPr="0042687C" w:rsidRDefault="0017134B" w:rsidP="009E1D1B">
            <w:pPr>
              <w:rPr>
                <w:rFonts w:ascii="Myriad Pro" w:hAnsi="Myriad Pro" w:cs="Times New Roman"/>
                <w:color w:val="000000" w:themeColor="text1"/>
                <w:sz w:val="14"/>
                <w:szCs w:val="14"/>
              </w:rPr>
            </w:pPr>
          </w:p>
        </w:tc>
        <w:tc>
          <w:tcPr>
            <w:tcW w:w="2976" w:type="dxa"/>
          </w:tcPr>
          <w:p w14:paraId="16952B92"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WIN 55,212-2 (WIN) i.p. significantly ameliorated thermal hyperalgesia in a dose dependent manner. (Low dose WIN 0.2 mg/kg increased hindpaw withdrawal latency from 9.5±0.4 s to 11.1±0.5 s on day 42 post injury; p&lt;0.05. High dose WIN 2 mg/kg increased hindpaw withdrawal latency from 8.4±0.4 s to 10.7±0.4 s on day 42 post injury; p&lt;0.0001.)</w:t>
            </w:r>
          </w:p>
          <w:p w14:paraId="73B53E4D"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AM 251 pre-treatment did not significantly decrease the antihyperalgesic effect of WIN. (Post-AM 251 9.7±0.6 s, post-WIN 12.0±0.7 s; p&lt;0.0001)</w:t>
            </w:r>
          </w:p>
          <w:p w14:paraId="3DDA53DC" w14:textId="0B240E01"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AM 630 pre-treatment significantly decreased the antihyperalgesic effect of WIN suggesting a role for the CB2 receptor in modulating SCI-induced thermal hyperalgesia. (Post-AM 630 9.9±0.6 s, post WIN 8.6±1.0 s; p&gt;0.05).</w:t>
            </w:r>
          </w:p>
        </w:tc>
      </w:tr>
      <w:tr w:rsidR="0017134B" w:rsidRPr="0042687C" w14:paraId="32EEF06F" w14:textId="30E284E8" w:rsidTr="0017134B">
        <w:tc>
          <w:tcPr>
            <w:tcW w:w="1351" w:type="dxa"/>
          </w:tcPr>
          <w:p w14:paraId="42C17D2D" w14:textId="4663C485"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Arevalo-Martin et al (2012) </w:t>
            </w:r>
          </w:p>
          <w:p w14:paraId="13EBF98C" w14:textId="77777777" w:rsidR="0017134B" w:rsidRPr="0042687C" w:rsidRDefault="0017134B" w:rsidP="009E1D1B">
            <w:pPr>
              <w:rPr>
                <w:rFonts w:ascii="Myriad Pro" w:hAnsi="Myriad Pro" w:cs="Times New Roman"/>
                <w:color w:val="000000" w:themeColor="text1"/>
                <w:sz w:val="14"/>
                <w:szCs w:val="14"/>
              </w:rPr>
            </w:pPr>
          </w:p>
        </w:tc>
        <w:tc>
          <w:tcPr>
            <w:tcW w:w="1021" w:type="dxa"/>
          </w:tcPr>
          <w:p w14:paraId="5ED12D4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35</w:t>
            </w:r>
          </w:p>
          <w:p w14:paraId="19C3BAB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Wistar rats</w:t>
            </w:r>
          </w:p>
          <w:p w14:paraId="04DECCD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Age: 12 weeks </w:t>
            </w:r>
          </w:p>
          <w:p w14:paraId="7265C73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Weight: 295-315 g </w:t>
            </w:r>
          </w:p>
          <w:p w14:paraId="4599A5F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Level: T8 </w:t>
            </w:r>
          </w:p>
        </w:tc>
        <w:tc>
          <w:tcPr>
            <w:tcW w:w="1462" w:type="dxa"/>
          </w:tcPr>
          <w:p w14:paraId="3281962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306B303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Contusive injury using 200Kdyn for 5 seconds</w:t>
            </w:r>
          </w:p>
          <w:p w14:paraId="1B24743C" w14:textId="77777777" w:rsidR="0017134B" w:rsidRPr="0042687C" w:rsidRDefault="0017134B" w:rsidP="009E1D1B">
            <w:pPr>
              <w:rPr>
                <w:rFonts w:ascii="Myriad Pro" w:hAnsi="Myriad Pro" w:cs="Times New Roman"/>
                <w:strike/>
                <w:color w:val="000000" w:themeColor="text1"/>
                <w:sz w:val="14"/>
                <w:szCs w:val="14"/>
              </w:rPr>
            </w:pPr>
          </w:p>
        </w:tc>
        <w:tc>
          <w:tcPr>
            <w:tcW w:w="2262" w:type="dxa"/>
          </w:tcPr>
          <w:p w14:paraId="608BF09F" w14:textId="2D4D868E"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Intact, no surgery (n=4) </w:t>
            </w:r>
          </w:p>
          <w:p w14:paraId="739AE0E5"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PBS with 1% BSA i.p. (n=10)</w:t>
            </w:r>
          </w:p>
          <w:p w14:paraId="17B2A8E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281 3 mg/kg i.p. (n = 6)</w:t>
            </w:r>
          </w:p>
          <w:p w14:paraId="3C07702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630 3 mg/kg i.p. (n = 5)</w:t>
            </w:r>
          </w:p>
          <w:p w14:paraId="04656846"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281 3 mg/kg i.p and AM 630 3 mg/kg i.p (n = 10)</w:t>
            </w:r>
          </w:p>
          <w:p w14:paraId="415E0771" w14:textId="77777777" w:rsidR="0017134B" w:rsidRPr="0042687C" w:rsidRDefault="0017134B" w:rsidP="009E1D1B">
            <w:pPr>
              <w:rPr>
                <w:rFonts w:ascii="Myriad Pro" w:hAnsi="Myriad Pro" w:cs="Times New Roman"/>
                <w:color w:val="000000" w:themeColor="text1"/>
                <w:sz w:val="14"/>
                <w:szCs w:val="14"/>
              </w:rPr>
            </w:pPr>
          </w:p>
          <w:p w14:paraId="4F5054D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All administered 20 minutes after SCI. </w:t>
            </w:r>
          </w:p>
        </w:tc>
        <w:tc>
          <w:tcPr>
            <w:tcW w:w="1276" w:type="dxa"/>
          </w:tcPr>
          <w:p w14:paraId="57D481D1"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BBB Locomotor Scale</w:t>
            </w:r>
          </w:p>
          <w:p w14:paraId="0E851F79"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Hind paw withdrawal from hot and cold plates.</w:t>
            </w:r>
          </w:p>
          <w:p w14:paraId="241511B1"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von Frey filament test </w:t>
            </w:r>
          </w:p>
        </w:tc>
        <w:tc>
          <w:tcPr>
            <w:tcW w:w="1559" w:type="dxa"/>
          </w:tcPr>
          <w:p w14:paraId="575477A2"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BBB Locomotor Scale: day 7, 14, 30, 60, 90 post SCI. </w:t>
            </w:r>
          </w:p>
          <w:p w14:paraId="5E7E74D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Hind paw withdrawal to a noxious thermal stimulus: tested twice with a 30 minutes interval, on day 60 and 90 post SCI. </w:t>
            </w:r>
          </w:p>
        </w:tc>
        <w:tc>
          <w:tcPr>
            <w:tcW w:w="1418" w:type="dxa"/>
          </w:tcPr>
          <w:p w14:paraId="34563B85"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Kruskal-Wallis test </w:t>
            </w:r>
          </w:p>
          <w:p w14:paraId="6B36331B"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Non-parametric Mann-Witney test</w:t>
            </w:r>
          </w:p>
          <w:p w14:paraId="19539230"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olor w:val="000000" w:themeColor="text1"/>
                <w:sz w:val="14"/>
                <w:szCs w:val="14"/>
              </w:rPr>
              <w:t xml:space="preserve">One-way ANOVA </w:t>
            </w:r>
          </w:p>
          <w:p w14:paraId="361C0D2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Bonferroni post-test</w:t>
            </w:r>
          </w:p>
        </w:tc>
        <w:tc>
          <w:tcPr>
            <w:tcW w:w="2976" w:type="dxa"/>
          </w:tcPr>
          <w:p w14:paraId="013A03ED"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BBB Locomotor Scale</w:t>
            </w:r>
          </w:p>
          <w:p w14:paraId="29B53A1F"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Cannabinoid antagonist-treated rats did not achieve the recovery observed in vehicle treated rats. BBB scores of cannabinoid antagonist-treated rats reached a plateau on day 30 whereas vehicle-treated rats continued to improve until day 60.</w:t>
            </w:r>
          </w:p>
          <w:p w14:paraId="28837262"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Day 7 and 14: No difference observed between vehicle and antagonist-treated rats. </w:t>
            </w:r>
          </w:p>
          <w:p w14:paraId="55C7E4A4"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Day 30: Significantly lower BBB values observed in rats treated with AM 630 (p&lt;0.05) and AM 281 + AM 630 (p&lt;0.05) compared to vehicle treated rats.</w:t>
            </w:r>
          </w:p>
          <w:p w14:paraId="709B514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Day 60: Significantly lower BBB values observed in rats treated with AM 281 (p&lt;0.05), AM 630 (p&lt;0.05) and AM 281 + AM 630 (p&lt;0.001) compared to those of vehicle treated rats. </w:t>
            </w:r>
          </w:p>
          <w:p w14:paraId="11896C3B"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Day 90: Significantly lower BBB values observed in rats treated with AM 281 (p&lt;0.05), AM 630 (p&lt;0.05) and AM 281 + AM </w:t>
            </w:r>
            <w:r w:rsidRPr="0042687C">
              <w:rPr>
                <w:rFonts w:ascii="Myriad Pro" w:hAnsi="Myriad Pro"/>
                <w:color w:val="000000" w:themeColor="text1"/>
                <w:sz w:val="14"/>
                <w:szCs w:val="14"/>
              </w:rPr>
              <w:lastRenderedPageBreak/>
              <w:t>630 (p&lt;0.05) compared to those of vehicle treated rats.</w:t>
            </w:r>
          </w:p>
          <w:p w14:paraId="6009D4B2"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Von Frey Filament Test (data not shown in paper)</w:t>
            </w:r>
          </w:p>
          <w:p w14:paraId="74319284"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No difference observed between vehicle- or antagonist-treated rats</w:t>
            </w:r>
          </w:p>
          <w:p w14:paraId="2CCEDAB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Hind paw withdrawal to a noxious thermal stimulus.</w:t>
            </w:r>
          </w:p>
          <w:p w14:paraId="16A8CB8A"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AM 281 and/or AM 630 did not produce notable changes in hot and cold hypersensitivity following SCI compared to rats with SCI only. </w:t>
            </w:r>
          </w:p>
          <w:p w14:paraId="7436A621" w14:textId="64951DAF"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Only a transient increase in hind paw withdrawal time in the cold plate was observed in SCI + AM281 and SCI + AM630-treated rats at day 60 compared to SCI treated rats but this was not maintained at day 90. Day 60: SCI + AM281 vs SCI p&lt;0.05. Day 60: SCI + AM630 vs SCI p&lt;0.05.</w:t>
            </w:r>
          </w:p>
        </w:tc>
      </w:tr>
      <w:tr w:rsidR="0017134B" w:rsidRPr="0042687C" w14:paraId="0A6F94E4" w14:textId="237EDF33" w:rsidTr="0017134B">
        <w:tc>
          <w:tcPr>
            <w:tcW w:w="1351" w:type="dxa"/>
          </w:tcPr>
          <w:p w14:paraId="138A8F05" w14:textId="356A7451"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Genovese et al (2008) </w:t>
            </w:r>
          </w:p>
          <w:p w14:paraId="459D6B3D" w14:textId="77777777" w:rsidR="0017134B" w:rsidRPr="0042687C" w:rsidRDefault="0017134B" w:rsidP="009E1D1B">
            <w:pPr>
              <w:rPr>
                <w:rFonts w:ascii="Myriad Pro" w:hAnsi="Myriad Pro" w:cs="Times New Roman"/>
                <w:color w:val="000000" w:themeColor="text1"/>
                <w:sz w:val="14"/>
                <w:szCs w:val="14"/>
              </w:rPr>
            </w:pPr>
          </w:p>
        </w:tc>
        <w:tc>
          <w:tcPr>
            <w:tcW w:w="1021" w:type="dxa"/>
          </w:tcPr>
          <w:p w14:paraId="4327D46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30</w:t>
            </w:r>
          </w:p>
          <w:p w14:paraId="6A0B898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CD1 mice</w:t>
            </w:r>
          </w:p>
          <w:p w14:paraId="57A8807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Adult</w:t>
            </w:r>
          </w:p>
          <w:p w14:paraId="7654854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25-30g</w:t>
            </w:r>
          </w:p>
          <w:p w14:paraId="2389FC4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T5-8</w:t>
            </w:r>
          </w:p>
        </w:tc>
        <w:tc>
          <w:tcPr>
            <w:tcW w:w="1462" w:type="dxa"/>
          </w:tcPr>
          <w:p w14:paraId="7F9F7FC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24F54B7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Extradural compression of spinal cord for 1 min using aneurysm clip (24 g)</w:t>
            </w:r>
          </w:p>
        </w:tc>
        <w:tc>
          <w:tcPr>
            <w:tcW w:w="2262" w:type="dxa"/>
          </w:tcPr>
          <w:p w14:paraId="715DA065" w14:textId="4FE4B261"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Saline vehicle i.p. 30 min before, 1 h after and 6 h after SCI (n = 10) </w:t>
            </w:r>
          </w:p>
          <w:p w14:paraId="2FDF466B"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PEA pre-treatment group: 10 mg/kg i.p. 30 min before SCI, 1h and 6 h after SCI, and daily until day 9 after SCI (n = 10)</w:t>
            </w:r>
          </w:p>
          <w:p w14:paraId="239D36F0"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PEA post-treatment group: 10 mg/kg i.p. 6 h and 12 h after SCI, and daily until day 9 after SCI (n = 10) </w:t>
            </w:r>
          </w:p>
        </w:tc>
        <w:tc>
          <w:tcPr>
            <w:tcW w:w="1276" w:type="dxa"/>
          </w:tcPr>
          <w:p w14:paraId="61515447"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Basso, Beattie and Bresnahan locomotor score</w:t>
            </w:r>
          </w:p>
        </w:tc>
        <w:tc>
          <w:tcPr>
            <w:tcW w:w="1559" w:type="dxa"/>
          </w:tcPr>
          <w:p w14:paraId="081AFF6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Once a day for 10 days after SCI</w:t>
            </w:r>
          </w:p>
        </w:tc>
        <w:tc>
          <w:tcPr>
            <w:tcW w:w="1418" w:type="dxa"/>
          </w:tcPr>
          <w:p w14:paraId="0EC4396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Mann-Whitney test</w:t>
            </w:r>
          </w:p>
        </w:tc>
        <w:tc>
          <w:tcPr>
            <w:tcW w:w="2976" w:type="dxa"/>
          </w:tcPr>
          <w:p w14:paraId="47A0B763"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Palmitoylethanolamide (PEA) pre- or post-treatment significantly ameliorated the functional deficits induced by SCI (p &lt; 0.05)</w:t>
            </w:r>
          </w:p>
          <w:p w14:paraId="0BFB698D" w14:textId="7BA8319E"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No significant different was found in the ability to reduce spinal cord injury by PEA administered as pre- or post- treatment. </w:t>
            </w:r>
          </w:p>
        </w:tc>
      </w:tr>
      <w:tr w:rsidR="0017134B" w:rsidRPr="0042687C" w14:paraId="1DB1BDD1" w14:textId="6178FEC2" w:rsidTr="0017134B">
        <w:tc>
          <w:tcPr>
            <w:tcW w:w="1351" w:type="dxa"/>
          </w:tcPr>
          <w:p w14:paraId="75AF98C9" w14:textId="3DA9F719"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Hama et al (2007) </w:t>
            </w:r>
          </w:p>
        </w:tc>
        <w:tc>
          <w:tcPr>
            <w:tcW w:w="1021" w:type="dxa"/>
          </w:tcPr>
          <w:p w14:paraId="6C854C6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48</w:t>
            </w:r>
          </w:p>
          <w:p w14:paraId="50D20A1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24D96D5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specified</w:t>
            </w:r>
          </w:p>
          <w:p w14:paraId="4443A44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125-150 g at time of SCI</w:t>
            </w:r>
          </w:p>
          <w:p w14:paraId="7202083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T6-8</w:t>
            </w:r>
          </w:p>
        </w:tc>
        <w:tc>
          <w:tcPr>
            <w:tcW w:w="1462" w:type="dxa"/>
          </w:tcPr>
          <w:p w14:paraId="530115D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6BAEE0D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Compression of spinal cord with microaneurysm clip (20 g) for 1 minute</w:t>
            </w:r>
          </w:p>
        </w:tc>
        <w:tc>
          <w:tcPr>
            <w:tcW w:w="2262" w:type="dxa"/>
          </w:tcPr>
          <w:p w14:paraId="2EF4AA38" w14:textId="672F8D19"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Agonist Experiment (n = 24)</w:t>
            </w:r>
          </w:p>
          <w:p w14:paraId="7B32E19C"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(n = 6)</w:t>
            </w:r>
          </w:p>
          <w:p w14:paraId="6A061182"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0.3, 1, 3 mg/kg (n = 6/ group)</w:t>
            </w:r>
          </w:p>
          <w:p w14:paraId="05DAA18A" w14:textId="77777777" w:rsidR="0017134B" w:rsidRPr="0042687C" w:rsidRDefault="0017134B" w:rsidP="009E1D1B">
            <w:pPr>
              <w:rPr>
                <w:rFonts w:ascii="Myriad Pro" w:hAnsi="Myriad Pro" w:cs="Times New Roman"/>
                <w:color w:val="000000" w:themeColor="text1"/>
                <w:sz w:val="14"/>
                <w:szCs w:val="14"/>
              </w:rPr>
            </w:pPr>
          </w:p>
          <w:p w14:paraId="2F73E18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Antagonist Experiments (n = 24 – same rats used for both antagonists in pseudo-Latin square design) </w:t>
            </w:r>
          </w:p>
          <w:p w14:paraId="0B9FF34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 Vehicle s.c. (n = 6/ experiment)</w:t>
            </w:r>
          </w:p>
          <w:p w14:paraId="1245A31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 WIN 55,212-2 3 mg/kg s.c.  (n = 6/ experiment)</w:t>
            </w:r>
          </w:p>
          <w:p w14:paraId="148EAC8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 251 s.c 3 mg/kg or AM 630 3 mg/kg + vehicle s.c. (n = 6/ antagonist)</w:t>
            </w:r>
          </w:p>
          <w:p w14:paraId="407E9F7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AM251 s.c. 3mg/kg or AM 630 3 mg/kg + WIN 55,212-2 s.c. (3mg/kg) (n = 6/ antagonist)</w:t>
            </w:r>
          </w:p>
          <w:p w14:paraId="54B7CCC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All drugs administered 4-5 weeks after SCI. In antagonist experiments, WIN 55,212-2 or vehicle was injected 30 minutes after the first injection of antagonist or vehicle. </w:t>
            </w:r>
          </w:p>
        </w:tc>
        <w:tc>
          <w:tcPr>
            <w:tcW w:w="1276" w:type="dxa"/>
          </w:tcPr>
          <w:p w14:paraId="2A37CB81"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von Frey filament test</w:t>
            </w:r>
          </w:p>
        </w:tc>
        <w:tc>
          <w:tcPr>
            <w:tcW w:w="1559" w:type="dxa"/>
          </w:tcPr>
          <w:p w14:paraId="3986EC34"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Agonist Experiment: Baseline taken after SCI. Once every 30 min for 120 min following injection.</w:t>
            </w:r>
          </w:p>
          <w:p w14:paraId="082066A7"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Antagonist Experiment: Baseline taken after SCI before. 30 minutes after vehicle/AM 251/ AM 630 injection. 30 minutes after vehicle/WIN 55,212-2 injection.</w:t>
            </w:r>
          </w:p>
        </w:tc>
        <w:tc>
          <w:tcPr>
            <w:tcW w:w="1418" w:type="dxa"/>
          </w:tcPr>
          <w:p w14:paraId="5E0ECD6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Repeated-measure two-way ANOVA</w:t>
            </w:r>
          </w:p>
          <w:p w14:paraId="78EA3C0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Student-Newman-Keuls test for post hoc comparisons</w:t>
            </w:r>
          </w:p>
        </w:tc>
        <w:tc>
          <w:tcPr>
            <w:tcW w:w="2976" w:type="dxa"/>
          </w:tcPr>
          <w:p w14:paraId="7E8486BC"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Agonist experiment</w:t>
            </w:r>
          </w:p>
          <w:p w14:paraId="3D31E2BE"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WIN 1 mg/kg and 3 mg/kg s.c. produced dose dependent increases in withdrawal thresholds at 30 min and throughout remaining observation period, indicating a reversal in mechanical hypersensitivity (p&lt;0.05 vs vehicle at all time points). </w:t>
            </w:r>
          </w:p>
          <w:p w14:paraId="3DD46405"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WIN 0.3 mg/kg s.c.  and vehicle did not significantly alter withdrawal thresholds. </w:t>
            </w:r>
          </w:p>
          <w:p w14:paraId="180DFB38"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50% analgesic dose of WIN 30 min after injection was 0.7 (95% C.L. = 0.5-1.0) mg/kg.</w:t>
            </w:r>
          </w:p>
          <w:p w14:paraId="6B6B604B"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Antagonist experiment</w:t>
            </w:r>
          </w:p>
          <w:p w14:paraId="115A0BFE"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AM 251 pre-treatment blocked the antinociceptive effect of WIN. 30min after injection of WIN the withdrawal threshold of the AM 251/WIN group (2.1±0.4 g) was significantly less than that of the vehicle/WIN group (15± 0.0 g; p&lt;0.05) and </w:t>
            </w:r>
            <w:r w:rsidRPr="0042687C">
              <w:rPr>
                <w:rFonts w:ascii="Myriad Pro" w:hAnsi="Myriad Pro"/>
                <w:color w:val="000000" w:themeColor="text1"/>
                <w:sz w:val="14"/>
                <w:szCs w:val="14"/>
              </w:rPr>
              <w:lastRenderedPageBreak/>
              <w:t>was not different from the threshold of the vehicle/vehicle group (2.4± 0.3 g; p&gt;0.05).</w:t>
            </w:r>
          </w:p>
          <w:p w14:paraId="58D10E51" w14:textId="468AD4BB"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AM 630 pre-treatment did not significantly alter the antinociceptive effect of WIN. 30 min after injection of WIN, the withdrawal threshold of the AM 630/WIN group (14.4 ± 0.6 g) was not significantly different from the withdrawal threshold of the vehicle/WIN group (15 g; p &gt; 0.05), but was significantly different from the threshold of the vehicle/vehicle group (2.1 ± 0.2 g; p &lt; 0.05) and AM 630/vehicle group (2.9 ± 0.4 g; p &lt; 0.05).</w:t>
            </w:r>
          </w:p>
        </w:tc>
      </w:tr>
      <w:tr w:rsidR="0017134B" w:rsidRPr="0042687C" w14:paraId="42B0DC88" w14:textId="1087D79A" w:rsidTr="0017134B">
        <w:tc>
          <w:tcPr>
            <w:tcW w:w="1351" w:type="dxa"/>
          </w:tcPr>
          <w:p w14:paraId="46CBACD4" w14:textId="163C0EE8"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Hama et al (2009) </w:t>
            </w:r>
          </w:p>
        </w:tc>
        <w:tc>
          <w:tcPr>
            <w:tcW w:w="1021" w:type="dxa"/>
          </w:tcPr>
          <w:p w14:paraId="0EB219C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23</w:t>
            </w:r>
          </w:p>
          <w:p w14:paraId="6194D70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260A875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specified</w:t>
            </w:r>
          </w:p>
          <w:p w14:paraId="7CF7770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100-125g at time of SCI</w:t>
            </w:r>
          </w:p>
          <w:p w14:paraId="3C9E915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2A39FD2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0DB0F55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Compression of spinal cord with microvascular clip (20 g) for 1 minute.</w:t>
            </w:r>
          </w:p>
        </w:tc>
        <w:tc>
          <w:tcPr>
            <w:tcW w:w="2262" w:type="dxa"/>
          </w:tcPr>
          <w:p w14:paraId="58C0EB56" w14:textId="3966FA35"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twice daily (8 am and 5 pm for 7 days, 4 weeks after SCI (n = 5-6)*</w:t>
            </w:r>
          </w:p>
          <w:p w14:paraId="7C112F2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0.3, 1, 3 mg/kg s.c. twice daily (8 am and 5 pm) for 7 days, 4 weeks after SCI (n = 5-6/group)*</w:t>
            </w:r>
          </w:p>
          <w:p w14:paraId="3A4C2253" w14:textId="77777777" w:rsidR="0017134B" w:rsidRPr="0042687C" w:rsidRDefault="0017134B" w:rsidP="009E1D1B">
            <w:pPr>
              <w:rPr>
                <w:rFonts w:ascii="Myriad Pro" w:hAnsi="Myriad Pro" w:cs="Times New Roman"/>
                <w:color w:val="000000" w:themeColor="text1"/>
                <w:sz w:val="14"/>
                <w:szCs w:val="14"/>
              </w:rPr>
            </w:pPr>
          </w:p>
          <w:p w14:paraId="15CD948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indicates unclear sample sizes</w:t>
            </w:r>
          </w:p>
        </w:tc>
        <w:tc>
          <w:tcPr>
            <w:tcW w:w="1276" w:type="dxa"/>
          </w:tcPr>
          <w:p w14:paraId="0AC8F397"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von Frey filament test</w:t>
            </w:r>
          </w:p>
        </w:tc>
        <w:tc>
          <w:tcPr>
            <w:tcW w:w="1559" w:type="dxa"/>
          </w:tcPr>
          <w:p w14:paraId="5A359FD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Before SCI</w:t>
            </w:r>
          </w:p>
          <w:p w14:paraId="564155C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Before and 30 min after 8am injection.</w:t>
            </w:r>
          </w:p>
        </w:tc>
        <w:tc>
          <w:tcPr>
            <w:tcW w:w="1418" w:type="dxa"/>
          </w:tcPr>
          <w:p w14:paraId="2385150E"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4385786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Student-Newman-Keuls test</w:t>
            </w:r>
          </w:p>
        </w:tc>
        <w:tc>
          <w:tcPr>
            <w:tcW w:w="2976" w:type="dxa"/>
          </w:tcPr>
          <w:p w14:paraId="570FF262"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WIN s.c. produced a dose-dependent increase in withdrawal thresholds 30 min post-injection on Day 1 (p &lt; 0.05)</w:t>
            </w:r>
          </w:p>
          <w:p w14:paraId="19D27B6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The antinociceptive effect of WIN was maintained for the duration of the 7 day experimental period.</w:t>
            </w:r>
          </w:p>
          <w:p w14:paraId="3AD43A04"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The 50% antinociceptive (A50) dose (95% confidence interval) on day 1 was not significantly different from day 7:  0.9 (0.6–1.2) mg/kg vs 0.8 (0.6–1.2) mg/kg. </w:t>
            </w:r>
          </w:p>
          <w:p w14:paraId="314685F1" w14:textId="7AC27601"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The percent maximum possible effects (MPE) of 3 mg/kg s.c. WIN did not significantly change from day 1 (99% ± 1%) to day 7 (88% ± 9%).</w:t>
            </w:r>
          </w:p>
        </w:tc>
      </w:tr>
      <w:tr w:rsidR="0017134B" w:rsidRPr="0042687C" w14:paraId="0E3D243C" w14:textId="72A4AAF1" w:rsidTr="0017134B">
        <w:tc>
          <w:tcPr>
            <w:tcW w:w="1351" w:type="dxa"/>
          </w:tcPr>
          <w:p w14:paraId="1609321D" w14:textId="48EA6AF8"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Hama et al (2010) </w:t>
            </w:r>
          </w:p>
          <w:p w14:paraId="79D43ACE" w14:textId="77777777" w:rsidR="0017134B" w:rsidRPr="0042687C" w:rsidRDefault="0017134B" w:rsidP="009E1D1B">
            <w:pPr>
              <w:rPr>
                <w:rFonts w:ascii="Myriad Pro" w:hAnsi="Myriad Pro" w:cs="Times New Roman"/>
                <w:color w:val="000000" w:themeColor="text1"/>
                <w:sz w:val="14"/>
                <w:szCs w:val="14"/>
              </w:rPr>
            </w:pPr>
          </w:p>
          <w:p w14:paraId="5DE0DA7C" w14:textId="77777777" w:rsidR="0017134B" w:rsidRPr="0042687C" w:rsidRDefault="0017134B" w:rsidP="009E1D1B">
            <w:pPr>
              <w:rPr>
                <w:rFonts w:ascii="Myriad Pro" w:hAnsi="Myriad Pro" w:cs="Times New Roman"/>
                <w:color w:val="000000" w:themeColor="text1"/>
                <w:sz w:val="14"/>
                <w:szCs w:val="14"/>
              </w:rPr>
            </w:pPr>
          </w:p>
        </w:tc>
        <w:tc>
          <w:tcPr>
            <w:tcW w:w="1021" w:type="dxa"/>
          </w:tcPr>
          <w:p w14:paraId="162AA562" w14:textId="0F2CA90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n = </w:t>
            </w:r>
            <w:r>
              <w:rPr>
                <w:rFonts w:ascii="Myriad Pro" w:hAnsi="Myriad Pro" w:cs="Times New Roman"/>
                <w:color w:val="000000" w:themeColor="text1"/>
                <w:sz w:val="14"/>
                <w:szCs w:val="14"/>
              </w:rPr>
              <w:t>452-</w:t>
            </w:r>
            <w:r w:rsidR="0033641E">
              <w:rPr>
                <w:rFonts w:ascii="Myriad Pro" w:hAnsi="Myriad Pro" w:cs="Times New Roman"/>
                <w:color w:val="000000" w:themeColor="text1"/>
                <w:sz w:val="14"/>
                <w:szCs w:val="14"/>
              </w:rPr>
              <w:t>488 (</w:t>
            </w:r>
            <w:r>
              <w:rPr>
                <w:rFonts w:ascii="Myriad Pro" w:hAnsi="Myriad Pro" w:cs="Times New Roman"/>
                <w:color w:val="000000" w:themeColor="text1"/>
                <w:sz w:val="14"/>
                <w:szCs w:val="14"/>
              </w:rPr>
              <w:t>Experiment 1, n = 56. Experiment 2, n = 396-432, with n = 6-8 per treatment group)</w:t>
            </w:r>
          </w:p>
          <w:p w14:paraId="7D176E6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06F2478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specified</w:t>
            </w:r>
          </w:p>
          <w:p w14:paraId="17AF844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140-160g at time of surgery</w:t>
            </w:r>
          </w:p>
          <w:p w14:paraId="4372570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p w14:paraId="1481B370" w14:textId="77777777" w:rsidR="0017134B" w:rsidRPr="0042687C" w:rsidRDefault="0017134B" w:rsidP="009E1D1B">
            <w:pPr>
              <w:rPr>
                <w:rFonts w:ascii="Myriad Pro" w:hAnsi="Myriad Pro" w:cs="Times New Roman"/>
                <w:color w:val="000000" w:themeColor="text1"/>
                <w:sz w:val="10"/>
                <w:szCs w:val="11"/>
              </w:rPr>
            </w:pPr>
          </w:p>
          <w:p w14:paraId="4ECD87E2" w14:textId="77777777" w:rsidR="0017134B" w:rsidRPr="0042687C" w:rsidRDefault="0017134B" w:rsidP="009E1D1B">
            <w:pPr>
              <w:rPr>
                <w:rFonts w:ascii="Myriad Pro" w:hAnsi="Myriad Pro" w:cs="Times New Roman"/>
                <w:color w:val="000000" w:themeColor="text1"/>
                <w:sz w:val="14"/>
                <w:szCs w:val="14"/>
              </w:rPr>
            </w:pPr>
          </w:p>
          <w:p w14:paraId="3DE2CBC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 </w:t>
            </w:r>
          </w:p>
        </w:tc>
        <w:tc>
          <w:tcPr>
            <w:tcW w:w="1462" w:type="dxa"/>
          </w:tcPr>
          <w:p w14:paraId="40B099F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520F583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Compression of spinal cord with microvascular clip (20 g) for 1 minute.</w:t>
            </w:r>
          </w:p>
        </w:tc>
        <w:tc>
          <w:tcPr>
            <w:tcW w:w="2262" w:type="dxa"/>
          </w:tcPr>
          <w:p w14:paraId="31B74A3C" w14:textId="271B08A9"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1:</w:t>
            </w:r>
          </w:p>
          <w:p w14:paraId="5FA7B1F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Acetaminophen (APAP) (n = 6-8/group)*</w:t>
            </w:r>
          </w:p>
          <w:p w14:paraId="3F644114"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Gabapentin (n = 6-8/group)*</w:t>
            </w:r>
          </w:p>
          <w:p w14:paraId="0421740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Memantine (n = 6-8/group)*</w:t>
            </w:r>
          </w:p>
          <w:p w14:paraId="126C3F1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Morphine (n = 6-8/group)*</w:t>
            </w:r>
          </w:p>
          <w:p w14:paraId="5DBDA222"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Tramadol (n = 6-8/group)*</w:t>
            </w:r>
          </w:p>
          <w:p w14:paraId="4F01DC7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APAP + gabapentin (100+26, 50+13, 25+6.5, 12.5+3.25 mg/kg) (n = 6-8/group)</w:t>
            </w:r>
          </w:p>
          <w:p w14:paraId="1573096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APAP + memantine (100+8, 50+4, 25+2 mg/kg) (n = 6-8/group)</w:t>
            </w:r>
          </w:p>
          <w:p w14:paraId="793CCE9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APAP + morphine (100+1, 30+0.3, 10+0.1 mg/kg) (n = 6-8/group)</w:t>
            </w:r>
          </w:p>
          <w:p w14:paraId="2CCF7C8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APAP + tramadol (100+20, 50+10, 25+5, 12.5+2.5 mg/kg) (n = 6-8/group)</w:t>
            </w:r>
          </w:p>
          <w:p w14:paraId="2EEA48D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2: </w:t>
            </w:r>
          </w:p>
          <w:p w14:paraId="6CF990E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Pre-treatment followed by post-treatment 30 min after</w:t>
            </w:r>
          </w:p>
          <w:p w14:paraId="3D3A147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Vehicle/ Vehicle (n = 7/group)</w:t>
            </w:r>
          </w:p>
          <w:p w14:paraId="782EF10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APAP + active drug (n = 7/group)</w:t>
            </w:r>
          </w:p>
          <w:p w14:paraId="3BE1089C"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Antagonist/ Vehicle (n = 7/group)</w:t>
            </w:r>
          </w:p>
          <w:p w14:paraId="431420B6"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Antagonist/ APAP + active drug (n = 7/group)</w:t>
            </w:r>
          </w:p>
          <w:p w14:paraId="7637D05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This was done for each active drug:</w:t>
            </w:r>
          </w:p>
          <w:p w14:paraId="56416F5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Acetaminophen 3 ml/kg i.p. </w:t>
            </w:r>
          </w:p>
          <w:p w14:paraId="2759BB5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Gabapentin 1 ml/kg s.c.</w:t>
            </w:r>
          </w:p>
          <w:p w14:paraId="3875DFA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Memantine HCl 1 ml/kg s.c.</w:t>
            </w:r>
          </w:p>
          <w:p w14:paraId="1D12406C"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Memantine sulphate 1 ml/kg s.c.</w:t>
            </w:r>
          </w:p>
          <w:p w14:paraId="603E238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Tramadol HCl 1 ml/kg s.c.</w:t>
            </w:r>
          </w:p>
          <w:p w14:paraId="4AE6105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With the following antagonists:</w:t>
            </w:r>
          </w:p>
          <w:p w14:paraId="770EB89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AM251 3 mg/kg s.c.</w:t>
            </w:r>
          </w:p>
          <w:p w14:paraId="0ACB8B64"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AM630 1 mg/kg s.c. </w:t>
            </w:r>
          </w:p>
          <w:p w14:paraId="3DAF206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Naloxone 5 mg/kg s.c. </w:t>
            </w:r>
          </w:p>
          <w:p w14:paraId="027B7F58" w14:textId="77777777" w:rsidR="0017134B" w:rsidRPr="0042687C" w:rsidRDefault="0017134B" w:rsidP="009E1D1B">
            <w:pPr>
              <w:rPr>
                <w:rFonts w:ascii="Myriad Pro" w:hAnsi="Myriad Pro" w:cs="Times New Roman"/>
                <w:color w:val="000000" w:themeColor="text1"/>
                <w:sz w:val="14"/>
                <w:szCs w:val="14"/>
              </w:rPr>
            </w:pPr>
          </w:p>
          <w:p w14:paraId="56D0F79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 indicates unclear sample sizes </w:t>
            </w:r>
          </w:p>
        </w:tc>
        <w:tc>
          <w:tcPr>
            <w:tcW w:w="1276" w:type="dxa"/>
          </w:tcPr>
          <w:p w14:paraId="29B7EEB2"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von Frey filament tests</w:t>
            </w:r>
          </w:p>
        </w:tc>
        <w:tc>
          <w:tcPr>
            <w:tcW w:w="1559" w:type="dxa"/>
          </w:tcPr>
          <w:p w14:paraId="104CF70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Baseline 4 weeks after spinal cord compression.</w:t>
            </w:r>
          </w:p>
          <w:p w14:paraId="73ADDBF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1: Every 30 min up to 120 min post-injection. </w:t>
            </w:r>
          </w:p>
          <w:p w14:paraId="6FDCD92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2: 60 or 90 min after the second injection depending on the particular combination.  </w:t>
            </w:r>
          </w:p>
        </w:tc>
        <w:tc>
          <w:tcPr>
            <w:tcW w:w="1418" w:type="dxa"/>
          </w:tcPr>
          <w:p w14:paraId="06831352"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Two-way ANOVA </w:t>
            </w:r>
          </w:p>
          <w:p w14:paraId="6D88F126"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Student-Newman-Keuls test</w:t>
            </w:r>
          </w:p>
        </w:tc>
        <w:tc>
          <w:tcPr>
            <w:tcW w:w="2976" w:type="dxa"/>
          </w:tcPr>
          <w:p w14:paraId="1135FA4E"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Acetaminophen (APAP) alone: </w:t>
            </w:r>
          </w:p>
          <w:p w14:paraId="5ED03237"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Highest injectable dose of APAP was 100 mg/kg. At 60 min and 90 min post-injection, the percent maximum possible effects (MPEs) were 27 ± 8% and 33 ± 11%, respectively (p &gt; 0.05 vs vehicle). </w:t>
            </w:r>
          </w:p>
          <w:p w14:paraId="74234470"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APAP + Gabapentin: </w:t>
            </w:r>
          </w:p>
          <w:p w14:paraId="08058270"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Combination of the two drugs was synergistic. There was a 2.6-fold leftward shift of the APAP + gabapentin dose-response curve compared to that of gabapentin alone and the experimentally determined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of the combination was significantly less than the theoretical A</w:t>
            </w:r>
            <w:r w:rsidRPr="0042687C">
              <w:rPr>
                <w:rFonts w:ascii="Myriad Pro" w:hAnsi="Myriad Pro"/>
                <w:color w:val="000000" w:themeColor="text1"/>
                <w:sz w:val="14"/>
                <w:szCs w:val="14"/>
                <w:vertAlign w:val="subscript"/>
              </w:rPr>
              <w:t xml:space="preserve">50 </w:t>
            </w:r>
            <w:r w:rsidRPr="0042687C">
              <w:rPr>
                <w:rFonts w:ascii="Myriad Pro" w:hAnsi="Myriad Pro"/>
                <w:color w:val="000000" w:themeColor="text1"/>
                <w:sz w:val="14"/>
                <w:szCs w:val="14"/>
              </w:rPr>
              <w:t xml:space="preserve">(p &lt; 0.05). </w:t>
            </w:r>
          </w:p>
          <w:p w14:paraId="5669BF01"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Pre-treatment with AM251 significantly attenuated the antinociceptive effect of APAP +gabapentin (p &lt; 0.05 vs. veh/APAP+GP). No significant difference was observed between the AM251/vehicle and AM251/APAP+gabapentin treated groups (p &gt; 0.05). Pre- treatment with AM630 did not </w:t>
            </w:r>
            <w:r w:rsidRPr="0042687C">
              <w:rPr>
                <w:rFonts w:ascii="Myriad Pro" w:hAnsi="Myriad Pro"/>
                <w:color w:val="000000" w:themeColor="text1"/>
                <w:sz w:val="14"/>
                <w:szCs w:val="14"/>
              </w:rPr>
              <w:lastRenderedPageBreak/>
              <w:t>significantly attenuate the effect of the APAP+gabapentin combination (p &gt; 0.05 vs. vehicle/APAP+GP).</w:t>
            </w:r>
          </w:p>
          <w:p w14:paraId="31D16BAC"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APAP + Memantine: </w:t>
            </w:r>
          </w:p>
          <w:p w14:paraId="4A1C64F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Combination of the two drugs was merely additive. The experimentally determined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of the combination (at 60 min post-injection) was not significantly different from the theoretical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(p &gt; 0.05). No significant shift in potency was observed between the combination and memantine alone.</w:t>
            </w:r>
          </w:p>
          <w:p w14:paraId="3E599259"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APAP + Morphine:</w:t>
            </w:r>
          </w:p>
          <w:p w14:paraId="0D503288"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Combination of the two drugs was synergistic. The experimentally determined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of the combination was significantly less than the theoretical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(p &lt; 0.05). There was a 3.4-fold leftward shift in potency of APAP+morphine compared to morphine alone. </w:t>
            </w:r>
          </w:p>
          <w:p w14:paraId="58AF48D9"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Pre-treatment with AM251 significantly attenuated the effect of APAP+morphine (p &lt; 0.05 vs. veh/APAP+Mor), however a significant “residual” antinociception was still observed in AM251-pretreated rats such that the mean withdrawal threshold was still higher than that of vehicle post-treated rats (p &lt; 0.05 vs. AM251/veh). Pretreatment with AM630 partially decreased the antinociceptive effect of APAP+morphine (p &lt; 0.05 vs. veh/APAP+Mor). Similar to pre-treatment with AM251, a “residual” antinociception in the AM630/APAP +morphine group was observed (p &lt; 0.05 vs. AM630/veh).</w:t>
            </w:r>
          </w:p>
          <w:p w14:paraId="578A8492"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APAP + Tramadol:</w:t>
            </w:r>
          </w:p>
          <w:p w14:paraId="780CC9C6"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Combination of the two drugs was merely additive. A 2-fold leftward shift in potency of APAP+tramadol compared to tramadol alone was observed, however the experimentally determined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of the combination (at 90 min post-injection) was not statistically significant from the experimentally determined A</w:t>
            </w:r>
            <w:r w:rsidRPr="0042687C">
              <w:rPr>
                <w:rFonts w:ascii="Myriad Pro" w:hAnsi="Myriad Pro"/>
                <w:color w:val="000000" w:themeColor="text1"/>
                <w:sz w:val="14"/>
                <w:szCs w:val="14"/>
                <w:vertAlign w:val="subscript"/>
              </w:rPr>
              <w:t>50</w:t>
            </w:r>
            <w:r w:rsidRPr="0042687C">
              <w:rPr>
                <w:rFonts w:ascii="Myriad Pro" w:hAnsi="Myriad Pro"/>
                <w:color w:val="000000" w:themeColor="text1"/>
                <w:sz w:val="14"/>
                <w:szCs w:val="14"/>
              </w:rPr>
              <w:t xml:space="preserve"> (p &gt; 0.05).</w:t>
            </w:r>
          </w:p>
          <w:p w14:paraId="1DA5B0FC"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Pre-treatment with AM 251 significantly attenuated the effect of APAP+tramadol (p &lt; 0.05 vs. veh/APAP+Tram).</w:t>
            </w:r>
          </w:p>
          <w:p w14:paraId="7883775B"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Pre-treatment with AM 630 did not affect APAP +tramadol antinociception (p &gt; 0.05). </w:t>
            </w:r>
          </w:p>
          <w:p w14:paraId="6686C6A8"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lastRenderedPageBreak/>
              <w:t>Pre-treatment with naloxone significantly attenuated the effect of the APAP+tramadol combination (p &lt; 0.05 vs. veh/APAP +Tram).</w:t>
            </w:r>
          </w:p>
          <w:p w14:paraId="5B800ABF"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Antagonists</w:t>
            </w:r>
          </w:p>
          <w:p w14:paraId="5A293AEB"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Pre-treatment with either AM 251 3 mg/kg s.c., AM630 1 mg/kg s.c., naloxone 5 mg/kg s.c., or vehicle did not significantly affect withdrawal thresholds of SCI rats post-treated with vehicle (p &gt; 0.05). </w:t>
            </w:r>
          </w:p>
          <w:p w14:paraId="7AC63B09"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AM 251 pre-treatment 30 min prior to morphine 3 mg/kg, gabapentin 100 mg/ kg, or tramadol 100 mg/kg treatment did not significantly alter of the morphine, gabapentin or tramadol when administered alone (p &gt; 0.05; data not shown).</w:t>
            </w:r>
          </w:p>
          <w:p w14:paraId="21D3B72A"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AM 630 pre-treatment 30 min prior to morphine3 mg/kg treatment did not significantly change the efficacy of morphine when administered alone (p &gt; 0.05; data not shown).</w:t>
            </w:r>
          </w:p>
          <w:p w14:paraId="398F937D" w14:textId="77777777" w:rsidR="0017134B" w:rsidRPr="0042687C" w:rsidRDefault="0017134B" w:rsidP="009E1D1B">
            <w:pPr>
              <w:rPr>
                <w:rFonts w:ascii="Myriad Pro" w:hAnsi="Myriad Pro"/>
                <w:color w:val="000000" w:themeColor="text1"/>
                <w:sz w:val="14"/>
                <w:szCs w:val="14"/>
              </w:rPr>
            </w:pPr>
          </w:p>
        </w:tc>
      </w:tr>
      <w:tr w:rsidR="0017134B" w:rsidRPr="0042687C" w14:paraId="012BDFD3" w14:textId="2D212EA5" w:rsidTr="0017134B">
        <w:tc>
          <w:tcPr>
            <w:tcW w:w="1351" w:type="dxa"/>
          </w:tcPr>
          <w:p w14:paraId="576F44A0" w14:textId="50E31F10"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Hama et al 2011</w:t>
            </w:r>
          </w:p>
        </w:tc>
        <w:tc>
          <w:tcPr>
            <w:tcW w:w="1021" w:type="dxa"/>
          </w:tcPr>
          <w:p w14:paraId="62A8A4A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198-206 (Unclear)</w:t>
            </w:r>
          </w:p>
          <w:p w14:paraId="7AC1CED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782A14E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specified</w:t>
            </w:r>
          </w:p>
          <w:p w14:paraId="0171D91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100-150g at time of SCI.</w:t>
            </w:r>
          </w:p>
          <w:p w14:paraId="07A1E6C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691E31B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4665EFE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Compression of spinal cord with microvascular clip (20 g) for 1 minute.</w:t>
            </w:r>
          </w:p>
        </w:tc>
        <w:tc>
          <w:tcPr>
            <w:tcW w:w="2262" w:type="dxa"/>
          </w:tcPr>
          <w:p w14:paraId="4FB1CF9B" w14:textId="3E6E0DE6"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1: Antinociceptive effects of drugs (n = 94-102)</w:t>
            </w:r>
          </w:p>
          <w:p w14:paraId="737640D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(vehicle, 5.7, 19.1, 57.4nmol) i.t. (n = 6-8/group)*</w:t>
            </w:r>
          </w:p>
          <w:p w14:paraId="1AA2D95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WIN 55,212-2 (vehicle, 1.9, 5.7, 19.1 nmol) i.c.v. (n = 7/group) </w:t>
            </w:r>
          </w:p>
          <w:p w14:paraId="7478B90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Hemopressin (vehicle, 0.09, 0.9, 9.2 nmol) i.t. (n = 6/group) </w:t>
            </w:r>
          </w:p>
          <w:p w14:paraId="565FBE0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Rimonabant (vehicle, 6.5, 64.7 nmol) i.t. (n = 6/ group)</w:t>
            </w:r>
          </w:p>
          <w:p w14:paraId="320AD7A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2: Effects of pre-treatments on antinociceptive effects of WIN 55,212-2 (n=104)</w:t>
            </w:r>
          </w:p>
          <w:p w14:paraId="6500273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pre-treatment / Vehicle post (n = 6/7)</w:t>
            </w:r>
          </w:p>
          <w:p w14:paraId="51EC508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pre-treatment / WIN 55,212-2 (n = 6/7)</w:t>
            </w:r>
          </w:p>
          <w:p w14:paraId="71D9263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Antagonist pre-treatment / Vehicle (n = 6/7)</w:t>
            </w:r>
          </w:p>
          <w:p w14:paraId="329B5B5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Antagonist pre-treatment / WIN 55,212-2 (n = 6/7)</w:t>
            </w:r>
          </w:p>
          <w:p w14:paraId="0D0C6A0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This was done 4 times: </w:t>
            </w:r>
          </w:p>
          <w:p w14:paraId="304C82AF" w14:textId="77777777" w:rsidR="0017134B" w:rsidRPr="0042687C" w:rsidRDefault="0017134B" w:rsidP="009E1D1B">
            <w:pPr>
              <w:pStyle w:val="ListParagraph"/>
              <w:numPr>
                <w:ilvl w:val="0"/>
                <w:numId w:val="12"/>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Hemopressin 2.8 nmol i.t. or vehicle i.t. pretreatment 30 min before WIN 55,212-2 57.4 nmol i.t. or vehicle i.t. injection (n=7 per group)</w:t>
            </w:r>
          </w:p>
          <w:p w14:paraId="023E3BE2" w14:textId="77777777" w:rsidR="0017134B" w:rsidRPr="0042687C" w:rsidRDefault="0017134B" w:rsidP="009E1D1B">
            <w:pPr>
              <w:pStyle w:val="ListParagraph"/>
              <w:numPr>
                <w:ilvl w:val="0"/>
                <w:numId w:val="12"/>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Hemopressin 2.8 nmol or vehicle pretreatment coinjected i.c.v. with WIN 55,212-2 19.1 nmol or vehicle . (n=7 per group)</w:t>
            </w:r>
          </w:p>
          <w:p w14:paraId="288C0B72" w14:textId="77777777" w:rsidR="0017134B" w:rsidRPr="0042687C" w:rsidRDefault="0017134B" w:rsidP="009E1D1B">
            <w:pPr>
              <w:pStyle w:val="ListParagraph"/>
              <w:numPr>
                <w:ilvl w:val="0"/>
                <w:numId w:val="12"/>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Rimonabant 64.7 nmol i.t. or vehicle i.t. pretreatment 30 min before WIN 55,212-2 57.4 nmol i.t. or vehicle i.t. injection (n = 6/group)</w:t>
            </w:r>
          </w:p>
          <w:p w14:paraId="1F9FCCB1" w14:textId="77777777" w:rsidR="0017134B" w:rsidRPr="0042687C" w:rsidRDefault="0017134B" w:rsidP="009E1D1B">
            <w:pPr>
              <w:pStyle w:val="ListParagraph"/>
              <w:numPr>
                <w:ilvl w:val="0"/>
                <w:numId w:val="12"/>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Rimonabant 3mg/kg s.c. or vehicle i.c.v. pre-treatment 30 min before WIN 55,212-2 19.1 nmol i.c.v. or vehicle i.c.v. injection (n = 6 per group)</w:t>
            </w:r>
          </w:p>
          <w:p w14:paraId="507C563A" w14:textId="77777777" w:rsidR="0017134B" w:rsidRPr="0042687C" w:rsidRDefault="0017134B" w:rsidP="009E1D1B">
            <w:pPr>
              <w:rPr>
                <w:rFonts w:ascii="Myriad Pro" w:hAnsi="Myriad Pro" w:cs="Times New Roman"/>
                <w:color w:val="000000" w:themeColor="text1"/>
                <w:sz w:val="14"/>
                <w:szCs w:val="14"/>
              </w:rPr>
            </w:pPr>
          </w:p>
          <w:p w14:paraId="4D04C43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indicates unclear sample size</w:t>
            </w:r>
          </w:p>
        </w:tc>
        <w:tc>
          <w:tcPr>
            <w:tcW w:w="1276" w:type="dxa"/>
          </w:tcPr>
          <w:p w14:paraId="4AE74C77"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von Frey filament test</w:t>
            </w:r>
          </w:p>
        </w:tc>
        <w:tc>
          <w:tcPr>
            <w:tcW w:w="1559" w:type="dxa"/>
          </w:tcPr>
          <w:p w14:paraId="266D41B5"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1: Prior to drug administration and every 30 min up to 2 h post injection. </w:t>
            </w:r>
          </w:p>
          <w:p w14:paraId="487E736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2: Prior to, and 30 min after vehicle or WIN 55,212-2 treatment. </w:t>
            </w:r>
          </w:p>
        </w:tc>
        <w:tc>
          <w:tcPr>
            <w:tcW w:w="1418" w:type="dxa"/>
          </w:tcPr>
          <w:p w14:paraId="361D13AD"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Repeated-measure two-way ANOVA</w:t>
            </w:r>
          </w:p>
          <w:p w14:paraId="1488999C"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5779AD44"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Student–Newman–Keuls test for post hoc comparisons. </w:t>
            </w:r>
          </w:p>
          <w:p w14:paraId="71F9015C"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p>
        </w:tc>
        <w:tc>
          <w:tcPr>
            <w:tcW w:w="2976" w:type="dxa"/>
          </w:tcPr>
          <w:p w14:paraId="52269981"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Effect of centrally administered CB receptor ligands in SCI rats</w:t>
            </w:r>
          </w:p>
          <w:p w14:paraId="2DDBBC2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WIN 55,212-2 57.4 nmol i.t.  significantly increased withdrawal thresholds 30 min injection, this effect lasted at least 120 min post-injection (p&lt;0.05 vs. vehicle). At 30 min post-injection, the percent maximum possible effect (MPE) was 42.5±12.0%. No significant effects on withdrawal thresholds were observed with lower doses of WIN 55,212-2 or vehicle.</w:t>
            </w:r>
          </w:p>
          <w:p w14:paraId="61CD4F1F"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WIN 55,212-2 i.c.v produced a dose-dependent antinociceptive effect 30 min following injection (p&lt;0.05 vs. vehicle). At 30 min, the 50% antinociceptive dose (A50) (95% confidence limits) was 5.0 (2.7-9.3) μg. No significant antinociceptive effect was observed at any other time post-injection. Vehicle injection did not significantly alter withdrawal thresholds.</w:t>
            </w:r>
          </w:p>
          <w:p w14:paraId="1C61523F"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Hemopressin i.t. and rimonabant i.t. did not significantly alter hind paw withdrawal thresholds.</w:t>
            </w:r>
          </w:p>
          <w:p w14:paraId="5C9D09A3"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Effects of pre-treatments on the antinociceptive effect of WIN 55,212-2</w:t>
            </w:r>
          </w:p>
          <w:p w14:paraId="0F878863"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 xml:space="preserve">Hemopressin did not alter the antinociceptive effect of WIN 55,212-2, </w:t>
            </w:r>
            <w:r w:rsidRPr="0042687C">
              <w:rPr>
                <w:rFonts w:ascii="Myriad Pro" w:hAnsi="Myriad Pro"/>
                <w:color w:val="000000" w:themeColor="text1"/>
                <w:sz w:val="14"/>
                <w:szCs w:val="14"/>
              </w:rPr>
              <w:lastRenderedPageBreak/>
              <w:t>either as an i.t. pre-treatment or as an i.c.v. cotreatment.</w:t>
            </w:r>
          </w:p>
          <w:p w14:paraId="5D87ED18"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Rimonabant i.t., but not vehicle, pre-treatment blocked the antinociceptive effect of WIN 55,212-2 i.t. (p&lt;0.05, Rimonabant/WIN 55,212-2 vs. Vehicle/WIN 55,212-2).</w:t>
            </w:r>
          </w:p>
          <w:p w14:paraId="00F81711" w14:textId="429F9539"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Rimonabant s.c., but not vehicle, blocked the antinociceptive effect of i.c.v. WIN 55,212-2 (p&lt;0.05, Rimonabant/WIN 55,212-2 vs. Vehicle/WIN 55,212-2). </w:t>
            </w:r>
          </w:p>
        </w:tc>
      </w:tr>
      <w:tr w:rsidR="0017134B" w:rsidRPr="0042687C" w14:paraId="1C207293" w14:textId="4708E47B" w:rsidTr="0017134B">
        <w:tc>
          <w:tcPr>
            <w:tcW w:w="1351" w:type="dxa"/>
          </w:tcPr>
          <w:p w14:paraId="4B374C42" w14:textId="1B3FBC1F"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Hama et al (2014) </w:t>
            </w:r>
          </w:p>
        </w:tc>
        <w:tc>
          <w:tcPr>
            <w:tcW w:w="1021" w:type="dxa"/>
          </w:tcPr>
          <w:p w14:paraId="23755FB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120</w:t>
            </w:r>
          </w:p>
          <w:p w14:paraId="68E68E6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6FF10C5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specified</w:t>
            </w:r>
          </w:p>
          <w:p w14:paraId="0D7304B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100-130g at time of SCI</w:t>
            </w:r>
          </w:p>
          <w:p w14:paraId="10882F8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53951CF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1A8553C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Compression of spinal cord with microvascular clip (20 g) for 1 minute.</w:t>
            </w:r>
          </w:p>
        </w:tc>
        <w:tc>
          <w:tcPr>
            <w:tcW w:w="2262" w:type="dxa"/>
          </w:tcPr>
          <w:p w14:paraId="07EAB7AF" w14:textId="7867B574"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1: Acute dose of CP 55,940 (n = 30)</w:t>
            </w:r>
          </w:p>
          <w:p w14:paraId="52955A43" w14:textId="77777777" w:rsidR="0017134B" w:rsidRPr="0042687C" w:rsidRDefault="0017134B" w:rsidP="009E1D1B">
            <w:pPr>
              <w:pStyle w:val="ListParagraph"/>
              <w:numPr>
                <w:ilvl w:val="0"/>
                <w:numId w:val="13"/>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once (n=6)</w:t>
            </w:r>
          </w:p>
          <w:p w14:paraId="46B4A431" w14:textId="77777777" w:rsidR="0017134B" w:rsidRPr="0042687C" w:rsidRDefault="0017134B" w:rsidP="009E1D1B">
            <w:pPr>
              <w:pStyle w:val="ListParagraph"/>
              <w:numPr>
                <w:ilvl w:val="0"/>
                <w:numId w:val="13"/>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CP 55,940 0.01, 0.03, 0.1, 0.3 mg/kg s.c. once (n = 6/group)</w:t>
            </w:r>
          </w:p>
          <w:p w14:paraId="1B0BBC3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2: Repeat drug treatment  - injected twice daily (8 am and 5pm) for 7 days except amitriptyline which was injected once daily (n = 60)</w:t>
            </w:r>
          </w:p>
          <w:p w14:paraId="2C3FC68C" w14:textId="77777777" w:rsidR="0017134B" w:rsidRPr="0042687C" w:rsidRDefault="0017134B" w:rsidP="009E1D1B">
            <w:pPr>
              <w:pStyle w:val="ListParagraph"/>
              <w:numPr>
                <w:ilvl w:val="0"/>
                <w:numId w:val="14"/>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CP 55,940 0.3mg/kg s.c. or vehicle s.c. (n = 6/group)</w:t>
            </w:r>
          </w:p>
          <w:p w14:paraId="25B0B06B" w14:textId="77777777" w:rsidR="0017134B" w:rsidRPr="0042687C" w:rsidRDefault="0017134B" w:rsidP="009E1D1B">
            <w:pPr>
              <w:pStyle w:val="ListParagraph"/>
              <w:numPr>
                <w:ilvl w:val="0"/>
                <w:numId w:val="14"/>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Amitriptyline s.c. 30mg/kg or vehicle s.c. (n = 8/group)</w:t>
            </w:r>
          </w:p>
          <w:p w14:paraId="066CBE42" w14:textId="77777777" w:rsidR="0017134B" w:rsidRPr="0042687C" w:rsidRDefault="0017134B" w:rsidP="009E1D1B">
            <w:pPr>
              <w:pStyle w:val="ListParagraph"/>
              <w:numPr>
                <w:ilvl w:val="0"/>
                <w:numId w:val="14"/>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Gabapentin 25mg/kg s.c. or vehicle s.c.  (n = 8/group)</w:t>
            </w:r>
          </w:p>
          <w:p w14:paraId="14CBA519" w14:textId="77777777" w:rsidR="0017134B" w:rsidRPr="0042687C" w:rsidRDefault="0017134B" w:rsidP="009E1D1B">
            <w:pPr>
              <w:pStyle w:val="ListParagraph"/>
              <w:numPr>
                <w:ilvl w:val="0"/>
                <w:numId w:val="14"/>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Carbamazepine 30mg/kg s.c. or vehicle s.c. (n = 8/group)</w:t>
            </w:r>
          </w:p>
          <w:p w14:paraId="63896F9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3: Pre-treatment with CB receptor antagonists on the antinociceptive effect of CP 55,940. (n = 36)</w:t>
            </w:r>
          </w:p>
          <w:p w14:paraId="2A8C01CD"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pre-treatment + Vehicle s.c. (n = 6)</w:t>
            </w:r>
          </w:p>
          <w:p w14:paraId="582DE38C"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s.c. pre-treatment + CP 55,940 0.3mg/kg s.c. (n = 6)</w:t>
            </w:r>
          </w:p>
          <w:p w14:paraId="737F5609"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Rimonabant 3 mg/kg s.c. pre-treatment + Vehicle s.c.  (n = 6)</w:t>
            </w:r>
          </w:p>
          <w:p w14:paraId="771491D9"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Rimonabant 3 mg/kg s.c. pre-treatment + CP 55,940 0.3mg/kg s.c.  (n = 6)</w:t>
            </w:r>
          </w:p>
          <w:p w14:paraId="6B2C3853"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SR 144528 1 mg/kg s.c. pre-treatment + Vehicle s.c. (n = 6)</w:t>
            </w:r>
          </w:p>
          <w:p w14:paraId="1A79CA28" w14:textId="77777777" w:rsidR="0017134B" w:rsidRPr="0042687C" w:rsidRDefault="0017134B" w:rsidP="009E1D1B">
            <w:pPr>
              <w:pStyle w:val="ListParagraph"/>
              <w:numPr>
                <w:ilvl w:val="0"/>
                <w:numId w:val="15"/>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SR 144528 1 mg/kg s.c. pre-treatment + CP 55,940 0.3mg/kg s.c. (n = 6)</w:t>
            </w:r>
          </w:p>
          <w:p w14:paraId="4D4D19B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Pre-treatment administered 30 min before treatment with vehicle or CP 55,940.</w:t>
            </w:r>
          </w:p>
        </w:tc>
        <w:tc>
          <w:tcPr>
            <w:tcW w:w="1276" w:type="dxa"/>
          </w:tcPr>
          <w:p w14:paraId="21DFD892"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von Frey filament test</w:t>
            </w:r>
          </w:p>
        </w:tc>
        <w:tc>
          <w:tcPr>
            <w:tcW w:w="1559" w:type="dxa"/>
          </w:tcPr>
          <w:p w14:paraId="23842C2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Experiment 1: Before injection, every 30 min up to 120 min post injection. </w:t>
            </w:r>
          </w:p>
          <w:p w14:paraId="209DFF0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2: After 8 am injection for 7 days.</w:t>
            </w:r>
          </w:p>
          <w:p w14:paraId="684E625F"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Experiment 3: Before pre-treatment and 30 and 60 min after treatment.</w:t>
            </w:r>
          </w:p>
        </w:tc>
        <w:tc>
          <w:tcPr>
            <w:tcW w:w="1418" w:type="dxa"/>
          </w:tcPr>
          <w:p w14:paraId="2220CFBF" w14:textId="77777777" w:rsidR="0017134B" w:rsidRPr="0042687C" w:rsidRDefault="0017134B" w:rsidP="009E1D1B">
            <w:pPr>
              <w:pStyle w:val="ListParagraph"/>
              <w:numPr>
                <w:ilvl w:val="0"/>
                <w:numId w:val="10"/>
              </w:numPr>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5FCEA82E"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 xml:space="preserve">Student-Newman-Keuls for post hoc comparisons. </w:t>
            </w:r>
          </w:p>
        </w:tc>
        <w:tc>
          <w:tcPr>
            <w:tcW w:w="2976" w:type="dxa"/>
          </w:tcPr>
          <w:p w14:paraId="7F2C8DEF"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Experiment 1: Antinociceptive effect of CP 55,940</w:t>
            </w:r>
          </w:p>
          <w:p w14:paraId="6B4E0F0B" w14:textId="77777777" w:rsidR="0017134B" w:rsidRPr="0042687C" w:rsidRDefault="0017134B" w:rsidP="009E1D1B">
            <w:pPr>
              <w:pStyle w:val="ListParagraph"/>
              <w:numPr>
                <w:ilvl w:val="0"/>
                <w:numId w:val="16"/>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CP 55,940 significantly increased withdrawal threshold in a dose-dependent manner (P &lt; 0.05 vs. vehicle).</w:t>
            </w:r>
          </w:p>
          <w:p w14:paraId="2CA417B4" w14:textId="77777777" w:rsidR="0017134B" w:rsidRPr="0042687C" w:rsidRDefault="0017134B" w:rsidP="009E1D1B">
            <w:pPr>
              <w:pStyle w:val="ListParagraph"/>
              <w:numPr>
                <w:ilvl w:val="0"/>
                <w:numId w:val="16"/>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Maximum efficacy was rapidly obtained following injection with the highest dose (0.3 mg/kg). </w:t>
            </w:r>
          </w:p>
          <w:p w14:paraId="2E2E0DDD" w14:textId="77777777" w:rsidR="0017134B" w:rsidRPr="0042687C" w:rsidRDefault="0017134B" w:rsidP="009E1D1B">
            <w:pPr>
              <w:pStyle w:val="ListParagraph"/>
              <w:numPr>
                <w:ilvl w:val="0"/>
                <w:numId w:val="16"/>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Maximum efficacy with lower doses (0.03 and 0.1 mg/kg) was not observed until 60-90 min following injection. </w:t>
            </w:r>
          </w:p>
          <w:p w14:paraId="37D696FA" w14:textId="77777777" w:rsidR="0017134B" w:rsidRPr="0042687C" w:rsidRDefault="0017134B" w:rsidP="009E1D1B">
            <w:pPr>
              <w:pStyle w:val="ListParagraph"/>
              <w:numPr>
                <w:ilvl w:val="0"/>
                <w:numId w:val="16"/>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The A50 (dose producing a 50% antinociceptive effect) (95% CL) at 60 and 90 min post injection was 0.05 (0.03–0.07) mg/kg and 0.04 (0.03–0.05) mg/kg, respectively.</w:t>
            </w:r>
          </w:p>
          <w:p w14:paraId="3E6AB76F"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Experiment 2: Efficacy following repeated dosing</w:t>
            </w:r>
          </w:p>
          <w:p w14:paraId="1F0BE329" w14:textId="77777777" w:rsidR="0017134B" w:rsidRPr="0042687C" w:rsidRDefault="0017134B" w:rsidP="009E1D1B">
            <w:pPr>
              <w:pStyle w:val="ListParagraph"/>
              <w:numPr>
                <w:ilvl w:val="0"/>
                <w:numId w:val="18"/>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The antinociceptive effect of CP 55,940 on threshold values was maintained, at full efficacy, with twice daily dosing over a 7-day observation period.</w:t>
            </w:r>
          </w:p>
          <w:p w14:paraId="26165A76"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Experiment 3: Pre-treatment with CB1 and CB2 selective receptor antagonists</w:t>
            </w:r>
          </w:p>
          <w:p w14:paraId="49CE7352" w14:textId="42992E0B"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Pre-treatment with rimonabant, a CB1 receptor antagonist, blocked the effect of CP 55,940 (P &lt; 0.05, rimonabant pre-treatment vs. vehicle pre-treatment) whereas pre-treatment with SR 144528, a CB2 receptor antagonist, did not block the effect of CP 55,940 (P &gt; 0.05, SR 144528 pre-treatment vs. vehicle pre-treatment) </w:t>
            </w:r>
          </w:p>
        </w:tc>
      </w:tr>
      <w:tr w:rsidR="0017134B" w:rsidRPr="0042687C" w14:paraId="6428722F" w14:textId="0D4C090B" w:rsidTr="0017134B">
        <w:tc>
          <w:tcPr>
            <w:tcW w:w="1351" w:type="dxa"/>
          </w:tcPr>
          <w:p w14:paraId="04311533" w14:textId="154AA4F1"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Hong et al (2015) </w:t>
            </w:r>
          </w:p>
        </w:tc>
        <w:tc>
          <w:tcPr>
            <w:tcW w:w="1021" w:type="dxa"/>
          </w:tcPr>
          <w:p w14:paraId="6A06F4B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n = 53 </w:t>
            </w:r>
          </w:p>
          <w:p w14:paraId="27E7946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C57BL/6J mice</w:t>
            </w:r>
          </w:p>
          <w:p w14:paraId="7A3537E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Young adult</w:t>
            </w:r>
          </w:p>
          <w:p w14:paraId="66AE050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20-25g</w:t>
            </w:r>
          </w:p>
          <w:p w14:paraId="3D050B8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T11</w:t>
            </w:r>
          </w:p>
        </w:tc>
        <w:tc>
          <w:tcPr>
            <w:tcW w:w="1462" w:type="dxa"/>
          </w:tcPr>
          <w:p w14:paraId="0599312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60FECA6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1.5 mm silicon tube placed into the T11 vertebral canal for 60 min. </w:t>
            </w:r>
          </w:p>
          <w:p w14:paraId="29A8B913" w14:textId="77777777" w:rsidR="0017134B" w:rsidRPr="0042687C" w:rsidRDefault="0017134B" w:rsidP="009E1D1B">
            <w:pPr>
              <w:rPr>
                <w:rFonts w:ascii="Myriad Pro" w:hAnsi="Myriad Pro" w:cs="Times New Roman"/>
                <w:color w:val="000000" w:themeColor="text1"/>
                <w:sz w:val="14"/>
                <w:szCs w:val="14"/>
              </w:rPr>
            </w:pPr>
          </w:p>
          <w:p w14:paraId="48D0E2F2" w14:textId="77777777" w:rsidR="0017134B" w:rsidRPr="0042687C" w:rsidRDefault="0017134B" w:rsidP="009E1D1B">
            <w:pPr>
              <w:rPr>
                <w:rFonts w:ascii="Myriad Pro" w:hAnsi="Myriad Pro" w:cs="Times New Roman"/>
                <w:color w:val="000000" w:themeColor="text1"/>
                <w:sz w:val="14"/>
                <w:szCs w:val="14"/>
              </w:rPr>
            </w:pPr>
          </w:p>
          <w:p w14:paraId="109F3DFA" w14:textId="77777777" w:rsidR="0017134B" w:rsidRPr="0042687C" w:rsidRDefault="0017134B" w:rsidP="009E1D1B">
            <w:pPr>
              <w:rPr>
                <w:rFonts w:ascii="Myriad Pro" w:hAnsi="Myriad Pro" w:cs="Times New Roman"/>
                <w:color w:val="000000" w:themeColor="text1"/>
                <w:sz w:val="14"/>
                <w:szCs w:val="14"/>
              </w:rPr>
            </w:pPr>
          </w:p>
        </w:tc>
        <w:tc>
          <w:tcPr>
            <w:tcW w:w="2262" w:type="dxa"/>
          </w:tcPr>
          <w:p w14:paraId="48194E0D" w14:textId="1E1988FF"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Rodent rotarod and 9-point Basso Mouse scale</w:t>
            </w:r>
          </w:p>
          <w:p w14:paraId="0DD42556" w14:textId="77777777" w:rsidR="0017134B" w:rsidRPr="0042687C" w:rsidRDefault="0017134B" w:rsidP="009E1D1B">
            <w:pPr>
              <w:pStyle w:val="ListParagraph"/>
              <w:numPr>
                <w:ilvl w:val="0"/>
                <w:numId w:val="19"/>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Vehicle i.p. for 21 days beginning 1 h post spinal cord compression (n = 13)* </w:t>
            </w:r>
          </w:p>
          <w:p w14:paraId="1EA91B34" w14:textId="77777777" w:rsidR="0017134B" w:rsidRPr="0042687C" w:rsidRDefault="0017134B" w:rsidP="009E1D1B">
            <w:pPr>
              <w:pStyle w:val="ListParagraph"/>
              <w:numPr>
                <w:ilvl w:val="0"/>
                <w:numId w:val="19"/>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ACEA 3mg/kg/day i.p. for 21 days beginning 1 h post spinal cord compression (n = 12)</w:t>
            </w:r>
          </w:p>
          <w:p w14:paraId="58854DE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Spontaneous open field locomotor activity</w:t>
            </w:r>
          </w:p>
          <w:p w14:paraId="0D09FFEB" w14:textId="77777777" w:rsidR="0017134B" w:rsidRPr="0042687C" w:rsidRDefault="0017134B" w:rsidP="009E1D1B">
            <w:pPr>
              <w:pStyle w:val="ListParagraph"/>
              <w:numPr>
                <w:ilvl w:val="0"/>
                <w:numId w:val="20"/>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Normal mice, no SCI (n = 5) </w:t>
            </w:r>
          </w:p>
          <w:p w14:paraId="53AB96EA" w14:textId="77777777" w:rsidR="0017134B" w:rsidRPr="0042687C" w:rsidRDefault="0017134B" w:rsidP="009E1D1B">
            <w:pPr>
              <w:pStyle w:val="ListParagraph"/>
              <w:numPr>
                <w:ilvl w:val="0"/>
                <w:numId w:val="20"/>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Vehicle once (n = 6) </w:t>
            </w:r>
          </w:p>
          <w:p w14:paraId="78C95FDA" w14:textId="77777777" w:rsidR="0017134B" w:rsidRPr="0042687C" w:rsidRDefault="0017134B" w:rsidP="009E1D1B">
            <w:pPr>
              <w:pStyle w:val="ListParagraph"/>
              <w:numPr>
                <w:ilvl w:val="0"/>
                <w:numId w:val="20"/>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ACEA 3 mg/kg i.p. once (n = 6)</w:t>
            </w:r>
          </w:p>
          <w:p w14:paraId="606F2E0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Elevated plus maze test</w:t>
            </w:r>
          </w:p>
          <w:p w14:paraId="24457186" w14:textId="77777777" w:rsidR="0017134B" w:rsidRPr="0042687C" w:rsidRDefault="0017134B" w:rsidP="009E1D1B">
            <w:pPr>
              <w:pStyle w:val="ListParagraph"/>
              <w:numPr>
                <w:ilvl w:val="0"/>
                <w:numId w:val="20"/>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i.p. (n = 6)</w:t>
            </w:r>
          </w:p>
          <w:p w14:paraId="1720F740" w14:textId="77777777" w:rsidR="0017134B" w:rsidRPr="0042687C" w:rsidRDefault="0017134B" w:rsidP="009E1D1B">
            <w:pPr>
              <w:pStyle w:val="ListParagraph"/>
              <w:numPr>
                <w:ilvl w:val="0"/>
                <w:numId w:val="20"/>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ACEA 3 mg/kg/day i.p. for 2 weeks (n = 6) </w:t>
            </w:r>
          </w:p>
          <w:p w14:paraId="66BA165C" w14:textId="77777777" w:rsidR="0017134B" w:rsidRPr="0042687C" w:rsidRDefault="0017134B" w:rsidP="009E1D1B">
            <w:pPr>
              <w:rPr>
                <w:rFonts w:ascii="Myriad Pro" w:hAnsi="Myriad Pro" w:cs="Times New Roman"/>
                <w:color w:val="000000" w:themeColor="text1"/>
                <w:sz w:val="14"/>
                <w:szCs w:val="14"/>
              </w:rPr>
            </w:pPr>
          </w:p>
          <w:p w14:paraId="0BF8A589" w14:textId="77777777" w:rsidR="0017134B" w:rsidRPr="0042687C" w:rsidRDefault="0017134B" w:rsidP="009E1D1B">
            <w:pPr>
              <w:rPr>
                <w:rFonts w:ascii="Myriad Pro" w:hAnsi="Myriad Pro" w:cs="Times New Roman"/>
                <w:color w:val="000000" w:themeColor="text1"/>
                <w:sz w:val="14"/>
                <w:szCs w:val="14"/>
              </w:rPr>
            </w:pPr>
          </w:p>
          <w:p w14:paraId="5CF331A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Started with 13 mice however 1 died thus only 12 were observed throughout the full experimental period.</w:t>
            </w:r>
          </w:p>
        </w:tc>
        <w:tc>
          <w:tcPr>
            <w:tcW w:w="1276" w:type="dxa"/>
          </w:tcPr>
          <w:p w14:paraId="78C4353E"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Rodent rotarod</w:t>
            </w:r>
          </w:p>
          <w:p w14:paraId="1A3B9578"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Basso Mouse scale </w:t>
            </w:r>
          </w:p>
          <w:p w14:paraId="7AE1DF80"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Spontaneous open field locomotor activity</w:t>
            </w:r>
          </w:p>
          <w:p w14:paraId="46483992"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Elevated plus maze test (looking at anxiolytic effects) </w:t>
            </w:r>
          </w:p>
        </w:tc>
        <w:tc>
          <w:tcPr>
            <w:tcW w:w="1559" w:type="dxa"/>
          </w:tcPr>
          <w:p w14:paraId="5BD56A7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Rodent rotarod: 1 day prior to and 1, 2, 7, 14, and 21  days after injury.</w:t>
            </w:r>
          </w:p>
          <w:p w14:paraId="2562E5B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Basso Mouse scale for locomotion: 21 days after injury.</w:t>
            </w:r>
          </w:p>
          <w:p w14:paraId="5E13B96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Spontaneous open field locomotor activity: 1, 2, 4, 24 hours post treatment. </w:t>
            </w:r>
          </w:p>
          <w:p w14:paraId="35BCA465"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Elevated plus maze test: after 2 weeks of treatment. </w:t>
            </w:r>
          </w:p>
        </w:tc>
        <w:tc>
          <w:tcPr>
            <w:tcW w:w="1418" w:type="dxa"/>
          </w:tcPr>
          <w:p w14:paraId="20FB99D3"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Repeat measures of ANOVA </w:t>
            </w:r>
          </w:p>
          <w:p w14:paraId="6F48F30A"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One-way ANOVA</w:t>
            </w:r>
          </w:p>
          <w:p w14:paraId="5CA0BA19"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 xml:space="preserve">Non-parametric Mann Whitney U statistic. </w:t>
            </w:r>
          </w:p>
        </w:tc>
        <w:tc>
          <w:tcPr>
            <w:tcW w:w="2976" w:type="dxa"/>
          </w:tcPr>
          <w:p w14:paraId="09883949"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Hindlimb function partially recovered in both vehicle and ACEA 3mg/kg/day treated mice.</w:t>
            </w:r>
          </w:p>
          <w:p w14:paraId="4A0A5E77"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Mice treated with ACEA 3mg/kg/day demonstrated improved rotarod function over the 21-day recovery interval versus the vehicle-treated group (P=0.04). </w:t>
            </w:r>
          </w:p>
          <w:p w14:paraId="0AD6D6DF"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Both vehicle and ACEA treated mice were able to use the hindlimbs to support body weight by 3 weeks (BMS score &gt;5). </w:t>
            </w:r>
          </w:p>
          <w:p w14:paraId="6EFDE21B"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Numerically, a greater number of mice were able to coordinate forelimb, hindlimb and tail function (BMS = 9) in the ACEA treatment group (5 of 12) versus vehicle treatment group (0 of 11).</w:t>
            </w:r>
          </w:p>
          <w:p w14:paraId="1CD80F63"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The ACEA treatment group had better BMS scores at 21 days compared to vehicle (ACEA = 8 ± 3, vehicle = 5 ± 6, p = 0.02). </w:t>
            </w:r>
          </w:p>
          <w:p w14:paraId="5A6C492B" w14:textId="27D2F9E5"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ACEA did not affect post-injury spontaneous activity or produce anxiolysis measured using e</w:t>
            </w:r>
            <w:r w:rsidRPr="0042687C">
              <w:rPr>
                <w:rFonts w:ascii="Myriad Pro" w:hAnsi="Myriad Pro" w:cs="Times New Roman"/>
                <w:color w:val="000000" w:themeColor="text1"/>
                <w:sz w:val="14"/>
                <w:szCs w:val="14"/>
              </w:rPr>
              <w:t xml:space="preserve">levated plus maze test. </w:t>
            </w:r>
          </w:p>
        </w:tc>
      </w:tr>
      <w:tr w:rsidR="0017134B" w:rsidRPr="0042687C" w14:paraId="7324162E" w14:textId="5C5908D1" w:rsidTr="0017134B">
        <w:tc>
          <w:tcPr>
            <w:tcW w:w="1351" w:type="dxa"/>
          </w:tcPr>
          <w:p w14:paraId="1C24AC1E" w14:textId="5F4D79EF"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Huo et al (2018) </w:t>
            </w:r>
          </w:p>
        </w:tc>
        <w:tc>
          <w:tcPr>
            <w:tcW w:w="1021" w:type="dxa"/>
          </w:tcPr>
          <w:p w14:paraId="45EBCB4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40</w:t>
            </w:r>
          </w:p>
          <w:p w14:paraId="01E2F8A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7B69000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NS</w:t>
            </w:r>
          </w:p>
          <w:p w14:paraId="063391C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300-350g</w:t>
            </w:r>
          </w:p>
          <w:p w14:paraId="036B1E9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Level: Catheter tip was at the level of the subclavian artery. </w:t>
            </w:r>
          </w:p>
        </w:tc>
        <w:tc>
          <w:tcPr>
            <w:tcW w:w="1462" w:type="dxa"/>
          </w:tcPr>
          <w:p w14:paraId="3F811DE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Spinal cord ischaemia</w:t>
            </w:r>
          </w:p>
          <w:p w14:paraId="5766319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Catheter occlusion of aorta (catheter tip at the level of the subclavian artery) for 12 min. </w:t>
            </w:r>
          </w:p>
        </w:tc>
        <w:tc>
          <w:tcPr>
            <w:tcW w:w="2262" w:type="dxa"/>
          </w:tcPr>
          <w:p w14:paraId="0688560E" w14:textId="7EB194DA"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Sham surgery + vehicle i.p. 8 h and 24 h after reperfusion (n = 10) </w:t>
            </w:r>
          </w:p>
          <w:p w14:paraId="375A0A6A"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control i.p. 8 h and 24 h after reperfusion (n = 10)</w:t>
            </w:r>
          </w:p>
          <w:p w14:paraId="144E483F"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WIN 55,212-2 1 mg/kg i.p. immediately, 8 h and 24 h after reperfusion (n = 10) </w:t>
            </w:r>
          </w:p>
          <w:p w14:paraId="1A365428"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1 mg/kg i.p. immediately, 8 h and 24 h after reperfusion + AM 251 1 mg/kg i.p. 30 min before each injection of WIN 55,212-2 (n = 10)</w:t>
            </w:r>
          </w:p>
          <w:p w14:paraId="31475002"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WIN 55,212-2 1 mg/kg i.p. immediately, 8 h and 24 h after reperfusion + AM 630 1 mg/kg </w:t>
            </w:r>
            <w:r w:rsidRPr="0042687C">
              <w:rPr>
                <w:rFonts w:ascii="Myriad Pro" w:hAnsi="Myriad Pro" w:cs="Times New Roman"/>
                <w:color w:val="000000" w:themeColor="text1"/>
                <w:sz w:val="14"/>
                <w:szCs w:val="14"/>
              </w:rPr>
              <w:lastRenderedPageBreak/>
              <w:t>i.p. 30 min before each injection of WIN 55,212-2 (n = 10)</w:t>
            </w:r>
          </w:p>
        </w:tc>
        <w:tc>
          <w:tcPr>
            <w:tcW w:w="1276" w:type="dxa"/>
          </w:tcPr>
          <w:p w14:paraId="17D52F86"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14-point motor deficit index (MDI) score</w:t>
            </w:r>
          </w:p>
        </w:tc>
        <w:tc>
          <w:tcPr>
            <w:tcW w:w="1559" w:type="dxa"/>
          </w:tcPr>
          <w:p w14:paraId="688CF68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48 hours after reperfusion</w:t>
            </w:r>
          </w:p>
        </w:tc>
        <w:tc>
          <w:tcPr>
            <w:tcW w:w="1418" w:type="dxa"/>
          </w:tcPr>
          <w:p w14:paraId="02D9900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Mann-Whitney U test</w:t>
            </w:r>
          </w:p>
        </w:tc>
        <w:tc>
          <w:tcPr>
            <w:tcW w:w="2976" w:type="dxa"/>
          </w:tcPr>
          <w:p w14:paraId="63C9911E"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WIN 55,212-2 treatment significantly improved motor deficit index (MDI) scores following ischaemic SCI compared to the control group (Control 5 [2], vs WIN 2.5 [1.25]; p &lt; 0.05)</w:t>
            </w:r>
          </w:p>
          <w:p w14:paraId="46D11E50"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CB2 receptor antagonism reversed the effects of WIN 55,212-2. The MDI score of the WIN + AM630 (CB2 R antagonist) treated group was greater than that of the WIN treated group (p &lt; 0.01), while there was no significant difference between the scores of WIN and WIN + AM251 (CB1 R antagonist) treated groups (WIN, 2.5 [1.25], vs WIN + AM630, 5 [1.25], WIN + AM251 2.5 [1.25]) </w:t>
            </w:r>
          </w:p>
          <w:p w14:paraId="355B39FB" w14:textId="5F84CAE9"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Data expressed as ‘median [interquartile range]’</w:t>
            </w:r>
          </w:p>
        </w:tc>
      </w:tr>
      <w:tr w:rsidR="0017134B" w:rsidRPr="0042687C" w14:paraId="0DDBC60D" w14:textId="3D899653" w:rsidTr="0017134B">
        <w:tc>
          <w:tcPr>
            <w:tcW w:w="1351" w:type="dxa"/>
          </w:tcPr>
          <w:p w14:paraId="4A73E3F6" w14:textId="6BDF6342"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Impellizzeri et al (2017)</w:t>
            </w:r>
          </w:p>
          <w:p w14:paraId="5AFD3AF1" w14:textId="77777777" w:rsidR="0017134B" w:rsidRPr="0042687C" w:rsidRDefault="0017134B" w:rsidP="009E1D1B">
            <w:pPr>
              <w:rPr>
                <w:rFonts w:ascii="Myriad Pro" w:hAnsi="Myriad Pro" w:cs="Times New Roman"/>
                <w:color w:val="000000" w:themeColor="text1"/>
                <w:sz w:val="14"/>
                <w:szCs w:val="14"/>
              </w:rPr>
            </w:pPr>
          </w:p>
        </w:tc>
        <w:tc>
          <w:tcPr>
            <w:tcW w:w="1021" w:type="dxa"/>
          </w:tcPr>
          <w:p w14:paraId="3FCB22F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60</w:t>
            </w:r>
          </w:p>
          <w:p w14:paraId="6F0846E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CD1 mice</w:t>
            </w:r>
          </w:p>
          <w:p w14:paraId="2B94CD1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Adult</w:t>
            </w:r>
          </w:p>
          <w:p w14:paraId="068D5FD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25-30g</w:t>
            </w:r>
          </w:p>
          <w:p w14:paraId="78A2D5E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19F5097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6878C82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Extradural compression with aneurysm clip (24 g) for 1 min </w:t>
            </w:r>
          </w:p>
          <w:p w14:paraId="7CA3B3FE" w14:textId="77777777" w:rsidR="0017134B" w:rsidRPr="0042687C" w:rsidRDefault="0017134B" w:rsidP="009E1D1B">
            <w:pPr>
              <w:rPr>
                <w:rFonts w:ascii="Myriad Pro" w:hAnsi="Myriad Pro" w:cs="Times New Roman"/>
                <w:color w:val="000000" w:themeColor="text1"/>
                <w:sz w:val="14"/>
                <w:szCs w:val="14"/>
              </w:rPr>
            </w:pPr>
          </w:p>
        </w:tc>
        <w:tc>
          <w:tcPr>
            <w:tcW w:w="2262" w:type="dxa"/>
          </w:tcPr>
          <w:p w14:paraId="2F3D1514" w14:textId="3F0BED2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Vehicle i.p. or orally (o.s.) (n = 10)</w:t>
            </w:r>
          </w:p>
          <w:p w14:paraId="555E7934"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SCI + PEA-OXA 10 mg/kg i.p. (n = 10) </w:t>
            </w:r>
          </w:p>
          <w:p w14:paraId="245CB109"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PEA-OXA 10 mg/kg o.s. (n = 10)</w:t>
            </w:r>
          </w:p>
          <w:p w14:paraId="1300646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Sham-operated + Vehicle i.p. or o.s. (n = 10)</w:t>
            </w:r>
          </w:p>
          <w:p w14:paraId="1117F3B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 + PEA-OXA 10 mg/kg i.p. (n = 10)</w:t>
            </w:r>
          </w:p>
          <w:p w14:paraId="5EECC350"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 + PEA-OXA 10 mg/kg o.s. (n = 10)</w:t>
            </w:r>
          </w:p>
          <w:p w14:paraId="3C0DB12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PEA-OXA i.p. and o.s. was administered 1h and 6h after SCI.</w:t>
            </w:r>
          </w:p>
        </w:tc>
        <w:tc>
          <w:tcPr>
            <w:tcW w:w="1276" w:type="dxa"/>
          </w:tcPr>
          <w:p w14:paraId="7450E307"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Basso Mouse Scale  </w:t>
            </w:r>
          </w:p>
        </w:tc>
        <w:tc>
          <w:tcPr>
            <w:tcW w:w="1559" w:type="dxa"/>
          </w:tcPr>
          <w:p w14:paraId="5E226B8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Daily for 10 days after SCI. </w:t>
            </w:r>
          </w:p>
        </w:tc>
        <w:tc>
          <w:tcPr>
            <w:tcW w:w="1418" w:type="dxa"/>
          </w:tcPr>
          <w:p w14:paraId="698491D4"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1DDB6628"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Bonferroni post-tests</w:t>
            </w:r>
          </w:p>
        </w:tc>
        <w:tc>
          <w:tcPr>
            <w:tcW w:w="2976" w:type="dxa"/>
          </w:tcPr>
          <w:p w14:paraId="04694369"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PEA-OXA treatment (10 mg/kg) ameliorated the functional deficits induced by SCI (p &lt; 0.05). </w:t>
            </w:r>
          </w:p>
          <w:p w14:paraId="3DC79F1A" w14:textId="554BC2CC"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No significant difference was found between intraperitoneal or oral administration of PEA-OXA.  </w:t>
            </w:r>
          </w:p>
        </w:tc>
      </w:tr>
      <w:tr w:rsidR="0017134B" w:rsidRPr="0042687C" w14:paraId="620F1D49" w14:textId="014280DE" w:rsidTr="0017134B">
        <w:tc>
          <w:tcPr>
            <w:tcW w:w="1351" w:type="dxa"/>
          </w:tcPr>
          <w:p w14:paraId="7219D6D8" w14:textId="0890CE2B"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Jing et al (2017) </w:t>
            </w:r>
          </w:p>
        </w:tc>
        <w:tc>
          <w:tcPr>
            <w:tcW w:w="1021" w:type="dxa"/>
          </w:tcPr>
          <w:p w14:paraId="6454136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168</w:t>
            </w:r>
          </w:p>
          <w:p w14:paraId="0878544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0B45A15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NS</w:t>
            </w:r>
          </w:p>
          <w:p w14:paraId="094BBBB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280-320g</w:t>
            </w:r>
          </w:p>
          <w:p w14:paraId="396CE99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N/A</w:t>
            </w:r>
          </w:p>
        </w:tc>
        <w:tc>
          <w:tcPr>
            <w:tcW w:w="1462" w:type="dxa"/>
          </w:tcPr>
          <w:p w14:paraId="22493F3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Ischemia/Reperfusion Injury</w:t>
            </w:r>
          </w:p>
          <w:p w14:paraId="6F0AC4C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Cross-clamp applied to aortic arch between the left common carotid artery and left subclavian artery for 14 minutes. </w:t>
            </w:r>
          </w:p>
        </w:tc>
        <w:tc>
          <w:tcPr>
            <w:tcW w:w="2262" w:type="dxa"/>
          </w:tcPr>
          <w:p w14:paraId="0B2C9935" w14:textId="5923D731"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 no remote ischaemic preconditioning (RIPC) or SCI (n = 36)</w:t>
            </w:r>
          </w:p>
          <w:p w14:paraId="48FE4AAA"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Control, SCI but no prior RIPC (n = 36)</w:t>
            </w:r>
          </w:p>
          <w:p w14:paraId="5E832F60"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RIPC, 3 cycles of RIPC prior to SCI (n = 36)</w:t>
            </w:r>
          </w:p>
          <w:p w14:paraId="69BD6AFC"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Vehicle i.p. 15 min prior to RIPC, followed by SCI (n = 36)</w:t>
            </w:r>
          </w:p>
          <w:p w14:paraId="22BE4214"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AM251 1 mg/kg i.p. 15 min prior to RIPC, followed by SCI (n = 36)</w:t>
            </w:r>
          </w:p>
          <w:p w14:paraId="77F9CEC1"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AM630 1 mg/kg i.p. 15 min prior to RIPC, followed by SCI (n = 36)</w:t>
            </w:r>
          </w:p>
        </w:tc>
        <w:tc>
          <w:tcPr>
            <w:tcW w:w="1276" w:type="dxa"/>
          </w:tcPr>
          <w:p w14:paraId="457DCBFB"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Tarlov scoring system</w:t>
            </w:r>
          </w:p>
        </w:tc>
        <w:tc>
          <w:tcPr>
            <w:tcW w:w="1559" w:type="dxa"/>
          </w:tcPr>
          <w:p w14:paraId="06073E6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4 h and 24 h after reperfusion.</w:t>
            </w:r>
          </w:p>
        </w:tc>
        <w:tc>
          <w:tcPr>
            <w:tcW w:w="1418" w:type="dxa"/>
          </w:tcPr>
          <w:p w14:paraId="5EF2475E"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Kruskal-Wallis</w:t>
            </w:r>
          </w:p>
          <w:p w14:paraId="0FA8B958"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Freidman tests</w:t>
            </w:r>
          </w:p>
          <w:p w14:paraId="56DB106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 xml:space="preserve">Dunn’s multiple comparison test. </w:t>
            </w:r>
          </w:p>
        </w:tc>
        <w:tc>
          <w:tcPr>
            <w:tcW w:w="2976" w:type="dxa"/>
          </w:tcPr>
          <w:p w14:paraId="567CFA07" w14:textId="77777777"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 xml:space="preserve">RIPC enhanced the recovery of motor function assessed using the Tarlov score (RIPC group vs control group; P &lt; 0.05, at 4 h and 24 h respectively). </w:t>
            </w:r>
          </w:p>
          <w:p w14:paraId="1390CA4B" w14:textId="77777777"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At 4 h after reperfusion, the neurological outcome in the AM 251 pre-treatment before RIPC group was significantly worse than the RIPC only group (P &lt; 0.05). The scores in RIPC, AM630, and vehicle groups did not significantly differ.</w:t>
            </w:r>
          </w:p>
          <w:p w14:paraId="71918613" w14:textId="34AD5A5E"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 xml:space="preserve">At 24 h after reperfusion, both AM251 and AM630 pre-treatment statistically abolished the neuroprotective effect of RIPC (AM 251 pre-treatment and AM 630 pre-treatment groups vs RIPC group; P &lt; 0.05 respectively).  </w:t>
            </w:r>
          </w:p>
        </w:tc>
      </w:tr>
      <w:tr w:rsidR="0017134B" w:rsidRPr="0042687C" w14:paraId="0C06F32C" w14:textId="60995456" w:rsidTr="0017134B">
        <w:tc>
          <w:tcPr>
            <w:tcW w:w="1351" w:type="dxa"/>
          </w:tcPr>
          <w:p w14:paraId="44A2BADA" w14:textId="43F4D96E"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Kwiatkoski et al (2012) </w:t>
            </w:r>
          </w:p>
        </w:tc>
        <w:tc>
          <w:tcPr>
            <w:tcW w:w="1021" w:type="dxa"/>
          </w:tcPr>
          <w:p w14:paraId="31E7162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28</w:t>
            </w:r>
          </w:p>
          <w:p w14:paraId="0949077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Wistar rats</w:t>
            </w:r>
          </w:p>
          <w:p w14:paraId="51B1514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NS</w:t>
            </w:r>
          </w:p>
          <w:p w14:paraId="1A86F45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280-300g</w:t>
            </w:r>
          </w:p>
          <w:p w14:paraId="4658A39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T10</w:t>
            </w:r>
          </w:p>
        </w:tc>
        <w:tc>
          <w:tcPr>
            <w:tcW w:w="1462" w:type="dxa"/>
          </w:tcPr>
          <w:p w14:paraId="5189C17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Cryogenic SCI</w:t>
            </w:r>
          </w:p>
          <w:p w14:paraId="2CCF9646"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Liquid nitrogen jet applied to spinal cord for 5 seconds</w:t>
            </w:r>
          </w:p>
        </w:tc>
        <w:tc>
          <w:tcPr>
            <w:tcW w:w="2262" w:type="dxa"/>
          </w:tcPr>
          <w:p w14:paraId="32C4BD11" w14:textId="4BA8CC5F"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Naive control, no surgery (n = 4)</w:t>
            </w:r>
          </w:p>
          <w:p w14:paraId="4096138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Laminectomy, no SCI (n = 8)</w:t>
            </w:r>
          </w:p>
          <w:p w14:paraId="5877565D"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Lesion + Vehicle i.p. immediately before, 3 h after, and daily for 6 days after SCI (n = 8)</w:t>
            </w:r>
          </w:p>
          <w:p w14:paraId="75391C74"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Lesion + CBD 20 mg/kg i.p. immediately before, 3 h after, and daily for 6 days after SCI (n = 8)</w:t>
            </w:r>
          </w:p>
        </w:tc>
        <w:tc>
          <w:tcPr>
            <w:tcW w:w="1276" w:type="dxa"/>
          </w:tcPr>
          <w:p w14:paraId="2B0572D9"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Basso, Beattie, Bresnahan Locomotor score</w:t>
            </w:r>
          </w:p>
        </w:tc>
        <w:tc>
          <w:tcPr>
            <w:tcW w:w="1559" w:type="dxa"/>
          </w:tcPr>
          <w:p w14:paraId="0B13A71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Before surgery and on the 1st, 3</w:t>
            </w:r>
            <w:r w:rsidRPr="0042687C">
              <w:rPr>
                <w:rFonts w:ascii="Myriad Pro" w:hAnsi="Myriad Pro" w:cs="Times New Roman"/>
                <w:color w:val="000000" w:themeColor="text1"/>
                <w:sz w:val="14"/>
                <w:szCs w:val="14"/>
                <w:vertAlign w:val="superscript"/>
              </w:rPr>
              <w:t>rd</w:t>
            </w:r>
            <w:r w:rsidRPr="0042687C">
              <w:rPr>
                <w:rFonts w:ascii="Myriad Pro" w:hAnsi="Myriad Pro" w:cs="Times New Roman"/>
                <w:color w:val="000000" w:themeColor="text1"/>
                <w:sz w:val="14"/>
                <w:szCs w:val="14"/>
              </w:rPr>
              <w:t>, and 7</w:t>
            </w:r>
            <w:r w:rsidRPr="0042687C">
              <w:rPr>
                <w:rFonts w:ascii="Myriad Pro" w:hAnsi="Myriad Pro" w:cs="Times New Roman"/>
                <w:color w:val="000000" w:themeColor="text1"/>
                <w:sz w:val="14"/>
                <w:szCs w:val="14"/>
                <w:vertAlign w:val="superscript"/>
              </w:rPr>
              <w:t>th</w:t>
            </w:r>
            <w:r w:rsidRPr="0042687C">
              <w:rPr>
                <w:rFonts w:ascii="Myriad Pro" w:hAnsi="Myriad Pro" w:cs="Times New Roman"/>
                <w:color w:val="000000" w:themeColor="text1"/>
                <w:sz w:val="14"/>
                <w:szCs w:val="14"/>
              </w:rPr>
              <w:t xml:space="preserve"> day after surgery. </w:t>
            </w:r>
          </w:p>
        </w:tc>
        <w:tc>
          <w:tcPr>
            <w:tcW w:w="1418" w:type="dxa"/>
          </w:tcPr>
          <w:p w14:paraId="0BFE7A19"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Two-way ANOVA</w:t>
            </w:r>
          </w:p>
          <w:p w14:paraId="3C9EC8E7"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Bonferroni post hoc test.</w:t>
            </w:r>
          </w:p>
        </w:tc>
        <w:tc>
          <w:tcPr>
            <w:tcW w:w="2976" w:type="dxa"/>
          </w:tcPr>
          <w:p w14:paraId="797087AF"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BBB scores did not differ between the animal groups before the test, all reaching the maximum BBB score of 21.  </w:t>
            </w:r>
          </w:p>
          <w:p w14:paraId="6D1245F9"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Day 1 after injury, all lesioned animals had a zero score on the BBB scale (no movement of the hind limbs). </w:t>
            </w:r>
          </w:p>
          <w:p w14:paraId="711355F8"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Day 3 after injury, BBB scores of CBD treated animals (median = 2) where greater than vehicle treated animals (median = 0.5); P &lt; 0.05 (Dunn’s test). </w:t>
            </w:r>
          </w:p>
          <w:p w14:paraId="0DD5F652"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Day 7 after injury, CBD treated animals continued to obtain higher BBB scores (median = 7.0, meaning ample movement of the three joints of the hind limbs) compared to vehicle treated animals (median = 4.5, with 4 points meaning discrete movement of </w:t>
            </w:r>
            <w:r w:rsidRPr="0042687C">
              <w:rPr>
                <w:rFonts w:ascii="Myriad Pro" w:hAnsi="Myriad Pro"/>
                <w:color w:val="000000" w:themeColor="text1"/>
                <w:sz w:val="14"/>
                <w:szCs w:val="14"/>
              </w:rPr>
              <w:lastRenderedPageBreak/>
              <w:t xml:space="preserve">the thee joints of the hind limbs); p &lt; 0.05 (Dunn’s test). </w:t>
            </w:r>
          </w:p>
          <w:p w14:paraId="5D0861B3" w14:textId="64575891"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Both CBD and vehicle treatment groups achieved improvements in BBB score improvement from the Day 1 to Day 7; p  &lt; 0.01 (Friedman test).</w:t>
            </w:r>
          </w:p>
        </w:tc>
      </w:tr>
      <w:tr w:rsidR="0017134B" w:rsidRPr="0042687C" w14:paraId="21D735AF" w14:textId="7D460FA4" w:rsidTr="0017134B">
        <w:tc>
          <w:tcPr>
            <w:tcW w:w="1351" w:type="dxa"/>
          </w:tcPr>
          <w:p w14:paraId="608A8A13" w14:textId="15C2307C"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Latini et al (2014) </w:t>
            </w:r>
          </w:p>
        </w:tc>
        <w:tc>
          <w:tcPr>
            <w:tcW w:w="1021" w:type="dxa"/>
          </w:tcPr>
          <w:p w14:paraId="3DDFE7D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40</w:t>
            </w:r>
          </w:p>
          <w:p w14:paraId="51CE4DB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Wistar rats</w:t>
            </w:r>
          </w:p>
          <w:p w14:paraId="7288562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Adult</w:t>
            </w:r>
          </w:p>
          <w:p w14:paraId="735EB70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200-250g</w:t>
            </w:r>
          </w:p>
          <w:p w14:paraId="139FF6F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C4</w:t>
            </w:r>
          </w:p>
        </w:tc>
        <w:tc>
          <w:tcPr>
            <w:tcW w:w="1462" w:type="dxa"/>
          </w:tcPr>
          <w:p w14:paraId="7AD2F5F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0A33DFF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Lateral cervical spinal cord hemisection (SCH) using iridectomy scissors. </w:t>
            </w:r>
          </w:p>
        </w:tc>
        <w:tc>
          <w:tcPr>
            <w:tcW w:w="2262" w:type="dxa"/>
          </w:tcPr>
          <w:p w14:paraId="03233CA1" w14:textId="34A6E95E"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Control, no SCI (n = 10)</w:t>
            </w:r>
          </w:p>
          <w:p w14:paraId="79D9ADAC"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SCH + JWH-015 3 mg/kg i.p. daily for 7 days (n = 10)</w:t>
            </w:r>
          </w:p>
          <w:p w14:paraId="2EE8A0BD"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SCH + SR2 3 mg/kg i.p. daily for 7 days (n = 10) </w:t>
            </w:r>
          </w:p>
          <w:p w14:paraId="2D6B49CE"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SCH + Saline i.p. daily for 7 days (n = 10)</w:t>
            </w:r>
            <w:r w:rsidRPr="0042687C">
              <w:rPr>
                <w:rFonts w:ascii="Myriad Pro" w:hAnsi="Myriad Pro" w:cs="Times New Roman"/>
                <w:strike/>
                <w:color w:val="000000" w:themeColor="text1"/>
                <w:sz w:val="14"/>
                <w:szCs w:val="14"/>
              </w:rPr>
              <w:t xml:space="preserve"> </w:t>
            </w:r>
          </w:p>
        </w:tc>
        <w:tc>
          <w:tcPr>
            <w:tcW w:w="1276" w:type="dxa"/>
          </w:tcPr>
          <w:p w14:paraId="07FB20D5"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Beam-walking test</w:t>
            </w:r>
          </w:p>
          <w:p w14:paraId="4827394F"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catWalk</w:t>
            </w:r>
          </w:p>
        </w:tc>
        <w:tc>
          <w:tcPr>
            <w:tcW w:w="1559" w:type="dxa"/>
          </w:tcPr>
          <w:p w14:paraId="23CE72CD"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Beam walking: Day 0 (control), 1, 3, 5, 7, 21 and 60 days after surgery. </w:t>
            </w:r>
          </w:p>
          <w:p w14:paraId="4216F9EA"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catWalk: Day 7, 21, 60</w:t>
            </w:r>
          </w:p>
          <w:p w14:paraId="067E5EE0" w14:textId="77777777" w:rsidR="0017134B" w:rsidRPr="0042687C" w:rsidRDefault="0017134B" w:rsidP="009E1D1B">
            <w:pPr>
              <w:rPr>
                <w:rFonts w:ascii="Myriad Pro" w:hAnsi="Myriad Pro" w:cs="Times New Roman"/>
                <w:color w:val="000000" w:themeColor="text1"/>
                <w:sz w:val="14"/>
                <w:szCs w:val="14"/>
              </w:rPr>
            </w:pPr>
          </w:p>
          <w:p w14:paraId="390A7B30" w14:textId="77777777" w:rsidR="0017134B" w:rsidRPr="0042687C" w:rsidRDefault="0017134B" w:rsidP="009E1D1B">
            <w:pPr>
              <w:rPr>
                <w:rFonts w:ascii="Myriad Pro" w:hAnsi="Myriad Pro" w:cs="Times New Roman"/>
                <w:color w:val="000000" w:themeColor="text1"/>
                <w:sz w:val="14"/>
                <w:szCs w:val="14"/>
              </w:rPr>
            </w:pPr>
          </w:p>
        </w:tc>
        <w:tc>
          <w:tcPr>
            <w:tcW w:w="1418" w:type="dxa"/>
          </w:tcPr>
          <w:p w14:paraId="6224A2AC"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Mixed-effects linear regression or mixed-effects logistic regression/ generalised estimating equation (GEE) analysis</w:t>
            </w:r>
          </w:p>
          <w:p w14:paraId="32819034"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Turkey-Kramer multiple comparison post-test adjustments</w:t>
            </w:r>
            <w:r w:rsidRPr="0042687C">
              <w:rPr>
                <w:rFonts w:ascii="Myriad Pro" w:hAnsi="Myriad Pro"/>
                <w:strike/>
                <w:color w:val="000000" w:themeColor="text1"/>
                <w:sz w:val="14"/>
                <w:szCs w:val="14"/>
              </w:rPr>
              <w:t xml:space="preserve"> </w:t>
            </w:r>
          </w:p>
        </w:tc>
        <w:tc>
          <w:tcPr>
            <w:tcW w:w="2976" w:type="dxa"/>
          </w:tcPr>
          <w:p w14:paraId="05ED9609"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Beam-walking test: </w:t>
            </w:r>
          </w:p>
          <w:p w14:paraId="06A18534"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Day 1 after SCH: Saline, JWH, SR2 treatment groups exhibited uniform, severe motor impairments. </w:t>
            </w:r>
          </w:p>
          <w:p w14:paraId="7D7FDCA0"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Day 3 onwards: JWH treated animals obtained better beam-walking scores than saline treated animals (p &lt;0.001) and SR2 treated animals (p &lt; 0.0001). </w:t>
            </w:r>
          </w:p>
          <w:p w14:paraId="2D3FE3EE"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No differences were observed between saline and SR2 treatment groups.</w:t>
            </w:r>
          </w:p>
          <w:p w14:paraId="0717FA68"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CatWalk: </w:t>
            </w:r>
          </w:p>
          <w:p w14:paraId="3DEE0C32"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All SCH groups developed clear deficits in all parameters on day 7. </w:t>
            </w:r>
          </w:p>
          <w:p w14:paraId="7056BEA4"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In subsequent days, all groups generated recovery curves that never reached control values. JWH treatment group CatWalk scores significantly differed from saline and SR2 treated animals at all time points;</w:t>
            </w:r>
          </w:p>
          <w:p w14:paraId="75F4BF75" w14:textId="4ADC89AC"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No differences were observed between the saline and SR2 treatment groups. </w:t>
            </w:r>
          </w:p>
        </w:tc>
      </w:tr>
      <w:tr w:rsidR="0017134B" w:rsidRPr="0042687C" w14:paraId="332191A1" w14:textId="526FF020" w:rsidTr="0017134B">
        <w:tc>
          <w:tcPr>
            <w:tcW w:w="1351" w:type="dxa"/>
          </w:tcPr>
          <w:p w14:paraId="583331B8" w14:textId="595B1D3E"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Li et al (2018) </w:t>
            </w:r>
          </w:p>
        </w:tc>
        <w:tc>
          <w:tcPr>
            <w:tcW w:w="1021" w:type="dxa"/>
          </w:tcPr>
          <w:p w14:paraId="3F07540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25</w:t>
            </w:r>
          </w:p>
          <w:p w14:paraId="173092B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Female C57BL/6 mice</w:t>
            </w:r>
          </w:p>
          <w:p w14:paraId="3D79A3C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7-9 weeks</w:t>
            </w:r>
          </w:p>
          <w:p w14:paraId="7E8D5B6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16-21g</w:t>
            </w:r>
          </w:p>
          <w:p w14:paraId="0FF7F17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T9-T10</w:t>
            </w:r>
          </w:p>
        </w:tc>
        <w:tc>
          <w:tcPr>
            <w:tcW w:w="1462" w:type="dxa"/>
          </w:tcPr>
          <w:p w14:paraId="35F6DF2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5ADBF09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Contusive injury by impactor drop from 3mm to deliver 60 kdyn force to spinal cord.</w:t>
            </w:r>
          </w:p>
          <w:p w14:paraId="42A91896" w14:textId="77777777" w:rsidR="0017134B" w:rsidRPr="0042687C" w:rsidRDefault="0017134B" w:rsidP="009E1D1B">
            <w:pPr>
              <w:rPr>
                <w:rFonts w:ascii="Myriad Pro" w:hAnsi="Myriad Pro" w:cs="Times New Roman"/>
                <w:color w:val="000000" w:themeColor="text1"/>
                <w:sz w:val="14"/>
                <w:szCs w:val="14"/>
              </w:rPr>
            </w:pPr>
          </w:p>
        </w:tc>
        <w:tc>
          <w:tcPr>
            <w:tcW w:w="2262" w:type="dxa"/>
          </w:tcPr>
          <w:p w14:paraId="6C20FC85" w14:textId="58CFDEE1"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Sham, no SCI (n = 10)  </w:t>
            </w:r>
          </w:p>
          <w:p w14:paraId="488465D7" w14:textId="33E8E9C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Vehicle i.p. 1 h, 24 h and on day 3 post-surgery, then twice a week for 10 weeks (n = 7)</w:t>
            </w:r>
          </w:p>
          <w:p w14:paraId="1A43B5C2" w14:textId="0CC1DC90"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Cannabidiol 1.5 mg/kg i.p 1 h, 24 h and on day 3 post-surgery, then twice a week for 10 weeks (n = 8)</w:t>
            </w:r>
          </w:p>
        </w:tc>
        <w:tc>
          <w:tcPr>
            <w:tcW w:w="1276" w:type="dxa"/>
          </w:tcPr>
          <w:p w14:paraId="32A0A659"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Basso Mouse scale </w:t>
            </w:r>
          </w:p>
          <w:p w14:paraId="581A7A20"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Hindpaw withdrawal from thermal stimulus</w:t>
            </w:r>
          </w:p>
          <w:p w14:paraId="0ACBF6A5"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von Frey filaments test</w:t>
            </w:r>
          </w:p>
        </w:tc>
        <w:tc>
          <w:tcPr>
            <w:tcW w:w="1559" w:type="dxa"/>
          </w:tcPr>
          <w:p w14:paraId="4DC1C35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Basso Mouse Scale: Day 1, 3, 7 and thereafter once weekly for 10 weeks</w:t>
            </w:r>
          </w:p>
          <w:p w14:paraId="1D6F278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Hindpaw withdrawal from thermal stimulus: before surgery then week 4, 6, and 10 after surgery. </w:t>
            </w:r>
          </w:p>
          <w:p w14:paraId="4C4B96B2"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Von Frey filaments test: before surgery then week 2, 4, 6, 8, 10 after surgery. </w:t>
            </w:r>
          </w:p>
        </w:tc>
        <w:tc>
          <w:tcPr>
            <w:tcW w:w="1418" w:type="dxa"/>
          </w:tcPr>
          <w:p w14:paraId="0AE0F6CB"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One-way ANOVA </w:t>
            </w:r>
          </w:p>
          <w:p w14:paraId="7368923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Newman-Keuls post-hoc analysis</w:t>
            </w:r>
          </w:p>
        </w:tc>
        <w:tc>
          <w:tcPr>
            <w:tcW w:w="2976" w:type="dxa"/>
          </w:tcPr>
          <w:p w14:paraId="099A5B23"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Basso Mouse Score</w:t>
            </w:r>
          </w:p>
          <w:p w14:paraId="01A7046B"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CBD treatment following SCI had no significant effect on BMS scores compared to the vehicle treatment. </w:t>
            </w:r>
          </w:p>
          <w:p w14:paraId="7F6120E8"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Thermal Hypersensitivity</w:t>
            </w:r>
          </w:p>
          <w:p w14:paraId="4C3872A5"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10 weeks post-SCI, median percent thermal threshold scores compared to baseline were approximately 50% in vehicle treated mice and 70% in CBD treated mice.</w:t>
            </w:r>
          </w:p>
          <w:p w14:paraId="2C930DD1"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Mixed-effects linear regression showed a significant main effect of CBD treatment [F(2, 22) = 20.75, p&lt;0.0001], but no significant main effect of time [F(2, 44) &lt; 1, n.s.] and no significant interaction between CBD treatment and time [F(4, 44) = 1.17, n.s.]. </w:t>
            </w:r>
          </w:p>
          <w:p w14:paraId="2085D7A8"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Tukey’s multiple comparison post-tests showed that at Week 4, both SCI-VEH and SCI-CBD mice were significantly more sensitive compared with SHAM mice, at Week 6 only SCI-VEH mice were significantly different from SHAM mice, and at Week 10 </w:t>
            </w:r>
            <w:r w:rsidRPr="0042687C">
              <w:rPr>
                <w:rFonts w:ascii="Myriad Pro" w:hAnsi="Myriad Pro"/>
                <w:color w:val="000000" w:themeColor="text1"/>
                <w:sz w:val="14"/>
                <w:szCs w:val="14"/>
              </w:rPr>
              <w:lastRenderedPageBreak/>
              <w:t>both SCI-VEH and SCI-CBD mice showed significantly more sensitivity compared with SHAM mice.</w:t>
            </w:r>
          </w:p>
          <w:p w14:paraId="49AEFB82" w14:textId="77777777" w:rsidR="0017134B" w:rsidRPr="0042687C" w:rsidRDefault="0017134B" w:rsidP="009E1D1B">
            <w:pPr>
              <w:pStyle w:val="ListParagraph"/>
              <w:numPr>
                <w:ilvl w:val="0"/>
                <w:numId w:val="17"/>
              </w:numPr>
              <w:ind w:left="187" w:hanging="187"/>
              <w:rPr>
                <w:rFonts w:ascii="Myriad Pro" w:hAnsi="Myriad Pro"/>
                <w:b/>
                <w:bCs/>
                <w:color w:val="000000" w:themeColor="text1"/>
                <w:sz w:val="14"/>
                <w:szCs w:val="14"/>
              </w:rPr>
            </w:pPr>
            <w:r w:rsidRPr="0042687C">
              <w:rPr>
                <w:rFonts w:ascii="Myriad Pro" w:hAnsi="Myriad Pro"/>
                <w:color w:val="000000" w:themeColor="text1"/>
                <w:sz w:val="14"/>
                <w:szCs w:val="14"/>
              </w:rPr>
              <w:t>Analysis using two sensitivity categories (“mild” = ≥66 - 100% baseline thermal threshold response and “moderate to severe” = 0 – 65.9% baseline thermal threshold response): Approximately 70% of vehicle treated mice went developed moderate to severe thermal sensitivity that progressed in severity between 4 and 10 weeks post-SCI whereas only 25% of CBD treated mice developed moderate to severe thermal sensitivity. GEE/mixed-effects logistic regression analysis showed a significant effect of treatment (p=0.01) but no significant effect of time (p=0.85). Post-test analysis showed that vehicle treated mice had a significantly higher proportion of “moderate to severe” than the sham injured mice across time (p&lt;0.01). CBD treated mice were not significantly different from SHAM mice across time.</w:t>
            </w:r>
          </w:p>
          <w:p w14:paraId="58F37BE6"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Mechanical sensitivity</w:t>
            </w:r>
          </w:p>
          <w:p w14:paraId="0FE4FFF3"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Mixed linear regression analysis revealed no statistically significant main effect of treatment</w:t>
            </w:r>
            <w:r w:rsidRPr="0042687C">
              <w:rPr>
                <w:rFonts w:ascii="Myriad Pro" w:hAnsi="Myriad Pro"/>
                <w:b/>
                <w:bCs/>
                <w:color w:val="000000" w:themeColor="text1"/>
                <w:sz w:val="14"/>
                <w:szCs w:val="14"/>
              </w:rPr>
              <w:t xml:space="preserve"> </w:t>
            </w:r>
            <w:r w:rsidRPr="0042687C">
              <w:rPr>
                <w:rFonts w:ascii="Myriad Pro" w:hAnsi="Myriad Pro"/>
                <w:color w:val="000000" w:themeColor="text1"/>
                <w:sz w:val="14"/>
                <w:szCs w:val="14"/>
              </w:rPr>
              <w:t>[F(2,22) = 0.98, p=0.39], time [F(8,175) = 1.03, ns], or interaction of treatment and time [F(16,175) =1.17, ns].</w:t>
            </w:r>
            <w:r w:rsidRPr="0042687C">
              <w:rPr>
                <w:rFonts w:ascii="Myriad Pro" w:hAnsi="Myriad Pro"/>
                <w:b/>
                <w:bCs/>
                <w:color w:val="000000" w:themeColor="text1"/>
                <w:sz w:val="14"/>
                <w:szCs w:val="14"/>
              </w:rPr>
              <w:t xml:space="preserve"> </w:t>
            </w:r>
          </w:p>
          <w:p w14:paraId="5F3BB523"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Analysis of more sensitive and less sensitive mechanical sensitivity values obtained by mice at each time point: </w:t>
            </w:r>
          </w:p>
          <w:p w14:paraId="10A0F1D5"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When the more sensitive percent baseline scores for each mouse (left paw vs right paw) were averaged from each animal at each time point, it was observed that vehicle and CBD treated mice displayed higher sensitivity to touch than sham mice. Mixed-effects linear regression analysis revealed a marginally significant main effect of treatment [F(2,22) = 2.42, p=0.11], and no statistically significant main effect of time [F(8,175) = 1.05, ns], and no statistically significant interaction between treatment and time [F(16,175) =1.16, ns]. Tukey-Kramer’s post-tests showed (marginally) significant differences between CBD and sham-injured groups at week 4 (p=0.08) and between vehicle and sham-injured groups at </w:t>
            </w:r>
            <w:r w:rsidRPr="0042687C">
              <w:rPr>
                <w:rFonts w:ascii="Myriad Pro" w:hAnsi="Myriad Pro"/>
                <w:color w:val="000000" w:themeColor="text1"/>
                <w:sz w:val="14"/>
                <w:szCs w:val="14"/>
              </w:rPr>
              <w:lastRenderedPageBreak/>
              <w:t>week 4 (p=0.06), week 6 (p=0.03), and week 8 (p=0.02).</w:t>
            </w:r>
          </w:p>
          <w:p w14:paraId="494F3686" w14:textId="096A445C"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When the less sensitive percent baseline scores for each mouse (left paw vs right paw) were averaged, it was observed that vehicle and CBD treated mice displayed less sensitivity to touch than sham mice. Mixed-effects linear regression analysis revealed a statistically significant main effect of treatment [F(2,22) = 3.70, p=0.04], and no statistically significant main effect of time [F(8,175) = 1.32, ns], and no statistically significant interaction between treatment and time [F(16,175) = 0.78, ns]. Tukey-Kramer’s post-tests showed marginally significant differences between SCI-CBD and SHAM groups at week 6 (p=0.09), and marginally significant differences overall among the three groups at week 2 (p=0.03), week 5 (p=0.07), and week 6 (p=0.07). </w:t>
            </w:r>
          </w:p>
        </w:tc>
      </w:tr>
      <w:tr w:rsidR="0017134B" w:rsidRPr="0042687C" w14:paraId="73538A71" w14:textId="7ECB145F" w:rsidTr="0017134B">
        <w:tc>
          <w:tcPr>
            <w:tcW w:w="1351" w:type="dxa"/>
          </w:tcPr>
          <w:p w14:paraId="0EE42C05" w14:textId="68457158"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 xml:space="preserve">Paterniti et al (2013a) </w:t>
            </w:r>
          </w:p>
        </w:tc>
        <w:tc>
          <w:tcPr>
            <w:tcW w:w="1021" w:type="dxa"/>
          </w:tcPr>
          <w:p w14:paraId="627986D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390</w:t>
            </w:r>
          </w:p>
          <w:p w14:paraId="6B35F94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 (homozygous for the Ppara</w:t>
            </w:r>
            <w:r w:rsidRPr="0042687C">
              <w:rPr>
                <w:rFonts w:ascii="Myriad Pro" w:eastAsiaTheme="minorEastAsia" w:hAnsi="Myriad Pro" w:cs="Times New Roman"/>
                <w:color w:val="000000" w:themeColor="text1"/>
                <w:sz w:val="14"/>
                <w:szCs w:val="14"/>
                <w:vertAlign w:val="superscript"/>
              </w:rPr>
              <w:t>tm1Gonz</w:t>
            </w:r>
            <w:r w:rsidRPr="0042687C">
              <w:rPr>
                <w:rFonts w:ascii="Myriad Pro" w:eastAsiaTheme="minorEastAsia" w:hAnsi="Myriad Pro" w:cs="Times New Roman"/>
                <w:color w:val="000000" w:themeColor="text1"/>
                <w:sz w:val="14"/>
                <w:szCs w:val="14"/>
              </w:rPr>
              <w:t xml:space="preserve"> targetted mutation, strain name: 129S4/SvJae-Ppara</w:t>
            </w:r>
            <w:r w:rsidRPr="0042687C">
              <w:rPr>
                <w:rFonts w:ascii="Myriad Pro" w:eastAsiaTheme="minorEastAsia" w:hAnsi="Myriad Pro" w:cs="Times New Roman"/>
                <w:color w:val="000000" w:themeColor="text1"/>
                <w:sz w:val="14"/>
                <w:szCs w:val="14"/>
                <w:vertAlign w:val="superscript"/>
              </w:rPr>
              <w:t>tm1Gonz</w:t>
            </w:r>
            <w:r w:rsidRPr="0042687C">
              <w:rPr>
                <w:rFonts w:ascii="Myriad Pro" w:eastAsiaTheme="minorEastAsia" w:hAnsi="Myriad Pro" w:cs="Times New Roman"/>
                <w:color w:val="000000" w:themeColor="text1"/>
                <w:sz w:val="14"/>
                <w:szCs w:val="14"/>
              </w:rPr>
              <w:t>/J) and litter-mate wildtype controls. Gender not stated.</w:t>
            </w:r>
          </w:p>
          <w:p w14:paraId="10AA2F6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6-7 weeks</w:t>
            </w:r>
          </w:p>
          <w:p w14:paraId="6BEA5FC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20-27g</w:t>
            </w:r>
          </w:p>
          <w:p w14:paraId="196A61A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21318C1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04D8970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Extradural compression with aneurysm clip (24 g) for 1 minute. </w:t>
            </w:r>
          </w:p>
        </w:tc>
        <w:tc>
          <w:tcPr>
            <w:tcW w:w="2262" w:type="dxa"/>
          </w:tcPr>
          <w:p w14:paraId="04263891" w14:textId="3898127A"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WT mice, sham + vehicle i.p. 1 h, 6h post-surgery (n = 30) </w:t>
            </w:r>
          </w:p>
          <w:p w14:paraId="4954CA6C"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WT mice, sham + PEA 10 mg/kg i.p. 1 h, 6h post-surgery (n = 30)</w:t>
            </w:r>
          </w:p>
          <w:p w14:paraId="54E67078"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WT mice, sham + vehicle i.p. 1h, 6h post-surgery + GW9662 1 mg/kg i.p. 30 min prior to vehicle injections (n = 30) </w:t>
            </w:r>
          </w:p>
          <w:p w14:paraId="27758044"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WT mice, SCI + vehicle i.p. 1 h, 6h post-surgery (n = 30) </w:t>
            </w:r>
          </w:p>
          <w:p w14:paraId="61C66DEB"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WT mice, SCI + PEA 10 mg/kg i.p. 1 h, 6h post-surgery (n = 30)</w:t>
            </w:r>
          </w:p>
          <w:p w14:paraId="1473B99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WT mice, SCI + vehicle i.p. 1 h, 6h post SCI + GSK0660 1 mg/kg i.p. 30m and 5h post-SCI (n = 30)</w:t>
            </w:r>
          </w:p>
          <w:p w14:paraId="36A2F0C7"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WT mice, SCI + PEA 10 mg/kg i.p. 1h, 6h post-SCI + GSK0660 1 mg/kg i.p. 30 min prior to PEA injections (n = 30) </w:t>
            </w:r>
          </w:p>
          <w:p w14:paraId="23FBDADC"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 , sham + vehicle i</w:t>
            </w:r>
            <w:r w:rsidRPr="0042687C">
              <w:rPr>
                <w:rFonts w:ascii="Myriad Pro" w:hAnsi="Myriad Pro" w:cs="Times New Roman"/>
                <w:color w:val="000000" w:themeColor="text1"/>
                <w:sz w:val="14"/>
                <w:szCs w:val="14"/>
              </w:rPr>
              <w:t xml:space="preserve">.p. 1 h, 6h post-surgery (n = 30) </w:t>
            </w:r>
          </w:p>
          <w:p w14:paraId="1007F83A"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 xml:space="preserve">KO mice, sham + PEA </w:t>
            </w:r>
            <w:r w:rsidRPr="0042687C">
              <w:rPr>
                <w:rFonts w:ascii="Myriad Pro" w:hAnsi="Myriad Pro" w:cs="Times New Roman"/>
                <w:color w:val="000000" w:themeColor="text1"/>
                <w:sz w:val="14"/>
                <w:szCs w:val="14"/>
              </w:rPr>
              <w:t>10 mg/kg i.p. 1 h, 6h post-surgery (n = 30)</w:t>
            </w:r>
          </w:p>
          <w:p w14:paraId="1CCA756E"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w:t>
            </w:r>
            <w:r w:rsidRPr="0042687C">
              <w:rPr>
                <w:rFonts w:ascii="Myriad Pro" w:hAnsi="Myriad Pro" w:cs="Times New Roman"/>
                <w:color w:val="000000" w:themeColor="text1"/>
                <w:sz w:val="14"/>
                <w:szCs w:val="14"/>
              </w:rPr>
              <w:t>, SCI + vehicle</w:t>
            </w:r>
            <w:r w:rsidRPr="0042687C">
              <w:rPr>
                <w:rFonts w:ascii="Myriad Pro" w:eastAsiaTheme="minorEastAsia" w:hAnsi="Myriad Pro" w:cs="Times New Roman"/>
                <w:color w:val="000000" w:themeColor="text1"/>
                <w:sz w:val="14"/>
                <w:szCs w:val="14"/>
              </w:rPr>
              <w:t xml:space="preserve"> i</w:t>
            </w:r>
            <w:r w:rsidRPr="0042687C">
              <w:rPr>
                <w:rFonts w:ascii="Myriad Pro" w:hAnsi="Myriad Pro" w:cs="Times New Roman"/>
                <w:color w:val="000000" w:themeColor="text1"/>
                <w:sz w:val="14"/>
                <w:szCs w:val="14"/>
              </w:rPr>
              <w:t xml:space="preserve">.p. 1 h, 6h post-SCI (n = 30) </w:t>
            </w:r>
          </w:p>
          <w:p w14:paraId="1E07C4D2"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w:t>
            </w:r>
            <w:r w:rsidRPr="0042687C">
              <w:rPr>
                <w:rFonts w:ascii="Myriad Pro" w:hAnsi="Myriad Pro" w:cs="Times New Roman"/>
                <w:color w:val="000000" w:themeColor="text1"/>
                <w:sz w:val="14"/>
                <w:szCs w:val="14"/>
              </w:rPr>
              <w:t>, SCI + PEA 10 mg/kg i.p. 1 h, 6h post-surgery (n = 30)</w:t>
            </w:r>
          </w:p>
          <w:p w14:paraId="2B16672F"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w:t>
            </w:r>
            <w:r w:rsidRPr="0042687C">
              <w:rPr>
                <w:rFonts w:ascii="Myriad Pro" w:hAnsi="Myriad Pro" w:cs="Times New Roman"/>
                <w:color w:val="000000" w:themeColor="text1"/>
                <w:sz w:val="14"/>
                <w:szCs w:val="14"/>
              </w:rPr>
              <w:t>, SCI + vehicle</w:t>
            </w:r>
            <w:r w:rsidRPr="0042687C">
              <w:rPr>
                <w:rFonts w:ascii="Myriad Pro" w:eastAsiaTheme="minorEastAsia" w:hAnsi="Myriad Pro" w:cs="Times New Roman"/>
                <w:color w:val="000000" w:themeColor="text1"/>
                <w:sz w:val="14"/>
                <w:szCs w:val="14"/>
              </w:rPr>
              <w:t xml:space="preserve"> i</w:t>
            </w:r>
            <w:r w:rsidRPr="0042687C">
              <w:rPr>
                <w:rFonts w:ascii="Myriad Pro" w:hAnsi="Myriad Pro" w:cs="Times New Roman"/>
                <w:color w:val="000000" w:themeColor="text1"/>
                <w:sz w:val="14"/>
                <w:szCs w:val="14"/>
              </w:rPr>
              <w:t>.p. 1 h, 6h post-SCI + GW9662 1 mg/kg i.p. 30 min and 5h post-SCI (n = 30)</w:t>
            </w:r>
          </w:p>
          <w:p w14:paraId="1581471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PPAR-</w:t>
            </w:r>
            <m:oMath>
              <m:r>
                <w:rPr>
                  <w:rFonts w:ascii="Cambria Math" w:hAnsi="Cambria Math" w:cs="Times New Roman"/>
                  <w:color w:val="000000" w:themeColor="text1"/>
                  <w:sz w:val="14"/>
                  <w:szCs w:val="14"/>
                </w:rPr>
                <m:t>α</m:t>
              </m:r>
            </m:oMath>
            <w:r w:rsidRPr="0042687C">
              <w:rPr>
                <w:rFonts w:ascii="Myriad Pro" w:eastAsiaTheme="minorEastAsia" w:hAnsi="Myriad Pro" w:cs="Times New Roman"/>
                <w:color w:val="000000" w:themeColor="text1"/>
                <w:sz w:val="14"/>
                <w:szCs w:val="14"/>
              </w:rPr>
              <w:t>KO mice</w:t>
            </w:r>
            <w:r w:rsidRPr="0042687C">
              <w:rPr>
                <w:rFonts w:ascii="Myriad Pro" w:hAnsi="Myriad Pro" w:cs="Times New Roman"/>
                <w:color w:val="000000" w:themeColor="text1"/>
                <w:sz w:val="14"/>
                <w:szCs w:val="14"/>
              </w:rPr>
              <w:t xml:space="preserve">, SCI + PEA 10 mg/kg i.p. 1h, 6h post-SCI + GW9662 1mg/kg 30 min prior to PEA injections (n = 30) </w:t>
            </w:r>
          </w:p>
        </w:tc>
        <w:tc>
          <w:tcPr>
            <w:tcW w:w="1276" w:type="dxa"/>
          </w:tcPr>
          <w:p w14:paraId="1B9064F1"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Basso Mouse Scale</w:t>
            </w:r>
          </w:p>
        </w:tc>
        <w:tc>
          <w:tcPr>
            <w:tcW w:w="1559" w:type="dxa"/>
          </w:tcPr>
          <w:p w14:paraId="0D7D3E8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Prior to surgery and everyday post injury for 10 days. </w:t>
            </w:r>
          </w:p>
        </w:tc>
        <w:tc>
          <w:tcPr>
            <w:tcW w:w="1418" w:type="dxa"/>
          </w:tcPr>
          <w:p w14:paraId="18D3A33F"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Two-way ANOVA followed by Bonferroni post-hoc analysis</w:t>
            </w:r>
          </w:p>
          <w:p w14:paraId="0A2A6D3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Mann-Whitney test</w:t>
            </w:r>
          </w:p>
        </w:tc>
        <w:tc>
          <w:tcPr>
            <w:tcW w:w="2976" w:type="dxa"/>
          </w:tcPr>
          <w:p w14:paraId="4CCD37F1"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Palmitoylethanolamide (PEA) treatment 10 mg/kg caused a significant increase in BMS scores; p &lt; 0.05</w:t>
            </w:r>
          </w:p>
          <w:p w14:paraId="77E7ED11"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Pre-treatment with GSK0660 (PPAR-d antagonist) or GW9662 (PPAR-y antagonist) abolished PEA-induced improvement of locomotion after SCI</w:t>
            </w:r>
          </w:p>
          <w:p w14:paraId="2C0D8C6A" w14:textId="177EA12F"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The genetic absence of the PPAR-</w:t>
            </w:r>
            <m:oMath>
              <m:r>
                <w:rPr>
                  <w:rFonts w:ascii="Cambria Math" w:hAnsi="Cambria Math" w:cs="Times New Roman"/>
                  <w:color w:val="000000" w:themeColor="text1"/>
                  <w:sz w:val="14"/>
                  <w:szCs w:val="14"/>
                </w:rPr>
                <m:t>α</m:t>
              </m:r>
            </m:oMath>
            <w:r w:rsidRPr="0042687C">
              <w:rPr>
                <w:rFonts w:ascii="Myriad Pro" w:eastAsiaTheme="minorEastAsia" w:hAnsi="Myriad Pro"/>
                <w:color w:val="000000" w:themeColor="text1"/>
                <w:sz w:val="14"/>
                <w:szCs w:val="14"/>
              </w:rPr>
              <w:t xml:space="preserve"> receptor in PPAR-</w:t>
            </w:r>
            <m:oMath>
              <m:r>
                <w:rPr>
                  <w:rFonts w:ascii="Cambria Math" w:hAnsi="Cambria Math" w:cs="Times New Roman"/>
                  <w:color w:val="000000" w:themeColor="text1"/>
                  <w:sz w:val="14"/>
                  <w:szCs w:val="14"/>
                </w:rPr>
                <m:t>α</m:t>
              </m:r>
            </m:oMath>
            <w:r w:rsidRPr="0042687C">
              <w:rPr>
                <w:rFonts w:ascii="Myriad Pro" w:eastAsiaTheme="minorEastAsia" w:hAnsi="Myriad Pro"/>
                <w:color w:val="000000" w:themeColor="text1"/>
                <w:sz w:val="14"/>
                <w:szCs w:val="14"/>
              </w:rPr>
              <w:t xml:space="preserve">KO mice significantly blocked the effect of the PEA treatment. </w:t>
            </w:r>
          </w:p>
        </w:tc>
      </w:tr>
      <w:tr w:rsidR="0017134B" w:rsidRPr="0042687C" w14:paraId="4EF7F298" w14:textId="64D5AD8A" w:rsidTr="0017134B">
        <w:tc>
          <w:tcPr>
            <w:tcW w:w="1351" w:type="dxa"/>
          </w:tcPr>
          <w:p w14:paraId="66F309D5" w14:textId="2A852C5C"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Paterniti et al (2013b) </w:t>
            </w:r>
          </w:p>
        </w:tc>
        <w:tc>
          <w:tcPr>
            <w:tcW w:w="1021" w:type="dxa"/>
          </w:tcPr>
          <w:p w14:paraId="14CD2917"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50</w:t>
            </w:r>
          </w:p>
          <w:p w14:paraId="1DAE22B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CD1 mice (gender not specified) </w:t>
            </w:r>
          </w:p>
          <w:p w14:paraId="3C7755C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NS</w:t>
            </w:r>
          </w:p>
          <w:p w14:paraId="4923423C"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NS</w:t>
            </w:r>
          </w:p>
          <w:p w14:paraId="68B0CA7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T6-7</w:t>
            </w:r>
          </w:p>
        </w:tc>
        <w:tc>
          <w:tcPr>
            <w:tcW w:w="1462" w:type="dxa"/>
          </w:tcPr>
          <w:p w14:paraId="6153384D"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50A3C75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Extradural compression with aneurysm clip (24 g) for 1 minute. </w:t>
            </w:r>
          </w:p>
        </w:tc>
        <w:tc>
          <w:tcPr>
            <w:tcW w:w="2262" w:type="dxa"/>
          </w:tcPr>
          <w:p w14:paraId="36239852" w14:textId="34E26C4E"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Sham + vehicle i.p. (n = 10)</w:t>
            </w:r>
          </w:p>
          <w:p w14:paraId="0E97465A"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vehicle i.p. (n = 10)</w:t>
            </w:r>
          </w:p>
          <w:p w14:paraId="5C72A5E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Palmitoylethanolamide (PEA) 1 mg/kg i.p. 1h and 6h post-SCI (n = 10)</w:t>
            </w:r>
          </w:p>
          <w:p w14:paraId="3552E256"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SCI + PEA 0.9 mg/kg i.p. and Luteolin 0.1 mg/kg association 1h and 6h post-SCI (n = 10)</w:t>
            </w:r>
          </w:p>
          <w:p w14:paraId="47C1D429"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SCI + co-ultramicronized composite of PEA and Luteolin (co-ultraPEALut) 1 mg/kg i.p. 1h and 6 h post-SCI (n=10) </w:t>
            </w:r>
          </w:p>
        </w:tc>
        <w:tc>
          <w:tcPr>
            <w:tcW w:w="1276" w:type="dxa"/>
          </w:tcPr>
          <w:p w14:paraId="71F4F757"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Basso Mouse Scale</w:t>
            </w:r>
          </w:p>
        </w:tc>
        <w:tc>
          <w:tcPr>
            <w:tcW w:w="1559" w:type="dxa"/>
          </w:tcPr>
          <w:p w14:paraId="5DC1CBA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Daily for 10 days after SCI. </w:t>
            </w:r>
          </w:p>
        </w:tc>
        <w:tc>
          <w:tcPr>
            <w:tcW w:w="1418" w:type="dxa"/>
          </w:tcPr>
          <w:p w14:paraId="6EAD9F40"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Mann-Whitney test</w:t>
            </w:r>
          </w:p>
        </w:tc>
        <w:tc>
          <w:tcPr>
            <w:tcW w:w="2976" w:type="dxa"/>
          </w:tcPr>
          <w:p w14:paraId="6FFA533A"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SCI produced significant deficits in movement assessment using the Basso Mouse scale. </w:t>
            </w:r>
          </w:p>
          <w:p w14:paraId="7157B906"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Treatment with PEA alone or Lut alone did not ameliorate the functional deficits induced by SCI.</w:t>
            </w:r>
          </w:p>
          <w:p w14:paraId="4D621D2E"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The PEA + Lut association, given as a single treatment combination did not restore motor function. </w:t>
            </w:r>
          </w:p>
          <w:p w14:paraId="4154F851" w14:textId="48064D3F"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Treatment with Co-ultraPEALut 1 mg/kg significantly reduced the motor disturbance after SCI compared vehicle treatment; p &lt; 0.01.</w:t>
            </w:r>
          </w:p>
        </w:tc>
      </w:tr>
      <w:tr w:rsidR="0017134B" w:rsidRPr="0042687C" w14:paraId="21778EC4" w14:textId="74576F0B" w:rsidTr="0017134B">
        <w:tc>
          <w:tcPr>
            <w:tcW w:w="1351" w:type="dxa"/>
          </w:tcPr>
          <w:p w14:paraId="1922A297" w14:textId="2FC9348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Su et al (2017) </w:t>
            </w:r>
          </w:p>
        </w:tc>
        <w:tc>
          <w:tcPr>
            <w:tcW w:w="1021" w:type="dxa"/>
          </w:tcPr>
          <w:p w14:paraId="60C4278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50</w:t>
            </w:r>
          </w:p>
          <w:p w14:paraId="602CB051"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 rats</w:t>
            </w:r>
          </w:p>
          <w:p w14:paraId="2D750A90"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NS</w:t>
            </w:r>
          </w:p>
          <w:p w14:paraId="7E2308C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Weight: 260-300g</w:t>
            </w:r>
          </w:p>
          <w:p w14:paraId="2115C684"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T9-10</w:t>
            </w:r>
          </w:p>
        </w:tc>
        <w:tc>
          <w:tcPr>
            <w:tcW w:w="1462" w:type="dxa"/>
          </w:tcPr>
          <w:p w14:paraId="5B6D7D35"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Traumatic SCI</w:t>
            </w:r>
          </w:p>
          <w:p w14:paraId="1269507E"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10 g impactor dropped from 25 mm. </w:t>
            </w:r>
          </w:p>
        </w:tc>
        <w:tc>
          <w:tcPr>
            <w:tcW w:w="2262" w:type="dxa"/>
          </w:tcPr>
          <w:p w14:paraId="6D41BD60" w14:textId="5756480D"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Sham + vehicle i.p. immediately, 8h, 24h post-surgery (n = 10) </w:t>
            </w:r>
          </w:p>
          <w:p w14:paraId="0E0AF048"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Control, subject to SCI + vehicle i.p. immediately, 8h, 24h post-surgery (n = 10)</w:t>
            </w:r>
          </w:p>
          <w:p w14:paraId="54B0BCEB"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1 mg/kg i.p. immediately, 8h, 24h post-surgery (n = 10)</w:t>
            </w:r>
          </w:p>
          <w:p w14:paraId="1B4C5725"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1 mg/kg i.p. immediately, 8h, 24h post-surgery + AM 251 1 mg/kg i.p. 30 min before each WIN 55,212-2 dose (n = 10)</w:t>
            </w:r>
          </w:p>
          <w:p w14:paraId="5AB7DCC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WIN 55,212-2 1 mg/kg i.p. immediately, 8h, 24h post-surgery + AM 630 1 mg/kg i.p. 30 min before each WIN 55,212-2 dose (n = 10)</w:t>
            </w:r>
          </w:p>
        </w:tc>
        <w:tc>
          <w:tcPr>
            <w:tcW w:w="1276" w:type="dxa"/>
          </w:tcPr>
          <w:p w14:paraId="5A9D1921"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BBB Locomotor score</w:t>
            </w:r>
          </w:p>
        </w:tc>
        <w:tc>
          <w:tcPr>
            <w:tcW w:w="1559" w:type="dxa"/>
          </w:tcPr>
          <w:p w14:paraId="57D9DD3B"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1, 3, 7, 14, 21 and 28 days after surgery. </w:t>
            </w:r>
          </w:p>
        </w:tc>
        <w:tc>
          <w:tcPr>
            <w:tcW w:w="1418" w:type="dxa"/>
          </w:tcPr>
          <w:p w14:paraId="5C08FCE5"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Kruskal-Wallis test</w:t>
            </w:r>
          </w:p>
          <w:p w14:paraId="5FDABC93"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Mann-Whitney U test</w:t>
            </w:r>
          </w:p>
        </w:tc>
        <w:tc>
          <w:tcPr>
            <w:tcW w:w="2976" w:type="dxa"/>
          </w:tcPr>
          <w:p w14:paraId="34CE3411"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WIN,55212-2 treatment </w:t>
            </w:r>
          </w:p>
          <w:p w14:paraId="65B04345"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BBB scores in the control group reached a plateau 1 week after SCI, whereas BBB scores in the WIN,55212-2 treated continued to improve until 3 weeks after SCI when they scored more than 12. (Repeated measures ANOVA, Control vs WIN,55212-2, F = 38.49, p &lt; 0.0001). </w:t>
            </w:r>
          </w:p>
          <w:p w14:paraId="361198C4"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Comparison of WIN and Control animals at specific time points showed significant differences between the two groups at day 7, 14, 21 and 28; p &lt; 0.01 at each individual timepoint.  </w:t>
            </w:r>
          </w:p>
          <w:p w14:paraId="5C1E63DA" w14:textId="77777777"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 xml:space="preserve">AM 251 and AM 630 pre-treatment prior to WIN,55212-2 administration </w:t>
            </w:r>
          </w:p>
          <w:p w14:paraId="14E99B6F"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AM 630 pre-treatment significantly abrogated the BBB score improvement induced by WIN,55212-2, demonstrated by the discontinuation of functional recovery from 2 weeks after SCI (Repeated measures ANOVA, WIN vs WIN + AM 630 pre-treatment, F = 23.04, p = 0.0001). </w:t>
            </w:r>
          </w:p>
          <w:p w14:paraId="60FCA0C1"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Comparison of WIN and WIN + AM 630 pre-treatment groups at specific time points showed significant differences between the two groups at day 7, 14, 21 and 28; p&lt; 0.01 at each timepoint.</w:t>
            </w:r>
          </w:p>
          <w:p w14:paraId="56AFE521"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lastRenderedPageBreak/>
              <w:t xml:space="preserve">No significant difference was noted between WIN and WIN + AM 251 pre-treated animals using repeated measures ANOVA; F = 1.873, p = 0.1879. </w:t>
            </w:r>
          </w:p>
          <w:p w14:paraId="3895D738" w14:textId="34F5F4BC" w:rsidR="0017134B" w:rsidRPr="0042687C" w:rsidRDefault="0017134B" w:rsidP="009E1D1B">
            <w:pPr>
              <w:rPr>
                <w:rFonts w:ascii="Myriad Pro" w:hAnsi="Myriad Pro"/>
                <w:color w:val="000000" w:themeColor="text1"/>
                <w:sz w:val="14"/>
                <w:szCs w:val="14"/>
              </w:rPr>
            </w:pPr>
            <w:r w:rsidRPr="0042687C">
              <w:rPr>
                <w:rFonts w:ascii="Myriad Pro" w:hAnsi="Myriad Pro"/>
                <w:color w:val="000000" w:themeColor="text1"/>
                <w:sz w:val="14"/>
                <w:szCs w:val="14"/>
              </w:rPr>
              <w:t>Comparison of WIN and WIN + AM 251 pre-treatment groups at specific time points showed significant difference between the two groups on day 28; p&lt; 0.05 on day 28 only.</w:t>
            </w:r>
          </w:p>
        </w:tc>
      </w:tr>
      <w:tr w:rsidR="0017134B" w:rsidRPr="0042687C" w14:paraId="78F756A4" w14:textId="501A4880" w:rsidTr="0017134B">
        <w:tc>
          <w:tcPr>
            <w:tcW w:w="1351" w:type="dxa"/>
          </w:tcPr>
          <w:p w14:paraId="35D860FC" w14:textId="7E3D435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lastRenderedPageBreak/>
              <w:t>Su et al (2009)</w:t>
            </w:r>
          </w:p>
        </w:tc>
        <w:tc>
          <w:tcPr>
            <w:tcW w:w="1021" w:type="dxa"/>
          </w:tcPr>
          <w:p w14:paraId="490D816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n = 64</w:t>
            </w:r>
          </w:p>
          <w:p w14:paraId="262B60A8"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Male Sprague-Dawley</w:t>
            </w:r>
          </w:p>
          <w:p w14:paraId="6927E4FF"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Age: Not stated</w:t>
            </w:r>
          </w:p>
          <w:p w14:paraId="3A88EDEB"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Weight: 300-350 g </w:t>
            </w:r>
          </w:p>
          <w:p w14:paraId="321C1DB3"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Level: N/A</w:t>
            </w:r>
          </w:p>
        </w:tc>
        <w:tc>
          <w:tcPr>
            <w:tcW w:w="1462" w:type="dxa"/>
          </w:tcPr>
          <w:p w14:paraId="7BAC20E2"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Ischemia/Reperfusion Injury</w:t>
            </w:r>
          </w:p>
          <w:p w14:paraId="15767B89"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Aortic occlusion with Fogarthy catheter (tip at level of left subclavian artery) for 12 minutes.  </w:t>
            </w:r>
            <w:r w:rsidRPr="0042687C">
              <w:rPr>
                <w:rFonts w:ascii="Myriad Pro" w:hAnsi="Myriad Pro" w:cs="Times New Roman"/>
                <w:color w:val="000000" w:themeColor="text1"/>
                <w:sz w:val="14"/>
                <w:szCs w:val="14"/>
              </w:rPr>
              <w:tab/>
            </w:r>
          </w:p>
        </w:tc>
        <w:tc>
          <w:tcPr>
            <w:tcW w:w="2262" w:type="dxa"/>
          </w:tcPr>
          <w:p w14:paraId="7D6DECF0" w14:textId="1F215074"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Control, right femoral artery isolated without occlusion, followed by SCI protocol (n = 8)</w:t>
            </w:r>
          </w:p>
          <w:p w14:paraId="7D27BFE6"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RIPC, 3 cycles of RIPC prior to SCI protocol (n = 8)</w:t>
            </w:r>
          </w:p>
          <w:p w14:paraId="78F9DF8D"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RIPC + AM251 1 mg/kg i.v. 15 min prior to RIPC before SCI protocol (n = 8)</w:t>
            </w:r>
          </w:p>
          <w:p w14:paraId="25020DF3"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RIPC + AM630 1 mg/kg i.v. 15 min prior to RIPC before SCI protocol (n = 8)</w:t>
            </w:r>
          </w:p>
          <w:p w14:paraId="5ADDE224"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RIPC + vehicle i.v. 15 min prior to RIPC before SCI protocol (n = 8)</w:t>
            </w:r>
          </w:p>
          <w:p w14:paraId="0D396822"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AM251 1 mg/kg i.v. 15 min prior to sham RIPC (n = 8)</w:t>
            </w:r>
          </w:p>
          <w:p w14:paraId="6E5C86CA"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AM630 1 mg/kg i.v. 15 min prior to sham RIPC (n = 8)</w:t>
            </w:r>
          </w:p>
          <w:p w14:paraId="6EABD430" w14:textId="77777777" w:rsidR="0017134B" w:rsidRPr="0042687C" w:rsidRDefault="0017134B" w:rsidP="009E1D1B">
            <w:pPr>
              <w:pStyle w:val="ListParagraph"/>
              <w:numPr>
                <w:ilvl w:val="0"/>
                <w:numId w:val="21"/>
              </w:numPr>
              <w:ind w:left="187" w:hanging="187"/>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 xml:space="preserve">Vehicle i.v. 15 min prior to sham RIPC (n = 8) </w:t>
            </w:r>
          </w:p>
          <w:p w14:paraId="50F8295A" w14:textId="77777777" w:rsidR="0017134B" w:rsidRPr="0042687C" w:rsidRDefault="0017134B" w:rsidP="009E1D1B">
            <w:p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Spinal cord I/R protocol was conducted 30 minutes after preconditioning or 45 minutes after chemical pre-treatment.</w:t>
            </w:r>
          </w:p>
        </w:tc>
        <w:tc>
          <w:tcPr>
            <w:tcW w:w="1276" w:type="dxa"/>
          </w:tcPr>
          <w:p w14:paraId="5B573B88" w14:textId="77777777" w:rsidR="0017134B" w:rsidRPr="0042687C" w:rsidRDefault="0017134B" w:rsidP="009E1D1B">
            <w:pPr>
              <w:pStyle w:val="ListParagraph"/>
              <w:numPr>
                <w:ilvl w:val="0"/>
                <w:numId w:val="10"/>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14-point motor deficit index (MDI) score</w:t>
            </w:r>
          </w:p>
        </w:tc>
        <w:tc>
          <w:tcPr>
            <w:tcW w:w="1559" w:type="dxa"/>
          </w:tcPr>
          <w:p w14:paraId="3C93C871"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s="Times New Roman"/>
                <w:color w:val="000000" w:themeColor="text1"/>
                <w:sz w:val="14"/>
                <w:szCs w:val="14"/>
              </w:rPr>
              <w:t>24 and 48 hours after reperfusion.</w:t>
            </w:r>
          </w:p>
        </w:tc>
        <w:tc>
          <w:tcPr>
            <w:tcW w:w="1418" w:type="dxa"/>
          </w:tcPr>
          <w:p w14:paraId="0C7D7072" w14:textId="77777777" w:rsidR="0017134B" w:rsidRPr="0042687C" w:rsidRDefault="0017134B" w:rsidP="009E1D1B">
            <w:pPr>
              <w:pStyle w:val="ListParagraph"/>
              <w:numPr>
                <w:ilvl w:val="0"/>
                <w:numId w:val="17"/>
              </w:numPr>
              <w:ind w:left="187" w:hanging="187"/>
              <w:rPr>
                <w:rFonts w:ascii="Myriad Pro" w:hAnsi="Myriad Pro"/>
                <w:color w:val="000000" w:themeColor="text1"/>
                <w:sz w:val="14"/>
                <w:szCs w:val="14"/>
              </w:rPr>
            </w:pPr>
            <w:r w:rsidRPr="0042687C">
              <w:rPr>
                <w:rFonts w:ascii="Myriad Pro" w:hAnsi="Myriad Pro"/>
                <w:color w:val="000000" w:themeColor="text1"/>
                <w:sz w:val="14"/>
                <w:szCs w:val="14"/>
              </w:rPr>
              <w:t xml:space="preserve">Repeated measures analysis of variance (ANOVA) </w:t>
            </w:r>
          </w:p>
          <w:p w14:paraId="434F6D47" w14:textId="77777777" w:rsidR="0017134B" w:rsidRPr="0042687C" w:rsidRDefault="0017134B" w:rsidP="009E1D1B">
            <w:pPr>
              <w:pStyle w:val="ListParagraph"/>
              <w:numPr>
                <w:ilvl w:val="0"/>
                <w:numId w:val="11"/>
              </w:numPr>
              <w:rPr>
                <w:rFonts w:ascii="Myriad Pro" w:hAnsi="Myriad Pro" w:cs="Times New Roman"/>
                <w:color w:val="000000" w:themeColor="text1"/>
                <w:sz w:val="14"/>
                <w:szCs w:val="14"/>
              </w:rPr>
            </w:pPr>
            <w:r w:rsidRPr="0042687C">
              <w:rPr>
                <w:rFonts w:ascii="Myriad Pro" w:hAnsi="Myriad Pro"/>
                <w:color w:val="000000" w:themeColor="text1"/>
                <w:sz w:val="14"/>
                <w:szCs w:val="14"/>
              </w:rPr>
              <w:t xml:space="preserve">Turkey’s multiple comparison test </w:t>
            </w:r>
          </w:p>
        </w:tc>
        <w:tc>
          <w:tcPr>
            <w:tcW w:w="2976" w:type="dxa"/>
          </w:tcPr>
          <w:p w14:paraId="5ABAB0A7" w14:textId="77777777"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 xml:space="preserve">MDI scores of the RIPC treatment group were better than those of control (p &lt; 0.05) and AM251 + RIPC groups (p &lt; 0.01).  </w:t>
            </w:r>
          </w:p>
          <w:p w14:paraId="4717E723" w14:textId="77777777"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 xml:space="preserve">MDI scores of RIPC, AM630 + RIPC, and vehicle + RIPC treated groups were not significantly different. </w:t>
            </w:r>
          </w:p>
          <w:p w14:paraId="0EBF38FE" w14:textId="7B0AF5D7" w:rsidR="0017134B" w:rsidRPr="0042687C" w:rsidRDefault="0017134B" w:rsidP="009E1D1B">
            <w:pPr>
              <w:pStyle w:val="ListParagraph"/>
              <w:numPr>
                <w:ilvl w:val="0"/>
                <w:numId w:val="11"/>
              </w:numPr>
              <w:rPr>
                <w:rFonts w:ascii="Myriad Pro" w:hAnsi="Myriad Pro"/>
                <w:color w:val="000000" w:themeColor="text1"/>
                <w:sz w:val="14"/>
                <w:szCs w:val="14"/>
              </w:rPr>
            </w:pPr>
            <w:r w:rsidRPr="0042687C">
              <w:rPr>
                <w:rFonts w:ascii="Myriad Pro" w:hAnsi="Myriad Pro"/>
                <w:color w:val="000000" w:themeColor="text1"/>
                <w:sz w:val="14"/>
                <w:szCs w:val="14"/>
              </w:rPr>
              <w:t>MDI scores of control, AM251 + RIPC, AM251, AM630, and vehicle treated groups were not significantly different.</w:t>
            </w:r>
          </w:p>
        </w:tc>
      </w:tr>
    </w:tbl>
    <w:p w14:paraId="43C3CD96" w14:textId="2F86DCC7" w:rsidR="00E03FF0" w:rsidRPr="0042687C" w:rsidRDefault="00E03FF0" w:rsidP="00886FB4">
      <w:pPr>
        <w:rPr>
          <w:rFonts w:cs="Times New Roman"/>
          <w:color w:val="000000" w:themeColor="text1"/>
        </w:rPr>
      </w:pPr>
    </w:p>
    <w:p w14:paraId="246D450F" w14:textId="2F1C9D16" w:rsidR="00E03FF0" w:rsidRPr="0042687C" w:rsidRDefault="00E03FF0" w:rsidP="00886FB4">
      <w:pPr>
        <w:rPr>
          <w:rFonts w:cs="Times New Roman"/>
          <w:color w:val="000000" w:themeColor="text1"/>
        </w:rPr>
      </w:pPr>
      <w:r w:rsidRPr="0042687C">
        <w:rPr>
          <w:rFonts w:cs="Times New Roman"/>
          <w:color w:val="000000" w:themeColor="text1"/>
        </w:rPr>
        <w:br w:type="page"/>
      </w:r>
    </w:p>
    <w:p w14:paraId="0F3558CC" w14:textId="1FB07850" w:rsidR="002B752B" w:rsidRPr="002B752B" w:rsidRDefault="002B752B" w:rsidP="002B752B">
      <w:pPr>
        <w:sectPr w:rsidR="002B752B" w:rsidRPr="002B752B" w:rsidSect="00886FB4">
          <w:pgSz w:w="16840" w:h="11900" w:orient="landscape"/>
          <w:pgMar w:top="1440" w:right="1440" w:bottom="1440" w:left="1440" w:header="720" w:footer="720" w:gutter="0"/>
          <w:cols w:space="720"/>
          <w:docGrid w:linePitch="360"/>
        </w:sectPr>
      </w:pPr>
    </w:p>
    <w:p w14:paraId="7E7B3C1D" w14:textId="4CCC6E57" w:rsidR="00886FB4" w:rsidRDefault="00886FB4" w:rsidP="00886FB4">
      <w:pPr>
        <w:pStyle w:val="Heading1"/>
      </w:pPr>
      <w:bookmarkStart w:id="5" w:name="_Toc76983025"/>
      <w:r>
        <w:lastRenderedPageBreak/>
        <w:t>Supplementary</w:t>
      </w:r>
      <w:r w:rsidR="002B752B">
        <w:t xml:space="preserve"> </w:t>
      </w:r>
      <w:r w:rsidR="00EA36D7">
        <w:t>File</w:t>
      </w:r>
      <w:r>
        <w:t xml:space="preserve"> </w:t>
      </w:r>
      <w:r w:rsidR="00C26DF3">
        <w:t>6</w:t>
      </w:r>
      <w:r>
        <w:t xml:space="preserve"> – Risk of bias assessment</w:t>
      </w:r>
      <w:bookmarkEnd w:id="5"/>
    </w:p>
    <w:p w14:paraId="192501F1" w14:textId="4963A81E" w:rsidR="00886FB4" w:rsidRDefault="00886FB4" w:rsidP="00886FB4">
      <w:pPr>
        <w:rPr>
          <w:rFonts w:cs="Times New Roman"/>
          <w:b/>
          <w:bCs/>
          <w:i/>
          <w:iCs/>
        </w:rPr>
      </w:pPr>
    </w:p>
    <w:p w14:paraId="71C968D9" w14:textId="6D65A3E3" w:rsidR="00886FB4" w:rsidRPr="00547861" w:rsidRDefault="00886FB4" w:rsidP="00886FB4">
      <w:pPr>
        <w:rPr>
          <w:rFonts w:ascii="Times New Roman" w:hAnsi="Times New Roman" w:cs="Times New Roman"/>
        </w:rPr>
      </w:pPr>
      <w:r w:rsidRPr="00915610">
        <w:rPr>
          <w:rFonts w:ascii="Times New Roman" w:hAnsi="Times New Roman" w:cs="Times New Roman"/>
        </w:rPr>
        <w:t>The Systematic Review Center for Laboratory Animal Experimentation (SYRCLE) Tool</w:t>
      </w:r>
      <w:r>
        <w:rPr>
          <w:rFonts w:ascii="Times New Roman" w:hAnsi="Times New Roman" w:cs="Times New Roman"/>
        </w:rPr>
        <w:t xml:space="preserve"> </w:t>
      </w:r>
      <w:r w:rsidRPr="00915610">
        <w:rPr>
          <w:rFonts w:ascii="Times New Roman" w:hAnsi="Times New Roman" w:cs="Times New Roman"/>
        </w:rPr>
        <w:t>was used to evaluate risk of bias.</w:t>
      </w:r>
    </w:p>
    <w:p w14:paraId="56C83D13" w14:textId="77777777" w:rsidR="00886FB4" w:rsidRPr="00B9322A" w:rsidRDefault="00886FB4" w:rsidP="00886FB4">
      <w:pPr>
        <w:rPr>
          <w:rFonts w:ascii="Times New Roman" w:hAnsi="Times New Roman" w:cs="Times New Roman"/>
          <w:i/>
          <w:iCs/>
        </w:rPr>
      </w:pPr>
      <w:r>
        <w:rPr>
          <w:rFonts w:ascii="Times New Roman" w:hAnsi="Times New Roman" w:cs="Times New Roman"/>
          <w:i/>
          <w:iCs/>
        </w:rPr>
        <w:t>Each item in the SYRCLE tool was scored as ‘Yes’, ‘No’, or ‘Unclear (?)’</w:t>
      </w:r>
    </w:p>
    <w:p w14:paraId="5ADBDFA3" w14:textId="77777777" w:rsidR="00886FB4" w:rsidRPr="00B9322A" w:rsidRDefault="00886FB4" w:rsidP="00886FB4">
      <w:pPr>
        <w:rPr>
          <w:rFonts w:ascii="Times New Roman" w:hAnsi="Times New Roman" w:cs="Times New Roman"/>
          <w:i/>
          <w:iCs/>
        </w:rPr>
      </w:pPr>
    </w:p>
    <w:tbl>
      <w:tblPr>
        <w:tblStyle w:val="TableGrid"/>
        <w:tblW w:w="9648" w:type="dxa"/>
        <w:tblLook w:val="04A0" w:firstRow="1" w:lastRow="0" w:firstColumn="1" w:lastColumn="0" w:noHBand="0" w:noVBand="1"/>
      </w:tblPr>
      <w:tblGrid>
        <w:gridCol w:w="2505"/>
        <w:gridCol w:w="718"/>
        <w:gridCol w:w="717"/>
        <w:gridCol w:w="710"/>
        <w:gridCol w:w="710"/>
        <w:gridCol w:w="710"/>
        <w:gridCol w:w="710"/>
        <w:gridCol w:w="717"/>
        <w:gridCol w:w="717"/>
        <w:gridCol w:w="717"/>
        <w:gridCol w:w="717"/>
      </w:tblGrid>
      <w:tr w:rsidR="00886FB4" w14:paraId="3B28F1C8" w14:textId="77777777" w:rsidTr="004F03E2">
        <w:trPr>
          <w:cantSplit/>
          <w:trHeight w:val="5286"/>
        </w:trPr>
        <w:tc>
          <w:tcPr>
            <w:tcW w:w="3256" w:type="dxa"/>
            <w:textDirection w:val="btLr"/>
            <w:vAlign w:val="bottom"/>
          </w:tcPr>
          <w:p w14:paraId="401F52F8" w14:textId="77777777" w:rsidR="00886FB4" w:rsidRPr="00B9322A" w:rsidRDefault="00886FB4" w:rsidP="004F03E2">
            <w:pPr>
              <w:ind w:left="113" w:right="113"/>
              <w:rPr>
                <w:rFonts w:ascii="Myriad Pro" w:hAnsi="Myriad Pro" w:cs="Times New Roman"/>
                <w:b/>
                <w:bCs/>
                <w:sz w:val="17"/>
                <w:szCs w:val="17"/>
              </w:rPr>
            </w:pPr>
            <w:r w:rsidRPr="00B9322A">
              <w:rPr>
                <w:rFonts w:ascii="Myriad Pro" w:hAnsi="Myriad Pro" w:cs="Times New Roman"/>
                <w:b/>
                <w:bCs/>
                <w:sz w:val="17"/>
                <w:szCs w:val="17"/>
              </w:rPr>
              <w:t>Bias assessment question</w:t>
            </w:r>
          </w:p>
        </w:tc>
        <w:tc>
          <w:tcPr>
            <w:tcW w:w="851" w:type="dxa"/>
            <w:textDirection w:val="btLr"/>
            <w:vAlign w:val="bottom"/>
          </w:tcPr>
          <w:p w14:paraId="0CBEDD5F"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Was the allocation sequence adequately generated and applied?</w:t>
            </w:r>
            <w:r>
              <w:rPr>
                <w:rFonts w:ascii="Myriad Pro" w:hAnsi="Myriad Pro" w:cs="Times New Roman"/>
                <w:sz w:val="17"/>
                <w:szCs w:val="17"/>
              </w:rPr>
              <w:t xml:space="preserve"> (selection bias)</w:t>
            </w:r>
          </w:p>
        </w:tc>
        <w:tc>
          <w:tcPr>
            <w:tcW w:w="851" w:type="dxa"/>
            <w:textDirection w:val="btLr"/>
            <w:vAlign w:val="bottom"/>
          </w:tcPr>
          <w:p w14:paraId="113F40DC"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Were the groups similar at baseline or were they adjusted for confounders in the analysis?</w:t>
            </w:r>
            <w:r>
              <w:rPr>
                <w:rFonts w:ascii="Myriad Pro" w:hAnsi="Myriad Pro" w:cs="Times New Roman"/>
                <w:sz w:val="17"/>
                <w:szCs w:val="17"/>
              </w:rPr>
              <w:t xml:space="preserve"> (selection bias)</w:t>
            </w:r>
          </w:p>
        </w:tc>
        <w:tc>
          <w:tcPr>
            <w:tcW w:w="851" w:type="dxa"/>
            <w:textDirection w:val="btLr"/>
            <w:vAlign w:val="bottom"/>
          </w:tcPr>
          <w:p w14:paraId="42A7E601"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Was the allocation adequately concealed?</w:t>
            </w:r>
            <w:r>
              <w:rPr>
                <w:rFonts w:ascii="Myriad Pro" w:hAnsi="Myriad Pro" w:cs="Times New Roman"/>
                <w:sz w:val="17"/>
                <w:szCs w:val="17"/>
              </w:rPr>
              <w:t xml:space="preserve"> (selection bias)</w:t>
            </w:r>
          </w:p>
        </w:tc>
        <w:tc>
          <w:tcPr>
            <w:tcW w:w="851" w:type="dxa"/>
            <w:textDirection w:val="btLr"/>
            <w:vAlign w:val="bottom"/>
          </w:tcPr>
          <w:p w14:paraId="3E2F830A"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Were the animals randomly housed during the experiment?</w:t>
            </w:r>
            <w:r>
              <w:rPr>
                <w:rFonts w:ascii="Myriad Pro" w:hAnsi="Myriad Pro" w:cs="Times New Roman"/>
                <w:sz w:val="17"/>
                <w:szCs w:val="17"/>
              </w:rPr>
              <w:t xml:space="preserve"> (performance bias)</w:t>
            </w:r>
          </w:p>
        </w:tc>
        <w:tc>
          <w:tcPr>
            <w:tcW w:w="851" w:type="dxa"/>
            <w:textDirection w:val="btLr"/>
            <w:vAlign w:val="bottom"/>
          </w:tcPr>
          <w:p w14:paraId="3FC2E5D5"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Were the caregivers and/or investigators blinded from knowledge which intervention each animal received during the experiment?</w:t>
            </w:r>
            <w:r>
              <w:rPr>
                <w:rFonts w:ascii="Myriad Pro" w:hAnsi="Myriad Pro" w:cs="Times New Roman"/>
                <w:sz w:val="17"/>
                <w:szCs w:val="17"/>
              </w:rPr>
              <w:t xml:space="preserve"> (performance bias)</w:t>
            </w:r>
          </w:p>
        </w:tc>
        <w:tc>
          <w:tcPr>
            <w:tcW w:w="851" w:type="dxa"/>
            <w:textDirection w:val="btLr"/>
            <w:vAlign w:val="bottom"/>
          </w:tcPr>
          <w:p w14:paraId="32F7F5FF"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Were animals selected at random for outcome assessment?</w:t>
            </w:r>
            <w:r>
              <w:rPr>
                <w:rFonts w:ascii="Myriad Pro" w:hAnsi="Myriad Pro" w:cs="Times New Roman"/>
                <w:sz w:val="17"/>
                <w:szCs w:val="17"/>
              </w:rPr>
              <w:t xml:space="preserve"> (detection bias)</w:t>
            </w:r>
          </w:p>
        </w:tc>
        <w:tc>
          <w:tcPr>
            <w:tcW w:w="851" w:type="dxa"/>
            <w:textDirection w:val="btLr"/>
            <w:vAlign w:val="bottom"/>
          </w:tcPr>
          <w:p w14:paraId="6DA4F467"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Was the outcome assessor blinded?</w:t>
            </w:r>
            <w:r>
              <w:rPr>
                <w:rFonts w:ascii="Myriad Pro" w:hAnsi="Myriad Pro" w:cs="Times New Roman"/>
                <w:sz w:val="17"/>
                <w:szCs w:val="17"/>
              </w:rPr>
              <w:t xml:space="preserve"> (detection bias)</w:t>
            </w:r>
          </w:p>
        </w:tc>
        <w:tc>
          <w:tcPr>
            <w:tcW w:w="851" w:type="dxa"/>
            <w:textDirection w:val="btLr"/>
            <w:vAlign w:val="bottom"/>
          </w:tcPr>
          <w:p w14:paraId="6C40F92B"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Were incomplete outcome data adequately addressed? </w:t>
            </w:r>
            <w:r>
              <w:rPr>
                <w:rFonts w:ascii="Myriad Pro" w:hAnsi="Myriad Pro" w:cs="Times New Roman"/>
                <w:sz w:val="17"/>
                <w:szCs w:val="17"/>
              </w:rPr>
              <w:t>(attrition bias)</w:t>
            </w:r>
          </w:p>
        </w:tc>
        <w:tc>
          <w:tcPr>
            <w:tcW w:w="851" w:type="dxa"/>
            <w:textDirection w:val="btLr"/>
            <w:vAlign w:val="bottom"/>
          </w:tcPr>
          <w:p w14:paraId="13A3DA3D"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Are reports of the study free of selective outcome reporting? </w:t>
            </w:r>
            <w:r>
              <w:rPr>
                <w:rFonts w:ascii="Myriad Pro" w:hAnsi="Myriad Pro" w:cs="Times New Roman"/>
                <w:sz w:val="17"/>
                <w:szCs w:val="17"/>
              </w:rPr>
              <w:t>(reporting bias)</w:t>
            </w:r>
          </w:p>
        </w:tc>
        <w:tc>
          <w:tcPr>
            <w:tcW w:w="851" w:type="dxa"/>
            <w:textDirection w:val="btLr"/>
            <w:vAlign w:val="bottom"/>
          </w:tcPr>
          <w:p w14:paraId="0FF81421" w14:textId="77777777" w:rsidR="00886FB4" w:rsidRPr="00B9322A" w:rsidRDefault="00886FB4" w:rsidP="004F03E2">
            <w:pPr>
              <w:ind w:left="113" w:right="113"/>
              <w:rPr>
                <w:rFonts w:ascii="Myriad Pro" w:hAnsi="Myriad Pro" w:cs="Times New Roman"/>
                <w:sz w:val="17"/>
                <w:szCs w:val="17"/>
              </w:rPr>
            </w:pPr>
            <w:r w:rsidRPr="00B9322A">
              <w:rPr>
                <w:rFonts w:ascii="Myriad Pro" w:hAnsi="Myriad Pro" w:cs="Times New Roman"/>
                <w:sz w:val="17"/>
                <w:szCs w:val="17"/>
              </w:rPr>
              <w:t>Was the study apparently free of other problems that could result in high risk of bias?</w:t>
            </w:r>
            <w:r>
              <w:rPr>
                <w:rFonts w:ascii="Myriad Pro" w:hAnsi="Myriad Pro" w:cs="Times New Roman"/>
                <w:sz w:val="17"/>
                <w:szCs w:val="17"/>
              </w:rPr>
              <w:t xml:space="preserve"> (other bias)</w:t>
            </w:r>
          </w:p>
        </w:tc>
      </w:tr>
      <w:tr w:rsidR="00886FB4" w14:paraId="7C845B74" w14:textId="77777777" w:rsidTr="004F03E2">
        <w:tc>
          <w:tcPr>
            <w:tcW w:w="3256" w:type="dxa"/>
            <w:vAlign w:val="bottom"/>
          </w:tcPr>
          <w:p w14:paraId="2CD05D8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Ahmed et al (2010)</w:t>
            </w:r>
          </w:p>
        </w:tc>
        <w:tc>
          <w:tcPr>
            <w:tcW w:w="851" w:type="dxa"/>
            <w:shd w:val="clear" w:color="auto" w:fill="FFFF00"/>
            <w:vAlign w:val="bottom"/>
          </w:tcPr>
          <w:p w14:paraId="50A1A02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38A896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4C72BC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7E87EC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D54D60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AA307A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B68A3D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0861A48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24F29954"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9F0F8C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8A82013" w14:textId="77777777" w:rsidTr="004F03E2">
        <w:tc>
          <w:tcPr>
            <w:tcW w:w="3256" w:type="dxa"/>
            <w:vAlign w:val="bottom"/>
          </w:tcPr>
          <w:p w14:paraId="7CB572B0"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Arevalo-Martin et al (2012)</w:t>
            </w:r>
          </w:p>
        </w:tc>
        <w:tc>
          <w:tcPr>
            <w:tcW w:w="851" w:type="dxa"/>
            <w:shd w:val="clear" w:color="auto" w:fill="FFFF00"/>
            <w:vAlign w:val="bottom"/>
          </w:tcPr>
          <w:p w14:paraId="57FDCC6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E96D4F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B741FB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0F21E4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3805F5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ED7370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1678D0A"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5C9AB5F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6448054"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7CFBF30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3A2B3CEA" w14:textId="77777777" w:rsidTr="004F03E2">
        <w:tc>
          <w:tcPr>
            <w:tcW w:w="3256" w:type="dxa"/>
            <w:vAlign w:val="bottom"/>
          </w:tcPr>
          <w:p w14:paraId="14E3578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Genovese et al (2008)</w:t>
            </w:r>
          </w:p>
        </w:tc>
        <w:tc>
          <w:tcPr>
            <w:tcW w:w="851" w:type="dxa"/>
            <w:shd w:val="clear" w:color="auto" w:fill="00B050"/>
            <w:vAlign w:val="bottom"/>
          </w:tcPr>
          <w:p w14:paraId="70A20C6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13C3430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4F0565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32E054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78E3AC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672D6E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EAAAB70"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047FD3E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6F06A0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020821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2B9CBBB6" w14:textId="77777777" w:rsidTr="004F03E2">
        <w:tc>
          <w:tcPr>
            <w:tcW w:w="3256" w:type="dxa"/>
            <w:vAlign w:val="bottom"/>
          </w:tcPr>
          <w:p w14:paraId="27CCBC52"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 xml:space="preserve">Hama et al (2007) </w:t>
            </w:r>
          </w:p>
        </w:tc>
        <w:tc>
          <w:tcPr>
            <w:tcW w:w="851" w:type="dxa"/>
            <w:shd w:val="clear" w:color="auto" w:fill="FFFF00"/>
            <w:vAlign w:val="bottom"/>
          </w:tcPr>
          <w:p w14:paraId="74614B0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5389844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5DA434CA"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F8A0E8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E5C7FD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DA19F31"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C65024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7A1531C9"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1A23DDB0"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6CFC718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794DD414" w14:textId="77777777" w:rsidTr="004F03E2">
        <w:tc>
          <w:tcPr>
            <w:tcW w:w="3256" w:type="dxa"/>
            <w:vAlign w:val="bottom"/>
          </w:tcPr>
          <w:p w14:paraId="36DA034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 xml:space="preserve">Hama et al (2009) </w:t>
            </w:r>
          </w:p>
        </w:tc>
        <w:tc>
          <w:tcPr>
            <w:tcW w:w="851" w:type="dxa"/>
            <w:shd w:val="clear" w:color="auto" w:fill="FFFF00"/>
            <w:vAlign w:val="bottom"/>
          </w:tcPr>
          <w:p w14:paraId="64BC32D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22F7A54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118D0EC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B7BDA27"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96CF46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3E9763A"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E69623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4BEAAFD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568208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6B56E1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5699BD5" w14:textId="77777777" w:rsidTr="004F03E2">
        <w:tc>
          <w:tcPr>
            <w:tcW w:w="3256" w:type="dxa"/>
            <w:vAlign w:val="bottom"/>
          </w:tcPr>
          <w:p w14:paraId="39CDEE0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 xml:space="preserve">Hama et al (2010) </w:t>
            </w:r>
          </w:p>
        </w:tc>
        <w:tc>
          <w:tcPr>
            <w:tcW w:w="851" w:type="dxa"/>
            <w:shd w:val="clear" w:color="auto" w:fill="FFFF00"/>
            <w:vAlign w:val="bottom"/>
          </w:tcPr>
          <w:p w14:paraId="2C31C95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D05713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4D5DCD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B86205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393633A"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85275B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E7A0E6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6B8725A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ABBBC1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F2BFBD9"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50EC1681" w14:textId="77777777" w:rsidTr="004F03E2">
        <w:tc>
          <w:tcPr>
            <w:tcW w:w="3256" w:type="dxa"/>
            <w:vAlign w:val="bottom"/>
          </w:tcPr>
          <w:p w14:paraId="1F8C18B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Hama et al (2011)</w:t>
            </w:r>
          </w:p>
        </w:tc>
        <w:tc>
          <w:tcPr>
            <w:tcW w:w="851" w:type="dxa"/>
            <w:shd w:val="clear" w:color="auto" w:fill="FFFF00"/>
            <w:vAlign w:val="bottom"/>
          </w:tcPr>
          <w:p w14:paraId="5C9CF241"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C06964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3C02CD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E85D28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EEB7B4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AE66AD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49E0F47"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7EBCE7B6"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01237E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5F7DD2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A410CDF" w14:textId="77777777" w:rsidTr="004F03E2">
        <w:tc>
          <w:tcPr>
            <w:tcW w:w="3256" w:type="dxa"/>
            <w:vAlign w:val="bottom"/>
          </w:tcPr>
          <w:p w14:paraId="0C283DF0"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Hama et al (2014)</w:t>
            </w:r>
          </w:p>
        </w:tc>
        <w:tc>
          <w:tcPr>
            <w:tcW w:w="851" w:type="dxa"/>
            <w:shd w:val="clear" w:color="auto" w:fill="00B050"/>
            <w:vAlign w:val="bottom"/>
          </w:tcPr>
          <w:p w14:paraId="7EDCE950"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7BEFAD0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4CEC9D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C21987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FE2EDE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FCD039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70FA7C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5EA5252F"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0906162"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DF48FE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9191B7E" w14:textId="77777777" w:rsidTr="004F03E2">
        <w:tc>
          <w:tcPr>
            <w:tcW w:w="3256" w:type="dxa"/>
            <w:vAlign w:val="bottom"/>
          </w:tcPr>
          <w:p w14:paraId="5C97B3A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Hong et al (2015)</w:t>
            </w:r>
          </w:p>
        </w:tc>
        <w:tc>
          <w:tcPr>
            <w:tcW w:w="851" w:type="dxa"/>
            <w:shd w:val="clear" w:color="auto" w:fill="00B050"/>
            <w:vAlign w:val="bottom"/>
          </w:tcPr>
          <w:p w14:paraId="42D41C6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5E529C9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224E52C1"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1C9804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A4B905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FED444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2C6230F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0000"/>
            <w:vAlign w:val="bottom"/>
          </w:tcPr>
          <w:p w14:paraId="4DFE2CC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No</w:t>
            </w:r>
          </w:p>
        </w:tc>
        <w:tc>
          <w:tcPr>
            <w:tcW w:w="851" w:type="dxa"/>
            <w:shd w:val="clear" w:color="auto" w:fill="00B050"/>
            <w:vAlign w:val="bottom"/>
          </w:tcPr>
          <w:p w14:paraId="2B08CA7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B4B76C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73B26D50" w14:textId="77777777" w:rsidTr="004F03E2">
        <w:tc>
          <w:tcPr>
            <w:tcW w:w="3256" w:type="dxa"/>
            <w:vAlign w:val="bottom"/>
          </w:tcPr>
          <w:p w14:paraId="0340912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Huo et al (2018)</w:t>
            </w:r>
          </w:p>
        </w:tc>
        <w:tc>
          <w:tcPr>
            <w:tcW w:w="851" w:type="dxa"/>
            <w:shd w:val="clear" w:color="auto" w:fill="00B050"/>
            <w:vAlign w:val="bottom"/>
          </w:tcPr>
          <w:p w14:paraId="5F0C8F74"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7FE847A1"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D10F150"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E064D6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2D50D6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26F710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7850AA4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9A16C9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50CFAE01"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A532B56"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3E780456" w14:textId="77777777" w:rsidTr="004F03E2">
        <w:tc>
          <w:tcPr>
            <w:tcW w:w="3256" w:type="dxa"/>
            <w:vAlign w:val="bottom"/>
          </w:tcPr>
          <w:p w14:paraId="1F18858F"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Impellizzeri et al (2017)</w:t>
            </w:r>
          </w:p>
        </w:tc>
        <w:tc>
          <w:tcPr>
            <w:tcW w:w="851" w:type="dxa"/>
            <w:shd w:val="clear" w:color="auto" w:fill="00B050"/>
            <w:vAlign w:val="bottom"/>
          </w:tcPr>
          <w:p w14:paraId="0AC87D3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48787EA5"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19F6DB6"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C40BCE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A9CB9D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9919285"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20AEBB01"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6A48E22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9194612"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29A1C7B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4FC64074" w14:textId="77777777" w:rsidTr="004F03E2">
        <w:tc>
          <w:tcPr>
            <w:tcW w:w="3256" w:type="dxa"/>
            <w:vAlign w:val="bottom"/>
          </w:tcPr>
          <w:p w14:paraId="1D4B21F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Jing et al (2017)</w:t>
            </w:r>
          </w:p>
        </w:tc>
        <w:tc>
          <w:tcPr>
            <w:tcW w:w="851" w:type="dxa"/>
            <w:shd w:val="clear" w:color="auto" w:fill="00B050"/>
            <w:vAlign w:val="bottom"/>
          </w:tcPr>
          <w:p w14:paraId="66621E6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5D36097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D15500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5ACE34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499066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D9823F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10A8A68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10A57A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74D2434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16B631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77CF3B5D" w14:textId="77777777" w:rsidTr="004F03E2">
        <w:tc>
          <w:tcPr>
            <w:tcW w:w="3256" w:type="dxa"/>
            <w:vAlign w:val="bottom"/>
          </w:tcPr>
          <w:p w14:paraId="03A371B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Kwiatkoski et al (2012)</w:t>
            </w:r>
          </w:p>
        </w:tc>
        <w:tc>
          <w:tcPr>
            <w:tcW w:w="851" w:type="dxa"/>
            <w:shd w:val="clear" w:color="auto" w:fill="00B050"/>
            <w:vAlign w:val="bottom"/>
          </w:tcPr>
          <w:p w14:paraId="304E4F9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74F88E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5144D3B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87B4210"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BA2423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AD23E9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1EB8438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1E038B0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8FA58F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7342DD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44EA7D1" w14:textId="77777777" w:rsidTr="004F03E2">
        <w:tc>
          <w:tcPr>
            <w:tcW w:w="3256" w:type="dxa"/>
            <w:vAlign w:val="bottom"/>
          </w:tcPr>
          <w:p w14:paraId="642549B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Latini et al (2014)</w:t>
            </w:r>
          </w:p>
        </w:tc>
        <w:tc>
          <w:tcPr>
            <w:tcW w:w="851" w:type="dxa"/>
            <w:shd w:val="clear" w:color="auto" w:fill="FFFF00"/>
            <w:vAlign w:val="bottom"/>
          </w:tcPr>
          <w:p w14:paraId="0589866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7F55172"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9422ED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B0C09A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7DB4F2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378F5F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281F527"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5EA6B7E0"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CE8FCF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513E7656"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0C1406C7" w14:textId="77777777" w:rsidTr="004F03E2">
        <w:tc>
          <w:tcPr>
            <w:tcW w:w="3256" w:type="dxa"/>
            <w:vAlign w:val="bottom"/>
          </w:tcPr>
          <w:p w14:paraId="3888F051"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 xml:space="preserve">Li et al (2018) </w:t>
            </w:r>
          </w:p>
        </w:tc>
        <w:tc>
          <w:tcPr>
            <w:tcW w:w="851" w:type="dxa"/>
            <w:shd w:val="clear" w:color="auto" w:fill="00B050"/>
            <w:vAlign w:val="bottom"/>
          </w:tcPr>
          <w:p w14:paraId="787822C6"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33DAED7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0D562B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539214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BBEAB7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CC59635"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32020C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629674F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41121F8B"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6F50DBF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13FDDA0" w14:textId="77777777" w:rsidTr="004F03E2">
        <w:tc>
          <w:tcPr>
            <w:tcW w:w="3256" w:type="dxa"/>
            <w:vAlign w:val="bottom"/>
          </w:tcPr>
          <w:p w14:paraId="7754A4A1"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 xml:space="preserve">Paterniti et al (2013a) </w:t>
            </w:r>
          </w:p>
        </w:tc>
        <w:tc>
          <w:tcPr>
            <w:tcW w:w="851" w:type="dxa"/>
            <w:shd w:val="clear" w:color="auto" w:fill="00B050"/>
            <w:vAlign w:val="bottom"/>
          </w:tcPr>
          <w:p w14:paraId="053CB85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057995A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46E5D7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390564F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1F00434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8220748"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C7E451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132DB829"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5BFEBBE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567BAA44"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2A60E00A" w14:textId="77777777" w:rsidTr="004F03E2">
        <w:tc>
          <w:tcPr>
            <w:tcW w:w="3256" w:type="dxa"/>
            <w:vAlign w:val="bottom"/>
          </w:tcPr>
          <w:p w14:paraId="6A2624AE"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Paterniti et al (2013b)</w:t>
            </w:r>
          </w:p>
        </w:tc>
        <w:tc>
          <w:tcPr>
            <w:tcW w:w="851" w:type="dxa"/>
            <w:shd w:val="clear" w:color="auto" w:fill="00B050"/>
            <w:vAlign w:val="bottom"/>
          </w:tcPr>
          <w:p w14:paraId="545A141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1EC1408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6D6094E"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C2FFC5C"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27F11530"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6C69C0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C5C2D87"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274B7959"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157B14FD"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2DE0F698"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685A127D" w14:textId="77777777" w:rsidTr="004F03E2">
        <w:tc>
          <w:tcPr>
            <w:tcW w:w="3256" w:type="dxa"/>
            <w:vAlign w:val="bottom"/>
          </w:tcPr>
          <w:p w14:paraId="617FA9A9"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Su et al (2009)</w:t>
            </w:r>
          </w:p>
        </w:tc>
        <w:tc>
          <w:tcPr>
            <w:tcW w:w="851" w:type="dxa"/>
            <w:shd w:val="clear" w:color="auto" w:fill="00B050"/>
            <w:vAlign w:val="bottom"/>
          </w:tcPr>
          <w:p w14:paraId="799CA3EA"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09493AF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967485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A4EA65D"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6651348B"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459B4E0"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107CE34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22289FFF"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B8EB4C2"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7CB9360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r w:rsidR="00886FB4" w14:paraId="26A21C41" w14:textId="77777777" w:rsidTr="004F03E2">
        <w:tc>
          <w:tcPr>
            <w:tcW w:w="3256" w:type="dxa"/>
            <w:vAlign w:val="bottom"/>
          </w:tcPr>
          <w:p w14:paraId="628439E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Su et al (2017)</w:t>
            </w:r>
          </w:p>
        </w:tc>
        <w:tc>
          <w:tcPr>
            <w:tcW w:w="851" w:type="dxa"/>
            <w:shd w:val="clear" w:color="auto" w:fill="00B050"/>
            <w:vAlign w:val="bottom"/>
          </w:tcPr>
          <w:p w14:paraId="05AEFDE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FFFF00"/>
            <w:vAlign w:val="bottom"/>
          </w:tcPr>
          <w:p w14:paraId="254E9734"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530B6009"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7670114F"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4454EDF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FFFF00"/>
            <w:vAlign w:val="bottom"/>
          </w:tcPr>
          <w:p w14:paraId="09394CA3" w14:textId="77777777" w:rsidR="00886FB4" w:rsidRPr="00B9322A" w:rsidRDefault="00886FB4" w:rsidP="004F03E2">
            <w:pPr>
              <w:rPr>
                <w:rFonts w:ascii="Myriad Pro" w:hAnsi="Myriad Pro" w:cs="Times New Roman"/>
                <w:sz w:val="17"/>
                <w:szCs w:val="17"/>
              </w:rPr>
            </w:pPr>
            <w:r>
              <w:rPr>
                <w:rFonts w:ascii="Myriad Pro" w:hAnsi="Myriad Pro" w:cs="Times New Roman"/>
                <w:sz w:val="17"/>
                <w:szCs w:val="17"/>
              </w:rPr>
              <w:t>?</w:t>
            </w:r>
          </w:p>
        </w:tc>
        <w:tc>
          <w:tcPr>
            <w:tcW w:w="851" w:type="dxa"/>
            <w:shd w:val="clear" w:color="auto" w:fill="00B050"/>
            <w:vAlign w:val="bottom"/>
          </w:tcPr>
          <w:p w14:paraId="763DB605"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387CCF7C"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273090A7"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c>
          <w:tcPr>
            <w:tcW w:w="851" w:type="dxa"/>
            <w:shd w:val="clear" w:color="auto" w:fill="00B050"/>
            <w:vAlign w:val="bottom"/>
          </w:tcPr>
          <w:p w14:paraId="0D2A30E3" w14:textId="77777777" w:rsidR="00886FB4" w:rsidRPr="00B9322A" w:rsidRDefault="00886FB4" w:rsidP="004F03E2">
            <w:pPr>
              <w:rPr>
                <w:rFonts w:ascii="Myriad Pro" w:hAnsi="Myriad Pro" w:cs="Times New Roman"/>
                <w:sz w:val="17"/>
                <w:szCs w:val="17"/>
              </w:rPr>
            </w:pPr>
            <w:r w:rsidRPr="00B9322A">
              <w:rPr>
                <w:rFonts w:ascii="Myriad Pro" w:hAnsi="Myriad Pro" w:cs="Times New Roman"/>
                <w:sz w:val="17"/>
                <w:szCs w:val="17"/>
              </w:rPr>
              <w:t>Yes</w:t>
            </w:r>
          </w:p>
        </w:tc>
      </w:tr>
    </w:tbl>
    <w:p w14:paraId="3422AE66" w14:textId="77777777" w:rsidR="00886FB4" w:rsidRPr="002E49C3" w:rsidRDefault="00886FB4" w:rsidP="00886FB4">
      <w:pPr>
        <w:rPr>
          <w:rFonts w:ascii="Myriad Pro" w:hAnsi="Myriad Pro" w:cs="Times New Roman"/>
          <w:sz w:val="17"/>
          <w:szCs w:val="17"/>
        </w:rPr>
      </w:pPr>
    </w:p>
    <w:p w14:paraId="71A6EDDF" w14:textId="2C006F03" w:rsidR="009D0D32" w:rsidRDefault="009D0D32" w:rsidP="009D0D32"/>
    <w:p w14:paraId="1E5BC651" w14:textId="469AE45F" w:rsidR="009D0D32" w:rsidRDefault="009D0D32" w:rsidP="009D0D32"/>
    <w:p w14:paraId="3F37E1E2" w14:textId="31AD0B5D" w:rsidR="00E03FF0" w:rsidRDefault="00E03FF0" w:rsidP="009D0D32"/>
    <w:p w14:paraId="5699C52D" w14:textId="642E39BE" w:rsidR="00E03FF0" w:rsidRDefault="00E03FF0" w:rsidP="009D0D32"/>
    <w:p w14:paraId="31EDAEF1" w14:textId="4DB497F7" w:rsidR="002B752B" w:rsidRDefault="002B752B"/>
    <w:p w14:paraId="10E08D53" w14:textId="5FB1DD97" w:rsidR="002B752B" w:rsidRPr="00E03FF0" w:rsidRDefault="002B752B" w:rsidP="002B752B">
      <w:pPr>
        <w:pStyle w:val="Heading1"/>
      </w:pPr>
      <w:bookmarkStart w:id="6" w:name="_Toc76983026"/>
      <w:r>
        <w:lastRenderedPageBreak/>
        <w:t xml:space="preserve">Supplementary </w:t>
      </w:r>
      <w:r w:rsidR="00EA36D7">
        <w:t>File</w:t>
      </w:r>
      <w:r>
        <w:t xml:space="preserve"> </w:t>
      </w:r>
      <w:r w:rsidR="00C26DF3">
        <w:t>7</w:t>
      </w:r>
      <w:r>
        <w:t xml:space="preserve"> – </w:t>
      </w:r>
      <w:r w:rsidRPr="00E03FF0">
        <w:t>Synthesis Without Meta-analysis (SWiM) reporting items</w:t>
      </w:r>
      <w:r>
        <w:t xml:space="preserve"> checklist</w:t>
      </w:r>
      <w:bookmarkEnd w:id="6"/>
    </w:p>
    <w:p w14:paraId="119A5BF5" w14:textId="77777777" w:rsidR="002B752B" w:rsidRDefault="002B752B" w:rsidP="002B752B"/>
    <w:tbl>
      <w:tblPr>
        <w:tblStyle w:val="TableGrid"/>
        <w:tblW w:w="10206" w:type="dxa"/>
        <w:tblInd w:w="-572" w:type="dxa"/>
        <w:tblLayout w:type="fixed"/>
        <w:tblLook w:val="04A0" w:firstRow="1" w:lastRow="0" w:firstColumn="1" w:lastColumn="0" w:noHBand="0" w:noVBand="1"/>
      </w:tblPr>
      <w:tblGrid>
        <w:gridCol w:w="2268"/>
        <w:gridCol w:w="5245"/>
        <w:gridCol w:w="1559"/>
        <w:gridCol w:w="1134"/>
      </w:tblGrid>
      <w:tr w:rsidR="002B752B" w:rsidRPr="00E5605A" w14:paraId="502277C4" w14:textId="77777777" w:rsidTr="00FF164C">
        <w:tc>
          <w:tcPr>
            <w:tcW w:w="2268" w:type="dxa"/>
          </w:tcPr>
          <w:p w14:paraId="69C67F52" w14:textId="77777777" w:rsidR="002B752B" w:rsidRPr="00E5605A" w:rsidRDefault="002B752B" w:rsidP="00FF164C">
            <w:pPr>
              <w:spacing w:before="100" w:beforeAutospacing="1" w:after="100" w:afterAutospacing="1"/>
              <w:rPr>
                <w:b/>
              </w:rPr>
            </w:pPr>
            <w:r w:rsidRPr="00C75238">
              <w:rPr>
                <w:b/>
              </w:rPr>
              <w:t>SWiM reporting item</w:t>
            </w:r>
          </w:p>
        </w:tc>
        <w:tc>
          <w:tcPr>
            <w:tcW w:w="5245" w:type="dxa"/>
          </w:tcPr>
          <w:p w14:paraId="7F0F6B44" w14:textId="77777777" w:rsidR="002B752B" w:rsidRPr="00E5605A" w:rsidRDefault="002B752B" w:rsidP="00FF164C">
            <w:pPr>
              <w:spacing w:before="100" w:beforeAutospacing="1" w:after="100" w:afterAutospacing="1"/>
              <w:rPr>
                <w:b/>
              </w:rPr>
            </w:pPr>
            <w:r>
              <w:rPr>
                <w:b/>
              </w:rPr>
              <w:t>Item description</w:t>
            </w:r>
          </w:p>
        </w:tc>
        <w:tc>
          <w:tcPr>
            <w:tcW w:w="1559" w:type="dxa"/>
          </w:tcPr>
          <w:p w14:paraId="0D9300EC" w14:textId="77777777" w:rsidR="002B752B" w:rsidRPr="00955738" w:rsidDel="00463A21" w:rsidRDefault="002B752B" w:rsidP="00FF164C">
            <w:pPr>
              <w:spacing w:before="100" w:beforeAutospacing="1" w:after="100" w:afterAutospacing="1"/>
              <w:rPr>
                <w:b/>
              </w:rPr>
            </w:pPr>
            <w:r w:rsidRPr="00955738">
              <w:rPr>
                <w:b/>
              </w:rPr>
              <w:t>Page in manuscript where item is reported</w:t>
            </w:r>
          </w:p>
        </w:tc>
        <w:tc>
          <w:tcPr>
            <w:tcW w:w="1134" w:type="dxa"/>
          </w:tcPr>
          <w:p w14:paraId="5B9722E4" w14:textId="77777777" w:rsidR="002B752B" w:rsidRPr="00E5605A" w:rsidDel="00463A21" w:rsidRDefault="002B752B" w:rsidP="00FF164C">
            <w:pPr>
              <w:spacing w:before="100" w:beforeAutospacing="1" w:after="100" w:afterAutospacing="1"/>
              <w:rPr>
                <w:b/>
              </w:rPr>
            </w:pPr>
            <w:r>
              <w:rPr>
                <w:b/>
              </w:rPr>
              <w:t>Other*</w:t>
            </w:r>
          </w:p>
        </w:tc>
      </w:tr>
      <w:tr w:rsidR="002B752B" w:rsidRPr="00E5605A" w14:paraId="676EB181" w14:textId="77777777" w:rsidTr="00FF164C">
        <w:tc>
          <w:tcPr>
            <w:tcW w:w="10206" w:type="dxa"/>
            <w:gridSpan w:val="4"/>
          </w:tcPr>
          <w:p w14:paraId="55598C78" w14:textId="77777777" w:rsidR="002B752B" w:rsidRDefault="002B752B" w:rsidP="00FF164C">
            <w:pPr>
              <w:spacing w:before="100" w:beforeAutospacing="1" w:after="100" w:afterAutospacing="1"/>
              <w:rPr>
                <w:b/>
              </w:rPr>
            </w:pPr>
            <w:r w:rsidRPr="00F13077">
              <w:rPr>
                <w:i/>
              </w:rPr>
              <w:t>Methods</w:t>
            </w:r>
          </w:p>
        </w:tc>
      </w:tr>
      <w:tr w:rsidR="002B752B" w:rsidRPr="0006377A" w14:paraId="79FBFFAB" w14:textId="77777777" w:rsidTr="00FF164C">
        <w:tc>
          <w:tcPr>
            <w:tcW w:w="2268" w:type="dxa"/>
            <w:vMerge w:val="restart"/>
          </w:tcPr>
          <w:p w14:paraId="1C9CA0DF" w14:textId="77777777" w:rsidR="002B752B" w:rsidRPr="007D157E" w:rsidRDefault="002B752B" w:rsidP="00FF164C">
            <w:pPr>
              <w:spacing w:before="100" w:beforeAutospacing="1" w:after="100" w:afterAutospacing="1"/>
            </w:pPr>
            <w:r w:rsidRPr="008D32D0">
              <w:rPr>
                <w:b/>
              </w:rPr>
              <w:t xml:space="preserve">1 </w:t>
            </w:r>
            <w:r>
              <w:t>Grouping studies for synthesis</w:t>
            </w:r>
          </w:p>
        </w:tc>
        <w:tc>
          <w:tcPr>
            <w:tcW w:w="5245" w:type="dxa"/>
          </w:tcPr>
          <w:p w14:paraId="3FD439EB" w14:textId="77777777" w:rsidR="002B752B" w:rsidRPr="007D157E" w:rsidRDefault="002B752B" w:rsidP="00FF164C">
            <w:pPr>
              <w:rPr>
                <w:rFonts w:eastAsia="Times New Roman" w:cs="Times New Roman"/>
              </w:rPr>
            </w:pPr>
            <w:r w:rsidRPr="007D157E">
              <w:rPr>
                <w:rFonts w:eastAsia="Times New Roman" w:cs="Times New Roman"/>
              </w:rPr>
              <w:t xml:space="preserve">1a) Provide </w:t>
            </w:r>
            <w:r>
              <w:rPr>
                <w:rFonts w:eastAsia="Times New Roman" w:cs="Times New Roman"/>
              </w:rPr>
              <w:t xml:space="preserve">a </w:t>
            </w:r>
            <w:r w:rsidRPr="007D157E">
              <w:rPr>
                <w:rFonts w:eastAsia="Times New Roman" w:cs="Times New Roman"/>
              </w:rPr>
              <w:t>description of, and rationale for, the groups used in the synthesis</w:t>
            </w:r>
            <w:r w:rsidRPr="007D157E">
              <w:t xml:space="preserve"> </w:t>
            </w:r>
            <w:r w:rsidRPr="007D157E">
              <w:rPr>
                <w:rFonts w:eastAsia="Times New Roman" w:cs="Times New Roman"/>
              </w:rPr>
              <w:t>(</w:t>
            </w:r>
            <w:r>
              <w:t>e.g.,</w:t>
            </w:r>
            <w:r w:rsidRPr="007D157E">
              <w:t xml:space="preserve"> groupings of </w:t>
            </w:r>
            <w:r>
              <w:t xml:space="preserve">populations, </w:t>
            </w:r>
            <w:r w:rsidRPr="007D157E">
              <w:rPr>
                <w:rFonts w:eastAsia="Times New Roman" w:cs="Times New Roman"/>
              </w:rPr>
              <w:t xml:space="preserve">interventions, outcomes, study design) </w:t>
            </w:r>
          </w:p>
        </w:tc>
        <w:tc>
          <w:tcPr>
            <w:tcW w:w="1559" w:type="dxa"/>
          </w:tcPr>
          <w:p w14:paraId="4BBEBAF8" w14:textId="2798C0CD" w:rsidR="002B752B" w:rsidRPr="0006377A" w:rsidRDefault="005357D7" w:rsidP="00FF164C">
            <w:pPr>
              <w:spacing w:before="100" w:beforeAutospacing="1" w:after="100" w:afterAutospacing="1"/>
            </w:pPr>
            <w:r>
              <w:t>8</w:t>
            </w:r>
          </w:p>
        </w:tc>
        <w:tc>
          <w:tcPr>
            <w:tcW w:w="1134" w:type="dxa"/>
          </w:tcPr>
          <w:p w14:paraId="6F17AAAF" w14:textId="77777777" w:rsidR="002B752B" w:rsidRPr="0006377A" w:rsidRDefault="002B752B" w:rsidP="00FF164C">
            <w:pPr>
              <w:spacing w:before="100" w:beforeAutospacing="1" w:after="100" w:afterAutospacing="1"/>
            </w:pPr>
          </w:p>
        </w:tc>
      </w:tr>
      <w:tr w:rsidR="002B752B" w:rsidRPr="0006377A" w14:paraId="3F7EEEF1" w14:textId="77777777" w:rsidTr="00FF164C">
        <w:tc>
          <w:tcPr>
            <w:tcW w:w="2268" w:type="dxa"/>
            <w:vMerge/>
          </w:tcPr>
          <w:p w14:paraId="538C4C50" w14:textId="77777777" w:rsidR="002B752B" w:rsidRPr="007D157E" w:rsidRDefault="002B752B" w:rsidP="00FF164C">
            <w:pPr>
              <w:spacing w:before="100" w:beforeAutospacing="1" w:after="100" w:afterAutospacing="1"/>
            </w:pPr>
          </w:p>
        </w:tc>
        <w:tc>
          <w:tcPr>
            <w:tcW w:w="5245" w:type="dxa"/>
          </w:tcPr>
          <w:p w14:paraId="48588961" w14:textId="77777777" w:rsidR="002B752B" w:rsidRPr="007D157E" w:rsidRDefault="002B752B" w:rsidP="00FF164C">
            <w:pPr>
              <w:spacing w:before="100" w:beforeAutospacing="1" w:after="100" w:afterAutospacing="1"/>
              <w:jc w:val="both"/>
            </w:pPr>
            <w:r w:rsidRPr="007D157E">
              <w:t>1b) Detail and provide rationale for any changes made subsequent to the protocol in the groups used in the synthesis</w:t>
            </w:r>
          </w:p>
        </w:tc>
        <w:tc>
          <w:tcPr>
            <w:tcW w:w="1559" w:type="dxa"/>
          </w:tcPr>
          <w:p w14:paraId="079B32CC" w14:textId="77777777" w:rsidR="002B752B" w:rsidRPr="0006377A" w:rsidRDefault="002B752B" w:rsidP="00FF164C">
            <w:pPr>
              <w:spacing w:before="100" w:beforeAutospacing="1" w:after="100" w:afterAutospacing="1"/>
              <w:jc w:val="both"/>
            </w:pPr>
            <w:r>
              <w:t>N/A</w:t>
            </w:r>
          </w:p>
        </w:tc>
        <w:tc>
          <w:tcPr>
            <w:tcW w:w="1134" w:type="dxa"/>
          </w:tcPr>
          <w:p w14:paraId="67F86671" w14:textId="77777777" w:rsidR="002B752B" w:rsidRPr="0006377A" w:rsidRDefault="002B752B" w:rsidP="00FF164C">
            <w:pPr>
              <w:spacing w:before="100" w:beforeAutospacing="1" w:after="100" w:afterAutospacing="1"/>
              <w:jc w:val="both"/>
            </w:pPr>
          </w:p>
        </w:tc>
      </w:tr>
      <w:tr w:rsidR="002B752B" w:rsidRPr="0006377A" w14:paraId="1748362B" w14:textId="77777777" w:rsidTr="00FF164C">
        <w:tc>
          <w:tcPr>
            <w:tcW w:w="2268" w:type="dxa"/>
          </w:tcPr>
          <w:p w14:paraId="03A170FE" w14:textId="77777777" w:rsidR="002B752B" w:rsidRPr="00251A39" w:rsidRDefault="002B752B" w:rsidP="00FF164C">
            <w:r w:rsidRPr="008D32D0">
              <w:rPr>
                <w:b/>
              </w:rPr>
              <w:t>2</w:t>
            </w:r>
            <w:r>
              <w:t xml:space="preserve"> </w:t>
            </w:r>
            <w:r w:rsidRPr="00251A39">
              <w:t xml:space="preserve">Describe the </w:t>
            </w:r>
            <w:r>
              <w:t>standardised</w:t>
            </w:r>
            <w:r w:rsidRPr="00251A39">
              <w:t xml:space="preserve"> metric and transformation methods used</w:t>
            </w:r>
          </w:p>
        </w:tc>
        <w:tc>
          <w:tcPr>
            <w:tcW w:w="5245" w:type="dxa"/>
          </w:tcPr>
          <w:p w14:paraId="637860CA" w14:textId="77777777" w:rsidR="002B752B" w:rsidRPr="007D157E" w:rsidRDefault="002B752B" w:rsidP="00FF164C">
            <w:r>
              <w:t>Describe the standardised</w:t>
            </w:r>
            <w:r w:rsidRPr="002055A2">
              <w:t xml:space="preserve"> metric for each outcome. Explain why the metric(s) was chosen, and describe any methods used to transform the intervention effects</w:t>
            </w:r>
            <w:r>
              <w:t>,</w:t>
            </w:r>
            <w:r w:rsidRPr="002055A2">
              <w:t xml:space="preserve"> </w:t>
            </w:r>
            <w:r>
              <w:t xml:space="preserve">as reported in the study, </w:t>
            </w:r>
            <w:r w:rsidRPr="002055A2">
              <w:t xml:space="preserve">to the </w:t>
            </w:r>
            <w:r w:rsidRPr="003815CF">
              <w:t>standardi</w:t>
            </w:r>
            <w:r>
              <w:t>s</w:t>
            </w:r>
            <w:r w:rsidRPr="003815CF">
              <w:t>ed</w:t>
            </w:r>
            <w:r w:rsidRPr="002055A2">
              <w:t xml:space="preserve"> metric</w:t>
            </w:r>
            <w:r>
              <w:t xml:space="preserve">, </w:t>
            </w:r>
            <w:r w:rsidRPr="007D157E">
              <w:t>citing any methodological guidance consulted</w:t>
            </w:r>
          </w:p>
          <w:p w14:paraId="1C261F25" w14:textId="77777777" w:rsidR="002B752B" w:rsidRPr="007D157E" w:rsidRDefault="002B752B" w:rsidP="00FF164C"/>
        </w:tc>
        <w:tc>
          <w:tcPr>
            <w:tcW w:w="1559" w:type="dxa"/>
          </w:tcPr>
          <w:p w14:paraId="7D858848" w14:textId="01DE2D76" w:rsidR="002B752B" w:rsidRPr="00A2114E" w:rsidRDefault="005357D7" w:rsidP="00FF164C">
            <w:pPr>
              <w:spacing w:before="100" w:beforeAutospacing="1" w:after="100" w:afterAutospacing="1"/>
              <w:jc w:val="both"/>
            </w:pPr>
            <w:r>
              <w:t>8</w:t>
            </w:r>
          </w:p>
        </w:tc>
        <w:tc>
          <w:tcPr>
            <w:tcW w:w="1134" w:type="dxa"/>
          </w:tcPr>
          <w:p w14:paraId="06CA3B0E" w14:textId="77777777" w:rsidR="002B752B" w:rsidRPr="00A2114E" w:rsidRDefault="002B752B" w:rsidP="00FF164C">
            <w:pPr>
              <w:spacing w:before="100" w:beforeAutospacing="1" w:after="100" w:afterAutospacing="1"/>
              <w:jc w:val="both"/>
            </w:pPr>
          </w:p>
        </w:tc>
      </w:tr>
      <w:tr w:rsidR="002B752B" w:rsidRPr="0006377A" w14:paraId="2616080E" w14:textId="77777777" w:rsidTr="00FF164C">
        <w:tc>
          <w:tcPr>
            <w:tcW w:w="2268" w:type="dxa"/>
          </w:tcPr>
          <w:p w14:paraId="4852DE4C" w14:textId="77777777" w:rsidR="002B752B" w:rsidRPr="007D157E" w:rsidRDefault="002B752B" w:rsidP="00FF164C">
            <w:pPr>
              <w:spacing w:before="100" w:beforeAutospacing="1" w:after="100" w:afterAutospacing="1"/>
            </w:pPr>
            <w:r w:rsidRPr="008D32D0">
              <w:rPr>
                <w:b/>
              </w:rPr>
              <w:t>3</w:t>
            </w:r>
            <w:r w:rsidRPr="007D157E">
              <w:t xml:space="preserve"> Describe the synthesis methods</w:t>
            </w:r>
          </w:p>
        </w:tc>
        <w:tc>
          <w:tcPr>
            <w:tcW w:w="5245" w:type="dxa"/>
          </w:tcPr>
          <w:p w14:paraId="2E26D8CF" w14:textId="77777777" w:rsidR="002B752B" w:rsidRPr="00251A39" w:rsidRDefault="002B752B" w:rsidP="00FF164C">
            <w:pPr>
              <w:spacing w:before="100" w:beforeAutospacing="1" w:after="100" w:afterAutospacing="1"/>
              <w:jc w:val="both"/>
              <w:rPr>
                <w:bCs/>
              </w:rPr>
            </w:pPr>
            <w:r w:rsidRPr="007D157E">
              <w:t xml:space="preserve">Describe </w:t>
            </w:r>
            <w:r>
              <w:t xml:space="preserve">and justify </w:t>
            </w:r>
            <w:r w:rsidRPr="007D157E">
              <w:t>the methods used to synthesi</w:t>
            </w:r>
            <w:r>
              <w:t>se</w:t>
            </w:r>
            <w:r w:rsidRPr="007D157E">
              <w:t xml:space="preserve"> the effects for each outcome </w:t>
            </w:r>
            <w:r w:rsidRPr="007D157E">
              <w:rPr>
                <w:bCs/>
              </w:rPr>
              <w:t>when it was not possible to undertake a me</w:t>
            </w:r>
            <w:r>
              <w:rPr>
                <w:bCs/>
              </w:rPr>
              <w:t>ta-analysis of effect estimates</w:t>
            </w:r>
          </w:p>
        </w:tc>
        <w:tc>
          <w:tcPr>
            <w:tcW w:w="1559" w:type="dxa"/>
          </w:tcPr>
          <w:p w14:paraId="235856D1" w14:textId="4382C3A9" w:rsidR="002B752B" w:rsidRPr="00A2114E" w:rsidRDefault="005357D7" w:rsidP="00FF164C">
            <w:pPr>
              <w:spacing w:before="100" w:beforeAutospacing="1" w:after="100" w:afterAutospacing="1"/>
              <w:jc w:val="both"/>
            </w:pPr>
            <w:r>
              <w:t>8</w:t>
            </w:r>
          </w:p>
        </w:tc>
        <w:tc>
          <w:tcPr>
            <w:tcW w:w="1134" w:type="dxa"/>
          </w:tcPr>
          <w:p w14:paraId="0F074CB2" w14:textId="77777777" w:rsidR="002B752B" w:rsidRPr="00A2114E" w:rsidRDefault="002B752B" w:rsidP="00FF164C">
            <w:pPr>
              <w:spacing w:before="100" w:beforeAutospacing="1" w:after="100" w:afterAutospacing="1"/>
              <w:jc w:val="both"/>
            </w:pPr>
          </w:p>
        </w:tc>
      </w:tr>
      <w:tr w:rsidR="002B752B" w:rsidRPr="0006377A" w14:paraId="37495F22" w14:textId="77777777" w:rsidTr="00FF164C">
        <w:tc>
          <w:tcPr>
            <w:tcW w:w="2268" w:type="dxa"/>
          </w:tcPr>
          <w:p w14:paraId="363FCE30" w14:textId="77777777" w:rsidR="002B752B" w:rsidRPr="007D157E" w:rsidRDefault="002B752B" w:rsidP="00FF164C">
            <w:r w:rsidRPr="008D32D0">
              <w:rPr>
                <w:b/>
              </w:rPr>
              <w:t xml:space="preserve">4 </w:t>
            </w:r>
            <w:r w:rsidRPr="007D157E">
              <w:t>Criteria used to prioriti</w:t>
            </w:r>
            <w:r>
              <w:t>s</w:t>
            </w:r>
            <w:r w:rsidRPr="007D157E">
              <w:t>e results for summary and synthesis</w:t>
            </w:r>
          </w:p>
        </w:tc>
        <w:tc>
          <w:tcPr>
            <w:tcW w:w="5245" w:type="dxa"/>
          </w:tcPr>
          <w:p w14:paraId="48D5DDC1" w14:textId="77777777" w:rsidR="002B752B" w:rsidRPr="007D157E" w:rsidRDefault="002B752B" w:rsidP="00FF164C">
            <w:pPr>
              <w:rPr>
                <w:rFonts w:eastAsia="Times New Roman" w:cs="Times New Roman"/>
              </w:rPr>
            </w:pPr>
            <w:r w:rsidRPr="007D157E">
              <w:rPr>
                <w:rFonts w:eastAsia="Times New Roman" w:cs="Times New Roman"/>
              </w:rPr>
              <w:t xml:space="preserve">Where applicable, provide the criteria used, with supporting justification, to select </w:t>
            </w:r>
            <w:r>
              <w:rPr>
                <w:rFonts w:eastAsia="Times New Roman" w:cs="Times New Roman"/>
              </w:rPr>
              <w:t xml:space="preserve">the </w:t>
            </w:r>
            <w:r w:rsidRPr="007D157E">
              <w:rPr>
                <w:rFonts w:eastAsia="Times New Roman" w:cs="Times New Roman"/>
              </w:rPr>
              <w:t>particular stud</w:t>
            </w:r>
            <w:r>
              <w:rPr>
                <w:rFonts w:eastAsia="Times New Roman" w:cs="Times New Roman"/>
              </w:rPr>
              <w:t>ies, or</w:t>
            </w:r>
            <w:r w:rsidRPr="007D157E">
              <w:rPr>
                <w:rFonts w:eastAsia="Times New Roman" w:cs="Times New Roman"/>
              </w:rPr>
              <w:t xml:space="preserve"> </w:t>
            </w:r>
            <w:r>
              <w:rPr>
                <w:rFonts w:eastAsia="Times New Roman" w:cs="Times New Roman"/>
              </w:rPr>
              <w:t xml:space="preserve">a particular </w:t>
            </w:r>
            <w:r w:rsidRPr="007D157E">
              <w:rPr>
                <w:rFonts w:eastAsia="Times New Roman" w:cs="Times New Roman"/>
              </w:rPr>
              <w:t>stud</w:t>
            </w:r>
            <w:r>
              <w:rPr>
                <w:rFonts w:eastAsia="Times New Roman" w:cs="Times New Roman"/>
              </w:rPr>
              <w:t>y,</w:t>
            </w:r>
            <w:r w:rsidRPr="007D157E">
              <w:rPr>
                <w:rFonts w:eastAsia="Times New Roman" w:cs="Times New Roman"/>
              </w:rPr>
              <w:t xml:space="preserve"> for the main synthesis or to draw conclusi</w:t>
            </w:r>
            <w:r w:rsidRPr="007D157E">
              <w:t>o</w:t>
            </w:r>
            <w:r w:rsidRPr="007D157E">
              <w:rPr>
                <w:rFonts w:eastAsia="Times New Roman" w:cs="Times New Roman"/>
              </w:rPr>
              <w:t xml:space="preserve">ns </w:t>
            </w:r>
            <w:r>
              <w:rPr>
                <w:rFonts w:eastAsia="Times New Roman" w:cs="Times New Roman"/>
              </w:rPr>
              <w:t>from</w:t>
            </w:r>
            <w:r w:rsidRPr="007D157E">
              <w:rPr>
                <w:rFonts w:eastAsia="Times New Roman" w:cs="Times New Roman"/>
              </w:rPr>
              <w:t xml:space="preserve"> the synthesis </w:t>
            </w:r>
            <w:r>
              <w:rPr>
                <w:rFonts w:eastAsia="Times New Roman" w:cs="Times New Roman"/>
              </w:rPr>
              <w:t>(</w:t>
            </w:r>
            <w:r w:rsidRPr="007D157E">
              <w:rPr>
                <w:rFonts w:eastAsia="Times New Roman" w:cs="Times New Roman"/>
              </w:rPr>
              <w:t>e</w:t>
            </w:r>
            <w:r w:rsidRPr="007D157E">
              <w:t>.g.</w:t>
            </w:r>
            <w:r>
              <w:t>,</w:t>
            </w:r>
            <w:r w:rsidRPr="007D157E">
              <w:rPr>
                <w:rFonts w:eastAsia="Times New Roman" w:cs="Times New Roman"/>
              </w:rPr>
              <w:t xml:space="preserve"> based on study design, risk of bias assessments, directness in relation to the review question</w:t>
            </w:r>
            <w:r>
              <w:rPr>
                <w:rFonts w:eastAsia="Times New Roman" w:cs="Times New Roman"/>
              </w:rPr>
              <w:t>)</w:t>
            </w:r>
          </w:p>
          <w:p w14:paraId="4FA9188B" w14:textId="77777777" w:rsidR="002B752B" w:rsidRDefault="002B752B" w:rsidP="00FF164C"/>
          <w:p w14:paraId="251F67C3" w14:textId="77777777" w:rsidR="002B752B" w:rsidRPr="007D157E" w:rsidRDefault="002B752B" w:rsidP="00FF164C"/>
        </w:tc>
        <w:tc>
          <w:tcPr>
            <w:tcW w:w="1559" w:type="dxa"/>
          </w:tcPr>
          <w:p w14:paraId="40DC6075" w14:textId="2AF99DD6" w:rsidR="002B752B" w:rsidRPr="0006377A" w:rsidRDefault="005357D7" w:rsidP="00FF164C">
            <w:pPr>
              <w:spacing w:before="100" w:beforeAutospacing="1" w:after="100" w:afterAutospacing="1"/>
              <w:jc w:val="both"/>
              <w:rPr>
                <w:rFonts w:ascii="Calibri" w:hAnsi="Calibri"/>
                <w:color w:val="000000"/>
              </w:rPr>
            </w:pPr>
            <w:r>
              <w:rPr>
                <w:rFonts w:ascii="Calibri" w:hAnsi="Calibri"/>
                <w:color w:val="000000"/>
              </w:rPr>
              <w:t>8</w:t>
            </w:r>
          </w:p>
        </w:tc>
        <w:tc>
          <w:tcPr>
            <w:tcW w:w="1134" w:type="dxa"/>
          </w:tcPr>
          <w:p w14:paraId="616D4051" w14:textId="77777777" w:rsidR="002B752B" w:rsidRPr="0006377A" w:rsidRDefault="002B752B" w:rsidP="00FF164C">
            <w:pPr>
              <w:spacing w:before="100" w:beforeAutospacing="1" w:after="100" w:afterAutospacing="1"/>
              <w:jc w:val="both"/>
              <w:rPr>
                <w:rFonts w:ascii="Calibri" w:hAnsi="Calibri"/>
                <w:color w:val="000000"/>
              </w:rPr>
            </w:pPr>
          </w:p>
        </w:tc>
      </w:tr>
      <w:tr w:rsidR="002B752B" w:rsidRPr="00974A69" w14:paraId="11EDBEAC" w14:textId="77777777" w:rsidTr="00FF164C">
        <w:trPr>
          <w:trHeight w:val="1408"/>
        </w:trPr>
        <w:tc>
          <w:tcPr>
            <w:tcW w:w="2268" w:type="dxa"/>
          </w:tcPr>
          <w:p w14:paraId="14D370EC" w14:textId="77777777" w:rsidR="002B752B" w:rsidRPr="00974A69" w:rsidRDefault="002B752B" w:rsidP="00FF164C">
            <w:r w:rsidRPr="008D32D0">
              <w:rPr>
                <w:b/>
              </w:rPr>
              <w:t>5</w:t>
            </w:r>
            <w:r w:rsidRPr="00974A69">
              <w:t xml:space="preserve"> Investigation of heterogeneity in reported effects</w:t>
            </w:r>
          </w:p>
        </w:tc>
        <w:tc>
          <w:tcPr>
            <w:tcW w:w="5245" w:type="dxa"/>
          </w:tcPr>
          <w:p w14:paraId="0E9FD1D9" w14:textId="77777777" w:rsidR="002B752B" w:rsidRPr="00974A69" w:rsidRDefault="002B752B" w:rsidP="00FF164C">
            <w:pPr>
              <w:spacing w:before="100" w:beforeAutospacing="1" w:after="100" w:afterAutospacing="1"/>
              <w:jc w:val="both"/>
            </w:pPr>
            <w:r w:rsidRPr="00974A69">
              <w:rPr>
                <w:rFonts w:eastAsia="Times New Roman" w:cs="Times New Roman"/>
              </w:rPr>
              <w:t xml:space="preserve">State the method(s) used to examine heterogeneity in reported effects when it was not possible to </w:t>
            </w:r>
            <w:r w:rsidRPr="00974A69">
              <w:rPr>
                <w:bCs/>
              </w:rPr>
              <w:t>undertake a meta-analysis of effect estimates and its extensions to investigate heterogeneity</w:t>
            </w:r>
          </w:p>
        </w:tc>
        <w:tc>
          <w:tcPr>
            <w:tcW w:w="1559" w:type="dxa"/>
          </w:tcPr>
          <w:p w14:paraId="24422995" w14:textId="4C9E07EF" w:rsidR="002B752B" w:rsidRPr="00974A69" w:rsidRDefault="005357D7" w:rsidP="00FF164C">
            <w:pPr>
              <w:spacing w:before="100" w:beforeAutospacing="1" w:after="100" w:afterAutospacing="1"/>
              <w:jc w:val="both"/>
            </w:pPr>
            <w:r>
              <w:t>8</w:t>
            </w:r>
          </w:p>
        </w:tc>
        <w:tc>
          <w:tcPr>
            <w:tcW w:w="1134" w:type="dxa"/>
          </w:tcPr>
          <w:p w14:paraId="1941F201" w14:textId="77777777" w:rsidR="002B752B" w:rsidRPr="00974A69" w:rsidRDefault="002B752B" w:rsidP="00FF164C">
            <w:pPr>
              <w:spacing w:before="100" w:beforeAutospacing="1" w:after="100" w:afterAutospacing="1"/>
              <w:jc w:val="both"/>
            </w:pPr>
          </w:p>
        </w:tc>
      </w:tr>
      <w:tr w:rsidR="002B752B" w:rsidRPr="00974A69" w14:paraId="01450D97" w14:textId="77777777" w:rsidTr="00FF164C">
        <w:tc>
          <w:tcPr>
            <w:tcW w:w="2268" w:type="dxa"/>
          </w:tcPr>
          <w:p w14:paraId="68B889B3" w14:textId="77777777" w:rsidR="002B752B" w:rsidRPr="00974A69" w:rsidRDefault="002B752B" w:rsidP="00FF164C">
            <w:pPr>
              <w:spacing w:before="100" w:beforeAutospacing="1" w:after="100" w:afterAutospacing="1"/>
            </w:pPr>
            <w:r w:rsidRPr="008D32D0">
              <w:rPr>
                <w:b/>
              </w:rPr>
              <w:t xml:space="preserve">6 </w:t>
            </w:r>
            <w:r w:rsidRPr="00974A69">
              <w:t>Certainty of evidence</w:t>
            </w:r>
          </w:p>
        </w:tc>
        <w:tc>
          <w:tcPr>
            <w:tcW w:w="5245" w:type="dxa"/>
          </w:tcPr>
          <w:p w14:paraId="0A87813B" w14:textId="77777777" w:rsidR="002B752B" w:rsidRPr="00974A69" w:rsidRDefault="002B752B" w:rsidP="00FF164C">
            <w:r w:rsidRPr="00974A69">
              <w:t>Describe the methods used to assess certainty of the synthesis findings</w:t>
            </w:r>
          </w:p>
          <w:p w14:paraId="0B7568D0" w14:textId="77777777" w:rsidR="002B752B" w:rsidRPr="00974A69" w:rsidRDefault="002B752B" w:rsidP="00FF164C"/>
        </w:tc>
        <w:tc>
          <w:tcPr>
            <w:tcW w:w="1559" w:type="dxa"/>
          </w:tcPr>
          <w:p w14:paraId="3242A5C4" w14:textId="41686B44" w:rsidR="002B752B" w:rsidRPr="00974A69" w:rsidRDefault="005357D7" w:rsidP="00FF164C">
            <w:pPr>
              <w:spacing w:before="100" w:beforeAutospacing="1" w:after="100" w:afterAutospacing="1"/>
              <w:jc w:val="both"/>
            </w:pPr>
            <w:r>
              <w:t>8</w:t>
            </w:r>
          </w:p>
        </w:tc>
        <w:tc>
          <w:tcPr>
            <w:tcW w:w="1134" w:type="dxa"/>
          </w:tcPr>
          <w:p w14:paraId="41DE1E81" w14:textId="77777777" w:rsidR="002B752B" w:rsidRPr="00974A69" w:rsidRDefault="002B752B" w:rsidP="00FF164C">
            <w:pPr>
              <w:spacing w:before="100" w:beforeAutospacing="1" w:after="100" w:afterAutospacing="1"/>
              <w:jc w:val="both"/>
            </w:pPr>
          </w:p>
        </w:tc>
      </w:tr>
      <w:tr w:rsidR="002B752B" w:rsidRPr="00974A69" w14:paraId="69D0EE2C" w14:textId="77777777" w:rsidTr="00FF164C">
        <w:tc>
          <w:tcPr>
            <w:tcW w:w="2268" w:type="dxa"/>
          </w:tcPr>
          <w:p w14:paraId="5126FB59" w14:textId="77777777" w:rsidR="002B752B" w:rsidRPr="00974A69" w:rsidRDefault="002B752B" w:rsidP="00FF164C">
            <w:pPr>
              <w:spacing w:before="100" w:beforeAutospacing="1" w:after="100" w:afterAutospacing="1"/>
            </w:pPr>
            <w:r w:rsidRPr="008D32D0">
              <w:rPr>
                <w:b/>
              </w:rPr>
              <w:lastRenderedPageBreak/>
              <w:t>7</w:t>
            </w:r>
            <w:r w:rsidRPr="00974A69">
              <w:t xml:space="preserve"> Data presentation methods</w:t>
            </w:r>
          </w:p>
        </w:tc>
        <w:tc>
          <w:tcPr>
            <w:tcW w:w="5245" w:type="dxa"/>
          </w:tcPr>
          <w:p w14:paraId="5F856697" w14:textId="77777777" w:rsidR="002B752B" w:rsidRPr="00974A69" w:rsidRDefault="002B752B" w:rsidP="00FF164C">
            <w:r w:rsidRPr="00974A69">
              <w:t>Describe the graphical and tabular methods used to present the effects (e.g., tables, forest plots, harvest plots).</w:t>
            </w:r>
          </w:p>
          <w:p w14:paraId="1BBD8B52" w14:textId="77777777" w:rsidR="002B752B" w:rsidRPr="00974A69" w:rsidRDefault="002B752B" w:rsidP="00FF164C">
            <w:r w:rsidRPr="00974A69">
              <w:t>Specify key study characteristics (e.g., study design, risk of bias) used to order the studies, in the text and any tables or graphs, clearly referencing the studies included</w:t>
            </w:r>
          </w:p>
        </w:tc>
        <w:tc>
          <w:tcPr>
            <w:tcW w:w="1559" w:type="dxa"/>
          </w:tcPr>
          <w:p w14:paraId="519681CF" w14:textId="2516E9BF" w:rsidR="002B752B" w:rsidRPr="00974A69" w:rsidRDefault="005357D7" w:rsidP="00FF164C">
            <w:pPr>
              <w:spacing w:before="100" w:beforeAutospacing="1" w:after="100" w:afterAutospacing="1"/>
              <w:jc w:val="both"/>
            </w:pPr>
            <w:r>
              <w:t>8</w:t>
            </w:r>
          </w:p>
        </w:tc>
        <w:tc>
          <w:tcPr>
            <w:tcW w:w="1134" w:type="dxa"/>
          </w:tcPr>
          <w:p w14:paraId="15FEC4CF" w14:textId="77777777" w:rsidR="002B752B" w:rsidRPr="00974A69" w:rsidRDefault="002B752B" w:rsidP="00FF164C">
            <w:pPr>
              <w:spacing w:before="100" w:beforeAutospacing="1" w:after="100" w:afterAutospacing="1"/>
              <w:jc w:val="both"/>
            </w:pPr>
          </w:p>
        </w:tc>
      </w:tr>
      <w:tr w:rsidR="002B752B" w:rsidRPr="00974A69" w14:paraId="3D2D5F85" w14:textId="77777777" w:rsidTr="00FF164C">
        <w:tc>
          <w:tcPr>
            <w:tcW w:w="10206" w:type="dxa"/>
            <w:gridSpan w:val="4"/>
          </w:tcPr>
          <w:p w14:paraId="0F4DF7F0" w14:textId="77777777" w:rsidR="002B752B" w:rsidRPr="00974A69" w:rsidRDefault="002B752B" w:rsidP="00FF164C">
            <w:pPr>
              <w:spacing w:before="100" w:beforeAutospacing="1" w:after="100" w:afterAutospacing="1"/>
              <w:jc w:val="both"/>
            </w:pPr>
            <w:r w:rsidRPr="00974A69">
              <w:rPr>
                <w:i/>
              </w:rPr>
              <w:t>Results</w:t>
            </w:r>
          </w:p>
        </w:tc>
      </w:tr>
      <w:tr w:rsidR="002B752B" w:rsidRPr="00974A69" w14:paraId="69D67D0F" w14:textId="77777777" w:rsidTr="00FF164C">
        <w:trPr>
          <w:trHeight w:val="1138"/>
        </w:trPr>
        <w:tc>
          <w:tcPr>
            <w:tcW w:w="2268" w:type="dxa"/>
          </w:tcPr>
          <w:p w14:paraId="10B6470A" w14:textId="77777777" w:rsidR="002B752B" w:rsidRPr="00974A69" w:rsidRDefault="002B752B" w:rsidP="00FF164C">
            <w:pPr>
              <w:spacing w:before="100" w:beforeAutospacing="1" w:after="100" w:afterAutospacing="1"/>
            </w:pPr>
            <w:r w:rsidRPr="008D32D0">
              <w:rPr>
                <w:b/>
              </w:rPr>
              <w:t xml:space="preserve">8 </w:t>
            </w:r>
            <w:r w:rsidRPr="00974A69">
              <w:t>Reporting results</w:t>
            </w:r>
          </w:p>
        </w:tc>
        <w:tc>
          <w:tcPr>
            <w:tcW w:w="5245" w:type="dxa"/>
          </w:tcPr>
          <w:p w14:paraId="3BCFF651" w14:textId="77777777" w:rsidR="002B752B" w:rsidRPr="00974A69" w:rsidRDefault="002B752B" w:rsidP="00FF164C">
            <w:pPr>
              <w:spacing w:before="100" w:beforeAutospacing="1" w:after="100" w:afterAutospacing="1"/>
            </w:pPr>
            <w:r w:rsidRPr="00974A69">
              <w:t>For each comparison and outcome, provide a description of the synthesi</w:t>
            </w:r>
            <w:r>
              <w:t>s</w:t>
            </w:r>
            <w:r w:rsidRPr="00974A69">
              <w:t>ed findings, and the certainty of the findings. Describe the result in language that is consistent with the question the synthesis addresses, and indicate which studies contribute to the synthesis</w:t>
            </w:r>
          </w:p>
        </w:tc>
        <w:tc>
          <w:tcPr>
            <w:tcW w:w="1559" w:type="dxa"/>
          </w:tcPr>
          <w:p w14:paraId="3429574B" w14:textId="31B84582" w:rsidR="002B752B" w:rsidRPr="00974A69" w:rsidRDefault="002B752B" w:rsidP="00FF164C">
            <w:pPr>
              <w:spacing w:before="100" w:beforeAutospacing="1" w:after="100" w:afterAutospacing="1"/>
              <w:jc w:val="both"/>
            </w:pPr>
            <w:r>
              <w:t>1</w:t>
            </w:r>
            <w:r w:rsidR="005357D7">
              <w:t>0</w:t>
            </w:r>
            <w:r>
              <w:t>-2</w:t>
            </w:r>
            <w:r w:rsidR="005357D7">
              <w:t>1</w:t>
            </w:r>
          </w:p>
        </w:tc>
        <w:tc>
          <w:tcPr>
            <w:tcW w:w="1134" w:type="dxa"/>
          </w:tcPr>
          <w:p w14:paraId="3106B83B" w14:textId="77777777" w:rsidR="002B752B" w:rsidRPr="00974A69" w:rsidRDefault="002B752B" w:rsidP="00FF164C">
            <w:pPr>
              <w:spacing w:before="100" w:beforeAutospacing="1" w:after="100" w:afterAutospacing="1"/>
              <w:jc w:val="both"/>
            </w:pPr>
          </w:p>
        </w:tc>
      </w:tr>
      <w:tr w:rsidR="002B752B" w:rsidRPr="00974A69" w14:paraId="603FD90F" w14:textId="77777777" w:rsidTr="00FF164C">
        <w:tc>
          <w:tcPr>
            <w:tcW w:w="2268" w:type="dxa"/>
          </w:tcPr>
          <w:p w14:paraId="6488892E" w14:textId="77777777" w:rsidR="002B752B" w:rsidRPr="00974A69" w:rsidRDefault="002B752B" w:rsidP="00FF164C">
            <w:pPr>
              <w:spacing w:before="100" w:beforeAutospacing="1" w:after="100" w:afterAutospacing="1"/>
              <w:rPr>
                <w:i/>
              </w:rPr>
            </w:pPr>
            <w:r w:rsidRPr="00974A69">
              <w:rPr>
                <w:i/>
              </w:rPr>
              <w:t>Discussion</w:t>
            </w:r>
          </w:p>
        </w:tc>
        <w:tc>
          <w:tcPr>
            <w:tcW w:w="5245" w:type="dxa"/>
          </w:tcPr>
          <w:p w14:paraId="650396A8" w14:textId="77777777" w:rsidR="002B752B" w:rsidRPr="00974A69" w:rsidRDefault="002B752B" w:rsidP="00FF164C">
            <w:pPr>
              <w:spacing w:before="100" w:beforeAutospacing="1" w:after="100" w:afterAutospacing="1"/>
              <w:jc w:val="both"/>
            </w:pPr>
          </w:p>
        </w:tc>
        <w:tc>
          <w:tcPr>
            <w:tcW w:w="1559" w:type="dxa"/>
          </w:tcPr>
          <w:p w14:paraId="55B788EA" w14:textId="77777777" w:rsidR="002B752B" w:rsidRPr="00974A69" w:rsidRDefault="002B752B" w:rsidP="00FF164C">
            <w:pPr>
              <w:spacing w:before="100" w:beforeAutospacing="1" w:after="100" w:afterAutospacing="1"/>
              <w:jc w:val="both"/>
            </w:pPr>
          </w:p>
        </w:tc>
        <w:tc>
          <w:tcPr>
            <w:tcW w:w="1134" w:type="dxa"/>
          </w:tcPr>
          <w:p w14:paraId="7D0C69B2" w14:textId="77777777" w:rsidR="002B752B" w:rsidRPr="00974A69" w:rsidRDefault="002B752B" w:rsidP="00FF164C">
            <w:pPr>
              <w:spacing w:before="100" w:beforeAutospacing="1" w:after="100" w:afterAutospacing="1"/>
              <w:jc w:val="both"/>
            </w:pPr>
          </w:p>
        </w:tc>
      </w:tr>
      <w:tr w:rsidR="002B752B" w:rsidRPr="00974A69" w14:paraId="0EE57F64" w14:textId="77777777" w:rsidTr="00FF164C">
        <w:tc>
          <w:tcPr>
            <w:tcW w:w="2268" w:type="dxa"/>
          </w:tcPr>
          <w:p w14:paraId="0C76F6FC" w14:textId="77777777" w:rsidR="002B752B" w:rsidRPr="00974A69" w:rsidRDefault="002B752B" w:rsidP="00FF164C">
            <w:pPr>
              <w:spacing w:before="100" w:beforeAutospacing="1" w:after="100" w:afterAutospacing="1"/>
            </w:pPr>
            <w:r w:rsidRPr="008D32D0">
              <w:rPr>
                <w:b/>
              </w:rPr>
              <w:t>9</w:t>
            </w:r>
            <w:r w:rsidRPr="00974A69">
              <w:t xml:space="preserve"> Limitations of the synthesis</w:t>
            </w:r>
          </w:p>
          <w:p w14:paraId="4AEDCF8D" w14:textId="77777777" w:rsidR="002B752B" w:rsidRPr="00974A69" w:rsidRDefault="002B752B" w:rsidP="00FF164C">
            <w:pPr>
              <w:spacing w:before="100" w:beforeAutospacing="1" w:after="100" w:afterAutospacing="1"/>
            </w:pPr>
          </w:p>
        </w:tc>
        <w:tc>
          <w:tcPr>
            <w:tcW w:w="5245" w:type="dxa"/>
          </w:tcPr>
          <w:p w14:paraId="2040424B" w14:textId="77777777" w:rsidR="002B752B" w:rsidRPr="00974A69" w:rsidRDefault="002B752B" w:rsidP="00FF164C">
            <w:pPr>
              <w:spacing w:before="100" w:beforeAutospacing="1" w:after="100" w:afterAutospacing="1"/>
              <w:jc w:val="both"/>
            </w:pPr>
            <w:r w:rsidRPr="00974A69">
              <w:t xml:space="preserve">Report the limitations of the synthesis methods used and/or the groupings used in the synthesis, and how these </w:t>
            </w:r>
            <w:r>
              <w:t>affect</w:t>
            </w:r>
            <w:r w:rsidRPr="00974A69">
              <w:t xml:space="preserve"> the conclusions that can be drawn in relation to the original review question</w:t>
            </w:r>
          </w:p>
          <w:p w14:paraId="5C3C0A91" w14:textId="77777777" w:rsidR="002B752B" w:rsidRPr="00974A69" w:rsidRDefault="002B752B" w:rsidP="00FF164C">
            <w:pPr>
              <w:spacing w:before="100" w:beforeAutospacing="1" w:after="100" w:afterAutospacing="1"/>
              <w:jc w:val="both"/>
            </w:pPr>
          </w:p>
        </w:tc>
        <w:tc>
          <w:tcPr>
            <w:tcW w:w="1559" w:type="dxa"/>
          </w:tcPr>
          <w:p w14:paraId="066E35EB" w14:textId="2A50CA0D" w:rsidR="002B752B" w:rsidRPr="00974A69" w:rsidRDefault="002B752B" w:rsidP="00FF164C">
            <w:pPr>
              <w:spacing w:before="100" w:beforeAutospacing="1" w:after="100" w:afterAutospacing="1"/>
              <w:jc w:val="both"/>
            </w:pPr>
            <w:r>
              <w:t>2</w:t>
            </w:r>
            <w:r w:rsidR="005357D7">
              <w:t>7</w:t>
            </w:r>
          </w:p>
        </w:tc>
        <w:tc>
          <w:tcPr>
            <w:tcW w:w="1134" w:type="dxa"/>
          </w:tcPr>
          <w:p w14:paraId="4D1738A9" w14:textId="77777777" w:rsidR="002B752B" w:rsidRPr="00974A69" w:rsidRDefault="002B752B" w:rsidP="00FF164C">
            <w:pPr>
              <w:spacing w:before="100" w:beforeAutospacing="1" w:after="100" w:afterAutospacing="1"/>
              <w:jc w:val="both"/>
            </w:pPr>
          </w:p>
        </w:tc>
      </w:tr>
    </w:tbl>
    <w:p w14:paraId="1554EA8F" w14:textId="77777777" w:rsidR="002B752B" w:rsidRPr="009D0D32" w:rsidRDefault="002B752B" w:rsidP="002B752B"/>
    <w:p w14:paraId="75B73182" w14:textId="77777777" w:rsidR="002B752B" w:rsidRDefault="002B752B" w:rsidP="002B752B">
      <w:pPr>
        <w:rPr>
          <w:rFonts w:cs="Times New Roman"/>
          <w:b/>
          <w:bCs/>
          <w:i/>
          <w:iCs/>
        </w:rPr>
      </w:pPr>
    </w:p>
    <w:p w14:paraId="0FF345F6" w14:textId="77777777" w:rsidR="002B752B" w:rsidRDefault="002B752B" w:rsidP="002B752B">
      <w:pPr>
        <w:rPr>
          <w:rFonts w:cs="Times New Roman"/>
          <w:b/>
          <w:bCs/>
          <w:i/>
          <w:iCs/>
        </w:rPr>
      </w:pPr>
    </w:p>
    <w:p w14:paraId="01847C7C" w14:textId="02CF9A0E" w:rsidR="002B752B" w:rsidRDefault="002B752B" w:rsidP="002B752B">
      <w:pPr>
        <w:pStyle w:val="Heading1"/>
      </w:pPr>
    </w:p>
    <w:p w14:paraId="0AA16B6B" w14:textId="5A8F86C1" w:rsidR="00E03FF0" w:rsidRDefault="00E03FF0" w:rsidP="009D0D32"/>
    <w:p w14:paraId="6CBF155B" w14:textId="2FE94B36" w:rsidR="002B752B" w:rsidRDefault="002B752B" w:rsidP="009D0D32"/>
    <w:sectPr w:rsidR="002B752B" w:rsidSect="00E03FF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556DC" w14:textId="77777777" w:rsidR="008B0B5E" w:rsidRDefault="008B0B5E" w:rsidP="00EA36D7">
      <w:r>
        <w:separator/>
      </w:r>
    </w:p>
  </w:endnote>
  <w:endnote w:type="continuationSeparator" w:id="0">
    <w:p w14:paraId="59891C38" w14:textId="77777777" w:rsidR="008B0B5E" w:rsidRDefault="008B0B5E" w:rsidP="00EA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Myriad Pro Semibold">
    <w:altName w:val="Calibri"/>
    <w:panose1 w:val="020B0604020202020204"/>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2E799" w14:textId="77777777" w:rsidR="008B0B5E" w:rsidRDefault="008B0B5E" w:rsidP="00EA36D7">
      <w:r>
        <w:separator/>
      </w:r>
    </w:p>
  </w:footnote>
  <w:footnote w:type="continuationSeparator" w:id="0">
    <w:p w14:paraId="4196FFDB" w14:textId="77777777" w:rsidR="008B0B5E" w:rsidRDefault="008B0B5E" w:rsidP="00EA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884CF" w14:textId="77777777" w:rsidR="00EA36D7" w:rsidRDefault="00EA36D7" w:rsidP="00EA36D7">
    <w:pPr>
      <w:pStyle w:val="Header"/>
      <w:jc w:val="center"/>
      <w:rPr>
        <w:rFonts w:asciiTheme="minorHAnsi" w:hAnsiTheme="minorHAnsi"/>
        <w:sz w:val="18"/>
        <w:szCs w:val="18"/>
      </w:rPr>
    </w:pPr>
    <w:r w:rsidRPr="00EA36D7">
      <w:rPr>
        <w:rFonts w:asciiTheme="minorHAnsi" w:hAnsiTheme="minorHAnsi"/>
        <w:sz w:val="18"/>
        <w:szCs w:val="18"/>
      </w:rPr>
      <w:t>Systematic Review of the Impact of Cannabinoids on Neurobehavioral Outcomes in Preclinical Models of Traumatic and Nontraumatic Spinal Cord Injury</w:t>
    </w:r>
  </w:p>
  <w:p w14:paraId="1B13AEED" w14:textId="77777777" w:rsidR="00EA36D7" w:rsidRPr="00EA36D7" w:rsidRDefault="00EA36D7" w:rsidP="00EA36D7">
    <w:pPr>
      <w:pStyle w:val="Header"/>
      <w:jc w:val="center"/>
      <w:rPr>
        <w:rFonts w:asciiTheme="minorHAnsi" w:hAnsiTheme="minorHAnsi"/>
        <w:sz w:val="4"/>
        <w:szCs w:val="4"/>
      </w:rPr>
    </w:pPr>
  </w:p>
  <w:p w14:paraId="7CDD7212" w14:textId="32FBE206" w:rsidR="00EA36D7" w:rsidRDefault="00EA36D7" w:rsidP="00EA36D7">
    <w:pPr>
      <w:pStyle w:val="Header"/>
      <w:jc w:val="center"/>
      <w:rPr>
        <w:rFonts w:asciiTheme="minorHAnsi" w:hAnsiTheme="minorHAnsi"/>
        <w:sz w:val="18"/>
        <w:szCs w:val="18"/>
      </w:rPr>
    </w:pPr>
    <w:r w:rsidRPr="00EA36D7">
      <w:rPr>
        <w:rFonts w:asciiTheme="minorHAnsi" w:hAnsiTheme="minorHAnsi"/>
        <w:sz w:val="18"/>
        <w:szCs w:val="18"/>
      </w:rPr>
      <w:t>Faheem I. Bhatti, Oliver D. Mowforth, Max B. Butler, Aniqah I. Bhatti, Sylva Adeeko, Melika Akhbari, Rory Dilworth, Ben Grodzinski, Temidayo Osunronbi, Luke Ottewell, Jye Quan Teh BA, Sophie Robinson, Gayathri Suresh, Unaiza Waheed, Benn Walker, Isla Kuhn, Lara Smith, Richard D Bartlett, Benjamin M. Davies, Mark R.N. Kotter.</w:t>
    </w:r>
  </w:p>
  <w:p w14:paraId="041ADE72" w14:textId="15D45BDC" w:rsidR="00EA36D7" w:rsidRPr="00EA36D7" w:rsidRDefault="00EA36D7" w:rsidP="00EA36D7">
    <w:pPr>
      <w:pStyle w:val="Header"/>
      <w:jc w:val="center"/>
      <w:rPr>
        <w:rFonts w:asciiTheme="minorHAnsi" w:hAnsiTheme="minorHAnsi"/>
        <w:sz w:val="2"/>
        <w:szCs w:val="2"/>
      </w:rPr>
    </w:pPr>
  </w:p>
  <w:p w14:paraId="188D248B" w14:textId="6AFB758A" w:rsidR="00EA36D7" w:rsidRPr="00EA36D7" w:rsidRDefault="00EA36D7" w:rsidP="00EA36D7">
    <w:pPr>
      <w:pStyle w:val="Header"/>
      <w:jc w:val="center"/>
      <w:rPr>
        <w:rFonts w:asciiTheme="minorHAnsi" w:hAnsiTheme="minorHAnsi"/>
        <w:sz w:val="18"/>
        <w:szCs w:val="18"/>
      </w:rPr>
    </w:pPr>
    <w:r>
      <w:rPr>
        <w:rFonts w:asciiTheme="minorHAnsi" w:hAnsiTheme="minorHAnsi"/>
        <w:sz w:val="18"/>
        <w:szCs w:val="18"/>
      </w:rPr>
      <w:t>Spinal Cord,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75D3"/>
    <w:multiLevelType w:val="hybridMultilevel"/>
    <w:tmpl w:val="5792E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F12CE"/>
    <w:multiLevelType w:val="hybridMultilevel"/>
    <w:tmpl w:val="1C4E612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95540"/>
    <w:multiLevelType w:val="hybridMultilevel"/>
    <w:tmpl w:val="5F7A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54F2"/>
    <w:multiLevelType w:val="hybridMultilevel"/>
    <w:tmpl w:val="23E2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F4A72"/>
    <w:multiLevelType w:val="hybridMultilevel"/>
    <w:tmpl w:val="C1F8EFB4"/>
    <w:lvl w:ilvl="0" w:tplc="8A2C3C9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6582C"/>
    <w:multiLevelType w:val="hybridMultilevel"/>
    <w:tmpl w:val="B2AACFAA"/>
    <w:lvl w:ilvl="0" w:tplc="8A2C3C9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C5C1A"/>
    <w:multiLevelType w:val="hybridMultilevel"/>
    <w:tmpl w:val="32A088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FE1700"/>
    <w:multiLevelType w:val="hybridMultilevel"/>
    <w:tmpl w:val="26F8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7564C"/>
    <w:multiLevelType w:val="hybridMultilevel"/>
    <w:tmpl w:val="F122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67B4B"/>
    <w:multiLevelType w:val="hybridMultilevel"/>
    <w:tmpl w:val="6D8E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C436B"/>
    <w:multiLevelType w:val="hybridMultilevel"/>
    <w:tmpl w:val="42F6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64D41"/>
    <w:multiLevelType w:val="hybridMultilevel"/>
    <w:tmpl w:val="8A962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931890"/>
    <w:multiLevelType w:val="hybridMultilevel"/>
    <w:tmpl w:val="088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0648D"/>
    <w:multiLevelType w:val="hybridMultilevel"/>
    <w:tmpl w:val="71D8E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A7927"/>
    <w:multiLevelType w:val="hybridMultilevel"/>
    <w:tmpl w:val="7EE2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C21FF"/>
    <w:multiLevelType w:val="hybridMultilevel"/>
    <w:tmpl w:val="A1E65E22"/>
    <w:lvl w:ilvl="0" w:tplc="D02E081E">
      <w:start w:val="1"/>
      <w:numFmt w:val="bullet"/>
      <w:lvlText w:val=""/>
      <w:lvlJc w:val="left"/>
      <w:pPr>
        <w:ind w:left="187" w:hanging="187"/>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16054"/>
    <w:multiLevelType w:val="hybridMultilevel"/>
    <w:tmpl w:val="9A4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B55F4"/>
    <w:multiLevelType w:val="multilevel"/>
    <w:tmpl w:val="93F0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16C22"/>
    <w:multiLevelType w:val="hybridMultilevel"/>
    <w:tmpl w:val="3A94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34813"/>
    <w:multiLevelType w:val="hybridMultilevel"/>
    <w:tmpl w:val="E0E8A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D85CF2"/>
    <w:multiLevelType w:val="hybridMultilevel"/>
    <w:tmpl w:val="E1D8A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750D4"/>
    <w:multiLevelType w:val="hybridMultilevel"/>
    <w:tmpl w:val="C8E47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B6A9A"/>
    <w:multiLevelType w:val="hybridMultilevel"/>
    <w:tmpl w:val="66BA5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877B64"/>
    <w:multiLevelType w:val="hybridMultilevel"/>
    <w:tmpl w:val="1CE49F4C"/>
    <w:lvl w:ilvl="0" w:tplc="BE4262B6">
      <w:start w:val="1"/>
      <w:numFmt w:val="bullet"/>
      <w:lvlText w:val=""/>
      <w:lvlJc w:val="left"/>
      <w:pPr>
        <w:ind w:left="187" w:hanging="18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43350D"/>
    <w:multiLevelType w:val="hybridMultilevel"/>
    <w:tmpl w:val="65EA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9"/>
  </w:num>
  <w:num w:numId="5">
    <w:abstractNumId w:val="1"/>
  </w:num>
  <w:num w:numId="6">
    <w:abstractNumId w:val="20"/>
  </w:num>
  <w:num w:numId="7">
    <w:abstractNumId w:val="13"/>
  </w:num>
  <w:num w:numId="8">
    <w:abstractNumId w:val="6"/>
  </w:num>
  <w:num w:numId="9">
    <w:abstractNumId w:val="2"/>
  </w:num>
  <w:num w:numId="10">
    <w:abstractNumId w:val="23"/>
  </w:num>
  <w:num w:numId="11">
    <w:abstractNumId w:val="15"/>
  </w:num>
  <w:num w:numId="12">
    <w:abstractNumId w:val="22"/>
  </w:num>
  <w:num w:numId="13">
    <w:abstractNumId w:val="16"/>
  </w:num>
  <w:num w:numId="14">
    <w:abstractNumId w:val="12"/>
  </w:num>
  <w:num w:numId="15">
    <w:abstractNumId w:val="10"/>
  </w:num>
  <w:num w:numId="16">
    <w:abstractNumId w:val="8"/>
  </w:num>
  <w:num w:numId="17">
    <w:abstractNumId w:val="14"/>
  </w:num>
  <w:num w:numId="18">
    <w:abstractNumId w:val="18"/>
  </w:num>
  <w:num w:numId="19">
    <w:abstractNumId w:val="7"/>
  </w:num>
  <w:num w:numId="20">
    <w:abstractNumId w:val="9"/>
  </w:num>
  <w:num w:numId="21">
    <w:abstractNumId w:val="24"/>
  </w:num>
  <w:num w:numId="22">
    <w:abstractNumId w:val="17"/>
  </w:num>
  <w:num w:numId="23">
    <w:abstractNumId w:val="11"/>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1C"/>
    <w:rsid w:val="00002D57"/>
    <w:rsid w:val="00007FFE"/>
    <w:rsid w:val="0001224F"/>
    <w:rsid w:val="00040648"/>
    <w:rsid w:val="00062645"/>
    <w:rsid w:val="00077B0D"/>
    <w:rsid w:val="000A7E98"/>
    <w:rsid w:val="000D1416"/>
    <w:rsid w:val="000E4828"/>
    <w:rsid w:val="000F5E9B"/>
    <w:rsid w:val="0010114F"/>
    <w:rsid w:val="0012654F"/>
    <w:rsid w:val="00143E1A"/>
    <w:rsid w:val="0015080B"/>
    <w:rsid w:val="00153920"/>
    <w:rsid w:val="001640BB"/>
    <w:rsid w:val="0017134B"/>
    <w:rsid w:val="001720E8"/>
    <w:rsid w:val="00192087"/>
    <w:rsid w:val="001A2648"/>
    <w:rsid w:val="001A5800"/>
    <w:rsid w:val="001A670D"/>
    <w:rsid w:val="001B1AFB"/>
    <w:rsid w:val="001D2F2B"/>
    <w:rsid w:val="001D4D9D"/>
    <w:rsid w:val="001E7965"/>
    <w:rsid w:val="001F1718"/>
    <w:rsid w:val="00207EA3"/>
    <w:rsid w:val="00215935"/>
    <w:rsid w:val="0024061E"/>
    <w:rsid w:val="002552B9"/>
    <w:rsid w:val="002657C4"/>
    <w:rsid w:val="0027760D"/>
    <w:rsid w:val="002A1961"/>
    <w:rsid w:val="002B752B"/>
    <w:rsid w:val="002D012B"/>
    <w:rsid w:val="002D3AE7"/>
    <w:rsid w:val="002E6A00"/>
    <w:rsid w:val="002F15D9"/>
    <w:rsid w:val="00321D6E"/>
    <w:rsid w:val="003242FA"/>
    <w:rsid w:val="00327EBC"/>
    <w:rsid w:val="0033641E"/>
    <w:rsid w:val="003370C9"/>
    <w:rsid w:val="00337BAE"/>
    <w:rsid w:val="0034013F"/>
    <w:rsid w:val="00344852"/>
    <w:rsid w:val="00365D0C"/>
    <w:rsid w:val="00375602"/>
    <w:rsid w:val="003D3D1F"/>
    <w:rsid w:val="003E054F"/>
    <w:rsid w:val="0041533C"/>
    <w:rsid w:val="0042062A"/>
    <w:rsid w:val="0042687C"/>
    <w:rsid w:val="00440D65"/>
    <w:rsid w:val="0047355F"/>
    <w:rsid w:val="00485619"/>
    <w:rsid w:val="004C0828"/>
    <w:rsid w:val="004C427A"/>
    <w:rsid w:val="004F03E2"/>
    <w:rsid w:val="004F657A"/>
    <w:rsid w:val="0050504E"/>
    <w:rsid w:val="00511A1C"/>
    <w:rsid w:val="00531394"/>
    <w:rsid w:val="005357D7"/>
    <w:rsid w:val="0054446A"/>
    <w:rsid w:val="00546C9E"/>
    <w:rsid w:val="00555FEA"/>
    <w:rsid w:val="00556B92"/>
    <w:rsid w:val="00566814"/>
    <w:rsid w:val="00572EC3"/>
    <w:rsid w:val="005C4B61"/>
    <w:rsid w:val="00610182"/>
    <w:rsid w:val="00610E55"/>
    <w:rsid w:val="00622C3C"/>
    <w:rsid w:val="00647526"/>
    <w:rsid w:val="00651C77"/>
    <w:rsid w:val="006572E3"/>
    <w:rsid w:val="006726F5"/>
    <w:rsid w:val="00676475"/>
    <w:rsid w:val="00686249"/>
    <w:rsid w:val="006A11EC"/>
    <w:rsid w:val="006A5F28"/>
    <w:rsid w:val="006C7267"/>
    <w:rsid w:val="006D1B7D"/>
    <w:rsid w:val="006E08AA"/>
    <w:rsid w:val="006E2E8C"/>
    <w:rsid w:val="00717504"/>
    <w:rsid w:val="00731733"/>
    <w:rsid w:val="00731E6F"/>
    <w:rsid w:val="00781344"/>
    <w:rsid w:val="007830AA"/>
    <w:rsid w:val="007906BD"/>
    <w:rsid w:val="0079241C"/>
    <w:rsid w:val="007A1970"/>
    <w:rsid w:val="007D2064"/>
    <w:rsid w:val="007D30C3"/>
    <w:rsid w:val="007D5FE1"/>
    <w:rsid w:val="008101AA"/>
    <w:rsid w:val="00832558"/>
    <w:rsid w:val="00835A77"/>
    <w:rsid w:val="00844A6D"/>
    <w:rsid w:val="008505D3"/>
    <w:rsid w:val="00870C43"/>
    <w:rsid w:val="008710E4"/>
    <w:rsid w:val="00886FB4"/>
    <w:rsid w:val="00887150"/>
    <w:rsid w:val="008A2459"/>
    <w:rsid w:val="008B0B5E"/>
    <w:rsid w:val="008B7D2D"/>
    <w:rsid w:val="008C3335"/>
    <w:rsid w:val="008F1584"/>
    <w:rsid w:val="00905E0A"/>
    <w:rsid w:val="00931804"/>
    <w:rsid w:val="009878C7"/>
    <w:rsid w:val="00990C47"/>
    <w:rsid w:val="009C0397"/>
    <w:rsid w:val="009C690F"/>
    <w:rsid w:val="009C7436"/>
    <w:rsid w:val="009D0D32"/>
    <w:rsid w:val="009D271A"/>
    <w:rsid w:val="009E1D1B"/>
    <w:rsid w:val="00A152B1"/>
    <w:rsid w:val="00A53F34"/>
    <w:rsid w:val="00A71472"/>
    <w:rsid w:val="00AA6597"/>
    <w:rsid w:val="00AC06B6"/>
    <w:rsid w:val="00AC445A"/>
    <w:rsid w:val="00B1312F"/>
    <w:rsid w:val="00B273C7"/>
    <w:rsid w:val="00B27584"/>
    <w:rsid w:val="00B4394F"/>
    <w:rsid w:val="00B85857"/>
    <w:rsid w:val="00BA43F2"/>
    <w:rsid w:val="00BA5D02"/>
    <w:rsid w:val="00BB20F2"/>
    <w:rsid w:val="00BD776B"/>
    <w:rsid w:val="00BE5AFF"/>
    <w:rsid w:val="00C26DF3"/>
    <w:rsid w:val="00C87BA0"/>
    <w:rsid w:val="00CB33CB"/>
    <w:rsid w:val="00CC0A39"/>
    <w:rsid w:val="00CD7F33"/>
    <w:rsid w:val="00CE2474"/>
    <w:rsid w:val="00CE46DA"/>
    <w:rsid w:val="00CF67E8"/>
    <w:rsid w:val="00CF6EB7"/>
    <w:rsid w:val="00D00A78"/>
    <w:rsid w:val="00D35E20"/>
    <w:rsid w:val="00D53066"/>
    <w:rsid w:val="00D703B6"/>
    <w:rsid w:val="00DC675C"/>
    <w:rsid w:val="00DE66DE"/>
    <w:rsid w:val="00DF0082"/>
    <w:rsid w:val="00DF0CE3"/>
    <w:rsid w:val="00E02B49"/>
    <w:rsid w:val="00E03FF0"/>
    <w:rsid w:val="00E17B4E"/>
    <w:rsid w:val="00E32CD8"/>
    <w:rsid w:val="00E5029C"/>
    <w:rsid w:val="00E576F6"/>
    <w:rsid w:val="00E73F58"/>
    <w:rsid w:val="00E9105A"/>
    <w:rsid w:val="00EA36D7"/>
    <w:rsid w:val="00EA3E04"/>
    <w:rsid w:val="00EB121D"/>
    <w:rsid w:val="00EE18BC"/>
    <w:rsid w:val="00EF55D6"/>
    <w:rsid w:val="00F27803"/>
    <w:rsid w:val="00F30021"/>
    <w:rsid w:val="00F34818"/>
    <w:rsid w:val="00F45F9C"/>
    <w:rsid w:val="00F763DD"/>
    <w:rsid w:val="00FC5E1C"/>
    <w:rsid w:val="00FE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223D"/>
  <w14:defaultImageDpi w14:val="32767"/>
  <w15:chartTrackingRefBased/>
  <w15:docId w15:val="{5C62E6BA-B5E2-1345-952E-56859EE1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241C"/>
  </w:style>
  <w:style w:type="paragraph" w:styleId="Heading1">
    <w:name w:val="heading 1"/>
    <w:basedOn w:val="Normal"/>
    <w:next w:val="Normal"/>
    <w:link w:val="Heading1Char"/>
    <w:uiPriority w:val="9"/>
    <w:qFormat/>
    <w:rsid w:val="007924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6F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41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9241C"/>
    <w:pPr>
      <w:contextualSpacing/>
      <w:jc w:val="center"/>
    </w:pPr>
    <w:rPr>
      <w:rFonts w:asciiTheme="majorHAnsi" w:eastAsiaTheme="majorEastAsia" w:hAnsiTheme="majorHAnsi" w:cstheme="majorBidi"/>
      <w:spacing w:val="-10"/>
      <w:kern w:val="28"/>
      <w:sz w:val="32"/>
      <w:szCs w:val="56"/>
      <w:u w:val="single"/>
    </w:rPr>
  </w:style>
  <w:style w:type="character" w:customStyle="1" w:styleId="TitleChar">
    <w:name w:val="Title Char"/>
    <w:basedOn w:val="DefaultParagraphFont"/>
    <w:link w:val="Title"/>
    <w:uiPriority w:val="10"/>
    <w:rsid w:val="0079241C"/>
    <w:rPr>
      <w:rFonts w:asciiTheme="majorHAnsi" w:eastAsiaTheme="majorEastAsia" w:hAnsiTheme="majorHAnsi" w:cstheme="majorBidi"/>
      <w:spacing w:val="-10"/>
      <w:kern w:val="28"/>
      <w:sz w:val="32"/>
      <w:szCs w:val="56"/>
      <w:u w:val="single"/>
    </w:rPr>
  </w:style>
  <w:style w:type="paragraph" w:styleId="TOCHeading">
    <w:name w:val="TOC Heading"/>
    <w:basedOn w:val="Heading1"/>
    <w:next w:val="Normal"/>
    <w:uiPriority w:val="39"/>
    <w:unhideWhenUsed/>
    <w:qFormat/>
    <w:rsid w:val="0079241C"/>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9241C"/>
    <w:pPr>
      <w:spacing w:before="120"/>
    </w:pPr>
    <w:rPr>
      <w:rFonts w:cstheme="minorHAnsi"/>
      <w:b/>
      <w:bCs/>
      <w:i/>
      <w:iCs/>
    </w:rPr>
  </w:style>
  <w:style w:type="character" w:styleId="Hyperlink">
    <w:name w:val="Hyperlink"/>
    <w:basedOn w:val="DefaultParagraphFont"/>
    <w:uiPriority w:val="99"/>
    <w:unhideWhenUsed/>
    <w:rsid w:val="0079241C"/>
    <w:rPr>
      <w:color w:val="0563C1" w:themeColor="hyperlink"/>
      <w:u w:val="single"/>
    </w:rPr>
  </w:style>
  <w:style w:type="paragraph" w:styleId="ListParagraph">
    <w:name w:val="List Paragraph"/>
    <w:basedOn w:val="Normal"/>
    <w:uiPriority w:val="34"/>
    <w:qFormat/>
    <w:rsid w:val="0079241C"/>
    <w:pPr>
      <w:ind w:left="720"/>
      <w:contextualSpacing/>
    </w:pPr>
  </w:style>
  <w:style w:type="paragraph" w:styleId="NormalWeb">
    <w:name w:val="Normal (Web)"/>
    <w:basedOn w:val="Normal"/>
    <w:uiPriority w:val="99"/>
    <w:unhideWhenUsed/>
    <w:rsid w:val="0079241C"/>
    <w:pPr>
      <w:spacing w:before="100" w:beforeAutospacing="1" w:after="100" w:afterAutospacing="1" w:line="360" w:lineRule="auto"/>
    </w:pPr>
    <w:rPr>
      <w:rFonts w:ascii="Times New Roman" w:eastAsia="Times New Roman" w:hAnsi="Times New Roman" w:cs="Times New Roman"/>
      <w:lang w:eastAsia="en-GB"/>
    </w:rPr>
  </w:style>
  <w:style w:type="table" w:styleId="TableGrid">
    <w:name w:val="Table Grid"/>
    <w:basedOn w:val="TableNormal"/>
    <w:uiPriority w:val="39"/>
    <w:rsid w:val="009D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6FB4"/>
    <w:rPr>
      <w:rFonts w:asciiTheme="majorHAnsi" w:eastAsiaTheme="majorEastAsia" w:hAnsiTheme="majorHAnsi" w:cstheme="majorBidi"/>
      <w:color w:val="2F5496" w:themeColor="accent1" w:themeShade="BF"/>
      <w:sz w:val="26"/>
      <w:szCs w:val="26"/>
    </w:rPr>
  </w:style>
  <w:style w:type="paragraph" w:customStyle="1" w:styleId="Body">
    <w:name w:val="Body"/>
    <w:rsid w:val="00886FB4"/>
    <w:pPr>
      <w:pBdr>
        <w:top w:val="nil"/>
        <w:left w:val="nil"/>
        <w:bottom w:val="nil"/>
        <w:right w:val="nil"/>
        <w:between w:val="nil"/>
        <w:bar w:val="nil"/>
      </w:pBdr>
      <w:spacing w:line="480" w:lineRule="auto"/>
      <w:jc w:val="both"/>
    </w:pPr>
    <w:rPr>
      <w:rFonts w:ascii="Arial" w:eastAsia="Arial Unicode MS" w:hAnsi="Arial" w:cs="Arial Unicode MS"/>
      <w:color w:val="000000"/>
      <w:sz w:val="22"/>
      <w:u w:color="000000"/>
      <w:bdr w:val="nil"/>
      <w:lang w:val="en-US"/>
    </w:rPr>
  </w:style>
  <w:style w:type="paragraph" w:styleId="BalloonText">
    <w:name w:val="Balloon Text"/>
    <w:basedOn w:val="Normal"/>
    <w:link w:val="BalloonTextChar"/>
    <w:uiPriority w:val="99"/>
    <w:semiHidden/>
    <w:unhideWhenUsed/>
    <w:rsid w:val="00886F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6F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86FB4"/>
    <w:rPr>
      <w:sz w:val="16"/>
      <w:szCs w:val="16"/>
    </w:rPr>
  </w:style>
  <w:style w:type="paragraph" w:styleId="CommentText">
    <w:name w:val="annotation text"/>
    <w:basedOn w:val="Normal"/>
    <w:link w:val="CommentTextChar"/>
    <w:uiPriority w:val="99"/>
    <w:unhideWhenUsed/>
    <w:rsid w:val="00886FB4"/>
    <w:rPr>
      <w:rFonts w:ascii="Times New Roman" w:hAnsi="Times New Roman"/>
      <w:sz w:val="20"/>
      <w:szCs w:val="20"/>
    </w:rPr>
  </w:style>
  <w:style w:type="character" w:customStyle="1" w:styleId="CommentTextChar">
    <w:name w:val="Comment Text Char"/>
    <w:basedOn w:val="DefaultParagraphFont"/>
    <w:link w:val="CommentText"/>
    <w:uiPriority w:val="99"/>
    <w:rsid w:val="00886F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6FB4"/>
    <w:rPr>
      <w:b/>
      <w:bCs/>
    </w:rPr>
  </w:style>
  <w:style w:type="character" w:customStyle="1" w:styleId="CommentSubjectChar">
    <w:name w:val="Comment Subject Char"/>
    <w:basedOn w:val="CommentTextChar"/>
    <w:link w:val="CommentSubject"/>
    <w:uiPriority w:val="99"/>
    <w:semiHidden/>
    <w:rsid w:val="00886FB4"/>
    <w:rPr>
      <w:rFonts w:ascii="Times New Roman" w:hAnsi="Times New Roman"/>
      <w:b/>
      <w:bCs/>
      <w:sz w:val="20"/>
      <w:szCs w:val="20"/>
    </w:rPr>
  </w:style>
  <w:style w:type="paragraph" w:customStyle="1" w:styleId="EndNoteBibliographyTitle">
    <w:name w:val="EndNote Bibliography Title"/>
    <w:basedOn w:val="Normal"/>
    <w:link w:val="EndNoteBibliographyTitleChar"/>
    <w:rsid w:val="00886FB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86FB4"/>
    <w:rPr>
      <w:rFonts w:ascii="Calibri" w:hAnsi="Calibri" w:cs="Calibri"/>
      <w:lang w:val="en-US"/>
    </w:rPr>
  </w:style>
  <w:style w:type="paragraph" w:customStyle="1" w:styleId="EndNoteBibliography">
    <w:name w:val="EndNote Bibliography"/>
    <w:basedOn w:val="Normal"/>
    <w:link w:val="EndNoteBibliographyChar"/>
    <w:rsid w:val="00886FB4"/>
    <w:rPr>
      <w:rFonts w:ascii="Calibri" w:hAnsi="Calibri" w:cs="Calibri"/>
      <w:lang w:val="en-US"/>
    </w:rPr>
  </w:style>
  <w:style w:type="character" w:customStyle="1" w:styleId="EndNoteBibliographyChar">
    <w:name w:val="EndNote Bibliography Char"/>
    <w:basedOn w:val="DefaultParagraphFont"/>
    <w:link w:val="EndNoteBibliography"/>
    <w:rsid w:val="00886FB4"/>
    <w:rPr>
      <w:rFonts w:ascii="Calibri" w:hAnsi="Calibri" w:cs="Calibri"/>
      <w:lang w:val="en-US"/>
    </w:rPr>
  </w:style>
  <w:style w:type="character" w:styleId="PlaceholderText">
    <w:name w:val="Placeholder Text"/>
    <w:basedOn w:val="DefaultParagraphFont"/>
    <w:uiPriority w:val="99"/>
    <w:semiHidden/>
    <w:rsid w:val="00886FB4"/>
    <w:rPr>
      <w:color w:val="808080"/>
    </w:rPr>
  </w:style>
  <w:style w:type="paragraph" w:styleId="Header">
    <w:name w:val="header"/>
    <w:basedOn w:val="Normal"/>
    <w:link w:val="HeaderChar"/>
    <w:uiPriority w:val="99"/>
    <w:unhideWhenUsed/>
    <w:rsid w:val="00886FB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86FB4"/>
    <w:rPr>
      <w:rFonts w:ascii="Times New Roman" w:hAnsi="Times New Roman"/>
    </w:rPr>
  </w:style>
  <w:style w:type="paragraph" w:styleId="Footer">
    <w:name w:val="footer"/>
    <w:basedOn w:val="Normal"/>
    <w:link w:val="FooterChar"/>
    <w:uiPriority w:val="99"/>
    <w:unhideWhenUsed/>
    <w:rsid w:val="00886FB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86FB4"/>
    <w:rPr>
      <w:rFonts w:ascii="Times New Roman" w:hAnsi="Times New Roman"/>
    </w:rPr>
  </w:style>
  <w:style w:type="paragraph" w:styleId="Revision">
    <w:name w:val="Revision"/>
    <w:hidden/>
    <w:uiPriority w:val="99"/>
    <w:semiHidden/>
    <w:rsid w:val="00886FB4"/>
    <w:rPr>
      <w:rFonts w:ascii="Times New Roman" w:hAnsi="Times New Roman"/>
    </w:rPr>
  </w:style>
  <w:style w:type="paragraph" w:styleId="PlainText">
    <w:name w:val="Plain Text"/>
    <w:basedOn w:val="Normal"/>
    <w:link w:val="PlainTextChar"/>
    <w:uiPriority w:val="99"/>
    <w:unhideWhenUsed/>
    <w:rsid w:val="00E03FF0"/>
    <w:rPr>
      <w:rFonts w:ascii="Calibri" w:hAnsi="Calibri" w:cs="Consolas"/>
      <w:sz w:val="22"/>
      <w:szCs w:val="21"/>
    </w:rPr>
  </w:style>
  <w:style w:type="character" w:customStyle="1" w:styleId="PlainTextChar">
    <w:name w:val="Plain Text Char"/>
    <w:basedOn w:val="DefaultParagraphFont"/>
    <w:link w:val="PlainText"/>
    <w:uiPriority w:val="99"/>
    <w:rsid w:val="00E03FF0"/>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595208">
      <w:bodyDiv w:val="1"/>
      <w:marLeft w:val="0"/>
      <w:marRight w:val="0"/>
      <w:marTop w:val="0"/>
      <w:marBottom w:val="0"/>
      <w:divBdr>
        <w:top w:val="none" w:sz="0" w:space="0" w:color="auto"/>
        <w:left w:val="none" w:sz="0" w:space="0" w:color="auto"/>
        <w:bottom w:val="none" w:sz="0" w:space="0" w:color="auto"/>
        <w:right w:val="none" w:sz="0" w:space="0" w:color="auto"/>
      </w:divBdr>
    </w:div>
    <w:div w:id="17447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Faheem Bhatti</dc:creator>
  <cp:keywords/>
  <dc:description/>
  <cp:lastModifiedBy>Faheem Bhatti</cp:lastModifiedBy>
  <cp:revision>4</cp:revision>
  <dcterms:created xsi:type="dcterms:W3CDTF">2021-06-24T11:37:00Z</dcterms:created>
  <dcterms:modified xsi:type="dcterms:W3CDTF">2021-07-12T10:50:00Z</dcterms:modified>
</cp:coreProperties>
</file>