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838" w:rsidRDefault="00AA0838" w:rsidP="00AA0838">
      <w:pPr>
        <w:pStyle w:val="Heading1"/>
        <w:spacing w:line="360" w:lineRule="auto"/>
      </w:pPr>
      <w:r>
        <w:t>Supplementary Information</w:t>
      </w:r>
    </w:p>
    <w:p w:rsidR="00AA0838" w:rsidRDefault="00AA0838" w:rsidP="00AA0838">
      <w:pPr>
        <w:pStyle w:val="Heading1"/>
        <w:spacing w:line="360" w:lineRule="auto"/>
      </w:pPr>
      <w:r>
        <w:t>Supplementary Tables</w:t>
      </w:r>
    </w:p>
    <w:p w:rsidR="00AA0838" w:rsidRPr="00CA44D1" w:rsidRDefault="00AA0838" w:rsidP="00AA0838">
      <w:pPr>
        <w:spacing w:line="360" w:lineRule="auto"/>
        <w:jc w:val="both"/>
        <w:rPr>
          <w:rFonts w:eastAsia="Times New Roman" w:cs="Arial"/>
          <w:bCs/>
          <w:color w:val="000000"/>
          <w:lang w:val="en-US"/>
        </w:rPr>
      </w:pPr>
      <w:r w:rsidRPr="00C83619">
        <w:rPr>
          <w:rFonts w:eastAsia="Times New Roman" w:cs="Arial"/>
          <w:b/>
          <w:bCs/>
          <w:color w:val="000000"/>
          <w:lang w:val="en-US"/>
        </w:rPr>
        <w:t>Table S1</w:t>
      </w:r>
      <w:r w:rsidRPr="00C83619">
        <w:rPr>
          <w:rFonts w:eastAsia="Times New Roman" w:cs="Arial"/>
          <w:bCs/>
          <w:color w:val="000000"/>
          <w:lang w:val="en-US"/>
        </w:rPr>
        <w:t>: domain position mutational enrichment (</w:t>
      </w:r>
      <w:proofErr w:type="spellStart"/>
      <w:r w:rsidRPr="00C83619">
        <w:rPr>
          <w:rFonts w:eastAsia="Times New Roman" w:cs="Arial"/>
          <w:bCs/>
          <w:color w:val="000000"/>
          <w:lang w:val="en-US"/>
        </w:rPr>
        <w:t>pancancer</w:t>
      </w:r>
      <w:proofErr w:type="gramStart"/>
      <w:r w:rsidRPr="00C83619">
        <w:rPr>
          <w:rFonts w:eastAsia="Times New Roman" w:cs="Arial"/>
          <w:bCs/>
          <w:color w:val="000000"/>
          <w:lang w:val="en-US"/>
        </w:rPr>
        <w:t>;Binomial</w:t>
      </w:r>
      <w:proofErr w:type="spellEnd"/>
      <w:proofErr w:type="gramEnd"/>
      <w:r w:rsidRPr="00C83619">
        <w:rPr>
          <w:rFonts w:eastAsia="Times New Roman" w:cs="Arial"/>
          <w:bCs/>
          <w:color w:val="000000"/>
          <w:lang w:val="en-US"/>
        </w:rPr>
        <w:t xml:space="preserve"> Q-</w:t>
      </w:r>
      <w:proofErr w:type="spellStart"/>
      <w:r w:rsidRPr="00C83619">
        <w:rPr>
          <w:rFonts w:eastAsia="Times New Roman" w:cs="Arial"/>
          <w:bCs/>
          <w:color w:val="000000"/>
          <w:lang w:val="en-US"/>
        </w:rPr>
        <w:t>val</w:t>
      </w:r>
      <w:proofErr w:type="spellEnd"/>
      <w:r w:rsidRPr="00C83619">
        <w:rPr>
          <w:rFonts w:eastAsia="Times New Roman" w:cs="Arial"/>
          <w:bCs/>
          <w:color w:val="000000"/>
          <w:lang w:val="en-US"/>
        </w:rPr>
        <w:t>&lt;0.1)</w:t>
      </w:r>
    </w:p>
    <w:p w:rsidR="00AA0838" w:rsidRPr="00CA44D1" w:rsidRDefault="00AA0838" w:rsidP="00AA0838">
      <w:pPr>
        <w:spacing w:line="360" w:lineRule="auto"/>
        <w:jc w:val="both"/>
        <w:rPr>
          <w:rFonts w:eastAsia="Times New Roman" w:cs="Arial"/>
          <w:bCs/>
          <w:color w:val="000000"/>
          <w:lang w:val="en-US"/>
        </w:rPr>
      </w:pPr>
      <w:r w:rsidRPr="00C83619">
        <w:rPr>
          <w:rFonts w:eastAsia="Times New Roman" w:cs="Arial"/>
          <w:b/>
          <w:bCs/>
          <w:color w:val="000000"/>
          <w:lang w:val="en-US"/>
        </w:rPr>
        <w:t>Table S2</w:t>
      </w:r>
      <w:r w:rsidRPr="00C83619">
        <w:rPr>
          <w:rFonts w:eastAsia="Times New Roman" w:cs="Arial"/>
          <w:bCs/>
          <w:color w:val="000000"/>
          <w:lang w:val="en-US"/>
        </w:rPr>
        <w:t>: domain position mutational enrichment (tissue-level analysis; Binomial Q-</w:t>
      </w:r>
      <w:proofErr w:type="spellStart"/>
      <w:r w:rsidRPr="00C83619">
        <w:rPr>
          <w:rFonts w:eastAsia="Times New Roman" w:cs="Arial"/>
          <w:bCs/>
          <w:color w:val="000000"/>
          <w:lang w:val="en-US"/>
        </w:rPr>
        <w:t>val</w:t>
      </w:r>
      <w:proofErr w:type="spellEnd"/>
      <w:r w:rsidRPr="00C83619">
        <w:rPr>
          <w:rFonts w:eastAsia="Times New Roman" w:cs="Arial"/>
          <w:bCs/>
          <w:color w:val="000000"/>
          <w:lang w:val="en-US"/>
        </w:rPr>
        <w:t>&lt;0.1)</w:t>
      </w:r>
    </w:p>
    <w:p w:rsidR="00AA0838" w:rsidRPr="00CA44D1" w:rsidRDefault="00AA0838" w:rsidP="00AA0838">
      <w:pPr>
        <w:spacing w:line="360" w:lineRule="auto"/>
        <w:jc w:val="both"/>
        <w:rPr>
          <w:rFonts w:eastAsia="Times New Roman" w:cs="Arial"/>
          <w:bCs/>
          <w:color w:val="000000"/>
          <w:lang w:val="en-US"/>
        </w:rPr>
      </w:pPr>
      <w:r w:rsidRPr="00C83619">
        <w:rPr>
          <w:rFonts w:eastAsia="Times New Roman" w:cs="Arial"/>
          <w:b/>
          <w:bCs/>
          <w:color w:val="000000"/>
          <w:lang w:val="en-US"/>
        </w:rPr>
        <w:t>Table S3</w:t>
      </w:r>
      <w:r w:rsidRPr="00C83619">
        <w:rPr>
          <w:rFonts w:eastAsia="Times New Roman" w:cs="Arial"/>
          <w:bCs/>
          <w:color w:val="000000"/>
          <w:lang w:val="en-US"/>
        </w:rPr>
        <w:t>: domain hotspot mutual exclusivity within pathways (</w:t>
      </w:r>
      <w:proofErr w:type="spellStart"/>
      <w:r w:rsidRPr="00C83619">
        <w:rPr>
          <w:rFonts w:eastAsia="Times New Roman" w:cs="Arial"/>
          <w:bCs/>
          <w:color w:val="000000"/>
          <w:lang w:val="en-US"/>
        </w:rPr>
        <w:t>Pancancer</w:t>
      </w:r>
      <w:proofErr w:type="spellEnd"/>
      <w:r w:rsidRPr="00C83619">
        <w:rPr>
          <w:rFonts w:eastAsia="Times New Roman" w:cs="Arial"/>
          <w:bCs/>
          <w:color w:val="000000"/>
          <w:lang w:val="en-US"/>
        </w:rPr>
        <w:t>; Fischer's and Binomial Q-</w:t>
      </w:r>
      <w:proofErr w:type="spellStart"/>
      <w:r w:rsidRPr="00C83619">
        <w:rPr>
          <w:rFonts w:eastAsia="Times New Roman" w:cs="Arial"/>
          <w:bCs/>
          <w:color w:val="000000"/>
          <w:lang w:val="en-US"/>
        </w:rPr>
        <w:t>val</w:t>
      </w:r>
      <w:proofErr w:type="spellEnd"/>
      <w:r w:rsidRPr="00C83619">
        <w:rPr>
          <w:rFonts w:eastAsia="Times New Roman" w:cs="Arial"/>
          <w:bCs/>
          <w:color w:val="000000"/>
          <w:lang w:val="en-US"/>
        </w:rPr>
        <w:t>&lt;0.1)</w:t>
      </w:r>
    </w:p>
    <w:p w:rsidR="00AA0838" w:rsidRDefault="00AA0838" w:rsidP="00AA0838">
      <w:pPr>
        <w:spacing w:line="360" w:lineRule="auto"/>
        <w:jc w:val="both"/>
        <w:rPr>
          <w:rFonts w:eastAsia="Times New Roman" w:cs="Arial"/>
          <w:bCs/>
          <w:color w:val="000000"/>
          <w:lang w:val="en-US"/>
        </w:rPr>
      </w:pPr>
      <w:r w:rsidRPr="00C83619">
        <w:rPr>
          <w:rFonts w:eastAsia="Times New Roman" w:cs="Arial"/>
          <w:b/>
          <w:bCs/>
          <w:color w:val="000000"/>
          <w:lang w:val="en-US"/>
        </w:rPr>
        <w:t>Table S4</w:t>
      </w:r>
      <w:r w:rsidRPr="00C83619">
        <w:rPr>
          <w:rFonts w:eastAsia="Times New Roman" w:cs="Arial"/>
          <w:bCs/>
          <w:color w:val="000000"/>
          <w:lang w:val="en-US"/>
        </w:rPr>
        <w:t>: domain hotspot mutual exclusivity within pathways (Tissue-level analysis; Fisher's and Binomial Q-</w:t>
      </w:r>
      <w:proofErr w:type="spellStart"/>
      <w:r w:rsidRPr="00C83619">
        <w:rPr>
          <w:rFonts w:eastAsia="Times New Roman" w:cs="Arial"/>
          <w:bCs/>
          <w:color w:val="000000"/>
          <w:lang w:val="en-US"/>
        </w:rPr>
        <w:t>val</w:t>
      </w:r>
      <w:proofErr w:type="spellEnd"/>
      <w:r w:rsidRPr="00C83619">
        <w:rPr>
          <w:rFonts w:eastAsia="Times New Roman" w:cs="Arial"/>
          <w:bCs/>
          <w:color w:val="000000"/>
          <w:lang w:val="en-US"/>
        </w:rPr>
        <w:t xml:space="preserve"> &lt;0.1)</w:t>
      </w:r>
    </w:p>
    <w:p w:rsidR="00AA0838" w:rsidRDefault="00AA0838" w:rsidP="00AA0838">
      <w:pPr>
        <w:spacing w:line="360" w:lineRule="auto"/>
        <w:jc w:val="both"/>
        <w:rPr>
          <w:rFonts w:eastAsia="Times New Roman" w:cs="Arial"/>
          <w:bCs/>
          <w:color w:val="000000"/>
          <w:lang w:val="en-US"/>
        </w:rPr>
      </w:pPr>
      <w:r>
        <w:rPr>
          <w:rFonts w:eastAsia="Times New Roman" w:cs="Arial"/>
          <w:b/>
          <w:bCs/>
          <w:color w:val="000000"/>
          <w:lang w:val="en-US"/>
        </w:rPr>
        <w:t xml:space="preserve">Table S5a: </w:t>
      </w:r>
      <w:r w:rsidRPr="002820C2">
        <w:rPr>
          <w:rFonts w:eastAsia="Times New Roman" w:cs="Arial"/>
          <w:bCs/>
          <w:color w:val="000000"/>
          <w:lang w:val="en-US"/>
        </w:rPr>
        <w:t xml:space="preserve">domain hotspot </w:t>
      </w:r>
      <w:proofErr w:type="spellStart"/>
      <w:r w:rsidRPr="002820C2">
        <w:rPr>
          <w:rFonts w:eastAsia="Times New Roman" w:cs="Arial"/>
          <w:bCs/>
          <w:color w:val="000000"/>
          <w:lang w:val="en-US"/>
        </w:rPr>
        <w:t>enrichement</w:t>
      </w:r>
      <w:proofErr w:type="spellEnd"/>
      <w:r w:rsidRPr="002820C2">
        <w:rPr>
          <w:rFonts w:eastAsia="Times New Roman" w:cs="Arial"/>
          <w:bCs/>
          <w:color w:val="000000"/>
          <w:lang w:val="en-US"/>
        </w:rPr>
        <w:t xml:space="preserve"> analysis varying parameters (mutation cutoff) and background model</w:t>
      </w:r>
    </w:p>
    <w:p w:rsidR="00AA0838" w:rsidRDefault="00AA0838" w:rsidP="00AA0838">
      <w:pPr>
        <w:spacing w:line="360" w:lineRule="auto"/>
        <w:jc w:val="both"/>
        <w:rPr>
          <w:rFonts w:eastAsia="Times New Roman" w:cs="Arial"/>
          <w:bCs/>
          <w:color w:val="000000"/>
          <w:lang w:val="en-US"/>
        </w:rPr>
      </w:pPr>
      <w:r w:rsidRPr="002820C2">
        <w:rPr>
          <w:rFonts w:eastAsia="Times New Roman" w:cs="Arial"/>
          <w:b/>
          <w:bCs/>
          <w:color w:val="000000"/>
          <w:lang w:val="en-US"/>
        </w:rPr>
        <w:t>Table S5b:</w:t>
      </w:r>
      <w:r>
        <w:rPr>
          <w:rFonts w:eastAsia="Times New Roman" w:cs="Arial"/>
          <w:bCs/>
          <w:color w:val="000000"/>
          <w:lang w:val="en-US"/>
        </w:rPr>
        <w:t xml:space="preserve"> </w:t>
      </w:r>
      <w:r w:rsidRPr="000F72F1">
        <w:rPr>
          <w:rFonts w:eastAsia="Times New Roman" w:cs="Arial"/>
          <w:bCs/>
          <w:color w:val="000000"/>
          <w:lang w:val="en-US"/>
        </w:rPr>
        <w:t>domain hotspot mutual exclusivity analysis varying parameters (mutation cutoff and pathway dataset)</w:t>
      </w:r>
    </w:p>
    <w:p w:rsidR="00AA0838" w:rsidRPr="000F72F1" w:rsidRDefault="00AA0838" w:rsidP="00AA0838">
      <w:pPr>
        <w:spacing w:line="360" w:lineRule="auto"/>
        <w:jc w:val="both"/>
        <w:rPr>
          <w:rFonts w:eastAsia="Times New Roman" w:cs="Arial"/>
          <w:bCs/>
          <w:color w:val="000000"/>
          <w:lang w:val="en-US"/>
        </w:rPr>
      </w:pPr>
      <w:r w:rsidRPr="002820C2">
        <w:rPr>
          <w:rFonts w:eastAsia="Times New Roman" w:cs="Arial"/>
          <w:b/>
          <w:bCs/>
          <w:color w:val="000000"/>
          <w:lang w:val="en-US"/>
        </w:rPr>
        <w:t>Table S6</w:t>
      </w:r>
      <w:r>
        <w:rPr>
          <w:rFonts w:eastAsia="Times New Roman" w:cs="Arial"/>
          <w:bCs/>
          <w:color w:val="000000"/>
          <w:lang w:val="en-US"/>
        </w:rPr>
        <w:t xml:space="preserve">: </w:t>
      </w:r>
      <w:r w:rsidRPr="000F72F1">
        <w:rPr>
          <w:rFonts w:eastAsia="Times New Roman" w:cs="Arial"/>
          <w:bCs/>
          <w:color w:val="000000"/>
          <w:lang w:val="en-US"/>
        </w:rPr>
        <w:t>conserv</w:t>
      </w:r>
      <w:r>
        <w:rPr>
          <w:rFonts w:eastAsia="Times New Roman" w:cs="Arial"/>
          <w:bCs/>
          <w:color w:val="000000"/>
          <w:lang w:val="en-US"/>
        </w:rPr>
        <w:t>ed position in domains with sig</w:t>
      </w:r>
      <w:r w:rsidRPr="000F72F1">
        <w:rPr>
          <w:rFonts w:eastAsia="Times New Roman" w:cs="Arial"/>
          <w:bCs/>
          <w:color w:val="000000"/>
          <w:lang w:val="en-US"/>
        </w:rPr>
        <w:t>nificantly mutated positions</w:t>
      </w:r>
    </w:p>
    <w:p w:rsidR="00AA0838" w:rsidRPr="00CA44D1" w:rsidRDefault="00AA0838" w:rsidP="00AA0838">
      <w:pPr>
        <w:spacing w:line="360" w:lineRule="auto"/>
        <w:jc w:val="both"/>
        <w:rPr>
          <w:rFonts w:eastAsia="Times New Roman" w:cs="Arial"/>
          <w:bCs/>
          <w:color w:val="000000"/>
          <w:lang w:val="en-US"/>
        </w:rPr>
      </w:pPr>
      <w:r w:rsidRPr="00C83619">
        <w:rPr>
          <w:rFonts w:eastAsia="Times New Roman" w:cs="Arial"/>
          <w:b/>
          <w:bCs/>
          <w:color w:val="000000"/>
          <w:lang w:val="en-US"/>
        </w:rPr>
        <w:t>Table S</w:t>
      </w:r>
      <w:r>
        <w:rPr>
          <w:rFonts w:eastAsia="Times New Roman" w:cs="Arial"/>
          <w:b/>
          <w:bCs/>
          <w:color w:val="000000"/>
          <w:lang w:val="en-US"/>
        </w:rPr>
        <w:t>7</w:t>
      </w:r>
      <w:r w:rsidRPr="00C83619">
        <w:rPr>
          <w:rFonts w:eastAsia="Times New Roman" w:cs="Arial"/>
          <w:bCs/>
          <w:color w:val="000000"/>
          <w:lang w:val="en-US"/>
        </w:rPr>
        <w:t xml:space="preserve">: common </w:t>
      </w:r>
      <w:proofErr w:type="spellStart"/>
      <w:r w:rsidRPr="00C83619">
        <w:rPr>
          <w:rFonts w:eastAsia="Times New Roman" w:cs="Arial"/>
          <w:bCs/>
          <w:color w:val="000000"/>
          <w:lang w:val="en-US"/>
        </w:rPr>
        <w:t>mechismo</w:t>
      </w:r>
      <w:proofErr w:type="spellEnd"/>
      <w:r w:rsidRPr="00C83619">
        <w:rPr>
          <w:rFonts w:eastAsia="Times New Roman" w:cs="Arial"/>
          <w:bCs/>
          <w:color w:val="000000"/>
          <w:lang w:val="en-US"/>
        </w:rPr>
        <w:t xml:space="preserve"> predicted effect of mutually exclusive domain hotspots (</w:t>
      </w:r>
      <w:proofErr w:type="spellStart"/>
      <w:r w:rsidRPr="00C83619">
        <w:rPr>
          <w:rFonts w:eastAsia="Times New Roman" w:cs="Arial"/>
          <w:bCs/>
          <w:color w:val="000000"/>
          <w:lang w:val="en-US"/>
        </w:rPr>
        <w:t>Pancancer</w:t>
      </w:r>
      <w:proofErr w:type="spellEnd"/>
      <w:r w:rsidRPr="00C83619">
        <w:rPr>
          <w:rFonts w:eastAsia="Times New Roman" w:cs="Arial"/>
          <w:bCs/>
          <w:color w:val="000000"/>
          <w:lang w:val="en-US"/>
        </w:rPr>
        <w:t>)</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w:t>
      </w:r>
      <w:r>
        <w:rPr>
          <w:rFonts w:eastAsia="Times New Roman" w:cs="Arial"/>
          <w:b/>
          <w:bCs/>
          <w:color w:val="000000"/>
          <w:lang w:val="en-US"/>
        </w:rPr>
        <w:t>8</w:t>
      </w:r>
      <w:r w:rsidRPr="00CA44D1">
        <w:rPr>
          <w:rFonts w:eastAsia="Times New Roman" w:cs="Arial"/>
          <w:bCs/>
          <w:color w:val="000000"/>
          <w:lang w:val="en-US"/>
        </w:rPr>
        <w:t>: overlap (</w:t>
      </w:r>
      <w:proofErr w:type="spellStart"/>
      <w:r w:rsidRPr="00CA44D1">
        <w:rPr>
          <w:rFonts w:eastAsia="Times New Roman" w:cs="Arial"/>
          <w:bCs/>
          <w:color w:val="000000"/>
          <w:lang w:val="en-US"/>
        </w:rPr>
        <w:t>jaccard</w:t>
      </w:r>
      <w:proofErr w:type="spellEnd"/>
      <w:r w:rsidRPr="00CA44D1">
        <w:rPr>
          <w:rFonts w:eastAsia="Times New Roman" w:cs="Arial"/>
          <w:bCs/>
          <w:color w:val="000000"/>
          <w:lang w:val="en-US"/>
        </w:rPr>
        <w:t xml:space="preserve"> score) of downstream target genes of transcriptional regulatory genes found mutually exclusively mutated</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w:t>
      </w:r>
      <w:r>
        <w:rPr>
          <w:rFonts w:eastAsia="Times New Roman" w:cs="Arial"/>
          <w:b/>
          <w:bCs/>
          <w:color w:val="000000"/>
          <w:lang w:val="en-US"/>
        </w:rPr>
        <w:t>9</w:t>
      </w:r>
      <w:r w:rsidRPr="00CA44D1">
        <w:rPr>
          <w:rFonts w:eastAsia="Times New Roman" w:cs="Arial"/>
          <w:bCs/>
          <w:color w:val="000000"/>
          <w:lang w:val="en-US"/>
        </w:rPr>
        <w:t>: TP53 and zinc-fingers domain hotspot mutual exclusivity within pathways (Tissue-level; Fischer's and Binomial Q-</w:t>
      </w:r>
      <w:proofErr w:type="spellStart"/>
      <w:r w:rsidRPr="00CA44D1">
        <w:rPr>
          <w:rFonts w:eastAsia="Times New Roman" w:cs="Arial"/>
          <w:bCs/>
          <w:color w:val="000000"/>
          <w:lang w:val="en-US"/>
        </w:rPr>
        <w:t>val</w:t>
      </w:r>
      <w:proofErr w:type="spellEnd"/>
      <w:r w:rsidRPr="00CA44D1">
        <w:rPr>
          <w:rFonts w:eastAsia="Times New Roman" w:cs="Arial"/>
          <w:bCs/>
          <w:color w:val="000000"/>
          <w:lang w:val="en-US"/>
        </w:rPr>
        <w:t>&lt;0.1)</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w:t>
      </w:r>
      <w:r>
        <w:rPr>
          <w:rFonts w:eastAsia="Times New Roman" w:cs="Arial"/>
          <w:b/>
          <w:bCs/>
          <w:color w:val="000000"/>
          <w:lang w:val="en-US"/>
        </w:rPr>
        <w:t>10</w:t>
      </w:r>
      <w:r w:rsidRPr="00CA44D1">
        <w:rPr>
          <w:rFonts w:eastAsia="Times New Roman" w:cs="Arial"/>
          <w:bCs/>
          <w:color w:val="000000"/>
          <w:lang w:val="en-US"/>
        </w:rPr>
        <w:t xml:space="preserve"> Cancer somatic missense mutations at 7TM domain positions</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w:t>
      </w:r>
      <w:r>
        <w:rPr>
          <w:rFonts w:eastAsia="Times New Roman" w:cs="Arial"/>
          <w:b/>
          <w:bCs/>
          <w:color w:val="000000"/>
          <w:lang w:val="en-US"/>
        </w:rPr>
        <w:t>11</w:t>
      </w:r>
      <w:r w:rsidRPr="00CA44D1">
        <w:rPr>
          <w:rFonts w:eastAsia="Times New Roman" w:cs="Arial"/>
          <w:bCs/>
          <w:color w:val="000000"/>
          <w:lang w:val="en-US"/>
        </w:rPr>
        <w:t>: Cancer somatic missense mutations at G-alpha domain positions</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S1</w:t>
      </w:r>
      <w:r>
        <w:rPr>
          <w:rFonts w:eastAsia="Times New Roman" w:cs="Arial"/>
          <w:b/>
          <w:bCs/>
          <w:color w:val="000000"/>
          <w:lang w:val="en-US"/>
        </w:rPr>
        <w:t>2</w:t>
      </w:r>
      <w:r w:rsidRPr="00CA44D1">
        <w:rPr>
          <w:rFonts w:eastAsia="Times New Roman" w:cs="Arial"/>
          <w:bCs/>
          <w:color w:val="000000"/>
          <w:lang w:val="en-US"/>
        </w:rPr>
        <w:t>: Survival analysis (Cox's proportional hazard models) for significant domain hotspots (</w:t>
      </w:r>
      <w:proofErr w:type="spellStart"/>
      <w:r w:rsidRPr="00CA44D1">
        <w:rPr>
          <w:rFonts w:eastAsia="Times New Roman" w:cs="Arial"/>
          <w:bCs/>
          <w:color w:val="000000"/>
          <w:lang w:val="en-US"/>
        </w:rPr>
        <w:t>pancancer</w:t>
      </w:r>
      <w:proofErr w:type="spellEnd"/>
      <w:r w:rsidRPr="00CA44D1">
        <w:rPr>
          <w:rFonts w:eastAsia="Times New Roman" w:cs="Arial"/>
          <w:bCs/>
          <w:color w:val="000000"/>
          <w:lang w:val="en-US"/>
        </w:rPr>
        <w:t>)</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S1</w:t>
      </w:r>
      <w:r>
        <w:rPr>
          <w:rFonts w:eastAsia="Times New Roman" w:cs="Arial"/>
          <w:b/>
          <w:bCs/>
          <w:color w:val="000000"/>
          <w:lang w:val="en-US"/>
        </w:rPr>
        <w:t>3</w:t>
      </w:r>
      <w:r w:rsidRPr="00CA44D1">
        <w:rPr>
          <w:rFonts w:eastAsia="Times New Roman" w:cs="Arial"/>
          <w:bCs/>
          <w:color w:val="000000"/>
          <w:lang w:val="en-US"/>
        </w:rPr>
        <w:t>: Survival analysis (Cox's proportional hazard models) for significant domain hotspots (tissue-level analysis)</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S1</w:t>
      </w:r>
      <w:r>
        <w:rPr>
          <w:rFonts w:eastAsia="Times New Roman" w:cs="Arial"/>
          <w:b/>
          <w:bCs/>
          <w:color w:val="000000"/>
          <w:lang w:val="en-US"/>
        </w:rPr>
        <w:t>4</w:t>
      </w:r>
      <w:r w:rsidRPr="00CA44D1">
        <w:rPr>
          <w:rFonts w:eastAsia="Times New Roman" w:cs="Arial"/>
          <w:bCs/>
          <w:color w:val="000000"/>
          <w:lang w:val="en-US"/>
        </w:rPr>
        <w:t>: Survival analysis (Cox's proportional hazard models) for significant domain hotspots (cancer type-level analysis)</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lastRenderedPageBreak/>
        <w:t>Table S1</w:t>
      </w:r>
      <w:r>
        <w:rPr>
          <w:rFonts w:eastAsia="Times New Roman" w:cs="Arial"/>
          <w:b/>
          <w:bCs/>
          <w:color w:val="000000"/>
          <w:lang w:val="en-US"/>
        </w:rPr>
        <w:t>5</w:t>
      </w:r>
      <w:r w:rsidRPr="00CA44D1">
        <w:rPr>
          <w:rFonts w:eastAsia="Times New Roman" w:cs="Arial"/>
          <w:bCs/>
          <w:color w:val="000000"/>
          <w:lang w:val="en-US"/>
        </w:rPr>
        <w:t xml:space="preserve">: Census genes participating to </w:t>
      </w:r>
      <w:proofErr w:type="spellStart"/>
      <w:r w:rsidRPr="00CA44D1">
        <w:rPr>
          <w:rFonts w:eastAsia="Times New Roman" w:cs="Arial"/>
          <w:bCs/>
          <w:color w:val="000000"/>
          <w:lang w:val="en-US"/>
        </w:rPr>
        <w:t>Reactome's</w:t>
      </w:r>
      <w:proofErr w:type="spellEnd"/>
      <w:r w:rsidRPr="00CA44D1">
        <w:rPr>
          <w:rFonts w:eastAsia="Times New Roman" w:cs="Arial"/>
          <w:bCs/>
          <w:color w:val="000000"/>
          <w:lang w:val="en-US"/>
        </w:rPr>
        <w:t xml:space="preserve"> "Signal transduction" pathways are labelled as "Signaling </w:t>
      </w:r>
      <w:proofErr w:type="spellStart"/>
      <w:r w:rsidRPr="00CA44D1">
        <w:rPr>
          <w:rFonts w:eastAsia="Times New Roman" w:cs="Arial"/>
          <w:bCs/>
          <w:color w:val="000000"/>
          <w:lang w:val="en-US"/>
        </w:rPr>
        <w:t>Oncodriver</w:t>
      </w:r>
      <w:proofErr w:type="spellEnd"/>
      <w:r w:rsidRPr="00CA44D1">
        <w:rPr>
          <w:rFonts w:eastAsia="Times New Roman" w:cs="Arial"/>
          <w:bCs/>
          <w:color w:val="000000"/>
          <w:lang w:val="en-US"/>
        </w:rPr>
        <w:t>"</w:t>
      </w:r>
    </w:p>
    <w:p w:rsidR="00AA0838" w:rsidRPr="00CA44D1"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S1</w:t>
      </w:r>
      <w:r>
        <w:rPr>
          <w:rFonts w:eastAsia="Times New Roman" w:cs="Arial"/>
          <w:b/>
          <w:bCs/>
          <w:color w:val="000000"/>
          <w:lang w:val="en-US"/>
        </w:rPr>
        <w:t>6</w:t>
      </w:r>
      <w:r w:rsidRPr="00CA44D1">
        <w:rPr>
          <w:rFonts w:eastAsia="Times New Roman" w:cs="Arial"/>
          <w:bCs/>
          <w:color w:val="000000"/>
          <w:lang w:val="en-US"/>
        </w:rPr>
        <w:t xml:space="preserve">: mutual exclusivity analysis of signaling </w:t>
      </w:r>
      <w:proofErr w:type="spellStart"/>
      <w:r w:rsidRPr="00CA44D1">
        <w:rPr>
          <w:rFonts w:eastAsia="Times New Roman" w:cs="Arial"/>
          <w:bCs/>
          <w:color w:val="000000"/>
          <w:lang w:val="en-US"/>
        </w:rPr>
        <w:t>oncodrivers</w:t>
      </w:r>
      <w:proofErr w:type="spellEnd"/>
      <w:r w:rsidRPr="00CA44D1">
        <w:rPr>
          <w:rFonts w:eastAsia="Times New Roman" w:cs="Arial"/>
          <w:bCs/>
          <w:color w:val="000000"/>
          <w:lang w:val="en-US"/>
        </w:rPr>
        <w:t xml:space="preserve"> and domain hotspots mutations (cancer type-level analysis)</w:t>
      </w:r>
    </w:p>
    <w:p w:rsidR="00AA0838" w:rsidRPr="00CA44D1" w:rsidRDefault="00AA0838" w:rsidP="00AA0838">
      <w:pPr>
        <w:spacing w:line="360" w:lineRule="auto"/>
        <w:jc w:val="both"/>
        <w:rPr>
          <w:rFonts w:eastAsia="Times New Roman" w:cs="Arial"/>
          <w:bCs/>
          <w:lang w:val="en-US"/>
        </w:rPr>
      </w:pPr>
      <w:r w:rsidRPr="00CA44D1">
        <w:rPr>
          <w:rFonts w:eastAsia="Times New Roman" w:cs="Arial"/>
          <w:b/>
          <w:bCs/>
          <w:lang w:val="en-US"/>
        </w:rPr>
        <w:t>Table S1</w:t>
      </w:r>
      <w:r>
        <w:rPr>
          <w:rFonts w:eastAsia="Times New Roman" w:cs="Arial"/>
          <w:b/>
          <w:bCs/>
          <w:lang w:val="en-US"/>
        </w:rPr>
        <w:t>7</w:t>
      </w:r>
      <w:r w:rsidRPr="00CA44D1">
        <w:rPr>
          <w:rFonts w:eastAsia="Times New Roman" w:cs="Arial"/>
          <w:bCs/>
          <w:lang w:val="en-US"/>
        </w:rPr>
        <w:t>: Parameters for the TGFα shedding assay</w:t>
      </w:r>
    </w:p>
    <w:p w:rsidR="00AA0838" w:rsidRPr="00CA44D1" w:rsidRDefault="00AA0838" w:rsidP="00AA0838">
      <w:pPr>
        <w:spacing w:line="360" w:lineRule="auto"/>
        <w:jc w:val="both"/>
        <w:rPr>
          <w:rFonts w:eastAsia="Times New Roman" w:cs="Arial"/>
          <w:bCs/>
          <w:lang w:val="en-US"/>
        </w:rPr>
      </w:pPr>
      <w:r w:rsidRPr="00CA44D1">
        <w:rPr>
          <w:rFonts w:eastAsia="Times New Roman" w:cs="Arial"/>
          <w:b/>
          <w:bCs/>
          <w:lang w:val="en-US"/>
        </w:rPr>
        <w:t>Table S1</w:t>
      </w:r>
      <w:r>
        <w:rPr>
          <w:rFonts w:eastAsia="Times New Roman" w:cs="Arial"/>
          <w:b/>
          <w:bCs/>
          <w:lang w:val="en-US"/>
        </w:rPr>
        <w:t>8</w:t>
      </w:r>
      <w:r w:rsidRPr="00CA44D1">
        <w:rPr>
          <w:rFonts w:eastAsia="Times New Roman" w:cs="Arial"/>
          <w:bCs/>
          <w:lang w:val="en-US"/>
        </w:rPr>
        <w:t xml:space="preserve">: Parameters for the </w:t>
      </w:r>
      <w:proofErr w:type="spellStart"/>
      <w:r w:rsidRPr="00CA44D1">
        <w:rPr>
          <w:rFonts w:eastAsia="Times New Roman" w:cs="Arial"/>
          <w:bCs/>
          <w:lang w:val="en-US"/>
        </w:rPr>
        <w:t>cAMP</w:t>
      </w:r>
      <w:proofErr w:type="spellEnd"/>
      <w:r w:rsidRPr="00CA44D1">
        <w:rPr>
          <w:rFonts w:eastAsia="Times New Roman" w:cs="Arial"/>
          <w:bCs/>
          <w:lang w:val="en-US"/>
        </w:rPr>
        <w:t xml:space="preserve"> assay</w:t>
      </w:r>
    </w:p>
    <w:p w:rsidR="00AA0838" w:rsidRDefault="00AA0838" w:rsidP="00AA0838">
      <w:pPr>
        <w:spacing w:line="360" w:lineRule="auto"/>
        <w:jc w:val="both"/>
        <w:rPr>
          <w:rFonts w:eastAsia="Times New Roman" w:cs="Arial"/>
          <w:bCs/>
          <w:color w:val="000000"/>
          <w:lang w:val="en-US"/>
        </w:rPr>
      </w:pPr>
      <w:r w:rsidRPr="00CA44D1">
        <w:rPr>
          <w:rFonts w:eastAsia="Times New Roman" w:cs="Arial"/>
          <w:b/>
          <w:bCs/>
          <w:color w:val="000000"/>
          <w:lang w:val="en-US"/>
        </w:rPr>
        <w:t>Table S1</w:t>
      </w:r>
      <w:r>
        <w:rPr>
          <w:rFonts w:eastAsia="Times New Roman" w:cs="Arial"/>
          <w:b/>
          <w:bCs/>
          <w:color w:val="000000"/>
          <w:lang w:val="en-US"/>
        </w:rPr>
        <w:t>9</w:t>
      </w:r>
      <w:r w:rsidRPr="00CA44D1">
        <w:rPr>
          <w:rFonts w:eastAsia="Times New Roman" w:cs="Arial"/>
          <w:bCs/>
          <w:color w:val="000000"/>
          <w:lang w:val="en-US"/>
        </w:rPr>
        <w:t>: differential expression in 16 TCGA cancer types of GPCRs with coupling and approved drugs information</w:t>
      </w:r>
    </w:p>
    <w:p w:rsidR="00AA0838" w:rsidRPr="002820C2" w:rsidRDefault="00AA0838" w:rsidP="00AA0838">
      <w:pPr>
        <w:spacing w:line="360" w:lineRule="auto"/>
        <w:jc w:val="both"/>
        <w:rPr>
          <w:rFonts w:eastAsia="Times New Roman" w:cs="Arial"/>
          <w:b/>
          <w:bCs/>
          <w:color w:val="000000"/>
          <w:lang w:val="en-US"/>
        </w:rPr>
      </w:pPr>
      <w:r w:rsidRPr="002820C2">
        <w:rPr>
          <w:rFonts w:eastAsia="Times New Roman" w:cs="Arial"/>
          <w:b/>
          <w:bCs/>
          <w:color w:val="000000"/>
          <w:lang w:val="en-US"/>
        </w:rPr>
        <w:t>Table S20:</w:t>
      </w:r>
      <w:r>
        <w:rPr>
          <w:rFonts w:eastAsia="Times New Roman" w:cs="Arial"/>
          <w:b/>
          <w:bCs/>
          <w:color w:val="000000"/>
          <w:lang w:val="en-US"/>
        </w:rPr>
        <w:t xml:space="preserve"> </w:t>
      </w:r>
      <w:r w:rsidRPr="002820C2">
        <w:rPr>
          <w:rFonts w:eastAsia="Times New Roman" w:cs="Arial"/>
          <w:bCs/>
          <w:color w:val="000000"/>
          <w:lang w:val="en-US"/>
        </w:rPr>
        <w:t>PFAM 7tm_1 domain consensus / Ballesteros-Weinstein numbering correspondences</w:t>
      </w:r>
    </w:p>
    <w:p w:rsidR="00AA0838" w:rsidRPr="00C83619" w:rsidRDefault="00AA0838" w:rsidP="00AA0838">
      <w:pPr>
        <w:spacing w:line="240" w:lineRule="auto"/>
        <w:rPr>
          <w:rFonts w:ascii="Calibri" w:eastAsia="Times New Roman" w:hAnsi="Calibri" w:cs="Calibri"/>
          <w:b/>
          <w:bCs/>
          <w:color w:val="000000"/>
          <w:sz w:val="32"/>
          <w:szCs w:val="32"/>
          <w:lang w:val="en-US"/>
        </w:rPr>
      </w:pPr>
    </w:p>
    <w:p w:rsidR="00AA0838" w:rsidRDefault="00AA0838" w:rsidP="00AA0838">
      <w:pPr>
        <w:pStyle w:val="Heading1"/>
        <w:jc w:val="both"/>
      </w:pPr>
      <w:r>
        <w:t>Supplementary</w:t>
      </w:r>
      <w:r w:rsidRPr="002F0E08">
        <w:t xml:space="preserve"> figure legends</w:t>
      </w:r>
    </w:p>
    <w:p w:rsidR="00AA0838" w:rsidRPr="006E4389" w:rsidRDefault="00AA0838" w:rsidP="00AA0838">
      <w:pPr>
        <w:jc w:val="both"/>
        <w:rPr>
          <w:rFonts w:cs="Arial"/>
          <w:b/>
          <w:lang w:val="en-HK"/>
        </w:rPr>
      </w:pPr>
      <w:r w:rsidRPr="006E4389">
        <w:rPr>
          <w:rFonts w:cs="Arial"/>
          <w:b/>
        </w:rPr>
        <w:t>Figure S1</w:t>
      </w:r>
      <w:r w:rsidRPr="006E4389">
        <w:rPr>
          <w:rFonts w:cs="Arial"/>
          <w:b/>
          <w:lang w:val="en-HK"/>
        </w:rPr>
        <w:t xml:space="preserve">: </w:t>
      </w:r>
      <w:r>
        <w:rPr>
          <w:rFonts w:cs="Arial"/>
          <w:lang w:val="en-HK"/>
        </w:rPr>
        <w:t>protein families</w:t>
      </w:r>
      <w:r w:rsidRPr="006E4389">
        <w:rPr>
          <w:rFonts w:cs="Arial"/>
          <w:color w:val="222222"/>
          <w:spacing w:val="3"/>
          <w:shd w:val="clear" w:color="auto" w:fill="FFFFFF"/>
        </w:rPr>
        <w:t xml:space="preserve"> </w:t>
      </w:r>
      <w:r>
        <w:rPr>
          <w:rFonts w:cs="Arial"/>
          <w:color w:val="222222"/>
          <w:spacing w:val="3"/>
          <w:shd w:val="clear" w:color="auto" w:fill="FFFFFF"/>
        </w:rPr>
        <w:t xml:space="preserve">with domain positions </w:t>
      </w:r>
      <w:r w:rsidRPr="006E4389">
        <w:rPr>
          <w:rFonts w:cs="Arial"/>
          <w:color w:val="222222"/>
          <w:spacing w:val="3"/>
          <w:shd w:val="clear" w:color="auto" w:fill="FFFFFF"/>
        </w:rPr>
        <w:t xml:space="preserve">most significantly </w:t>
      </w:r>
      <w:r>
        <w:rPr>
          <w:rFonts w:cs="Arial"/>
          <w:color w:val="222222"/>
          <w:spacing w:val="3"/>
          <w:shd w:val="clear" w:color="auto" w:fill="FFFFFF"/>
        </w:rPr>
        <w:t>affected by mutations</w:t>
      </w:r>
      <w:r w:rsidRPr="006E4389">
        <w:rPr>
          <w:rFonts w:cs="Arial"/>
          <w:color w:val="222222"/>
          <w:spacing w:val="3"/>
          <w:shd w:val="clear" w:color="auto" w:fill="FFFFFF"/>
        </w:rPr>
        <w:t xml:space="preserve">: for each </w:t>
      </w:r>
      <w:r>
        <w:rPr>
          <w:rFonts w:cs="Arial"/>
          <w:color w:val="222222"/>
          <w:spacing w:val="3"/>
          <w:shd w:val="clear" w:color="auto" w:fill="FFFFFF"/>
        </w:rPr>
        <w:t>family, the median of</w:t>
      </w:r>
      <w:r w:rsidRPr="006E4389">
        <w:rPr>
          <w:rFonts w:cs="Arial"/>
          <w:color w:val="222222"/>
          <w:spacing w:val="3"/>
          <w:shd w:val="clear" w:color="auto" w:fill="FFFFFF"/>
        </w:rPr>
        <w:t xml:space="preserve"> q values of significantly perturbed</w:t>
      </w:r>
      <w:r>
        <w:rPr>
          <w:rFonts w:cs="Arial"/>
          <w:color w:val="222222"/>
          <w:spacing w:val="3"/>
          <w:shd w:val="clear" w:color="auto" w:fill="FFFFFF"/>
        </w:rPr>
        <w:t xml:space="preserve"> positions </w:t>
      </w:r>
      <w:r w:rsidRPr="006E4389">
        <w:rPr>
          <w:rFonts w:cs="Arial"/>
          <w:color w:val="222222"/>
          <w:spacing w:val="3"/>
          <w:shd w:val="clear" w:color="auto" w:fill="FFFFFF"/>
        </w:rPr>
        <w:t>(FDR</w:t>
      </w:r>
      <w:r>
        <w:rPr>
          <w:rFonts w:cs="Arial"/>
          <w:color w:val="222222"/>
          <w:spacing w:val="3"/>
          <w:shd w:val="clear" w:color="auto" w:fill="FFFFFF"/>
        </w:rPr>
        <w:t xml:space="preserve"> &lt; 0.1</w:t>
      </w:r>
      <w:r w:rsidRPr="006E4389">
        <w:rPr>
          <w:rFonts w:cs="Arial"/>
          <w:color w:val="222222"/>
          <w:spacing w:val="3"/>
          <w:shd w:val="clear" w:color="auto" w:fill="FFFFFF"/>
        </w:rPr>
        <w:t>)</w:t>
      </w:r>
      <w:r>
        <w:rPr>
          <w:rFonts w:cs="Arial"/>
          <w:color w:val="222222"/>
          <w:spacing w:val="3"/>
          <w:shd w:val="clear" w:color="auto" w:fill="FFFFFF"/>
        </w:rPr>
        <w:t xml:space="preserve"> </w:t>
      </w:r>
      <w:r w:rsidRPr="006E4389">
        <w:rPr>
          <w:rFonts w:cs="Arial"/>
          <w:color w:val="222222"/>
          <w:spacing w:val="3"/>
          <w:shd w:val="clear" w:color="auto" w:fill="FFFFFF"/>
        </w:rPr>
        <w:t xml:space="preserve">is shown. The x-axes and y-axes show </w:t>
      </w:r>
      <w:r>
        <w:rPr>
          <w:rFonts w:cs="Arial"/>
          <w:color w:val="222222"/>
          <w:spacing w:val="3"/>
          <w:shd w:val="clear" w:color="auto" w:fill="FFFFFF"/>
        </w:rPr>
        <w:t xml:space="preserve">the </w:t>
      </w:r>
      <w:r w:rsidRPr="006E4389">
        <w:rPr>
          <w:rFonts w:cs="Arial"/>
          <w:color w:val="222222"/>
          <w:spacing w:val="3"/>
          <w:shd w:val="clear" w:color="auto" w:fill="FFFFFF"/>
        </w:rPr>
        <w:t>values obtain</w:t>
      </w:r>
      <w:r>
        <w:rPr>
          <w:rFonts w:cs="Arial"/>
          <w:color w:val="222222"/>
          <w:spacing w:val="3"/>
          <w:shd w:val="clear" w:color="auto" w:fill="FFFFFF"/>
        </w:rPr>
        <w:t xml:space="preserve">ed from </w:t>
      </w:r>
      <w:proofErr w:type="spellStart"/>
      <w:r>
        <w:rPr>
          <w:rFonts w:cs="Arial"/>
          <w:color w:val="222222"/>
          <w:spacing w:val="3"/>
          <w:shd w:val="clear" w:color="auto" w:fill="FFFFFF"/>
        </w:rPr>
        <w:t>pancancer</w:t>
      </w:r>
      <w:proofErr w:type="spellEnd"/>
      <w:r>
        <w:rPr>
          <w:rFonts w:cs="Arial"/>
          <w:color w:val="222222"/>
          <w:spacing w:val="3"/>
          <w:shd w:val="clear" w:color="auto" w:fill="FFFFFF"/>
        </w:rPr>
        <w:t>- and tissue-level analyses. Dots are coloured (from bright to dark red</w:t>
      </w:r>
      <w:r w:rsidRPr="006E4389">
        <w:rPr>
          <w:rFonts w:cs="Arial"/>
          <w:color w:val="222222"/>
          <w:spacing w:val="3"/>
          <w:shd w:val="clear" w:color="auto" w:fill="FFFFFF"/>
        </w:rPr>
        <w:t xml:space="preserve">) proportional to the number of </w:t>
      </w:r>
      <w:r>
        <w:rPr>
          <w:rFonts w:cs="Arial"/>
          <w:color w:val="222222"/>
          <w:spacing w:val="3"/>
          <w:shd w:val="clear" w:color="auto" w:fill="FFFFFF"/>
        </w:rPr>
        <w:t>significant positions</w:t>
      </w:r>
      <w:r w:rsidRPr="006E4389">
        <w:rPr>
          <w:rFonts w:cs="Arial"/>
          <w:color w:val="222222"/>
          <w:spacing w:val="3"/>
          <w:shd w:val="clear" w:color="auto" w:fill="FFFFFF"/>
        </w:rPr>
        <w:t xml:space="preserve">, while </w:t>
      </w:r>
      <w:r>
        <w:rPr>
          <w:rFonts w:cs="Arial"/>
          <w:color w:val="222222"/>
          <w:spacing w:val="3"/>
          <w:shd w:val="clear" w:color="auto" w:fill="FFFFFF"/>
        </w:rPr>
        <w:t>the</w:t>
      </w:r>
      <w:r w:rsidRPr="006E4389">
        <w:rPr>
          <w:rFonts w:cs="Arial"/>
          <w:color w:val="222222"/>
          <w:spacing w:val="3"/>
          <w:shd w:val="clear" w:color="auto" w:fill="FFFFFF"/>
        </w:rPr>
        <w:t xml:space="preserve"> </w:t>
      </w:r>
      <w:r>
        <w:rPr>
          <w:rFonts w:cs="Arial"/>
          <w:color w:val="222222"/>
          <w:spacing w:val="3"/>
          <w:shd w:val="clear" w:color="auto" w:fill="FFFFFF"/>
        </w:rPr>
        <w:t>diameter</w:t>
      </w:r>
      <w:r w:rsidRPr="006E4389">
        <w:rPr>
          <w:rFonts w:cs="Arial"/>
          <w:color w:val="222222"/>
          <w:spacing w:val="3"/>
          <w:shd w:val="clear" w:color="auto" w:fill="FFFFFF"/>
        </w:rPr>
        <w:t xml:space="preserve"> is proportional to the total number of unique samples </w:t>
      </w:r>
      <w:r>
        <w:rPr>
          <w:rFonts w:cs="Arial"/>
          <w:color w:val="222222"/>
          <w:spacing w:val="3"/>
          <w:shd w:val="clear" w:color="auto" w:fill="FFFFFF"/>
        </w:rPr>
        <w:t>with mutations at these domain positions</w:t>
      </w:r>
      <w:r w:rsidRPr="006E4389">
        <w:rPr>
          <w:rFonts w:cs="Arial"/>
          <w:color w:val="222222"/>
          <w:spacing w:val="3"/>
          <w:shd w:val="clear" w:color="auto" w:fill="FFFFFF"/>
        </w:rPr>
        <w:t>. Genes with significantly perturbed inter</w:t>
      </w:r>
      <w:r>
        <w:rPr>
          <w:rFonts w:cs="Arial"/>
          <w:color w:val="222222"/>
          <w:spacing w:val="3"/>
          <w:shd w:val="clear" w:color="auto" w:fill="FFFFFF"/>
        </w:rPr>
        <w:t>faces (median of q-</w:t>
      </w:r>
      <w:proofErr w:type="gramStart"/>
      <w:r>
        <w:rPr>
          <w:rFonts w:cs="Arial"/>
          <w:color w:val="222222"/>
          <w:spacing w:val="3"/>
          <w:shd w:val="clear" w:color="auto" w:fill="FFFFFF"/>
        </w:rPr>
        <w:t>values  &lt;</w:t>
      </w:r>
      <w:proofErr w:type="gramEnd"/>
      <w:r>
        <w:rPr>
          <w:rFonts w:cs="Arial"/>
          <w:color w:val="222222"/>
          <w:spacing w:val="3"/>
          <w:shd w:val="clear" w:color="auto" w:fill="FFFFFF"/>
        </w:rPr>
        <w:t>= 10</w:t>
      </w:r>
      <w:r>
        <w:rPr>
          <w:rFonts w:cs="Arial"/>
          <w:color w:val="222222"/>
          <w:spacing w:val="3"/>
          <w:shd w:val="clear" w:color="auto" w:fill="FFFFFF"/>
          <w:vertAlign w:val="superscript"/>
        </w:rPr>
        <w:t>-7</w:t>
      </w:r>
      <w:r>
        <w:rPr>
          <w:rFonts w:cs="Arial"/>
          <w:color w:val="222222"/>
          <w:spacing w:val="3"/>
          <w:shd w:val="clear" w:color="auto" w:fill="FFFFFF"/>
        </w:rPr>
        <w:t xml:space="preserve"> in either </w:t>
      </w:r>
      <w:proofErr w:type="spellStart"/>
      <w:r>
        <w:rPr>
          <w:rFonts w:cs="Arial"/>
          <w:color w:val="222222"/>
          <w:spacing w:val="3"/>
          <w:shd w:val="clear" w:color="auto" w:fill="FFFFFF"/>
        </w:rPr>
        <w:t>pancancer</w:t>
      </w:r>
      <w:proofErr w:type="spellEnd"/>
      <w:r>
        <w:rPr>
          <w:rFonts w:cs="Arial"/>
          <w:color w:val="222222"/>
          <w:spacing w:val="3"/>
          <w:shd w:val="clear" w:color="auto" w:fill="FFFFFF"/>
        </w:rPr>
        <w:t>- or tissue-level analyses</w:t>
      </w:r>
      <w:r w:rsidRPr="006E4389">
        <w:rPr>
          <w:rFonts w:cs="Arial"/>
          <w:color w:val="222222"/>
          <w:spacing w:val="3"/>
          <w:shd w:val="clear" w:color="auto" w:fill="FFFFFF"/>
        </w:rPr>
        <w:t xml:space="preserve">) are labelled in </w:t>
      </w:r>
      <w:r>
        <w:rPr>
          <w:rFonts w:cs="Arial"/>
          <w:color w:val="222222"/>
          <w:spacing w:val="3"/>
          <w:shd w:val="clear" w:color="auto" w:fill="FFFFFF"/>
        </w:rPr>
        <w:t xml:space="preserve">dark </w:t>
      </w:r>
      <w:proofErr w:type="spellStart"/>
      <w:r>
        <w:rPr>
          <w:rFonts w:cs="Arial"/>
          <w:color w:val="222222"/>
          <w:spacing w:val="3"/>
          <w:shd w:val="clear" w:color="auto" w:fill="FFFFFF"/>
        </w:rPr>
        <w:t>gray</w:t>
      </w:r>
      <w:proofErr w:type="spellEnd"/>
      <w:r w:rsidRPr="006E4389">
        <w:rPr>
          <w:rFonts w:cs="Arial"/>
          <w:color w:val="222222"/>
          <w:spacing w:val="3"/>
          <w:shd w:val="clear" w:color="auto" w:fill="FFFFFF"/>
        </w:rPr>
        <w:t>. For space reasons the followi</w:t>
      </w:r>
      <w:r>
        <w:rPr>
          <w:rFonts w:cs="Arial"/>
          <w:color w:val="222222"/>
          <w:spacing w:val="3"/>
          <w:shd w:val="clear" w:color="auto" w:fill="FFFFFF"/>
        </w:rPr>
        <w:t>ng significantly perturbed families</w:t>
      </w:r>
      <w:r w:rsidRPr="006E4389">
        <w:rPr>
          <w:rFonts w:cs="Arial"/>
          <w:color w:val="222222"/>
          <w:spacing w:val="3"/>
          <w:shd w:val="clear" w:color="auto" w:fill="FFFFFF"/>
        </w:rPr>
        <w:t xml:space="preserve"> </w:t>
      </w:r>
      <w:r>
        <w:rPr>
          <w:rFonts w:cs="Arial"/>
          <w:color w:val="222222"/>
          <w:spacing w:val="3"/>
          <w:shd w:val="clear" w:color="auto" w:fill="FFFFFF"/>
        </w:rPr>
        <w:t>are</w:t>
      </w:r>
      <w:r w:rsidRPr="006E4389">
        <w:rPr>
          <w:rFonts w:cs="Arial"/>
          <w:color w:val="222222"/>
          <w:spacing w:val="3"/>
          <w:shd w:val="clear" w:color="auto" w:fill="FFFFFF"/>
        </w:rPr>
        <w:t xml:space="preserve"> not shown:</w:t>
      </w:r>
      <w:r>
        <w:rPr>
          <w:rFonts w:cs="Arial"/>
          <w:color w:val="222222"/>
          <w:spacing w:val="3"/>
          <w:shd w:val="clear" w:color="auto" w:fill="FFFFFF"/>
        </w:rPr>
        <w:t xml:space="preserve"> </w:t>
      </w:r>
      <w:r w:rsidRPr="005E70AC">
        <w:rPr>
          <w:rFonts w:cs="Arial"/>
          <w:color w:val="222222"/>
          <w:spacing w:val="3"/>
          <w:shd w:val="clear" w:color="auto" w:fill="FFFFFF"/>
        </w:rPr>
        <w:t xml:space="preserve">PUFD, DUF2431, DOR, NAD_binding_2, </w:t>
      </w:r>
      <w:proofErr w:type="spellStart"/>
      <w:r w:rsidRPr="005E70AC">
        <w:rPr>
          <w:rFonts w:cs="Arial"/>
          <w:color w:val="222222"/>
          <w:spacing w:val="3"/>
          <w:shd w:val="clear" w:color="auto" w:fill="FFFFFF"/>
        </w:rPr>
        <w:t>Arfaptin</w:t>
      </w:r>
      <w:proofErr w:type="spellEnd"/>
      <w:r w:rsidRPr="005E70AC">
        <w:rPr>
          <w:rFonts w:cs="Arial"/>
          <w:color w:val="222222"/>
          <w:spacing w:val="3"/>
          <w:shd w:val="clear" w:color="auto" w:fill="FFFFFF"/>
        </w:rPr>
        <w:t xml:space="preserve">, </w:t>
      </w:r>
      <w:proofErr w:type="spellStart"/>
      <w:r w:rsidRPr="005E70AC">
        <w:rPr>
          <w:rFonts w:cs="Arial"/>
          <w:color w:val="222222"/>
          <w:spacing w:val="3"/>
          <w:shd w:val="clear" w:color="auto" w:fill="FFFFFF"/>
        </w:rPr>
        <w:t>SNARE_assoc</w:t>
      </w:r>
      <w:proofErr w:type="spellEnd"/>
      <w:r w:rsidRPr="005E70AC">
        <w:rPr>
          <w:rFonts w:cs="Arial"/>
          <w:color w:val="222222"/>
          <w:spacing w:val="3"/>
          <w:shd w:val="clear" w:color="auto" w:fill="FFFFFF"/>
        </w:rPr>
        <w:t xml:space="preserve">, TORC_C, JCAD, </w:t>
      </w:r>
      <w:proofErr w:type="spellStart"/>
      <w:r w:rsidRPr="005E70AC">
        <w:rPr>
          <w:rFonts w:cs="Arial"/>
          <w:color w:val="222222"/>
          <w:spacing w:val="3"/>
          <w:shd w:val="clear" w:color="auto" w:fill="FFFFFF"/>
        </w:rPr>
        <w:t>Xan_ur_permease</w:t>
      </w:r>
      <w:proofErr w:type="spellEnd"/>
      <w:r w:rsidRPr="005E70AC">
        <w:rPr>
          <w:rFonts w:cs="Arial"/>
          <w:color w:val="222222"/>
          <w:spacing w:val="3"/>
          <w:shd w:val="clear" w:color="auto" w:fill="FFFFFF"/>
        </w:rPr>
        <w:t xml:space="preserve">, CKAP2_C, </w:t>
      </w:r>
      <w:proofErr w:type="spellStart"/>
      <w:r w:rsidRPr="005E70AC">
        <w:rPr>
          <w:rFonts w:cs="Arial"/>
          <w:color w:val="222222"/>
          <w:spacing w:val="3"/>
          <w:shd w:val="clear" w:color="auto" w:fill="FFFFFF"/>
        </w:rPr>
        <w:t>Xylo_C</w:t>
      </w:r>
      <w:proofErr w:type="spellEnd"/>
      <w:r w:rsidRPr="005E70AC">
        <w:rPr>
          <w:rFonts w:cs="Arial"/>
          <w:color w:val="222222"/>
          <w:spacing w:val="3"/>
          <w:shd w:val="clear" w:color="auto" w:fill="FFFFFF"/>
        </w:rPr>
        <w:t xml:space="preserve">, DUF846, TMEM37, DUF3454, RGM_C, </w:t>
      </w:r>
      <w:proofErr w:type="spellStart"/>
      <w:r w:rsidRPr="005E70AC">
        <w:rPr>
          <w:rFonts w:cs="Arial"/>
          <w:color w:val="222222"/>
          <w:spacing w:val="3"/>
          <w:shd w:val="clear" w:color="auto" w:fill="FFFFFF"/>
        </w:rPr>
        <w:t>Choline_transpo</w:t>
      </w:r>
      <w:proofErr w:type="spellEnd"/>
      <w:r w:rsidRPr="005E70AC">
        <w:rPr>
          <w:rFonts w:cs="Arial"/>
          <w:color w:val="222222"/>
          <w:spacing w:val="3"/>
          <w:shd w:val="clear" w:color="auto" w:fill="FFFFFF"/>
        </w:rPr>
        <w:t xml:space="preserve">, Ist1, Arv1, RBM39linker, L6_membrane, AJAP1_PANP_C, Fumble, Xpo1, ecTbetaR2, IF-2B, </w:t>
      </w:r>
      <w:proofErr w:type="spellStart"/>
      <w:r w:rsidRPr="005E70AC">
        <w:rPr>
          <w:rFonts w:cs="Arial"/>
          <w:color w:val="222222"/>
          <w:spacing w:val="3"/>
          <w:shd w:val="clear" w:color="auto" w:fill="FFFFFF"/>
        </w:rPr>
        <w:t>Dynamitin</w:t>
      </w:r>
      <w:proofErr w:type="spellEnd"/>
      <w:r w:rsidRPr="005E70AC">
        <w:rPr>
          <w:rFonts w:cs="Arial"/>
          <w:color w:val="222222"/>
          <w:spacing w:val="3"/>
          <w:shd w:val="clear" w:color="auto" w:fill="FFFFFF"/>
        </w:rPr>
        <w:t xml:space="preserve">, Helicase_C_4, Tmemb_cc2, 2-oxogl_dehyd_N, FAM75, </w:t>
      </w:r>
      <w:proofErr w:type="spellStart"/>
      <w:r w:rsidRPr="005E70AC">
        <w:rPr>
          <w:rFonts w:cs="Arial"/>
          <w:color w:val="222222"/>
          <w:spacing w:val="3"/>
          <w:shd w:val="clear" w:color="auto" w:fill="FFFFFF"/>
        </w:rPr>
        <w:t>MutS_II</w:t>
      </w:r>
      <w:proofErr w:type="spellEnd"/>
      <w:r w:rsidRPr="005E70AC">
        <w:rPr>
          <w:rFonts w:cs="Arial"/>
          <w:color w:val="222222"/>
          <w:spacing w:val="3"/>
          <w:shd w:val="clear" w:color="auto" w:fill="FFFFFF"/>
        </w:rPr>
        <w:t xml:space="preserve">, CLCA, DUF3736, </w:t>
      </w:r>
      <w:r w:rsidRPr="005E70AC">
        <w:rPr>
          <w:rFonts w:cs="Arial"/>
          <w:color w:val="222222"/>
          <w:spacing w:val="3"/>
          <w:shd w:val="clear" w:color="auto" w:fill="FFFFFF"/>
        </w:rPr>
        <w:lastRenderedPageBreak/>
        <w:t xml:space="preserve">Tmemb_185A, RB_B, CDC27, DUF1907, </w:t>
      </w:r>
      <w:proofErr w:type="spellStart"/>
      <w:r w:rsidRPr="005E70AC">
        <w:rPr>
          <w:rFonts w:cs="Arial"/>
          <w:color w:val="222222"/>
          <w:spacing w:val="3"/>
          <w:shd w:val="clear" w:color="auto" w:fill="FFFFFF"/>
        </w:rPr>
        <w:t>Myc_N</w:t>
      </w:r>
      <w:proofErr w:type="spellEnd"/>
      <w:r w:rsidRPr="005E70AC">
        <w:rPr>
          <w:rFonts w:cs="Arial"/>
          <w:color w:val="222222"/>
          <w:spacing w:val="3"/>
          <w:shd w:val="clear" w:color="auto" w:fill="FFFFFF"/>
        </w:rPr>
        <w:t xml:space="preserve">, FRG2, </w:t>
      </w:r>
      <w:proofErr w:type="spellStart"/>
      <w:r w:rsidRPr="005E70AC">
        <w:rPr>
          <w:rFonts w:cs="Arial"/>
          <w:color w:val="222222"/>
          <w:spacing w:val="3"/>
          <w:shd w:val="clear" w:color="auto" w:fill="FFFFFF"/>
        </w:rPr>
        <w:t>Nramp</w:t>
      </w:r>
      <w:proofErr w:type="spellEnd"/>
      <w:r w:rsidRPr="005E70AC">
        <w:rPr>
          <w:rFonts w:cs="Arial"/>
          <w:color w:val="222222"/>
          <w:spacing w:val="3"/>
          <w:shd w:val="clear" w:color="auto" w:fill="FFFFFF"/>
        </w:rPr>
        <w:t xml:space="preserve">, Med15, </w:t>
      </w:r>
      <w:proofErr w:type="spellStart"/>
      <w:r w:rsidRPr="005E70AC">
        <w:rPr>
          <w:rFonts w:cs="Arial"/>
          <w:color w:val="222222"/>
          <w:spacing w:val="3"/>
          <w:shd w:val="clear" w:color="auto" w:fill="FFFFFF"/>
        </w:rPr>
        <w:t>PDEase_I_N</w:t>
      </w:r>
      <w:proofErr w:type="spellEnd"/>
      <w:r w:rsidRPr="005E70AC">
        <w:rPr>
          <w:rFonts w:cs="Arial"/>
          <w:color w:val="222222"/>
          <w:spacing w:val="3"/>
          <w:shd w:val="clear" w:color="auto" w:fill="FFFFFF"/>
        </w:rPr>
        <w:t>, CENP-N, DNA_pol_B_exo1</w:t>
      </w:r>
      <w:r>
        <w:rPr>
          <w:rFonts w:cs="Arial"/>
          <w:color w:val="222222"/>
          <w:spacing w:val="3"/>
          <w:shd w:val="clear" w:color="auto" w:fill="FFFFFF"/>
        </w:rPr>
        <w:t>, ALS2CR11, VWA_2, GREB1, PI3Ka.</w:t>
      </w:r>
    </w:p>
    <w:p w:rsidR="00AA0838" w:rsidRPr="007A6C7C" w:rsidRDefault="00AA0838" w:rsidP="00AA0838">
      <w:pPr>
        <w:rPr>
          <w:b/>
          <w:lang w:val="en-HK"/>
        </w:rPr>
      </w:pPr>
    </w:p>
    <w:p w:rsidR="00AA0838" w:rsidRDefault="00AA0838" w:rsidP="00AA0838">
      <w:pPr>
        <w:jc w:val="both"/>
      </w:pPr>
      <w:r>
        <w:rPr>
          <w:b/>
        </w:rPr>
        <w:t xml:space="preserve">Figure S2: </w:t>
      </w:r>
      <w:r>
        <w:t xml:space="preserve">a) stacked bar representation of the total number of significantly mutated domain positions for each </w:t>
      </w:r>
      <w:proofErr w:type="spellStart"/>
      <w:r>
        <w:t>Reactome</w:t>
      </w:r>
      <w:proofErr w:type="spellEnd"/>
      <w:r>
        <w:t xml:space="preserve"> pathway in the pan-cancer set. Colours are domain specific. b) Pie chart representation of the distribution of significant domain positions in each cancer tissue. Domain colours are as in a).</w:t>
      </w:r>
    </w:p>
    <w:p w:rsidR="00AA0838" w:rsidRDefault="00AA0838" w:rsidP="00AA0838">
      <w:pPr>
        <w:jc w:val="both"/>
      </w:pPr>
    </w:p>
    <w:p w:rsidR="00AA0838" w:rsidRDefault="00AA0838" w:rsidP="00AA0838">
      <w:pPr>
        <w:jc w:val="both"/>
      </w:pPr>
      <w:r>
        <w:rPr>
          <w:b/>
        </w:rPr>
        <w:t>Figure S3</w:t>
      </w:r>
      <w:r w:rsidRPr="005B5D4A">
        <w:rPr>
          <w:b/>
        </w:rPr>
        <w:t>:</w:t>
      </w:r>
      <w:r>
        <w:rPr>
          <w:b/>
        </w:rPr>
        <w:t xml:space="preserve"> </w:t>
      </w:r>
      <w:r>
        <w:t>2D representation of common perturbed interactions predicted for mutations at significant domain positions. Colours are specific to the class of the interaction, i.e. protein (PPI), chemical (PCI), nucleic acids (PDI) or mixed.</w:t>
      </w:r>
    </w:p>
    <w:p w:rsidR="00AA0838" w:rsidRDefault="00AA0838" w:rsidP="00AA0838">
      <w:pPr>
        <w:jc w:val="both"/>
      </w:pPr>
    </w:p>
    <w:p w:rsidR="00AA0838" w:rsidRDefault="00AA0838" w:rsidP="00AA0838">
      <w:pPr>
        <w:jc w:val="both"/>
      </w:pPr>
      <w:r>
        <w:rPr>
          <w:b/>
        </w:rPr>
        <w:t>Figure S4:</w:t>
      </w:r>
      <w:r>
        <w:t xml:space="preserve"> Kaplan-Meier curve for patients affected by mutations at GPCR (PFAM 7tm_1) position R97</w:t>
      </w:r>
      <w:r>
        <w:rPr>
          <w:vertAlign w:val="superscript"/>
        </w:rPr>
        <w:t>4.40</w:t>
      </w:r>
      <w:r>
        <w:t xml:space="preserve"> in the pan-cancer set.</w:t>
      </w:r>
    </w:p>
    <w:p w:rsidR="00AA0838" w:rsidRDefault="00AA0838" w:rsidP="00AA0838">
      <w:pPr>
        <w:jc w:val="both"/>
      </w:pPr>
    </w:p>
    <w:p w:rsidR="00AA0838" w:rsidRDefault="00AA0838" w:rsidP="00AA0838">
      <w:pPr>
        <w:jc w:val="both"/>
      </w:pPr>
      <w:r w:rsidRPr="002B5668">
        <w:rPr>
          <w:b/>
        </w:rPr>
        <w:t>Figure S5:</w:t>
      </w:r>
      <w:r w:rsidRPr="0000443D">
        <w:rPr>
          <w:color w:val="222222"/>
          <w:sz w:val="22"/>
          <w:szCs w:val="22"/>
          <w:shd w:val="clear" w:color="auto" w:fill="FFFFFF"/>
        </w:rPr>
        <w:t xml:space="preserve"> </w:t>
      </w:r>
      <w:r>
        <w:rPr>
          <w:lang w:val="en-HK"/>
        </w:rPr>
        <w:t xml:space="preserve">2D representation of patients (columns) affected by </w:t>
      </w:r>
      <w:r>
        <w:t xml:space="preserve">Class </w:t>
      </w:r>
      <w:proofErr w:type="gramStart"/>
      <w:r>
        <w:t>A</w:t>
      </w:r>
      <w:proofErr w:type="gramEnd"/>
      <w:r>
        <w:t xml:space="preserve"> </w:t>
      </w:r>
      <w:r w:rsidRPr="000E7D5B">
        <w:t>GPCR (non olfactory) and G-alpha mutations</w:t>
      </w:r>
      <w:r>
        <w:t xml:space="preserve"> at either G</w:t>
      </w:r>
      <w:r>
        <w:rPr>
          <w:rFonts w:cs="Arial"/>
        </w:rPr>
        <w:t>α</w:t>
      </w:r>
      <w:r>
        <w:t xml:space="preserve"> SWI arginine (</w:t>
      </w:r>
      <w:proofErr w:type="spellStart"/>
      <w:r>
        <w:t>dodgerblue</w:t>
      </w:r>
      <w:proofErr w:type="spellEnd"/>
      <w:r>
        <w:t>) or GPCR R82</w:t>
      </w:r>
      <w:r>
        <w:rPr>
          <w:vertAlign w:val="superscript"/>
        </w:rPr>
        <w:t>3.50</w:t>
      </w:r>
      <w:r>
        <w:t xml:space="preserve"> (orange) in five major cancer types. In each matrix, the right panel shows GPCRs coupling preferences from IUPHAR (maroon and red </w:t>
      </w:r>
      <w:proofErr w:type="spellStart"/>
      <w:r>
        <w:t>colors</w:t>
      </w:r>
      <w:proofErr w:type="spellEnd"/>
      <w:r>
        <w:t xml:space="preserve"> indicate primary and secondary coupling respectively). The lower panel shows co-occurring mutations for the top 10 most mutated signalling </w:t>
      </w:r>
      <w:proofErr w:type="spellStart"/>
      <w:r>
        <w:t>oncodrivers</w:t>
      </w:r>
      <w:proofErr w:type="spellEnd"/>
    </w:p>
    <w:p w:rsidR="00AA0838" w:rsidRPr="007C3595" w:rsidRDefault="00AA0838" w:rsidP="00AA0838">
      <w:pPr>
        <w:jc w:val="both"/>
        <w:rPr>
          <w:b/>
        </w:rPr>
      </w:pPr>
    </w:p>
    <w:p w:rsidR="00AA0838" w:rsidRDefault="00AA0838" w:rsidP="00AA0838">
      <w:pPr>
        <w:jc w:val="both"/>
      </w:pPr>
      <w:r>
        <w:rPr>
          <w:b/>
        </w:rPr>
        <w:t>Figure S6:</w:t>
      </w:r>
      <w:r>
        <w:t xml:space="preserve"> comparison of 7TM domain mutation spectra between cancer and healthy individuals: standard deviations above the average allele counts for non-synonymous </w:t>
      </w:r>
      <w:r>
        <w:lastRenderedPageBreak/>
        <w:t xml:space="preserve">mutations affecting the 7TM domain (PFAM 7tm_1) of class A GPCRs (excluding </w:t>
      </w:r>
      <w:proofErr w:type="gramStart"/>
      <w:r>
        <w:t>Olfactory</w:t>
      </w:r>
      <w:proofErr w:type="gramEnd"/>
      <w:r>
        <w:t xml:space="preserve"> receptors). Somatic variation from cancer genomes (Cosmic; top red histograms) are compared against the </w:t>
      </w:r>
      <w:proofErr w:type="spellStart"/>
      <w:r>
        <w:t>germline</w:t>
      </w:r>
      <w:proofErr w:type="spellEnd"/>
      <w:r>
        <w:t xml:space="preserve"> of healthy individuals (1000 Genomes; bottom grey).</w:t>
      </w:r>
    </w:p>
    <w:p w:rsidR="00AA0838" w:rsidRDefault="00AA0838" w:rsidP="00AA0838">
      <w:pPr>
        <w:jc w:val="both"/>
      </w:pPr>
    </w:p>
    <w:p w:rsidR="00AA0838" w:rsidRDefault="00AA0838" w:rsidP="00AA0838">
      <w:pPr>
        <w:jc w:val="both"/>
      </w:pPr>
      <w:r>
        <w:rPr>
          <w:b/>
        </w:rPr>
        <w:t>Figure S7</w:t>
      </w:r>
      <w:r w:rsidRPr="009168F7">
        <w:rPr>
          <w:b/>
        </w:rPr>
        <w:t xml:space="preserve">: </w:t>
      </w:r>
      <w:r>
        <w:t>network representation of mutually exclusive domain positions in pancreatic cancers: labels and nodes indicate domains, with the diameter of the latter being proportional to the number of unique samples with domain position mutations. Node colour (from white to dark olive green) is proportional to the number of family members mutated at a given domain position. Links represent mutual exclusive positions.</w:t>
      </w:r>
    </w:p>
    <w:p w:rsidR="00AA0838" w:rsidRDefault="00AA0838" w:rsidP="00AA0838">
      <w:pPr>
        <w:jc w:val="both"/>
      </w:pPr>
    </w:p>
    <w:p w:rsidR="00AA0838" w:rsidRPr="002B5668" w:rsidRDefault="00AA0838" w:rsidP="00AA0838">
      <w:pPr>
        <w:jc w:val="both"/>
        <w:rPr>
          <w:b/>
        </w:rPr>
      </w:pPr>
      <w:r w:rsidRPr="002B5668">
        <w:rPr>
          <w:b/>
        </w:rPr>
        <w:t>Figure S8:</w:t>
      </w:r>
      <w:r w:rsidRPr="00201D84">
        <w:rPr>
          <w:color w:val="222222"/>
          <w:shd w:val="clear" w:color="auto" w:fill="FFFFFF"/>
        </w:rPr>
        <w:t xml:space="preserve"> </w:t>
      </w:r>
      <w:r w:rsidRPr="0000443D">
        <w:rPr>
          <w:color w:val="222222"/>
          <w:shd w:val="clear" w:color="auto" w:fill="FFFFFF"/>
        </w:rPr>
        <w:t>TGF</w:t>
      </w:r>
      <w:r>
        <w:rPr>
          <w:rFonts w:cs="Arial"/>
          <w:color w:val="222222"/>
          <w:shd w:val="clear" w:color="auto" w:fill="FFFFFF"/>
        </w:rPr>
        <w:t>α</w:t>
      </w:r>
      <w:r w:rsidRPr="0000443D">
        <w:rPr>
          <w:color w:val="222222"/>
          <w:shd w:val="clear" w:color="auto" w:fill="FFFFFF"/>
        </w:rPr>
        <w:t xml:space="preserve"> shedding assay (with a chimeric </w:t>
      </w:r>
      <w:proofErr w:type="spellStart"/>
      <w:r w:rsidRPr="0000443D">
        <w:rPr>
          <w:color w:val="222222"/>
          <w:shd w:val="clear" w:color="auto" w:fill="FFFFFF"/>
        </w:rPr>
        <w:t>Gq</w:t>
      </w:r>
      <w:proofErr w:type="spellEnd"/>
      <w:r w:rsidRPr="0000443D">
        <w:rPr>
          <w:color w:val="222222"/>
          <w:shd w:val="clear" w:color="auto" w:fill="FFFFFF"/>
        </w:rPr>
        <w:t>/s)</w:t>
      </w:r>
      <w:r>
        <w:rPr>
          <w:color w:val="222222"/>
          <w:shd w:val="clear" w:color="auto" w:fill="FFFFFF"/>
        </w:rPr>
        <w:t xml:space="preserve">: </w:t>
      </w:r>
      <w:r>
        <w:rPr>
          <w:color w:val="222222"/>
          <w:sz w:val="22"/>
          <w:szCs w:val="22"/>
          <w:shd w:val="clear" w:color="auto" w:fill="FFFFFF"/>
        </w:rPr>
        <w:t>HEk293 cells transfected with plasmids encoding an AP-TGF</w:t>
      </w:r>
      <w:r>
        <w:rPr>
          <w:rFonts w:cs="Arial"/>
          <w:color w:val="222222"/>
          <w:sz w:val="22"/>
          <w:szCs w:val="22"/>
          <w:shd w:val="clear" w:color="auto" w:fill="FFFFFF"/>
        </w:rPr>
        <w:t>α</w:t>
      </w:r>
      <w:r>
        <w:rPr>
          <w:color w:val="222222"/>
          <w:sz w:val="22"/>
          <w:szCs w:val="22"/>
          <w:shd w:val="clear" w:color="auto" w:fill="FFFFFF"/>
        </w:rPr>
        <w:t xml:space="preserve"> reporter construct (Glo-22F), a chimeric </w:t>
      </w:r>
      <w:proofErr w:type="gramStart"/>
      <w:r>
        <w:rPr>
          <w:color w:val="222222"/>
          <w:sz w:val="22"/>
          <w:szCs w:val="22"/>
          <w:shd w:val="clear" w:color="auto" w:fill="FFFFFF"/>
        </w:rPr>
        <w:t>G</w:t>
      </w:r>
      <w:r>
        <w:rPr>
          <w:rFonts w:cs="Arial"/>
          <w:color w:val="222222"/>
          <w:sz w:val="22"/>
          <w:szCs w:val="22"/>
          <w:shd w:val="clear" w:color="auto" w:fill="FFFFFF"/>
        </w:rPr>
        <w:t>α</w:t>
      </w:r>
      <w:r>
        <w:rPr>
          <w:color w:val="222222"/>
          <w:sz w:val="22"/>
          <w:szCs w:val="22"/>
          <w:shd w:val="clear" w:color="auto" w:fill="FFFFFF"/>
        </w:rPr>
        <w:t>(</w:t>
      </w:r>
      <w:proofErr w:type="gramEnd"/>
      <w:r>
        <w:rPr>
          <w:color w:val="222222"/>
          <w:sz w:val="22"/>
          <w:szCs w:val="22"/>
          <w:shd w:val="clear" w:color="auto" w:fill="FFFFFF"/>
        </w:rPr>
        <w:t>q/s) subunit and a test GPCR were seeded in a 96-well and stimulated with a test ligand for 1 h.</w:t>
      </w:r>
    </w:p>
    <w:p w:rsidR="00AA0838" w:rsidRDefault="00AA0838" w:rsidP="00AA0838">
      <w:pPr>
        <w:jc w:val="both"/>
        <w:rPr>
          <w:b/>
        </w:rPr>
      </w:pPr>
    </w:p>
    <w:p w:rsidR="00AA0838" w:rsidRPr="008056F8" w:rsidRDefault="00AA0838" w:rsidP="00AA0838">
      <w:pPr>
        <w:shd w:val="clear" w:color="auto" w:fill="FFFFFF"/>
        <w:jc w:val="both"/>
        <w:rPr>
          <w:rFonts w:eastAsia="Times New Roman" w:cs="Arial"/>
          <w:color w:val="222222"/>
          <w:lang w:val="en-US"/>
        </w:rPr>
      </w:pPr>
      <w:r w:rsidRPr="008056F8">
        <w:rPr>
          <w:rFonts w:cs="Arial"/>
          <w:b/>
        </w:rPr>
        <w:t xml:space="preserve">Figure S9: </w:t>
      </w:r>
      <w:r w:rsidRPr="008056F8">
        <w:rPr>
          <w:rFonts w:eastAsia="Times New Roman" w:cs="Arial"/>
          <w:color w:val="222222"/>
          <w:lang w:val="en-US"/>
        </w:rPr>
        <w:t xml:space="preserve">Baseline </w:t>
      </w:r>
      <w:proofErr w:type="spellStart"/>
      <w:r w:rsidRPr="008056F8">
        <w:rPr>
          <w:rFonts w:eastAsia="Times New Roman" w:cs="Arial"/>
          <w:color w:val="222222"/>
          <w:lang w:val="en-US"/>
        </w:rPr>
        <w:t>cAMP</w:t>
      </w:r>
      <w:proofErr w:type="spellEnd"/>
      <w:r w:rsidRPr="008056F8">
        <w:rPr>
          <w:rFonts w:eastAsia="Times New Roman" w:cs="Arial"/>
          <w:color w:val="222222"/>
          <w:lang w:val="en-US"/>
        </w:rPr>
        <w:t xml:space="preserve"> levels in cells expressing WT GPCR or DRY-mutant GPCR.</w:t>
      </w:r>
      <w:r>
        <w:rPr>
          <w:rFonts w:eastAsia="Times New Roman" w:cs="Arial"/>
          <w:color w:val="222222"/>
          <w:lang w:val="en-US"/>
        </w:rPr>
        <w:t xml:space="preserve"> </w:t>
      </w:r>
      <w:r w:rsidRPr="008056F8">
        <w:rPr>
          <w:rFonts w:eastAsia="Times New Roman" w:cs="Arial"/>
          <w:color w:val="222222"/>
          <w:lang w:val="en-US"/>
        </w:rPr>
        <w:t xml:space="preserve">HEK293 cells transiently expressing a </w:t>
      </w:r>
      <w:proofErr w:type="spellStart"/>
      <w:r w:rsidRPr="008056F8">
        <w:rPr>
          <w:rFonts w:eastAsia="Times New Roman" w:cs="Arial"/>
          <w:color w:val="222222"/>
          <w:lang w:val="en-US"/>
        </w:rPr>
        <w:t>cAMP</w:t>
      </w:r>
      <w:proofErr w:type="spellEnd"/>
      <w:r w:rsidRPr="008056F8">
        <w:rPr>
          <w:rFonts w:eastAsia="Times New Roman" w:cs="Arial"/>
          <w:color w:val="222222"/>
          <w:lang w:val="en-US"/>
        </w:rPr>
        <w:t xml:space="preserve"> luminescent biosensor together with a WT-GPCR or a DRY (R3.50)-mutant GPCR were loaded with D-</w:t>
      </w:r>
      <w:proofErr w:type="spellStart"/>
      <w:r w:rsidRPr="008056F8">
        <w:rPr>
          <w:rFonts w:eastAsia="Times New Roman" w:cs="Arial"/>
          <w:color w:val="222222"/>
          <w:lang w:val="en-US"/>
        </w:rPr>
        <w:t>luciferin</w:t>
      </w:r>
      <w:proofErr w:type="spellEnd"/>
      <w:r w:rsidRPr="008056F8">
        <w:rPr>
          <w:rFonts w:eastAsia="Times New Roman" w:cs="Arial"/>
          <w:color w:val="222222"/>
          <w:lang w:val="en-US"/>
        </w:rPr>
        <w:t xml:space="preserve"> and luminescent signal was measured. Data are shown as mean ± SEM (</w:t>
      </w:r>
      <w:r w:rsidRPr="008056F8">
        <w:rPr>
          <w:rFonts w:eastAsia="Times New Roman" w:cs="Arial"/>
          <w:i/>
          <w:iCs/>
          <w:color w:val="222222"/>
          <w:lang w:val="en-US"/>
        </w:rPr>
        <w:t>n</w:t>
      </w:r>
      <w:r w:rsidRPr="008056F8">
        <w:rPr>
          <w:rFonts w:eastAsia="Times New Roman" w:cs="Arial"/>
          <w:color w:val="222222"/>
          <w:lang w:val="en-US"/>
        </w:rPr>
        <w:t> = 4-7). *, </w:t>
      </w:r>
      <w:r w:rsidRPr="008056F8">
        <w:rPr>
          <w:rFonts w:eastAsia="Times New Roman" w:cs="Arial"/>
          <w:i/>
          <w:iCs/>
          <w:color w:val="222222"/>
          <w:lang w:val="en-US"/>
        </w:rPr>
        <w:t>P</w:t>
      </w:r>
      <w:r w:rsidRPr="008056F8">
        <w:rPr>
          <w:rFonts w:eastAsia="Times New Roman" w:cs="Arial"/>
          <w:color w:val="222222"/>
          <w:lang w:val="en-US"/>
        </w:rPr>
        <w:t> &lt; 0.05; **, </w:t>
      </w:r>
      <w:r w:rsidRPr="008056F8">
        <w:rPr>
          <w:rFonts w:eastAsia="Times New Roman" w:cs="Arial"/>
          <w:i/>
          <w:iCs/>
          <w:color w:val="222222"/>
          <w:lang w:val="en-US"/>
        </w:rPr>
        <w:t>P</w:t>
      </w:r>
      <w:r w:rsidRPr="008056F8">
        <w:rPr>
          <w:rFonts w:eastAsia="Times New Roman" w:cs="Arial"/>
          <w:color w:val="222222"/>
          <w:lang w:val="en-US"/>
        </w:rPr>
        <w:t> &lt; 0.01; ***, </w:t>
      </w:r>
      <w:r w:rsidRPr="008056F8">
        <w:rPr>
          <w:rFonts w:eastAsia="Times New Roman" w:cs="Arial"/>
          <w:i/>
          <w:iCs/>
          <w:color w:val="222222"/>
          <w:lang w:val="en-US"/>
        </w:rPr>
        <w:t>P</w:t>
      </w:r>
      <w:r w:rsidRPr="008056F8">
        <w:rPr>
          <w:rFonts w:eastAsia="Times New Roman" w:cs="Arial"/>
          <w:color w:val="222222"/>
          <w:lang w:val="en-US"/>
        </w:rPr>
        <w:t xml:space="preserve"> &lt; 0.001 compared with WT (t-test for GPCR with single mutant; one-way ANOVA with post-hoc </w:t>
      </w:r>
      <w:proofErr w:type="spellStart"/>
      <w:r w:rsidRPr="008056F8">
        <w:rPr>
          <w:rFonts w:eastAsia="Times New Roman" w:cs="Arial"/>
          <w:color w:val="222222"/>
          <w:lang w:val="en-US"/>
        </w:rPr>
        <w:t>Dunnett’s</w:t>
      </w:r>
      <w:proofErr w:type="spellEnd"/>
      <w:r w:rsidRPr="008056F8">
        <w:rPr>
          <w:rFonts w:eastAsia="Times New Roman" w:cs="Arial"/>
          <w:color w:val="222222"/>
          <w:lang w:val="en-US"/>
        </w:rPr>
        <w:t xml:space="preserve"> test for GPCR with multiple mutants).</w:t>
      </w:r>
    </w:p>
    <w:p w:rsidR="00AA0838" w:rsidRDefault="00AA0838" w:rsidP="00AA0838">
      <w:pPr>
        <w:jc w:val="both"/>
      </w:pPr>
      <w:r>
        <w:rPr>
          <w:b/>
        </w:rPr>
        <w:t>Figure S10</w:t>
      </w:r>
      <w:r w:rsidRPr="00D9766D">
        <w:rPr>
          <w:b/>
        </w:rPr>
        <w:t>:</w:t>
      </w:r>
      <w:r>
        <w:rPr>
          <w:b/>
        </w:rPr>
        <w:t xml:space="preserve"> </w:t>
      </w:r>
      <w:proofErr w:type="spellStart"/>
      <w:r w:rsidRPr="008D7C64">
        <w:t>G</w:t>
      </w:r>
      <w:r w:rsidRPr="008D7C64">
        <w:rPr>
          <w:vertAlign w:val="subscript"/>
        </w:rPr>
        <w:t>s</w:t>
      </w:r>
      <w:proofErr w:type="spellEnd"/>
      <w:r w:rsidRPr="008D7C64">
        <w:t xml:space="preserve"> </w:t>
      </w:r>
      <w:r>
        <w:t xml:space="preserve">(lower </w:t>
      </w:r>
      <w:proofErr w:type="gramStart"/>
      <w:r>
        <w:t>panel )</w:t>
      </w:r>
      <w:r w:rsidRPr="008D7C64">
        <w:t>and</w:t>
      </w:r>
      <w:proofErr w:type="gramEnd"/>
      <w:r>
        <w:rPr>
          <w:b/>
        </w:rPr>
        <w:t xml:space="preserve"> </w:t>
      </w:r>
      <w:proofErr w:type="spellStart"/>
      <w:r>
        <w:t>G</w:t>
      </w:r>
      <w:r w:rsidRPr="008D7C64">
        <w:rPr>
          <w:vertAlign w:val="subscript"/>
        </w:rPr>
        <w:t>s</w:t>
      </w:r>
      <w:r>
        <w:t>PCR</w:t>
      </w:r>
      <w:proofErr w:type="spellEnd"/>
      <w:r>
        <w:t xml:space="preserve"> (upper panel) differential expression analysis in 16 different TCGA </w:t>
      </w:r>
      <w:proofErr w:type="spellStart"/>
      <w:r>
        <w:t>tumor</w:t>
      </w:r>
      <w:proofErr w:type="spellEnd"/>
      <w:r>
        <w:t xml:space="preserve"> types.</w:t>
      </w:r>
    </w:p>
    <w:p w:rsidR="00AA0838" w:rsidRDefault="00AA0838" w:rsidP="00AA0838">
      <w:pPr>
        <w:jc w:val="both"/>
      </w:pPr>
      <w:r>
        <w:lastRenderedPageBreak/>
        <w:t xml:space="preserve">Bubble diameter is proportional to the RPKM base mean levels (i.e. considering both </w:t>
      </w:r>
      <w:proofErr w:type="spellStart"/>
      <w:r>
        <w:t>tumor</w:t>
      </w:r>
      <w:proofErr w:type="spellEnd"/>
      <w:r>
        <w:t xml:space="preserve"> and normal matched sample). Genes with significant (adjusted P value &lt; 0.01) log fold change (LFC) are coloured with a scale from blue to red to indicate respectively under- and over-expression. Those with no significant LFC are grey (only genes with RPKM &gt;= 50 in at least one cancer type are shown). </w:t>
      </w:r>
    </w:p>
    <w:p w:rsidR="00AA0838" w:rsidRDefault="00AA0838" w:rsidP="00AA0838">
      <w:pPr>
        <w:jc w:val="both"/>
      </w:pPr>
      <w:r>
        <w:rPr>
          <w:b/>
        </w:rPr>
        <w:t>Figure S11</w:t>
      </w:r>
      <w:r w:rsidRPr="00D9766D">
        <w:rPr>
          <w:b/>
        </w:rPr>
        <w:t>:</w:t>
      </w:r>
      <w:r>
        <w:rPr>
          <w:b/>
        </w:rPr>
        <w:t xml:space="preserve"> </w:t>
      </w:r>
      <w:proofErr w:type="spellStart"/>
      <w:r w:rsidRPr="00CE1643">
        <w:t>G</w:t>
      </w:r>
      <w:r w:rsidRPr="008D7C64">
        <w:rPr>
          <w:vertAlign w:val="subscript"/>
        </w:rPr>
        <w:t>i</w:t>
      </w:r>
      <w:proofErr w:type="spellEnd"/>
      <w:r w:rsidRPr="008D7C64">
        <w:rPr>
          <w:vertAlign w:val="subscript"/>
        </w:rPr>
        <w:t xml:space="preserve">/o </w:t>
      </w:r>
      <w:r>
        <w:t xml:space="preserve">(lower </w:t>
      </w:r>
      <w:proofErr w:type="gramStart"/>
      <w:r>
        <w:t>panel )</w:t>
      </w:r>
      <w:r w:rsidRPr="00CE1643">
        <w:t>and</w:t>
      </w:r>
      <w:proofErr w:type="gramEnd"/>
      <w:r>
        <w:rPr>
          <w:b/>
        </w:rPr>
        <w:t xml:space="preserve"> </w:t>
      </w:r>
      <w:proofErr w:type="spellStart"/>
      <w:r>
        <w:t>G</w:t>
      </w:r>
      <w:r w:rsidRPr="008D7C64">
        <w:rPr>
          <w:vertAlign w:val="subscript"/>
        </w:rPr>
        <w:t>i</w:t>
      </w:r>
      <w:proofErr w:type="spellEnd"/>
      <w:r w:rsidRPr="008D7C64">
        <w:rPr>
          <w:vertAlign w:val="subscript"/>
        </w:rPr>
        <w:t>/</w:t>
      </w:r>
      <w:proofErr w:type="spellStart"/>
      <w:r w:rsidRPr="008D7C64">
        <w:rPr>
          <w:vertAlign w:val="subscript"/>
        </w:rPr>
        <w:t>o</w:t>
      </w:r>
      <w:r>
        <w:t>PCR</w:t>
      </w:r>
      <w:proofErr w:type="spellEnd"/>
      <w:r>
        <w:t xml:space="preserve"> (upper panel) differential expression analysis in 16 different TCGA </w:t>
      </w:r>
      <w:proofErr w:type="spellStart"/>
      <w:r>
        <w:t>tumor</w:t>
      </w:r>
      <w:proofErr w:type="spellEnd"/>
      <w:r>
        <w:t xml:space="preserve"> types. Figure characteristics are as in Fig. S10.</w:t>
      </w:r>
    </w:p>
    <w:p w:rsidR="00AA0838" w:rsidRPr="00BA121C" w:rsidRDefault="00AA0838" w:rsidP="00AA0838">
      <w:pPr>
        <w:jc w:val="both"/>
      </w:pPr>
      <w:r>
        <w:rPr>
          <w:b/>
        </w:rPr>
        <w:t>Figure S12</w:t>
      </w:r>
      <w:r w:rsidRPr="00D9766D">
        <w:rPr>
          <w:b/>
        </w:rPr>
        <w:t>:</w:t>
      </w:r>
      <w:r>
        <w:rPr>
          <w:b/>
        </w:rPr>
        <w:t xml:space="preserve"> </w:t>
      </w:r>
      <w:r>
        <w:t>differential expression analysis of 7TM R</w:t>
      </w:r>
      <w:r w:rsidRPr="008D7C64">
        <w:rPr>
          <w:vertAlign w:val="superscript"/>
        </w:rPr>
        <w:t>3.50</w:t>
      </w:r>
      <w:r>
        <w:t xml:space="preserve"> </w:t>
      </w:r>
      <w:r w:rsidRPr="006B5049">
        <w:t>mutated</w:t>
      </w:r>
      <w:r>
        <w:t xml:space="preserve"> samples: a) network visualization of gene enrichment analysis for common genes differentially expressed in patients with 7TM R</w:t>
      </w:r>
      <w:r w:rsidRPr="008D7C64">
        <w:rPr>
          <w:vertAlign w:val="superscript"/>
        </w:rPr>
        <w:t xml:space="preserve">3.50 </w:t>
      </w:r>
      <w:r>
        <w:t>and G</w:t>
      </w:r>
      <w:r>
        <w:rPr>
          <w:rFonts w:cs="Arial"/>
        </w:rPr>
        <w:t>α</w:t>
      </w:r>
      <w:r>
        <w:t xml:space="preserve"> activating mutations in skin melanoma; b) volcano plots for differential expression analysis of 7TM R</w:t>
      </w:r>
      <w:r w:rsidRPr="00435F25">
        <w:rPr>
          <w:vertAlign w:val="superscript"/>
        </w:rPr>
        <w:t>3.50</w:t>
      </w:r>
      <w:r>
        <w:t xml:space="preserve"> mutated samples in three different cancer types (i.e. skin, uterus, stomach). In each cancer type, significantly altered genes are highlighted in red and those overlapping are labelled.  </w:t>
      </w:r>
    </w:p>
    <w:p w:rsidR="00AA0838" w:rsidRDefault="00AA0838" w:rsidP="00AA0838">
      <w:pPr>
        <w:jc w:val="both"/>
      </w:pPr>
      <w:r>
        <w:rPr>
          <w:b/>
        </w:rPr>
        <w:t>Figure S13</w:t>
      </w:r>
      <w:r w:rsidRPr="00D9766D">
        <w:rPr>
          <w:b/>
        </w:rPr>
        <w:t>:</w:t>
      </w:r>
      <w:r>
        <w:rPr>
          <w:b/>
        </w:rPr>
        <w:t xml:space="preserve"> </w:t>
      </w:r>
      <w:r>
        <w:t xml:space="preserve">integrative analysis of GPCR expression and approved drugs: bubble matrix representations of differential expression analysis of </w:t>
      </w:r>
      <w:proofErr w:type="spellStart"/>
      <w:r>
        <w:t>G</w:t>
      </w:r>
      <w:r w:rsidRPr="00B93DD0">
        <w:rPr>
          <w:vertAlign w:val="subscript"/>
        </w:rPr>
        <w:t>i</w:t>
      </w:r>
      <w:proofErr w:type="spellEnd"/>
      <w:r w:rsidRPr="00B93DD0">
        <w:rPr>
          <w:vertAlign w:val="subscript"/>
        </w:rPr>
        <w:t>/o</w:t>
      </w:r>
      <w:r>
        <w:t xml:space="preserve"> (top) and </w:t>
      </w:r>
      <w:proofErr w:type="spellStart"/>
      <w:r>
        <w:t>G</w:t>
      </w:r>
      <w:r w:rsidRPr="00B93DD0">
        <w:rPr>
          <w:vertAlign w:val="subscript"/>
        </w:rPr>
        <w:t>s</w:t>
      </w:r>
      <w:proofErr w:type="spellEnd"/>
      <w:r>
        <w:t xml:space="preserve"> (bottom) coupled receptors in 16 different TCGA </w:t>
      </w:r>
      <w:proofErr w:type="spellStart"/>
      <w:r>
        <w:t>tumor</w:t>
      </w:r>
      <w:proofErr w:type="spellEnd"/>
      <w:r>
        <w:t xml:space="preserve"> types.</w:t>
      </w:r>
    </w:p>
    <w:p w:rsidR="00AA0838" w:rsidRDefault="00AA0838" w:rsidP="00AA0838">
      <w:pPr>
        <w:jc w:val="both"/>
      </w:pPr>
      <w:r>
        <w:t xml:space="preserve">Bubble diameter is proportional to the RPKM base mean levels (i.e. considering both </w:t>
      </w:r>
      <w:proofErr w:type="spellStart"/>
      <w:r>
        <w:t>tumor</w:t>
      </w:r>
      <w:proofErr w:type="spellEnd"/>
      <w:r>
        <w:t xml:space="preserve"> and normal matched sample). Genes with significant (adjusted P value &lt; 0.01) log fold change (LFC) are coloured with a scale from blue to red to indicate respectively under- and over-expression. Those with no significant LFC are grey. Columns and rows are arranged according to the hierarchical full linkage clustering (indicated by </w:t>
      </w:r>
      <w:proofErr w:type="spellStart"/>
      <w:r>
        <w:t>dendrograms</w:t>
      </w:r>
      <w:proofErr w:type="spellEnd"/>
      <w:r>
        <w:t xml:space="preserve">) of the distances calculated based on LFC profiles. For each GPCR the full spectrum of coupling specificities (from IUPHAR) is indicated in a bottom matrix, with darker and lighter blues indicating respectively primary and secondary couplings. Information about </w:t>
      </w:r>
      <w:r>
        <w:lastRenderedPageBreak/>
        <w:t>approved agonists (up triangles) and antagonists (down triangles) – from IUPHAR- is also annotated below corresponding matrices cells.</w:t>
      </w:r>
    </w:p>
    <w:p w:rsidR="00AA0838" w:rsidRDefault="00AA0838" w:rsidP="00AA0838">
      <w:pPr>
        <w:jc w:val="both"/>
      </w:pPr>
      <w:r w:rsidRPr="002820C2">
        <w:rPr>
          <w:b/>
        </w:rPr>
        <w:t>Figure S14</w:t>
      </w:r>
      <w:r>
        <w:t xml:space="preserve">: mutation analysis of genes involved in </w:t>
      </w:r>
      <w:proofErr w:type="spellStart"/>
      <w:r>
        <w:t>cAMP</w:t>
      </w:r>
      <w:proofErr w:type="spellEnd"/>
      <w:r>
        <w:t xml:space="preserve"> signalling pathways, i.e. </w:t>
      </w:r>
      <w:proofErr w:type="spellStart"/>
      <w:r>
        <w:t>Gs</w:t>
      </w:r>
      <w:proofErr w:type="spellEnd"/>
      <w:r>
        <w:t xml:space="preserve"> and </w:t>
      </w:r>
      <w:proofErr w:type="spellStart"/>
      <w:r>
        <w:t>Gi</w:t>
      </w:r>
      <w:proofErr w:type="spellEnd"/>
      <w:r>
        <w:t xml:space="preserve">/o proteins, Adenylyl </w:t>
      </w:r>
      <w:proofErr w:type="spellStart"/>
      <w:r>
        <w:t>cyclases</w:t>
      </w:r>
      <w:proofErr w:type="spellEnd"/>
      <w:r>
        <w:t xml:space="preserve">, </w:t>
      </w:r>
      <w:proofErr w:type="spellStart"/>
      <w:r>
        <w:t>Phosphodiesterases</w:t>
      </w:r>
      <w:proofErr w:type="spellEnd"/>
      <w:r>
        <w:t xml:space="preserve">, PKAs, and AKAPs members. a) simple mutations (black), CNV gains (green) and losses (red) are shown for each patients; b) mutation events normalized for the number of protein with stimulatory (i.e. GNAS, GNAL, ADCY1, ADCY2, ADCY3, ADCY4, ADCY5, ADCY6, ADCY7, ADCY8, ADCY9, ADCY10) or inhibitory (i.e. PDE4A, PDE4B, PDE4C, PDE4D, GNAI1, GNAI2, GNAI3) function towards </w:t>
      </w:r>
      <w:proofErr w:type="spellStart"/>
      <w:r>
        <w:t>cAMP</w:t>
      </w:r>
      <w:proofErr w:type="spellEnd"/>
      <w:r>
        <w:t xml:space="preserve"> levels.</w:t>
      </w:r>
    </w:p>
    <w:p w:rsidR="00C40FAB" w:rsidRDefault="00C40FAB">
      <w:bookmarkStart w:id="0" w:name="_GoBack"/>
      <w:bookmarkEnd w:id="0"/>
    </w:p>
    <w:sectPr w:rsidR="00C40FAB">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38"/>
    <w:rsid w:val="00AA0838"/>
    <w:rsid w:val="00C4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AA956-D5E3-478A-819F-2C827D5D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838"/>
    <w:pPr>
      <w:spacing w:after="0" w:line="480" w:lineRule="auto"/>
    </w:pPr>
    <w:rPr>
      <w:rFonts w:ascii="Arial" w:eastAsiaTheme="minorEastAsia" w:hAnsi="Arial"/>
      <w:sz w:val="24"/>
      <w:szCs w:val="24"/>
      <w:lang w:val="en-GB"/>
    </w:rPr>
  </w:style>
  <w:style w:type="paragraph" w:styleId="Heading1">
    <w:name w:val="heading 1"/>
    <w:basedOn w:val="Normal"/>
    <w:next w:val="Normal"/>
    <w:link w:val="Heading1Char"/>
    <w:uiPriority w:val="9"/>
    <w:qFormat/>
    <w:rsid w:val="00AA0838"/>
    <w:pPr>
      <w:keepNext/>
      <w:keepLines/>
      <w:spacing w:before="480"/>
      <w:outlineLvl w:val="0"/>
    </w:pPr>
    <w:rPr>
      <w:rFonts w:eastAsiaTheme="majorEastAsia" w:cstheme="majorBidi"/>
      <w:b/>
      <w:bCs/>
      <w:color w:val="2C6EAB"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838"/>
    <w:rPr>
      <w:rFonts w:ascii="Arial" w:eastAsiaTheme="majorEastAsia" w:hAnsi="Arial" w:cstheme="majorBidi"/>
      <w:b/>
      <w:bCs/>
      <w:color w:val="2C6EAB"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Raimondi</dc:creator>
  <cp:keywords/>
  <dc:description/>
  <cp:lastModifiedBy>Francesco Raimondi</cp:lastModifiedBy>
  <cp:revision>1</cp:revision>
  <dcterms:created xsi:type="dcterms:W3CDTF">2019-03-08T22:25:00Z</dcterms:created>
  <dcterms:modified xsi:type="dcterms:W3CDTF">2019-03-08T22:25:00Z</dcterms:modified>
</cp:coreProperties>
</file>