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25AF4" w14:textId="6BD762E9" w:rsidR="00866AB8" w:rsidRDefault="00866AB8" w:rsidP="00C3185A">
      <w:pPr>
        <w:pStyle w:val="Heading1"/>
      </w:pPr>
    </w:p>
    <w:p w14:paraId="714CADA5" w14:textId="77777777" w:rsidR="00866AB8" w:rsidRDefault="00866AB8" w:rsidP="00C3185A">
      <w:pPr>
        <w:pStyle w:val="Heading1"/>
      </w:pPr>
    </w:p>
    <w:p w14:paraId="35ABC00D" w14:textId="77777777" w:rsidR="00866AB8" w:rsidRDefault="00866AB8" w:rsidP="00C3185A">
      <w:pPr>
        <w:pStyle w:val="Heading1"/>
      </w:pPr>
    </w:p>
    <w:p w14:paraId="50DA73B4" w14:textId="77777777" w:rsidR="00866AB8" w:rsidRDefault="00866AB8" w:rsidP="00C3185A">
      <w:pPr>
        <w:pStyle w:val="Heading1"/>
      </w:pPr>
    </w:p>
    <w:p w14:paraId="6F988EA2" w14:textId="77777777" w:rsidR="00866AB8" w:rsidRDefault="00866AB8" w:rsidP="00C3185A">
      <w:pPr>
        <w:pStyle w:val="Heading1"/>
      </w:pPr>
    </w:p>
    <w:p w14:paraId="1677921C" w14:textId="515F892B" w:rsidR="00C170BC" w:rsidRDefault="005D4F34" w:rsidP="00C3185A">
      <w:pPr>
        <w:pStyle w:val="Heading1"/>
      </w:pPr>
      <w:r>
        <w:t>Supplement</w:t>
      </w:r>
      <w:r w:rsidR="00181221">
        <w:br w:type="page"/>
      </w:r>
    </w:p>
    <w:p w14:paraId="51D3E51F" w14:textId="77777777" w:rsidR="009D5D05" w:rsidRPr="00A0013D" w:rsidRDefault="009D5D05" w:rsidP="009D5D05">
      <w:pPr>
        <w:pStyle w:val="Heading1"/>
      </w:pPr>
      <w:r w:rsidRPr="00A0013D">
        <w:lastRenderedPageBreak/>
        <w:t>Overview of Positron Emission Tomography</w:t>
      </w:r>
    </w:p>
    <w:p w14:paraId="4909A888" w14:textId="77777777" w:rsidR="009D5D05" w:rsidRPr="00A0013D" w:rsidRDefault="009D5D05" w:rsidP="009D5D05">
      <w:pPr>
        <w:pStyle w:val="Heading2"/>
      </w:pPr>
      <w:r w:rsidRPr="00A0013D">
        <w:t>Introduction to PET</w:t>
      </w:r>
    </w:p>
    <w:p w14:paraId="1293542F" w14:textId="376EABA6" w:rsidR="009D5D05" w:rsidRPr="00BE225B" w:rsidRDefault="009D5D05" w:rsidP="009D5D05">
      <w:pPr>
        <w:spacing w:line="360" w:lineRule="auto"/>
        <w:rPr>
          <w:iCs/>
        </w:rPr>
      </w:pPr>
      <w:r w:rsidRPr="00BE225B">
        <w:rPr>
          <w:iCs/>
        </w:rPr>
        <w:t>Positron emission tomography is a molecular imaging technique that uses a bioactive tracer, labelled with a radioactive isotope, which is sequestered in a biological tissue or compartment of interest. Commonly used radio</w:t>
      </w:r>
      <w:r>
        <w:rPr>
          <w:iCs/>
        </w:rPr>
        <w:t>isotopes</w:t>
      </w:r>
      <w:r w:rsidRPr="00BE225B">
        <w:rPr>
          <w:iCs/>
        </w:rPr>
        <w:t xml:space="preserve"> include </w:t>
      </w:r>
      <w:r w:rsidRPr="00BE225B">
        <w:rPr>
          <w:iCs/>
          <w:vertAlign w:val="superscript"/>
        </w:rPr>
        <w:t>11</w:t>
      </w:r>
      <w:r w:rsidRPr="00BE225B">
        <w:rPr>
          <w:iCs/>
        </w:rPr>
        <w:t xml:space="preserve">C, </w:t>
      </w:r>
      <w:r w:rsidRPr="00BE225B">
        <w:rPr>
          <w:iCs/>
          <w:vertAlign w:val="superscript"/>
        </w:rPr>
        <w:t>18</w:t>
      </w:r>
      <w:r w:rsidRPr="00BE225B">
        <w:rPr>
          <w:iCs/>
        </w:rPr>
        <w:t xml:space="preserve">F and </w:t>
      </w:r>
      <w:r w:rsidRPr="00BE225B">
        <w:rPr>
          <w:iCs/>
          <w:vertAlign w:val="superscript"/>
        </w:rPr>
        <w:t>15</w:t>
      </w:r>
      <w:r w:rsidRPr="00BE225B">
        <w:rPr>
          <w:iCs/>
        </w:rPr>
        <w:t>O</w:t>
      </w:r>
      <w:r>
        <w:rPr>
          <w:iCs/>
        </w:rPr>
        <w:t>, choice of which depends on the chemical synthesis of the PET tracer</w:t>
      </w:r>
      <w:r>
        <w:rPr>
          <w:iCs/>
        </w:rPr>
        <w:fldChar w:fldCharType="begin"/>
      </w:r>
      <w:r>
        <w:rPr>
          <w:iCs/>
        </w:rPr>
        <w:instrText xml:space="preserve"> ADDIN EN.CITE &lt;EndNote&gt;&lt;Cite&gt;&lt;Author&gt;Miller&lt;/Author&gt;&lt;Year&gt;2008&lt;/Year&gt;&lt;RecNum&gt;232&lt;/RecNum&gt;&lt;DisplayText&gt;&lt;style face="superscript"&gt;1&lt;/style&gt;&lt;/DisplayText&gt;&lt;record&gt;&lt;rec-number&gt;232&lt;/rec-number&gt;&lt;foreign-keys&gt;&lt;key app="EN" db-id="295fwsazdrf2xhettpov2rpn02vew2dwwr0t" timestamp="1703690149"&gt;232&lt;/key&gt;&lt;/foreign-keys&gt;&lt;ref-type name="Journal Article"&gt;17&lt;/ref-type&gt;&lt;contributors&gt;&lt;authors&gt;&lt;author&gt;Miller, Philip W&lt;/author&gt;&lt;author&gt;Long, Nicholas J&lt;/author&gt;&lt;author&gt;Vilar, Ramon&lt;/author&gt;&lt;author&gt;Gee, Antony D&lt;/author&gt;&lt;/authors&gt;&lt;/contributors&gt;&lt;titles&gt;&lt;title&gt;Synthesis of 11C, 18F, 15O, and 13N radiolabels for positron emission tomography&lt;/title&gt;&lt;secondary-title&gt;Angewandte Chemie International Edition&lt;/secondary-title&gt;&lt;/titles&gt;&lt;periodical&gt;&lt;full-title&gt;Angewandte Chemie International Edition&lt;/full-title&gt;&lt;/periodical&gt;&lt;pages&gt;8998-9033&lt;/pages&gt;&lt;volume&gt;47&lt;/volume&gt;&lt;number&gt;47&lt;/number&gt;&lt;dates&gt;&lt;year&gt;2008&lt;/year&gt;&lt;/dates&gt;&lt;isbn&gt;1433-7851&lt;/isbn&gt;&lt;urls&gt;&lt;/urls&gt;&lt;/record&gt;&lt;/Cite&gt;&lt;/EndNote&gt;</w:instrText>
      </w:r>
      <w:r>
        <w:rPr>
          <w:iCs/>
        </w:rPr>
        <w:fldChar w:fldCharType="separate"/>
      </w:r>
      <w:r w:rsidRPr="009D5D05">
        <w:rPr>
          <w:iCs/>
          <w:noProof/>
          <w:vertAlign w:val="superscript"/>
        </w:rPr>
        <w:t>1</w:t>
      </w:r>
      <w:r>
        <w:rPr>
          <w:iCs/>
        </w:rPr>
        <w:fldChar w:fldCharType="end"/>
      </w:r>
      <w:r w:rsidRPr="00BE225B">
        <w:rPr>
          <w:iCs/>
        </w:rPr>
        <w:t xml:space="preserve">. The nucleus of the </w:t>
      </w:r>
      <w:r>
        <w:rPr>
          <w:iCs/>
        </w:rPr>
        <w:t>isotope</w:t>
      </w:r>
      <w:r w:rsidRPr="00BE225B">
        <w:rPr>
          <w:iCs/>
        </w:rPr>
        <w:t xml:space="preserve"> is unstable, and will decay probabilistically according to </w:t>
      </w:r>
      <w:r>
        <w:rPr>
          <w:iCs/>
        </w:rPr>
        <w:t>its</w:t>
      </w:r>
      <w:r w:rsidRPr="00BE225B">
        <w:rPr>
          <w:iCs/>
        </w:rPr>
        <w:t xml:space="preserve"> half-life, releasing a positron and a neutrino in the process. The positron travels a short distance until it encounters an electron; these annihilate each other, releasing two anti-parallel gamma photons which are detected by the PET scanner</w:t>
      </w:r>
      <w:r>
        <w:rPr>
          <w:iCs/>
        </w:rPr>
        <w:fldChar w:fldCharType="begin"/>
      </w:r>
      <w:r>
        <w:rPr>
          <w:iCs/>
        </w:rPr>
        <w:instrText xml:space="preserve"> ADDIN EN.CITE &lt;EndNote&gt;&lt;Cite&gt;&lt;Author&gt;Turkington&lt;/Author&gt;&lt;Year&gt;2001&lt;/Year&gt;&lt;RecNum&gt;233&lt;/RecNum&gt;&lt;DisplayText&gt;&lt;style face="superscript"&gt;2&lt;/style&gt;&lt;/DisplayText&gt;&lt;record&gt;&lt;rec-number&gt;233&lt;/rec-number&gt;&lt;foreign-keys&gt;&lt;key app="EN" db-id="295fwsazdrf2xhettpov2rpn02vew2dwwr0t" timestamp="1703690208"&gt;233&lt;/key&gt;&lt;/foreign-keys&gt;&lt;ref-type name="Journal Article"&gt;17&lt;/ref-type&gt;&lt;contributors&gt;&lt;authors&gt;&lt;author&gt;Turkington, Timothy G&lt;/author&gt;&lt;/authors&gt;&lt;/contributors&gt;&lt;titles&gt;&lt;title&gt;Introduction to PET instrumentation&lt;/title&gt;&lt;secondary-title&gt;Journal of nuclear medicine technology&lt;/secondary-title&gt;&lt;/titles&gt;&lt;periodical&gt;&lt;full-title&gt;Journal of nuclear medicine technology&lt;/full-title&gt;&lt;/periodical&gt;&lt;pages&gt;4-11&lt;/pages&gt;&lt;volume&gt;29&lt;/volume&gt;&lt;number&gt;1&lt;/number&gt;&lt;dates&gt;&lt;year&gt;2001&lt;/year&gt;&lt;/dates&gt;&lt;isbn&gt;0091-4916&lt;/isbn&gt;&lt;urls&gt;&lt;/urls&gt;&lt;/record&gt;&lt;/Cite&gt;&lt;/EndNote&gt;</w:instrText>
      </w:r>
      <w:r>
        <w:rPr>
          <w:iCs/>
        </w:rPr>
        <w:fldChar w:fldCharType="separate"/>
      </w:r>
      <w:r w:rsidRPr="009D5D05">
        <w:rPr>
          <w:iCs/>
          <w:noProof/>
          <w:vertAlign w:val="superscript"/>
        </w:rPr>
        <w:t>2</w:t>
      </w:r>
      <w:r>
        <w:rPr>
          <w:iCs/>
        </w:rPr>
        <w:fldChar w:fldCharType="end"/>
      </w:r>
      <w:r w:rsidRPr="00BE225B">
        <w:rPr>
          <w:iCs/>
        </w:rPr>
        <w:t xml:space="preserve">. </w:t>
      </w:r>
      <w:r>
        <w:rPr>
          <w:iCs/>
        </w:rPr>
        <w:t>Repeat c</w:t>
      </w:r>
      <w:r w:rsidRPr="00BE225B">
        <w:rPr>
          <w:iCs/>
        </w:rPr>
        <w:t xml:space="preserve">oincidental detection of these two photons, over several hundred thousand decay events, allows determination of the uptake of radiotracer in specific brain regions. </w:t>
      </w:r>
      <w:r>
        <w:rPr>
          <w:iCs/>
        </w:rPr>
        <w:t xml:space="preserve">Application of </w:t>
      </w:r>
      <w:r w:rsidRPr="00BE225B">
        <w:rPr>
          <w:iCs/>
        </w:rPr>
        <w:t xml:space="preserve">PET can thus </w:t>
      </w:r>
      <w:r>
        <w:rPr>
          <w:iCs/>
        </w:rPr>
        <w:t>measure a diverse range of physiological functions;</w:t>
      </w:r>
      <w:r w:rsidRPr="00BE225B">
        <w:rPr>
          <w:iCs/>
        </w:rPr>
        <w:t xml:space="preserve"> </w:t>
      </w:r>
      <w:r>
        <w:rPr>
          <w:iCs/>
        </w:rPr>
        <w:t>a</w:t>
      </w:r>
      <w:r w:rsidRPr="00BE225B">
        <w:rPr>
          <w:iCs/>
        </w:rPr>
        <w:t xml:space="preserve"> tracer can act</w:t>
      </w:r>
      <w:r>
        <w:rPr>
          <w:iCs/>
        </w:rPr>
        <w:t xml:space="preserve"> as,</w:t>
      </w:r>
      <w:r w:rsidRPr="00BE225B">
        <w:rPr>
          <w:iCs/>
        </w:rPr>
        <w:t xml:space="preserve"> </w:t>
      </w:r>
      <w:r>
        <w:rPr>
          <w:iCs/>
        </w:rPr>
        <w:t xml:space="preserve">among other things, </w:t>
      </w:r>
      <w:r w:rsidRPr="00BE225B">
        <w:rPr>
          <w:iCs/>
        </w:rPr>
        <w:t>a ligand, informing on densities of protein</w:t>
      </w:r>
      <w:r>
        <w:rPr>
          <w:iCs/>
        </w:rPr>
        <w:t>s</w:t>
      </w:r>
      <w:r>
        <w:rPr>
          <w:iCs/>
        </w:rPr>
        <w:fldChar w:fldCharType="begin"/>
      </w:r>
      <w:r>
        <w:rPr>
          <w:iCs/>
        </w:rPr>
        <w:instrText xml:space="preserve"> ADDIN EN.CITE &lt;EndNote&gt;&lt;Cite&gt;&lt;Author&gt;McCluskey&lt;/Author&gt;&lt;Year&gt;2020&lt;/Year&gt;&lt;RecNum&gt;238&lt;/RecNum&gt;&lt;DisplayText&gt;&lt;style face="superscript"&gt;3&lt;/style&gt;&lt;/DisplayText&gt;&lt;record&gt;&lt;rec-number&gt;238&lt;/rec-number&gt;&lt;foreign-keys&gt;&lt;key app="EN" db-id="295fwsazdrf2xhettpov2rpn02vew2dwwr0t" timestamp="1703690703"&gt;238&lt;/key&gt;&lt;/foreign-keys&gt;&lt;ref-type name="Journal Article"&gt;17&lt;/ref-type&gt;&lt;contributors&gt;&lt;authors&gt;&lt;author&gt;McCluskey, Stuart P&lt;/author&gt;&lt;author&gt;Plisson, Christophe&lt;/author&gt;&lt;author&gt;Rabiner, Eugenii A&lt;/author&gt;&lt;author&gt;Howes, Oliver&lt;/author&gt;&lt;/authors&gt;&lt;/contributors&gt;&lt;titles&gt;&lt;title&gt;Advances in CNS PET: the state-of-the-art for new imaging targets for pathophysiology and drug development&lt;/title&gt;&lt;secondary-title&gt;European journal of nuclear medicine and molecular imaging&lt;/secondary-title&gt;&lt;/titles&gt;&lt;periodical&gt;&lt;full-title&gt;European Journal of Nuclear Medicine and Molecular Imaging&lt;/full-title&gt;&lt;/periodical&gt;&lt;pages&gt;451-489&lt;/pages&gt;&lt;volume&gt;47&lt;/volume&gt;&lt;dates&gt;&lt;year&gt;2020&lt;/year&gt;&lt;/dates&gt;&lt;isbn&gt;1619-7070&lt;/isbn&gt;&lt;urls&gt;&lt;/urls&gt;&lt;/record&gt;&lt;/Cite&gt;&lt;/EndNote&gt;</w:instrText>
      </w:r>
      <w:r>
        <w:rPr>
          <w:iCs/>
        </w:rPr>
        <w:fldChar w:fldCharType="separate"/>
      </w:r>
      <w:r w:rsidRPr="009D5D05">
        <w:rPr>
          <w:iCs/>
          <w:noProof/>
          <w:vertAlign w:val="superscript"/>
        </w:rPr>
        <w:t>3</w:t>
      </w:r>
      <w:r>
        <w:rPr>
          <w:iCs/>
        </w:rPr>
        <w:fldChar w:fldCharType="end"/>
      </w:r>
      <w:r w:rsidRPr="00BE225B">
        <w:rPr>
          <w:iCs/>
        </w:rPr>
        <w:t>, receptors</w:t>
      </w:r>
      <w:r>
        <w:rPr>
          <w:iCs/>
        </w:rPr>
        <w:fldChar w:fldCharType="begin"/>
      </w:r>
      <w:r>
        <w:rPr>
          <w:iCs/>
        </w:rPr>
        <w:instrText xml:space="preserve"> ADDIN EN.CITE &lt;EndNote&gt;&lt;Cite&gt;&lt;Author&gt;Rogeau&lt;/Author&gt;&lt;Year&gt;2022&lt;/Year&gt;&lt;RecNum&gt;252&lt;/RecNum&gt;&lt;DisplayText&gt;&lt;style face="superscript"&gt;4&lt;/style&gt;&lt;/DisplayText&gt;&lt;record&gt;&lt;rec-number&gt;252&lt;/rec-number&gt;&lt;foreign-keys&gt;&lt;key app="EN" db-id="295fwsazdrf2xhettpov2rpn02vew2dwwr0t" timestamp="1703867818"&gt;252&lt;/key&gt;&lt;/foreign-keys&gt;&lt;ref-type name="Journal Article"&gt;17&lt;/ref-type&gt;&lt;contributors&gt;&lt;authors&gt;&lt;author&gt;Rogeau, Antoine&lt;/author&gt;&lt;author&gt;Nordio, Giovanna&lt;/author&gt;&lt;author&gt;Veronese, Mattia&lt;/author&gt;&lt;author&gt;Brown, Kirsten&lt;/author&gt;&lt;author&gt;Nour, Matthew M&lt;/author&gt;&lt;author&gt;Osugo, Martin&lt;/author&gt;&lt;author&gt;Jauhar, Sameer&lt;/author&gt;&lt;author&gt;Howes, Oliver D&lt;/author&gt;&lt;author&gt;McCutcheon, Robert A&lt;/author&gt;&lt;/authors&gt;&lt;/contributors&gt;&lt;titles&gt;&lt;title&gt;The relationship between glutamate, dopamine, and cortical gray matter: a simultaneous PET-MR study&lt;/title&gt;&lt;secondary-title&gt;Molecular Psychiatry&lt;/secondary-title&gt;&lt;/titles&gt;&lt;periodical&gt;&lt;full-title&gt;Molecular psychiatry&lt;/full-title&gt;&lt;/periodical&gt;&lt;pages&gt;3493-3500&lt;/pages&gt;&lt;volume&gt;27&lt;/volume&gt;&lt;number&gt;8&lt;/number&gt;&lt;dates&gt;&lt;year&gt;2022&lt;/year&gt;&lt;/dates&gt;&lt;isbn&gt;1359-4184&lt;/isbn&gt;&lt;urls&gt;&lt;/urls&gt;&lt;/record&gt;&lt;/Cite&gt;&lt;/EndNote&gt;</w:instrText>
      </w:r>
      <w:r>
        <w:rPr>
          <w:iCs/>
        </w:rPr>
        <w:fldChar w:fldCharType="separate"/>
      </w:r>
      <w:r w:rsidRPr="009D5D05">
        <w:rPr>
          <w:iCs/>
          <w:noProof/>
          <w:vertAlign w:val="superscript"/>
        </w:rPr>
        <w:t>4</w:t>
      </w:r>
      <w:r>
        <w:rPr>
          <w:iCs/>
        </w:rPr>
        <w:fldChar w:fldCharType="end"/>
      </w:r>
      <w:r>
        <w:rPr>
          <w:iCs/>
        </w:rPr>
        <w:t xml:space="preserve">, </w:t>
      </w:r>
      <w:r w:rsidRPr="00BE225B">
        <w:rPr>
          <w:iCs/>
        </w:rPr>
        <w:t>and neurotransmitter release</w:t>
      </w:r>
      <w:r>
        <w:rPr>
          <w:iCs/>
        </w:rPr>
        <w:fldChar w:fldCharType="begin"/>
      </w:r>
      <w:r>
        <w:rPr>
          <w:iCs/>
        </w:rPr>
        <w:instrText xml:space="preserve"> ADDIN EN.CITE &lt;EndNote&gt;&lt;Cite&gt;&lt;Author&gt;Abi-Dargham&lt;/Author&gt;&lt;Year&gt;2004&lt;/Year&gt;&lt;RecNum&gt;254&lt;/RecNum&gt;&lt;DisplayText&gt;&lt;style face="superscript"&gt;5&lt;/style&gt;&lt;/DisplayText&gt;&lt;record&gt;&lt;rec-number&gt;254&lt;/rec-number&gt;&lt;foreign-keys&gt;&lt;key app="EN" db-id="295fwsazdrf2xhettpov2rpn02vew2dwwr0t" timestamp="1703867922"&gt;254&lt;/key&gt;&lt;/foreign-keys&gt;&lt;ref-type name="Journal Article"&gt;17&lt;/ref-type&gt;&lt;contributors&gt;&lt;authors&gt;&lt;author&gt;Abi-Dargham, Anissa&lt;/author&gt;&lt;author&gt;Kegeles, Lawrence S&lt;/author&gt;&lt;author&gt;Zea-Ponce, Yolanda&lt;/author&gt;&lt;author&gt;Mawlawi, Osama&lt;/author&gt;&lt;author&gt;Martinez, Diana&lt;/author&gt;&lt;author&gt;Mitropoulou, Vivian&lt;/author&gt;&lt;author&gt;O&amp;apos;Flynn, Karen&lt;/author&gt;&lt;author&gt;Koenigsberg, Harold W&lt;/author&gt;&lt;author&gt;Van Heertum, Ronald&lt;/author&gt;&lt;author&gt;Cooper, Thomas&lt;/author&gt;&lt;/authors&gt;&lt;/contributors&gt;&lt;titles&gt;&lt;title&gt;Striatal amphetamine-induced dopamine release in patients with schizotypal personality disorder studied with single photon emission computed tomography and [123I] iodobenzamide&lt;/title&gt;&lt;secondary-title&gt;Biological psychiatry&lt;/secondary-title&gt;&lt;/titles&gt;&lt;periodical&gt;&lt;full-title&gt;Biological psychiatry&lt;/full-title&gt;&lt;/periodical&gt;&lt;pages&gt;1001-1006&lt;/pages&gt;&lt;volume&gt;55&lt;/volume&gt;&lt;number&gt;10&lt;/number&gt;&lt;dates&gt;&lt;year&gt;2004&lt;/year&gt;&lt;/dates&gt;&lt;isbn&gt;0006-3223&lt;/isbn&gt;&lt;urls&gt;&lt;/urls&gt;&lt;/record&gt;&lt;/Cite&gt;&lt;/EndNote&gt;</w:instrText>
      </w:r>
      <w:r>
        <w:rPr>
          <w:iCs/>
        </w:rPr>
        <w:fldChar w:fldCharType="separate"/>
      </w:r>
      <w:r w:rsidRPr="009D5D05">
        <w:rPr>
          <w:iCs/>
          <w:noProof/>
          <w:vertAlign w:val="superscript"/>
        </w:rPr>
        <w:t>5</w:t>
      </w:r>
      <w:r>
        <w:rPr>
          <w:iCs/>
        </w:rPr>
        <w:fldChar w:fldCharType="end"/>
      </w:r>
      <w:r w:rsidRPr="00BE225B">
        <w:rPr>
          <w:iCs/>
        </w:rPr>
        <w:t xml:space="preserve">, as a factor in a </w:t>
      </w:r>
      <w:r>
        <w:rPr>
          <w:iCs/>
        </w:rPr>
        <w:t>synthetic</w:t>
      </w:r>
      <w:r w:rsidRPr="00BE225B">
        <w:rPr>
          <w:iCs/>
        </w:rPr>
        <w:t xml:space="preserve"> pathway, informing on neurotransmitter</w:t>
      </w:r>
      <w:r>
        <w:rPr>
          <w:iCs/>
        </w:rPr>
        <w:t xml:space="preserve"> synthesis</w:t>
      </w:r>
      <w:r>
        <w:rPr>
          <w:iCs/>
        </w:rPr>
        <w:fldChar w:fldCharType="begin"/>
      </w:r>
      <w:r>
        <w:rPr>
          <w:iCs/>
        </w:rPr>
        <w:instrText xml:space="preserve"> ADDIN EN.CITE &lt;EndNote&gt;&lt;Cite&gt;&lt;Author&gt;Howes&lt;/Author&gt;&lt;Year&gt;2011&lt;/Year&gt;&lt;RecNum&gt;234&lt;/RecNum&gt;&lt;DisplayText&gt;&lt;style face="superscript"&gt;6&lt;/style&gt;&lt;/DisplayText&gt;&lt;record&gt;&lt;rec-number&gt;234&lt;/rec-number&gt;&lt;foreign-keys&gt;&lt;key app="EN" db-id="295fwsazdrf2xhettpov2rpn02vew2dwwr0t" timestamp="1703690391"&gt;234&lt;/key&gt;&lt;/foreign-keys&gt;&lt;ref-type name="Journal Article"&gt;17&lt;/ref-type&gt;&lt;contributors&gt;&lt;authors&gt;&lt;author&gt;Howes, Oliver D&lt;/author&gt;&lt;author&gt;Bose, Subrata K&lt;/author&gt;&lt;author&gt;Turkheimer, Federico&lt;/author&gt;&lt;author&gt;Valli, Isabel&lt;/author&gt;&lt;author&gt;Egerton, Alice&lt;/author&gt;&lt;author&gt;Valmaggia, Lucia R&lt;/author&gt;&lt;author&gt;Murray, Robin M&lt;/author&gt;&lt;author&gt;McGuire, Philip&lt;/author&gt;&lt;/authors&gt;&lt;/contributors&gt;&lt;titles&gt;&lt;title&gt;Dopamine synthesis capacity before onset of psychosis: a prospective [18F]-DOPA PET imaging study&lt;/title&gt;&lt;secondary-title&gt;American Journal of Psychiatry&lt;/secondary-title&gt;&lt;/titles&gt;&lt;periodical&gt;&lt;full-title&gt;American Journal of Psychiatry&lt;/full-title&gt;&lt;/periodical&gt;&lt;pages&gt;1311-1317&lt;/pages&gt;&lt;volume&gt;168&lt;/volume&gt;&lt;number&gt;12&lt;/number&gt;&lt;dates&gt;&lt;year&gt;2011&lt;/year&gt;&lt;/dates&gt;&lt;isbn&gt;0002-953X&lt;/isbn&gt;&lt;urls&gt;&lt;/urls&gt;&lt;/record&gt;&lt;/Cite&gt;&lt;/EndNote&gt;</w:instrText>
      </w:r>
      <w:r>
        <w:rPr>
          <w:iCs/>
        </w:rPr>
        <w:fldChar w:fldCharType="separate"/>
      </w:r>
      <w:r w:rsidRPr="009D5D05">
        <w:rPr>
          <w:iCs/>
          <w:noProof/>
          <w:vertAlign w:val="superscript"/>
        </w:rPr>
        <w:t>6</w:t>
      </w:r>
      <w:r>
        <w:rPr>
          <w:iCs/>
        </w:rPr>
        <w:fldChar w:fldCharType="end"/>
      </w:r>
      <w:r w:rsidRPr="00BE225B">
        <w:rPr>
          <w:iCs/>
        </w:rPr>
        <w:t>, or as a glucose analogue, informing on a tissue’s energy consumption</w:t>
      </w:r>
      <w:r>
        <w:rPr>
          <w:iCs/>
        </w:rPr>
        <w:fldChar w:fldCharType="begin"/>
      </w:r>
      <w:r>
        <w:rPr>
          <w:iCs/>
        </w:rPr>
        <w:instrText xml:space="preserve"> ADDIN EN.CITE &lt;EndNote&gt;&lt;Cite&gt;&lt;Author&gt;Schöll&lt;/Author&gt;&lt;Year&gt;2014&lt;/Year&gt;&lt;RecNum&gt;236&lt;/RecNum&gt;&lt;DisplayText&gt;&lt;style face="superscript"&gt;7&lt;/style&gt;&lt;/DisplayText&gt;&lt;record&gt;&lt;rec-number&gt;236&lt;/rec-number&gt;&lt;foreign-keys&gt;&lt;key app="EN" db-id="295fwsazdrf2xhettpov2rpn02vew2dwwr0t" timestamp="1703690630"&gt;236&lt;/key&gt;&lt;/foreign-keys&gt;&lt;ref-type name="Journal Article"&gt;17&lt;/ref-type&gt;&lt;contributors&gt;&lt;authors&gt;&lt;author&gt;Schöll, Michael&lt;/author&gt;&lt;author&gt;Damián, Andrés&lt;/author&gt;&lt;author&gt;Engler, Henry&lt;/author&gt;&lt;/authors&gt;&lt;/contributors&gt;&lt;titles&gt;&lt;title&gt;Fluorodeoxyglucose PET in neurology and psychiatry&lt;/title&gt;&lt;secondary-title&gt;PET clinics&lt;/secondary-title&gt;&lt;/titles&gt;&lt;periodical&gt;&lt;full-title&gt;PET clinics&lt;/full-title&gt;&lt;/periodical&gt;&lt;pages&gt;371-390&lt;/pages&gt;&lt;volume&gt;9&lt;/volume&gt;&lt;number&gt;4&lt;/number&gt;&lt;dates&gt;&lt;year&gt;2014&lt;/year&gt;&lt;/dates&gt;&lt;isbn&gt;1556-8598&lt;/isbn&gt;&lt;urls&gt;&lt;/urls&gt;&lt;/record&gt;&lt;/Cite&gt;&lt;/EndNote&gt;</w:instrText>
      </w:r>
      <w:r>
        <w:rPr>
          <w:iCs/>
        </w:rPr>
        <w:fldChar w:fldCharType="separate"/>
      </w:r>
      <w:r w:rsidRPr="009D5D05">
        <w:rPr>
          <w:iCs/>
          <w:noProof/>
          <w:vertAlign w:val="superscript"/>
        </w:rPr>
        <w:t>7</w:t>
      </w:r>
      <w:r>
        <w:rPr>
          <w:iCs/>
        </w:rPr>
        <w:fldChar w:fldCharType="end"/>
      </w:r>
      <w:r>
        <w:rPr>
          <w:iCs/>
        </w:rPr>
        <w:t>.</w:t>
      </w:r>
    </w:p>
    <w:p w14:paraId="39113C55" w14:textId="4F9A2167" w:rsidR="009D5D05" w:rsidRPr="00BE225B" w:rsidRDefault="009D5D05" w:rsidP="009D5D05">
      <w:pPr>
        <w:spacing w:line="360" w:lineRule="auto"/>
        <w:rPr>
          <w:iCs/>
        </w:rPr>
      </w:pPr>
      <w:r w:rsidRPr="00BE225B">
        <w:rPr>
          <w:iCs/>
        </w:rPr>
        <w:t xml:space="preserve">Once a target is identified, selection and validation of radiotracers is </w:t>
      </w:r>
      <w:r>
        <w:rPr>
          <w:iCs/>
        </w:rPr>
        <w:t xml:space="preserve">a </w:t>
      </w:r>
      <w:r w:rsidRPr="00BE225B">
        <w:rPr>
          <w:iCs/>
        </w:rPr>
        <w:t>crucial step for high-quality PET imaging. Pharmacokinetic studies will guide choice; the ideal tracer is one with rapid kinetics (i.e., a short time to maximum concentration in the brain, or T</w:t>
      </w:r>
      <w:r w:rsidRPr="00BE225B">
        <w:rPr>
          <w:iCs/>
          <w:vertAlign w:val="subscript"/>
        </w:rPr>
        <w:t>max</w:t>
      </w:r>
      <w:r w:rsidRPr="00BE225B">
        <w:rPr>
          <w:iCs/>
        </w:rPr>
        <w:t>), high brain uptake of the tracer with low penetrance of potentially radioactive tracer metabolites, and strong and selective binding to the biological target, which will increase sensitivity and specificity respectively</w:t>
      </w:r>
      <w:r>
        <w:rPr>
          <w:iCs/>
        </w:rPr>
        <w:fldChar w:fldCharType="begin"/>
      </w:r>
      <w:r>
        <w:rPr>
          <w:iCs/>
        </w:rPr>
        <w:instrText xml:space="preserve"> ADDIN EN.CITE &lt;EndNote&gt;&lt;Cite&gt;&lt;Author&gt;Laruelle&lt;/Author&gt;&lt;Year&gt;2003&lt;/Year&gt;&lt;RecNum&gt;239&lt;/RecNum&gt;&lt;DisplayText&gt;&lt;style face="superscript"&gt;8&lt;/style&gt;&lt;/DisplayText&gt;&lt;record&gt;&lt;rec-number&gt;239&lt;/rec-number&gt;&lt;foreign-keys&gt;&lt;key app="EN" db-id="295fwsazdrf2xhettpov2rpn02vew2dwwr0t" timestamp="1703690983"&gt;239&lt;/key&gt;&lt;/foreign-keys&gt;&lt;ref-type name="Journal Article"&gt;17&lt;/ref-type&gt;&lt;contributors&gt;&lt;authors&gt;&lt;author&gt;Laruelle, Marc&lt;/author&gt;&lt;author&gt;Slifstein, Mark&lt;/author&gt;&lt;author&gt;Huang, Yiyun&lt;/author&gt;&lt;/authors&gt;&lt;/contributors&gt;&lt;titles&gt;&lt;title&gt;Relationships between radiotracer properties and image quality in molecular imaging of the brain with positron emission tomography&lt;/title&gt;&lt;secondary-title&gt;Molecular Imaging &amp;amp; Biology&lt;/secondary-title&gt;&lt;/titles&gt;&lt;periodical&gt;&lt;full-title&gt;Molecular Imaging &amp;amp; Biology&lt;/full-title&gt;&lt;/periodical&gt;&lt;pages&gt;363-375&lt;/pages&gt;&lt;volume&gt;5&lt;/volume&gt;&lt;number&gt;6&lt;/number&gt;&lt;dates&gt;&lt;year&gt;2003&lt;/year&gt;&lt;/dates&gt;&lt;isbn&gt;1536-1632&lt;/isbn&gt;&lt;urls&gt;&lt;/urls&gt;&lt;/record&gt;&lt;/Cite&gt;&lt;/EndNote&gt;</w:instrText>
      </w:r>
      <w:r>
        <w:rPr>
          <w:iCs/>
        </w:rPr>
        <w:fldChar w:fldCharType="separate"/>
      </w:r>
      <w:r w:rsidRPr="009D5D05">
        <w:rPr>
          <w:iCs/>
          <w:noProof/>
          <w:vertAlign w:val="superscript"/>
        </w:rPr>
        <w:t>8</w:t>
      </w:r>
      <w:r>
        <w:rPr>
          <w:iCs/>
        </w:rPr>
        <w:fldChar w:fldCharType="end"/>
      </w:r>
      <w:r w:rsidRPr="00BE225B">
        <w:rPr>
          <w:iCs/>
        </w:rPr>
        <w:t xml:space="preserve">. </w:t>
      </w:r>
    </w:p>
    <w:p w14:paraId="654457A0" w14:textId="77777777" w:rsidR="009D5D05" w:rsidRPr="00BE225B" w:rsidRDefault="009D5D05" w:rsidP="009D5D05">
      <w:pPr>
        <w:pStyle w:val="Heading2"/>
      </w:pPr>
      <w:r w:rsidRPr="00BE225B">
        <w:t>Kinetic Modelling and Signal Quantification</w:t>
      </w:r>
    </w:p>
    <w:p w14:paraId="09E291A9" w14:textId="5A9AF62C" w:rsidR="009D5D05" w:rsidRPr="00BE225B" w:rsidRDefault="009D5D05" w:rsidP="009D5D05">
      <w:pPr>
        <w:spacing w:line="360" w:lineRule="auto"/>
        <w:rPr>
          <w:iCs/>
        </w:rPr>
      </w:pPr>
      <w:r w:rsidRPr="00BE225B">
        <w:rPr>
          <w:iCs/>
        </w:rPr>
        <w:t>A PET scanner measures the concentration of radioactivity in a voxel. The output from a PET study is a set of time-activity curves (TACs), describing how concentration of radioactivity detected by the scanner changes in a</w:t>
      </w:r>
      <w:r>
        <w:rPr>
          <w:iCs/>
        </w:rPr>
        <w:t xml:space="preserve"> voxel</w:t>
      </w:r>
      <w:r w:rsidRPr="00BE225B">
        <w:rPr>
          <w:iCs/>
        </w:rPr>
        <w:t xml:space="preserve"> as a function of time. Analysis involves</w:t>
      </w:r>
      <w:r>
        <w:rPr>
          <w:iCs/>
        </w:rPr>
        <w:t xml:space="preserve"> fitting the TACs to a kinetic model to inform estimation of an outcome measure, which describes the uptake of tracer into the tissue of interest. The kinetic model</w:t>
      </w:r>
      <w:r w:rsidRPr="00BE225B">
        <w:rPr>
          <w:iCs/>
        </w:rPr>
        <w:t xml:space="preserve"> describ</w:t>
      </w:r>
      <w:r>
        <w:rPr>
          <w:iCs/>
        </w:rPr>
        <w:t>es</w:t>
      </w:r>
      <w:r w:rsidRPr="00BE225B">
        <w:rPr>
          <w:iCs/>
        </w:rPr>
        <w:t xml:space="preserve"> the dynamic behaviour of tracer after injection. </w:t>
      </w:r>
      <w:r>
        <w:rPr>
          <w:iCs/>
        </w:rPr>
        <w:t>It</w:t>
      </w:r>
      <w:r w:rsidRPr="00BE225B">
        <w:rPr>
          <w:iCs/>
        </w:rPr>
        <w:t xml:space="preserve"> comprises a set of ordinary differential equations defining the movement of tracer between </w:t>
      </w:r>
      <w:r>
        <w:rPr>
          <w:iCs/>
        </w:rPr>
        <w:t xml:space="preserve">one or more </w:t>
      </w:r>
      <w:r w:rsidRPr="00BE225B">
        <w:rPr>
          <w:iCs/>
        </w:rPr>
        <w:t>different spatial compartments</w:t>
      </w:r>
      <w:r>
        <w:rPr>
          <w:iCs/>
        </w:rPr>
        <w:t xml:space="preserve"> in which tracer is assumed to be sequestered</w:t>
      </w:r>
      <w:r w:rsidRPr="00BE225B">
        <w:rPr>
          <w:iCs/>
        </w:rPr>
        <w:t xml:space="preserve">, e.g. blood, tissue, </w:t>
      </w:r>
      <w:r>
        <w:rPr>
          <w:iCs/>
        </w:rPr>
        <w:lastRenderedPageBreak/>
        <w:t>or</w:t>
      </w:r>
      <w:r w:rsidRPr="00BE225B">
        <w:rPr>
          <w:iCs/>
        </w:rPr>
        <w:t xml:space="preserve"> in the case of receptor studies, the free and bound states</w:t>
      </w:r>
      <w:r w:rsidRPr="00BE225B">
        <w:rPr>
          <w:iCs/>
        </w:rPr>
        <w:fldChar w:fldCharType="begin"/>
      </w:r>
      <w:r>
        <w:rPr>
          <w:iCs/>
        </w:rPr>
        <w:instrText xml:space="preserve"> ADDIN EN.CITE &lt;EndNote&gt;&lt;Cite&gt;&lt;Author&gt;Morris&lt;/Author&gt;&lt;Year&gt;2004&lt;/Year&gt;&lt;RecNum&gt;76&lt;/RecNum&gt;&lt;DisplayText&gt;&lt;style face="superscript"&gt;9&lt;/style&gt;&lt;/DisplayText&gt;&lt;record&gt;&lt;rec-number&gt;76&lt;/rec-number&gt;&lt;foreign-keys&gt;&lt;key app="EN" db-id="295fwsazdrf2xhettpov2rpn02vew2dwwr0t" timestamp="1699889616"&gt;76&lt;/key&gt;&lt;/foreign-keys&gt;&lt;ref-type name="Book Section"&gt;5&lt;/ref-type&gt;&lt;contributors&gt;&lt;authors&gt;&lt;author&gt;Morris, Evans; Endres, Christopher J; Schmidt, Kathleen C; Christian, Bradley T; Muzic, Raymond F; Fisher, Ronald E&lt;/author&gt;&lt;/authors&gt;&lt;/contributors&gt;&lt;titles&gt;&lt;title&gt;Kinetic Modeling in Positron Emission Tomography&lt;/title&gt;&lt;secondary-title&gt;Emission Tomography&lt;/secondary-title&gt;&lt;/titles&gt;&lt;pages&gt;499-540&lt;/pages&gt;&lt;section&gt;23&lt;/section&gt;&lt;dates&gt;&lt;year&gt;2004&lt;/year&gt;&lt;/dates&gt;&lt;publisher&gt;Elsevier&lt;/publisher&gt;&lt;urls&gt;&lt;/urls&gt;&lt;/record&gt;&lt;/Cite&gt;&lt;/EndNote&gt;</w:instrText>
      </w:r>
      <w:r w:rsidRPr="00BE225B">
        <w:rPr>
          <w:iCs/>
        </w:rPr>
        <w:fldChar w:fldCharType="separate"/>
      </w:r>
      <w:r w:rsidRPr="009D5D05">
        <w:rPr>
          <w:iCs/>
          <w:noProof/>
          <w:vertAlign w:val="superscript"/>
        </w:rPr>
        <w:t>9</w:t>
      </w:r>
      <w:r w:rsidRPr="00BE225B">
        <w:rPr>
          <w:iCs/>
        </w:rPr>
        <w:fldChar w:fldCharType="end"/>
      </w:r>
      <w:r w:rsidRPr="00BE225B">
        <w:rPr>
          <w:iCs/>
        </w:rPr>
        <w:t>.</w:t>
      </w:r>
      <w:r>
        <w:rPr>
          <w:iCs/>
        </w:rPr>
        <w:t xml:space="preserve"> </w:t>
      </w:r>
      <w:r w:rsidRPr="00BE225B">
        <w:rPr>
          <w:iCs/>
        </w:rPr>
        <w:t>The model is</w:t>
      </w:r>
      <w:r>
        <w:rPr>
          <w:iCs/>
        </w:rPr>
        <w:t xml:space="preserve"> then</w:t>
      </w:r>
      <w:r w:rsidRPr="00BE225B">
        <w:rPr>
          <w:iCs/>
        </w:rPr>
        <w:t xml:space="preserve"> fit to describe the observed PET data, and can then be solved to derive</w:t>
      </w:r>
      <w:r>
        <w:rPr>
          <w:iCs/>
        </w:rPr>
        <w:t xml:space="preserve"> rate constants, or</w:t>
      </w:r>
      <w:r w:rsidRPr="00BE225B">
        <w:rPr>
          <w:iCs/>
        </w:rPr>
        <w:t xml:space="preserve"> values describing the flow of tracer between different compartments in the model, used to calculate the study endpoints. </w:t>
      </w:r>
    </w:p>
    <w:p w14:paraId="53FAAF86" w14:textId="5F9C432C" w:rsidR="009D5D05" w:rsidRPr="00BE225B" w:rsidRDefault="009D5D05" w:rsidP="009D5D05">
      <w:pPr>
        <w:spacing w:line="360" w:lineRule="auto"/>
        <w:rPr>
          <w:iCs/>
        </w:rPr>
      </w:pPr>
      <w:r w:rsidRPr="00BE225B">
        <w:rPr>
          <w:iCs/>
        </w:rPr>
        <w:t xml:space="preserve">The </w:t>
      </w:r>
      <w:r>
        <w:rPr>
          <w:iCs/>
        </w:rPr>
        <w:t>kinetic</w:t>
      </w:r>
      <w:r w:rsidRPr="00BE225B">
        <w:rPr>
          <w:iCs/>
        </w:rPr>
        <w:t xml:space="preserve"> model </w:t>
      </w:r>
      <w:r>
        <w:rPr>
          <w:iCs/>
        </w:rPr>
        <w:t>can be</w:t>
      </w:r>
      <w:r w:rsidRPr="00BE225B">
        <w:rPr>
          <w:iCs/>
        </w:rPr>
        <w:t xml:space="preserve"> used with an input function, which models the delivery of radiotracer to the brain</w:t>
      </w:r>
      <w:r w:rsidRPr="00BE225B">
        <w:rPr>
          <w:iCs/>
        </w:rPr>
        <w:fldChar w:fldCharType="begin"/>
      </w:r>
      <w:r>
        <w:rPr>
          <w:iCs/>
        </w:rPr>
        <w:instrText xml:space="preserve"> ADDIN EN.CITE &lt;EndNote&gt;&lt;Cite&gt;&lt;Author&gt;Bentourkia&lt;/Author&gt;&lt;Year&gt;2015&lt;/Year&gt;&lt;RecNum&gt;77&lt;/RecNum&gt;&lt;DisplayText&gt;&lt;style face="superscript"&gt;10&lt;/style&gt;&lt;/DisplayText&gt;&lt;record&gt;&lt;rec-number&gt;77&lt;/rec-number&gt;&lt;foreign-keys&gt;&lt;key app="EN" db-id="295fwsazdrf2xhettpov2rpn02vew2dwwr0t" timestamp="1699889694"&gt;77&lt;/key&gt;&lt;/foreign-keys&gt;&lt;ref-type name="Journal Article"&gt;17&lt;/ref-type&gt;&lt;contributors&gt;&lt;authors&gt;&lt;author&gt;Bentourkia, M’hamed&lt;/author&gt;&lt;/authors&gt;&lt;/contributors&gt;&lt;titles&gt;&lt;title&gt;Determination of the input function at the entry of the tissue of interest and its impact on PET kinetic modeling parameters&lt;/title&gt;&lt;secondary-title&gt;Molecular Imaging and Biology&lt;/secondary-title&gt;&lt;/titles&gt;&lt;periodical&gt;&lt;full-title&gt;Molecular imaging and biology&lt;/full-title&gt;&lt;/periodical&gt;&lt;pages&gt;748-756&lt;/pages&gt;&lt;volume&gt;17&lt;/volume&gt;&lt;dates&gt;&lt;year&gt;2015&lt;/year&gt;&lt;/dates&gt;&lt;isbn&gt;1536-1632&lt;/isbn&gt;&lt;urls&gt;&lt;/urls&gt;&lt;/record&gt;&lt;/Cite&gt;&lt;/EndNote&gt;</w:instrText>
      </w:r>
      <w:r w:rsidRPr="00BE225B">
        <w:rPr>
          <w:iCs/>
        </w:rPr>
        <w:fldChar w:fldCharType="separate"/>
      </w:r>
      <w:r w:rsidRPr="009D5D05">
        <w:rPr>
          <w:iCs/>
          <w:noProof/>
          <w:vertAlign w:val="superscript"/>
        </w:rPr>
        <w:t>10</w:t>
      </w:r>
      <w:r w:rsidRPr="00BE225B">
        <w:rPr>
          <w:iCs/>
        </w:rPr>
        <w:fldChar w:fldCharType="end"/>
      </w:r>
      <w:r w:rsidRPr="00BE225B">
        <w:rPr>
          <w:iCs/>
        </w:rPr>
        <w:t>. The gold-</w:t>
      </w:r>
      <w:r>
        <w:rPr>
          <w:iCs/>
        </w:rPr>
        <w:t>standard</w:t>
      </w:r>
      <w:r w:rsidRPr="00BE225B">
        <w:rPr>
          <w:iCs/>
        </w:rPr>
        <w:t xml:space="preserve"> is direct measurement of the plasma TAC via arterial blood sampling (ABS)</w:t>
      </w:r>
      <w:r w:rsidRPr="00BE225B">
        <w:rPr>
          <w:iCs/>
        </w:rPr>
        <w:fldChar w:fldCharType="begin"/>
      </w:r>
      <w:r>
        <w:rPr>
          <w:iCs/>
        </w:rPr>
        <w:instrText xml:space="preserve"> ADDIN EN.CITE &lt;EndNote&gt;&lt;Cite&gt;&lt;Author&gt;Wong&lt;/Author&gt;&lt;Year&gt;2001&lt;/Year&gt;&lt;RecNum&gt;79&lt;/RecNum&gt;&lt;DisplayText&gt;&lt;style face="superscript"&gt;11&lt;/style&gt;&lt;/DisplayText&gt;&lt;record&gt;&lt;rec-number&gt;79&lt;/rec-number&gt;&lt;foreign-keys&gt;&lt;key app="EN" db-id="295fwsazdrf2xhettpov2rpn02vew2dwwr0t" timestamp="1699889966"&gt;79&lt;/key&gt;&lt;/foreign-keys&gt;&lt;ref-type name="Journal Article"&gt;17&lt;/ref-type&gt;&lt;contributors&gt;&lt;authors&gt;&lt;author&gt;Wong, Koon-Pong&lt;/author&gt;&lt;author&gt;Feng, Dagan&lt;/author&gt;&lt;author&gt;Meikle, Steven R&lt;/author&gt;&lt;author&gt;Fulham, Michael J&lt;/author&gt;&lt;/authors&gt;&lt;/contributors&gt;&lt;titles&gt;&lt;title&gt;Simultaneous estimation of physiological parameters and the input function-in vivo PET data&lt;/title&gt;&lt;secondary-title&gt;Ieee transactions on information technology in biomedicine&lt;/secondary-title&gt;&lt;/titles&gt;&lt;periodical&gt;&lt;full-title&gt;Ieee transactions on information technology in biomedicine&lt;/full-title&gt;&lt;/periodical&gt;&lt;pages&gt;67-76&lt;/pages&gt;&lt;volume&gt;5&lt;/volume&gt;&lt;number&gt;1&lt;/number&gt;&lt;dates&gt;&lt;year&gt;2001&lt;/year&gt;&lt;/dates&gt;&lt;isbn&gt;1089-7771&lt;/isbn&gt;&lt;urls&gt;&lt;/urls&gt;&lt;/record&gt;&lt;/Cite&gt;&lt;/EndNote&gt;</w:instrText>
      </w:r>
      <w:r w:rsidRPr="00BE225B">
        <w:rPr>
          <w:iCs/>
        </w:rPr>
        <w:fldChar w:fldCharType="separate"/>
      </w:r>
      <w:r w:rsidRPr="009D5D05">
        <w:rPr>
          <w:iCs/>
          <w:noProof/>
          <w:vertAlign w:val="superscript"/>
        </w:rPr>
        <w:t>11</w:t>
      </w:r>
      <w:r w:rsidRPr="00BE225B">
        <w:rPr>
          <w:iCs/>
        </w:rPr>
        <w:fldChar w:fldCharType="end"/>
      </w:r>
      <w:r w:rsidRPr="00BE225B">
        <w:rPr>
          <w:iCs/>
        </w:rPr>
        <w:t>, usually from the radial artery. This allows between-subject comparison, as the input function accounts for subject-specific factors occurring outside the brain, for example</w:t>
      </w:r>
      <w:r>
        <w:rPr>
          <w:iCs/>
        </w:rPr>
        <w:t>,</w:t>
      </w:r>
      <w:r w:rsidRPr="00BE225B">
        <w:rPr>
          <w:iCs/>
        </w:rPr>
        <w:t xml:space="preserve"> variation</w:t>
      </w:r>
      <w:r>
        <w:rPr>
          <w:iCs/>
        </w:rPr>
        <w:t>s</w:t>
      </w:r>
      <w:r w:rsidRPr="00BE225B">
        <w:rPr>
          <w:iCs/>
        </w:rPr>
        <w:t xml:space="preserve"> in plasma clearance. However, in the absence of ABS, a reference tissue model can be used to exclude the contribution of these confounding factors from the measured signal in the region of interest</w:t>
      </w:r>
      <w:r>
        <w:rPr>
          <w:iCs/>
        </w:rPr>
        <w:t xml:space="preserve"> (ROI)</w:t>
      </w:r>
      <w:r w:rsidRPr="00BE225B">
        <w:rPr>
          <w:iCs/>
        </w:rPr>
        <w:fldChar w:fldCharType="begin"/>
      </w:r>
      <w:r>
        <w:rPr>
          <w:iCs/>
        </w:rPr>
        <w:instrText xml:space="preserve"> ADDIN EN.CITE &lt;EndNote&gt;&lt;Cite&gt;&lt;Author&gt;Gunn&lt;/Author&gt;&lt;Year&gt;1997&lt;/Year&gt;&lt;RecNum&gt;78&lt;/RecNum&gt;&lt;DisplayText&gt;&lt;style face="superscript"&gt;12&lt;/style&gt;&lt;/DisplayText&gt;&lt;record&gt;&lt;rec-number&gt;78&lt;/rec-number&gt;&lt;foreign-keys&gt;&lt;key app="EN" db-id="295fwsazdrf2xhettpov2rpn02vew2dwwr0t" timestamp="1699889908"&gt;78&lt;/key&gt;&lt;/foreign-keys&gt;&lt;ref-type name="Journal Article"&gt;17&lt;/ref-type&gt;&lt;contributors&gt;&lt;authors&gt;&lt;author&gt;Gunn, Roger N&lt;/author&gt;&lt;author&gt;Lammertsma, Adriaan A&lt;/author&gt;&lt;author&gt;Hume, Susan P&lt;/author&gt;&lt;author&gt;Cunningham, Vincent J&lt;/author&gt;&lt;/authors&gt;&lt;/contributors&gt;&lt;titles&gt;&lt;title&gt;Parametric imaging of ligand-receptor binding in PET using a simplified reference region model&lt;/title&gt;&lt;secondary-title&gt;Neuroimage&lt;/secondary-title&gt;&lt;/titles&gt;&lt;periodical&gt;&lt;full-title&gt;Neuroimage&lt;/full-title&gt;&lt;/periodical&gt;&lt;pages&gt;279-287&lt;/pages&gt;&lt;volume&gt;6&lt;/volume&gt;&lt;number&gt;4&lt;/number&gt;&lt;dates&gt;&lt;year&gt;1997&lt;/year&gt;&lt;/dates&gt;&lt;isbn&gt;1053-8119&lt;/isbn&gt;&lt;urls&gt;&lt;/urls&gt;&lt;/record&gt;&lt;/Cite&gt;&lt;/EndNote&gt;</w:instrText>
      </w:r>
      <w:r w:rsidRPr="00BE225B">
        <w:rPr>
          <w:iCs/>
        </w:rPr>
        <w:fldChar w:fldCharType="separate"/>
      </w:r>
      <w:r w:rsidRPr="009D5D05">
        <w:rPr>
          <w:iCs/>
          <w:noProof/>
          <w:vertAlign w:val="superscript"/>
        </w:rPr>
        <w:t>12</w:t>
      </w:r>
      <w:r w:rsidRPr="00BE225B">
        <w:rPr>
          <w:iCs/>
        </w:rPr>
        <w:fldChar w:fldCharType="end"/>
      </w:r>
      <w:r w:rsidRPr="00BE225B">
        <w:rPr>
          <w:iCs/>
        </w:rPr>
        <w:t>. An ideal reference region exhibits minimal specific binding of the tracer to the target of interest (e.g. a receptor), but assumed-identical nondisplaceable uptake</w:t>
      </w:r>
      <w:r>
        <w:rPr>
          <w:iCs/>
        </w:rPr>
        <w:t xml:space="preserve">. This describes </w:t>
      </w:r>
      <w:r w:rsidRPr="00BE225B">
        <w:rPr>
          <w:iCs/>
        </w:rPr>
        <w:t>activity in the free and</w:t>
      </w:r>
      <w:r>
        <w:rPr>
          <w:iCs/>
        </w:rPr>
        <w:t xml:space="preserve"> nonspecifically-bound</w:t>
      </w:r>
      <w:r w:rsidRPr="00BE225B">
        <w:rPr>
          <w:iCs/>
        </w:rPr>
        <w:t xml:space="preserve"> compartments</w:t>
      </w:r>
      <w:r>
        <w:rPr>
          <w:iCs/>
        </w:rPr>
        <w:t>, such as tracer bound to macromolecular cellular components.</w:t>
      </w:r>
      <w:r w:rsidRPr="00BE225B">
        <w:rPr>
          <w:iCs/>
        </w:rPr>
        <w:t xml:space="preserve"> </w:t>
      </w:r>
      <w:r>
        <w:rPr>
          <w:iCs/>
        </w:rPr>
        <w:t>This activity</w:t>
      </w:r>
      <w:r w:rsidRPr="00BE225B">
        <w:rPr>
          <w:iCs/>
        </w:rPr>
        <w:t xml:space="preserve"> would not be reduced by adding large amounts of nonradioactive ligand into the tissue, but </w:t>
      </w:r>
      <w:r>
        <w:rPr>
          <w:iCs/>
        </w:rPr>
        <w:t>is</w:t>
      </w:r>
      <w:r w:rsidRPr="00BE225B">
        <w:rPr>
          <w:iCs/>
        </w:rPr>
        <w:t xml:space="preserve"> assumed to relate directly to tracer delivery to brain tissue</w:t>
      </w:r>
      <w:r>
        <w:rPr>
          <w:iCs/>
        </w:rPr>
        <w:t>, and consequentially, the input function</w:t>
      </w:r>
      <w:r>
        <w:rPr>
          <w:iCs/>
        </w:rPr>
        <w:fldChar w:fldCharType="begin"/>
      </w:r>
      <w:r>
        <w:rPr>
          <w:iCs/>
        </w:rPr>
        <w:instrText xml:space="preserve"> ADDIN EN.CITE &lt;EndNote&gt;&lt;Cite&gt;&lt;Author&gt;Zanderigo&lt;/Author&gt;&lt;Year&gt;2013&lt;/Year&gt;&lt;RecNum&gt;240&lt;/RecNum&gt;&lt;DisplayText&gt;&lt;style face="superscript"&gt;13&lt;/style&gt;&lt;/DisplayText&gt;&lt;record&gt;&lt;rec-number&gt;240&lt;/rec-number&gt;&lt;foreign-keys&gt;&lt;key app="EN" db-id="295fwsazdrf2xhettpov2rpn02vew2dwwr0t" timestamp="1703691793"&gt;240&lt;/key&gt;&lt;/foreign-keys&gt;&lt;ref-type name="Journal Article"&gt;17&lt;/ref-type&gt;&lt;contributors&gt;&lt;authors&gt;&lt;author&gt;Zanderigo, Francesca&lt;/author&gt;&lt;author&gt;Ogden, R Todd&lt;/author&gt;&lt;author&gt;Parsey, Ramin V&lt;/author&gt;&lt;/authors&gt;&lt;/contributors&gt;&lt;titles&gt;&lt;title&gt;Reference region approaches in PET: a comparative study on multiple radioligands&lt;/title&gt;&lt;secondary-title&gt;Journal of Cerebral Blood Flow &amp;amp; Metabolism&lt;/secondary-title&gt;&lt;/titles&gt;&lt;periodical&gt;&lt;full-title&gt;Journal of Cerebral Blood Flow &amp;amp; Metabolism&lt;/full-title&gt;&lt;/periodical&gt;&lt;pages&gt;888-897&lt;/pages&gt;&lt;volume&gt;33&lt;/volume&gt;&lt;number&gt;6&lt;/number&gt;&lt;dates&gt;&lt;year&gt;2013&lt;/year&gt;&lt;/dates&gt;&lt;isbn&gt;0271-678X&lt;/isbn&gt;&lt;urls&gt;&lt;/urls&gt;&lt;/record&gt;&lt;/Cite&gt;&lt;/EndNote&gt;</w:instrText>
      </w:r>
      <w:r>
        <w:rPr>
          <w:iCs/>
        </w:rPr>
        <w:fldChar w:fldCharType="separate"/>
      </w:r>
      <w:r w:rsidRPr="009D5D05">
        <w:rPr>
          <w:iCs/>
          <w:noProof/>
          <w:vertAlign w:val="superscript"/>
        </w:rPr>
        <w:t>13</w:t>
      </w:r>
      <w:r>
        <w:rPr>
          <w:iCs/>
        </w:rPr>
        <w:fldChar w:fldCharType="end"/>
      </w:r>
      <w:r w:rsidRPr="00BE225B">
        <w:rPr>
          <w:iCs/>
        </w:rPr>
        <w:t>. In the case of synaptic imaging, the centrum semiovale (CSO) is used, being a white matter region expected to lack synapses</w:t>
      </w:r>
      <w:r>
        <w:rPr>
          <w:iCs/>
        </w:rPr>
        <w:fldChar w:fldCharType="begin"/>
      </w:r>
      <w:r>
        <w:rPr>
          <w:iCs/>
        </w:rPr>
        <w:instrText xml:space="preserve"> ADDIN EN.CITE &lt;EndNote&gt;&lt;Cite&gt;&lt;Author&gt;Rossano&lt;/Author&gt;&lt;Year&gt;2020&lt;/Year&gt;&lt;RecNum&gt;218&lt;/RecNum&gt;&lt;DisplayText&gt;&lt;style face="superscript"&gt;14&lt;/style&gt;&lt;/DisplayText&gt;&lt;record&gt;&lt;rec-number&gt;218&lt;/rec-number&gt;&lt;foreign-keys&gt;&lt;key app="EN" db-id="295fwsazdrf2xhettpov2rpn02vew2dwwr0t" timestamp="1703259986"&gt;218&lt;/key&gt;&lt;/foreign-keys&gt;&lt;ref-type name="Journal Article"&gt;17&lt;/ref-type&gt;&lt;contributors&gt;&lt;authors&gt;&lt;author&gt;Rossano, Samantha&lt;/author&gt;&lt;author&gt;Toyonaga, Takuya&lt;/author&gt;&lt;author&gt;Finnema, Sjoerd J&lt;/author&gt;&lt;author&gt;Naganawa, Mika&lt;/author&gt;&lt;author&gt;Lu, Yihuan&lt;/author&gt;&lt;author&gt;Nabulsi, Nabeel&lt;/author&gt;&lt;author&gt;Ropchan, Jim&lt;/author&gt;&lt;author&gt;De Bruyn, Steven&lt;/author&gt;&lt;author&gt;Otoul, Christian&lt;/author&gt;&lt;author&gt;Stockis, Armel&lt;/author&gt;&lt;/authors&gt;&lt;/contributors&gt;&lt;titles&gt;&lt;title&gt;Assessment of a white matter reference region for 11C-UCB-J PET quantification&lt;/title&gt;&lt;secondary-title&gt;Journal of Cerebral Blood Flow &amp;amp; Metabolism&lt;/secondary-title&gt;&lt;/titles&gt;&lt;periodical&gt;&lt;full-title&gt;Journal of Cerebral Blood Flow &amp;amp; Metabolism&lt;/full-title&gt;&lt;/periodical&gt;&lt;pages&gt;1890-1901&lt;/pages&gt;&lt;volume&gt;40&lt;/volume&gt;&lt;number&gt;9&lt;/number&gt;&lt;dates&gt;&lt;year&gt;2020&lt;/year&gt;&lt;/dates&gt;&lt;isbn&gt;0271-678X&lt;/isbn&gt;&lt;urls&gt;&lt;/urls&gt;&lt;/record&gt;&lt;/Cite&gt;&lt;/EndNote&gt;</w:instrText>
      </w:r>
      <w:r>
        <w:rPr>
          <w:iCs/>
        </w:rPr>
        <w:fldChar w:fldCharType="separate"/>
      </w:r>
      <w:r w:rsidRPr="009D5D05">
        <w:rPr>
          <w:iCs/>
          <w:noProof/>
          <w:vertAlign w:val="superscript"/>
        </w:rPr>
        <w:t>14</w:t>
      </w:r>
      <w:r>
        <w:rPr>
          <w:iCs/>
        </w:rPr>
        <w:fldChar w:fldCharType="end"/>
      </w:r>
      <w:r>
        <w:rPr>
          <w:iCs/>
        </w:rPr>
        <w:t>, but this reference region is imperfect (see Limitations Section)</w:t>
      </w:r>
      <w:r w:rsidRPr="00BE225B">
        <w:rPr>
          <w:iCs/>
        </w:rPr>
        <w:t xml:space="preserve">. Use of a reference region naturally avoids the subject burden of repeated ABS, but imposes some limitations on what endpoints can be derived from the kinetic model. </w:t>
      </w:r>
    </w:p>
    <w:p w14:paraId="532C8B2F" w14:textId="77777777" w:rsidR="009D5D05" w:rsidRPr="00BE225B" w:rsidRDefault="009D5D05" w:rsidP="009D5D05">
      <w:pPr>
        <w:pStyle w:val="Heading2"/>
      </w:pPr>
      <w:r w:rsidRPr="00BE225B">
        <w:t>Outcome Measures from PET Studies</w:t>
      </w:r>
    </w:p>
    <w:p w14:paraId="26B5FF1E" w14:textId="12BBEC69" w:rsidR="009D5D05" w:rsidRPr="000D2D6A" w:rsidRDefault="009D5D05" w:rsidP="009D5D05">
      <w:pPr>
        <w:spacing w:line="360" w:lineRule="auto"/>
        <w:rPr>
          <w:iCs/>
        </w:rPr>
      </w:pPr>
      <w:r w:rsidRPr="00BE225B">
        <w:rPr>
          <w:iCs/>
        </w:rPr>
        <w:t>The endpoints may vary with the question being investigated and its associated assumptions, and practical concerns, e.g. the availability of ABS. A simple outcome is the standardised uptake value</w:t>
      </w:r>
      <w:r>
        <w:rPr>
          <w:iCs/>
        </w:rPr>
        <w:t xml:space="preserve"> (SUV)</w:t>
      </w:r>
      <w:r w:rsidRPr="00BE225B">
        <w:rPr>
          <w:iCs/>
        </w:rPr>
        <w:t xml:space="preserve">, which is the ratio </w:t>
      </w:r>
      <w:r>
        <w:rPr>
          <w:iCs/>
        </w:rPr>
        <w:t>between</w:t>
      </w:r>
      <w:r w:rsidRPr="00BE225B">
        <w:rPr>
          <w:iCs/>
        </w:rPr>
        <w:t xml:space="preserve"> tissue radioactivity concentration </w:t>
      </w:r>
      <w:r>
        <w:rPr>
          <w:iCs/>
        </w:rPr>
        <w:t>and</w:t>
      </w:r>
      <w:r w:rsidRPr="00BE225B">
        <w:rPr>
          <w:iCs/>
        </w:rPr>
        <w:t xml:space="preserve"> the administered dose per unit body weight. </w:t>
      </w:r>
      <w:r w:rsidR="00F42AE3">
        <w:rPr>
          <w:iCs/>
        </w:rPr>
        <w:t>SUV is calculated from a static PET image</w:t>
      </w:r>
      <w:r w:rsidR="00E87714">
        <w:rPr>
          <w:iCs/>
        </w:rPr>
        <w:t>; i.e., it uses the average radioactivity concentration in the regions of interest over a period of time</w:t>
      </w:r>
      <w:r w:rsidR="00CB71EF">
        <w:rPr>
          <w:iCs/>
        </w:rPr>
        <w:t xml:space="preserve"> rather than dynamic changes over time</w:t>
      </w:r>
      <w:r w:rsidR="00E87714">
        <w:rPr>
          <w:iCs/>
        </w:rPr>
        <w:t xml:space="preserve">. </w:t>
      </w:r>
      <w:r w:rsidRPr="00BE225B">
        <w:rPr>
          <w:iCs/>
        </w:rPr>
        <w:t xml:space="preserve">To reduce subject-specific effects, this is often presented as the SUV ratio (SUVR) between the ROI and a reference region. </w:t>
      </w:r>
      <w:r w:rsidR="007654EE">
        <w:rPr>
          <w:iCs/>
        </w:rPr>
        <w:t xml:space="preserve">SUVR is a </w:t>
      </w:r>
      <w:r w:rsidR="007654EE">
        <w:rPr>
          <w:i/>
        </w:rPr>
        <w:t xml:space="preserve">non-quantitative </w:t>
      </w:r>
      <w:r w:rsidR="007654EE">
        <w:rPr>
          <w:iCs/>
        </w:rPr>
        <w:t xml:space="preserve">outcome measure, meaning that it does </w:t>
      </w:r>
      <w:r w:rsidR="007654EE">
        <w:rPr>
          <w:iCs/>
        </w:rPr>
        <w:lastRenderedPageBreak/>
        <w:t xml:space="preserve">not give a value for the </w:t>
      </w:r>
      <w:r w:rsidR="00AA2C72">
        <w:rPr>
          <w:iCs/>
        </w:rPr>
        <w:t xml:space="preserve">quantity of target, rather describes the uptake of tracer into a brain region, and does not make any assumptions about the arterial input function, making it more sensitive to intersubject variation in tracer delivery and clearance. </w:t>
      </w:r>
      <w:r w:rsidR="000C2CFC">
        <w:rPr>
          <w:iCs/>
        </w:rPr>
        <w:t xml:space="preserve">Dynamic PET imaging allows more sophisticated modelling of the kinetics of the tracer after injection, and estimation of outcome measures less sensitive to </w:t>
      </w:r>
      <w:r w:rsidR="000E5E27">
        <w:rPr>
          <w:iCs/>
        </w:rPr>
        <w:t>subject-specific noise</w:t>
      </w:r>
      <w:r w:rsidR="000C2CFC">
        <w:rPr>
          <w:iCs/>
        </w:rPr>
        <w:t xml:space="preserve">. </w:t>
      </w:r>
      <w:r w:rsidRPr="00BE225B">
        <w:rPr>
          <w:iCs/>
        </w:rPr>
        <w:t>If an arterial input function</w:t>
      </w:r>
      <w:r w:rsidR="00154386">
        <w:rPr>
          <w:iCs/>
        </w:rPr>
        <w:t xml:space="preserve"> are available</w:t>
      </w:r>
      <w:r w:rsidRPr="00BE225B">
        <w:rPr>
          <w:iCs/>
        </w:rPr>
        <w:t>, volume of distribution (V</w:t>
      </w:r>
      <w:r w:rsidRPr="00BE225B">
        <w:rPr>
          <w:iCs/>
          <w:vertAlign w:val="subscript"/>
        </w:rPr>
        <w:t>T</w:t>
      </w:r>
      <w:r w:rsidRPr="00BE225B">
        <w:rPr>
          <w:iCs/>
        </w:rPr>
        <w:t>) can be estimated</w:t>
      </w:r>
      <w:r>
        <w:rPr>
          <w:iCs/>
        </w:rPr>
        <w:t xml:space="preserve">, </w:t>
      </w:r>
      <w:r w:rsidR="000E5E27">
        <w:rPr>
          <w:iCs/>
        </w:rPr>
        <w:t>which is</w:t>
      </w:r>
      <w:r>
        <w:rPr>
          <w:iCs/>
        </w:rPr>
        <w:t xml:space="preserve"> </w:t>
      </w:r>
      <w:r w:rsidRPr="00BE225B">
        <w:rPr>
          <w:iCs/>
        </w:rPr>
        <w:t xml:space="preserve">the ratio of tracer concentration </w:t>
      </w:r>
      <w:r>
        <w:rPr>
          <w:iCs/>
        </w:rPr>
        <w:t>between</w:t>
      </w:r>
      <w:r w:rsidRPr="00BE225B">
        <w:rPr>
          <w:iCs/>
        </w:rPr>
        <w:t xml:space="preserve"> the tissue </w:t>
      </w:r>
      <w:r>
        <w:rPr>
          <w:iCs/>
        </w:rPr>
        <w:t xml:space="preserve">and the </w:t>
      </w:r>
      <w:r w:rsidRPr="00BE225B">
        <w:rPr>
          <w:iCs/>
        </w:rPr>
        <w:t>blood</w:t>
      </w:r>
      <w:r w:rsidR="000E5E27">
        <w:rPr>
          <w:iCs/>
        </w:rPr>
        <w:t xml:space="preserve">. This </w:t>
      </w:r>
      <w:r>
        <w:rPr>
          <w:iCs/>
        </w:rPr>
        <w:t>becomes constant at equilibrium if a tracer binds reversibly to its target</w:t>
      </w:r>
      <w:r>
        <w:rPr>
          <w:iCs/>
        </w:rPr>
        <w:fldChar w:fldCharType="begin"/>
      </w:r>
      <w:r>
        <w:rPr>
          <w:iCs/>
        </w:rPr>
        <w:instrText xml:space="preserve"> ADDIN EN.CITE &lt;EndNote&gt;&lt;Cite&gt;&lt;Author&gt;McCluskey&lt;/Author&gt;&lt;Year&gt;2020&lt;/Year&gt;&lt;RecNum&gt;238&lt;/RecNum&gt;&lt;DisplayText&gt;&lt;style face="superscript"&gt;3&lt;/style&gt;&lt;/DisplayText&gt;&lt;record&gt;&lt;rec-number&gt;238&lt;/rec-number&gt;&lt;foreign-keys&gt;&lt;key app="EN" db-id="295fwsazdrf2xhettpov2rpn02vew2dwwr0t" timestamp="1703690703"&gt;238&lt;/key&gt;&lt;/foreign-keys&gt;&lt;ref-type name="Journal Article"&gt;17&lt;/ref-type&gt;&lt;contributors&gt;&lt;authors&gt;&lt;author&gt;McCluskey, Stuart P&lt;/author&gt;&lt;author&gt;Plisson, Christophe&lt;/author&gt;&lt;author&gt;Rabiner, Eugenii A&lt;/author&gt;&lt;author&gt;Howes, Oliver&lt;/author&gt;&lt;/authors&gt;&lt;/contributors&gt;&lt;titles&gt;&lt;title&gt;Advances in CNS PET: the state-of-the-art for new imaging targets for pathophysiology and drug development&lt;/title&gt;&lt;secondary-title&gt;European journal of nuclear medicine and molecular imaging&lt;/secondary-title&gt;&lt;/titles&gt;&lt;periodical&gt;&lt;full-title&gt;European Journal of Nuclear Medicine and Molecular Imaging&lt;/full-title&gt;&lt;/periodical&gt;&lt;pages&gt;451-489&lt;/pages&gt;&lt;volume&gt;47&lt;/volume&gt;&lt;dates&gt;&lt;year&gt;2020&lt;/year&gt;&lt;/dates&gt;&lt;isbn&gt;1619-7070&lt;/isbn&gt;&lt;urls&gt;&lt;/urls&gt;&lt;/record&gt;&lt;/Cite&gt;&lt;/EndNote&gt;</w:instrText>
      </w:r>
      <w:r>
        <w:rPr>
          <w:iCs/>
        </w:rPr>
        <w:fldChar w:fldCharType="separate"/>
      </w:r>
      <w:r w:rsidRPr="009D5D05">
        <w:rPr>
          <w:iCs/>
          <w:noProof/>
          <w:vertAlign w:val="superscript"/>
        </w:rPr>
        <w:t>3</w:t>
      </w:r>
      <w:r>
        <w:rPr>
          <w:iCs/>
        </w:rPr>
        <w:fldChar w:fldCharType="end"/>
      </w:r>
      <w:r w:rsidRPr="00BE225B">
        <w:rPr>
          <w:iCs/>
        </w:rPr>
        <w:t xml:space="preserve">. </w:t>
      </w:r>
      <w:r>
        <w:rPr>
          <w:iCs/>
        </w:rPr>
        <w:t>However, t</w:t>
      </w:r>
      <w:r w:rsidRPr="00BE225B">
        <w:rPr>
          <w:iCs/>
        </w:rPr>
        <w:t>he tissue signal will include tracer bound to the target of interest, but also nondisplaceable uptake</w:t>
      </w:r>
      <w:r>
        <w:rPr>
          <w:iCs/>
        </w:rPr>
        <w:t>, and therefore may overestimate the measured density of the target</w:t>
      </w:r>
      <w:r w:rsidRPr="00BE225B">
        <w:rPr>
          <w:iCs/>
        </w:rPr>
        <w:t>. As such, the distribution volume ratio (DVR) is often used instea</w:t>
      </w:r>
      <w:r w:rsidR="000C2CFC">
        <w:rPr>
          <w:iCs/>
        </w:rPr>
        <w:t>d</w:t>
      </w:r>
      <w:r w:rsidRPr="00BE225B">
        <w:rPr>
          <w:iCs/>
        </w:rPr>
        <w:fldChar w:fldCharType="begin">
          <w:fldData xml:space="preserve">PEVuZE5vdGU+PENpdGU+PEF1dGhvcj5NZWNjYTwvQXV0aG9yPjxZZWFyPjIwMjA8L1llYXI+PFJl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==
</w:fldData>
        </w:fldChar>
      </w:r>
      <w:r>
        <w:rPr>
          <w:iCs/>
        </w:rPr>
        <w:instrText xml:space="preserve"> ADDIN EN.CITE </w:instrText>
      </w:r>
      <w:r>
        <w:rPr>
          <w:iCs/>
        </w:rPr>
        <w:fldChar w:fldCharType="begin">
          <w:fldData xml:space="preserve">PEVuZE5vdGU+PENpdGU+PEF1dGhvcj5NZWNjYTwvQXV0aG9yPjxZZWFyPjIwMjA8L1llYXI+PFJl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==
</w:fldData>
        </w:fldChar>
      </w:r>
      <w:r>
        <w:rPr>
          <w:iCs/>
        </w:rPr>
        <w:instrText xml:space="preserve"> ADDIN EN.CITE.DATA </w:instrText>
      </w:r>
      <w:r>
        <w:rPr>
          <w:iCs/>
        </w:rPr>
      </w:r>
      <w:r>
        <w:rPr>
          <w:iCs/>
        </w:rPr>
        <w:fldChar w:fldCharType="end"/>
      </w:r>
      <w:r w:rsidRPr="00BE225B">
        <w:rPr>
          <w:iCs/>
        </w:rPr>
      </w:r>
      <w:r w:rsidRPr="00BE225B">
        <w:rPr>
          <w:iCs/>
        </w:rPr>
        <w:fldChar w:fldCharType="separate"/>
      </w:r>
      <w:r w:rsidRPr="009D5D05">
        <w:rPr>
          <w:iCs/>
          <w:noProof/>
          <w:vertAlign w:val="superscript"/>
        </w:rPr>
        <w:t>15,16</w:t>
      </w:r>
      <w:r w:rsidRPr="00BE225B">
        <w:rPr>
          <w:iCs/>
        </w:rPr>
        <w:fldChar w:fldCharType="end"/>
      </w:r>
      <w:r w:rsidR="000C2CFC">
        <w:rPr>
          <w:iCs/>
        </w:rPr>
        <w:t>.</w:t>
      </w:r>
      <w:r>
        <w:rPr>
          <w:iCs/>
        </w:rPr>
        <w:t xml:space="preserve"> </w:t>
      </w:r>
      <w:r w:rsidR="000C2CFC">
        <w:rPr>
          <w:iCs/>
        </w:rPr>
        <w:t>T</w:t>
      </w:r>
      <w:r>
        <w:rPr>
          <w:iCs/>
        </w:rPr>
        <w:t>his is</w:t>
      </w:r>
      <w:r w:rsidRPr="00BE225B">
        <w:rPr>
          <w:iCs/>
        </w:rPr>
        <w:t xml:space="preserve"> the ratio of V</w:t>
      </w:r>
      <w:r w:rsidRPr="00BE225B">
        <w:rPr>
          <w:iCs/>
          <w:vertAlign w:val="subscript"/>
        </w:rPr>
        <w:t>T</w:t>
      </w:r>
      <w:r w:rsidRPr="00BE225B">
        <w:rPr>
          <w:iCs/>
        </w:rPr>
        <w:t xml:space="preserve"> </w:t>
      </w:r>
      <w:r>
        <w:rPr>
          <w:iCs/>
        </w:rPr>
        <w:t xml:space="preserve">between </w:t>
      </w:r>
      <w:r w:rsidRPr="00BE225B">
        <w:rPr>
          <w:iCs/>
        </w:rPr>
        <w:t xml:space="preserve">the </w:t>
      </w:r>
      <w:r>
        <w:rPr>
          <w:iCs/>
        </w:rPr>
        <w:t>ROI</w:t>
      </w:r>
      <w:r w:rsidRPr="00BE225B">
        <w:rPr>
          <w:iCs/>
        </w:rPr>
        <w:t xml:space="preserve"> and a reference region, whose signal </w:t>
      </w:r>
      <w:r>
        <w:rPr>
          <w:iCs/>
        </w:rPr>
        <w:t>ideally</w:t>
      </w:r>
      <w:r w:rsidRPr="00BE225B">
        <w:rPr>
          <w:iCs/>
        </w:rPr>
        <w:t xml:space="preserve"> only reflect</w:t>
      </w:r>
      <w:r>
        <w:rPr>
          <w:iCs/>
        </w:rPr>
        <w:t>s</w:t>
      </w:r>
      <w:r w:rsidRPr="00BE225B">
        <w:rPr>
          <w:iCs/>
        </w:rPr>
        <w:t xml:space="preserve"> nondisplaceable uptake. The reference region approach can also be used to calculate endpoints without the need for ABS, with estimation of tracer binding potential (BP</w:t>
      </w:r>
      <w:r w:rsidRPr="00BE225B">
        <w:rPr>
          <w:iCs/>
          <w:vertAlign w:val="subscript"/>
        </w:rPr>
        <w:t>ND</w:t>
      </w:r>
      <w:r w:rsidRPr="00BE225B">
        <w:rPr>
          <w:iCs/>
        </w:rPr>
        <w:t>)</w:t>
      </w:r>
      <w:r w:rsidRPr="00BE225B">
        <w:rPr>
          <w:iCs/>
        </w:rPr>
        <w:fldChar w:fldCharType="begin"/>
      </w:r>
      <w:r>
        <w:rPr>
          <w:iCs/>
        </w:rPr>
        <w:instrText xml:space="preserve"> ADDIN EN.CITE &lt;EndNote&gt;&lt;Cite&gt;&lt;Author&gt;Mintun&lt;/Author&gt;&lt;Year&gt;1984&lt;/Year&gt;&lt;RecNum&gt;71&lt;/RecNum&gt;&lt;DisplayText&gt;&lt;style face="superscript"&gt;17&lt;/style&gt;&lt;/DisplayText&gt;&lt;record&gt;&lt;rec-number&gt;71&lt;/rec-number&gt;&lt;foreign-keys&gt;&lt;key app="EN" db-id="295fwsazdrf2xhettpov2rpn02vew2dwwr0t" timestamp="1699886430"&gt;71&lt;/key&gt;&lt;/foreign-keys&gt;&lt;ref-type name="Journal Article"&gt;17&lt;/ref-type&gt;&lt;contributors&gt;&lt;authors&gt;&lt;author&gt;Mintun, Mark A&lt;/author&gt;&lt;author&gt;Raichle, Marcus E&lt;/author&gt;&lt;author&gt;Kilbourn, Michael R&lt;/author&gt;&lt;author&gt;Wooten, G Frederick&lt;/author&gt;&lt;author&gt;Welch, Michael J&lt;/author&gt;&lt;/authors&gt;&lt;/contributors&gt;&lt;titles&gt;&lt;title&gt;A quantitative model for the in vivo assessment of drug binding sites with positron emission tomography&lt;/title&gt;&lt;secondary-title&gt;Annals of Neurology: Official Journal of the American Neurological Association and the Child Neurology Society&lt;/secondary-title&gt;&lt;/titles&gt;&lt;periodical&gt;&lt;full-title&gt;Annals of Neurology: Official Journal of the American Neurological Association and the Child Neurology Society&lt;/full-title&gt;&lt;/periodical&gt;&lt;pages&gt;217-227&lt;/pages&gt;&lt;volume&gt;15&lt;/volume&gt;&lt;number&gt;3&lt;/number&gt;&lt;dates&gt;&lt;year&gt;1984&lt;/year&gt;&lt;/dates&gt;&lt;isbn&gt;0364-5134&lt;/isbn&gt;&lt;urls&gt;&lt;/urls&gt;&lt;/record&gt;&lt;/Cite&gt;&lt;/EndNote&gt;</w:instrText>
      </w:r>
      <w:r w:rsidRPr="00BE225B">
        <w:rPr>
          <w:iCs/>
        </w:rPr>
        <w:fldChar w:fldCharType="separate"/>
      </w:r>
      <w:r w:rsidRPr="009D5D05">
        <w:rPr>
          <w:iCs/>
          <w:noProof/>
          <w:vertAlign w:val="superscript"/>
        </w:rPr>
        <w:t>17</w:t>
      </w:r>
      <w:r w:rsidRPr="00BE225B">
        <w:rPr>
          <w:iCs/>
        </w:rPr>
        <w:fldChar w:fldCharType="end"/>
      </w:r>
      <w:r w:rsidRPr="00BE225B">
        <w:rPr>
          <w:iCs/>
        </w:rPr>
        <w:t xml:space="preserve">. </w:t>
      </w:r>
      <w:r w:rsidRPr="009D5D05">
        <w:rPr>
          <w:iCs/>
        </w:rPr>
        <w:t>BP</w:t>
      </w:r>
      <w:r w:rsidRPr="009D5D05">
        <w:rPr>
          <w:iCs/>
          <w:vertAlign w:val="subscript"/>
        </w:rPr>
        <w:t>ND</w:t>
      </w:r>
      <w:r w:rsidRPr="009D5D05">
        <w:rPr>
          <w:iCs/>
        </w:rPr>
        <w:t xml:space="preserve"> reflects both the density of available tracer binding sites and the affinity of the tracer for the protein target, and is calculated using the ratio of specific to nondisplaceable volume of distribution</w:t>
      </w:r>
      <w:r w:rsidRPr="009D5D05">
        <w:rPr>
          <w:iCs/>
        </w:rPr>
        <w:fldChar w:fldCharType="begin"/>
      </w:r>
      <w:r>
        <w:rPr>
          <w:iCs/>
        </w:rPr>
        <w:instrText xml:space="preserve"> ADDIN EN.CITE &lt;EndNote&gt;&lt;Cite&gt;&lt;Author&gt;Innis&lt;/Author&gt;&lt;Year&gt;2007&lt;/Year&gt;&lt;RecNum&gt;75&lt;/RecNum&gt;&lt;DisplayText&gt;&lt;style face="superscript"&gt;18&lt;/style&gt;&lt;/DisplayText&gt;&lt;record&gt;&lt;rec-number&gt;75&lt;/rec-number&gt;&lt;foreign-keys&gt;&lt;key app="EN" db-id="295fwsazdrf2xhettpov2rpn02vew2dwwr0t" timestamp="1699889261"&gt;75&lt;/key&gt;&lt;/foreign-keys&gt;&lt;ref-type name="Journal Article"&gt;17&lt;/ref-type&gt;&lt;contributors&gt;&lt;authors&gt;&lt;author&gt;Innis, Robert B&lt;/author&gt;&lt;author&gt;Cunningham, Vincent J&lt;/author&gt;&lt;author&gt;Delforge, Jacques&lt;/author&gt;&lt;author&gt;Fujita, Masahiro&lt;/author&gt;&lt;author&gt;Gjedde, Albert&lt;/author&gt;&lt;author&gt;Gunn, Roger N&lt;/author&gt;&lt;author&gt;Holden, James&lt;/author&gt;&lt;author&gt;Houle, Sylvain&lt;/author&gt;&lt;author&gt;Huang, Sung-Cheng&lt;/author&gt;&lt;author&gt;Ichise, Masanori&lt;/author&gt;&lt;/authors&gt;&lt;/contributors&gt;&lt;titles&gt;&lt;title&gt;Consensus nomenclature for in vivo imaging of reversibly binding radioligands&lt;/title&gt;&lt;secondary-title&gt;Journal of Cerebral Blood Flow &amp;amp; Metabolism&lt;/secondary-title&gt;&lt;/titles&gt;&lt;periodical&gt;&lt;full-title&gt;Journal of Cerebral Blood Flow &amp;amp; Metabolism&lt;/full-title&gt;&lt;/periodical&gt;&lt;pages&gt;1533-1539&lt;/pages&gt;&lt;volume&gt;27&lt;/volume&gt;&lt;number&gt;9&lt;/number&gt;&lt;dates&gt;&lt;year&gt;2007&lt;/year&gt;&lt;/dates&gt;&lt;isbn&gt;0271-678X&lt;/isbn&gt;&lt;urls&gt;&lt;/urls&gt;&lt;/record&gt;&lt;/Cite&gt;&lt;/EndNote&gt;</w:instrText>
      </w:r>
      <w:r w:rsidRPr="009D5D05">
        <w:rPr>
          <w:iCs/>
        </w:rPr>
        <w:fldChar w:fldCharType="separate"/>
      </w:r>
      <w:r w:rsidRPr="009D5D05">
        <w:rPr>
          <w:iCs/>
          <w:noProof/>
          <w:vertAlign w:val="superscript"/>
        </w:rPr>
        <w:t>18</w:t>
      </w:r>
      <w:r w:rsidRPr="009D5D05">
        <w:rPr>
          <w:iCs/>
        </w:rPr>
        <w:fldChar w:fldCharType="end"/>
      </w:r>
      <w:r w:rsidRPr="009D5D05">
        <w:rPr>
          <w:iCs/>
        </w:rPr>
        <w:t xml:space="preserve">. </w:t>
      </w:r>
      <w:r w:rsidR="000D2D6A">
        <w:rPr>
          <w:iCs/>
        </w:rPr>
        <w:t>It can be derived from estimates of V</w:t>
      </w:r>
      <w:r w:rsidR="000D2D6A">
        <w:rPr>
          <w:iCs/>
          <w:vertAlign w:val="subscript"/>
        </w:rPr>
        <w:t>T</w:t>
      </w:r>
      <w:r w:rsidR="000D2D6A">
        <w:rPr>
          <w:iCs/>
        </w:rPr>
        <w:t xml:space="preserve">, </w:t>
      </w:r>
      <w:r w:rsidR="008B1003">
        <w:rPr>
          <w:iCs/>
        </w:rPr>
        <w:t xml:space="preserve">in which case ABS will be needed, </w:t>
      </w:r>
      <w:r w:rsidR="000D2D6A">
        <w:rPr>
          <w:iCs/>
        </w:rPr>
        <w:t>but can also be estimated using the simplified reference tissue model</w:t>
      </w:r>
      <w:r w:rsidR="00180CE1">
        <w:rPr>
          <w:iCs/>
        </w:rPr>
        <w:t xml:space="preserve">, whereby the </w:t>
      </w:r>
      <w:r w:rsidR="00DD408F">
        <w:rPr>
          <w:iCs/>
        </w:rPr>
        <w:t>arterial input function is assumed from the time activity curve of the reference region</w:t>
      </w:r>
      <w:r w:rsidR="00DD408F">
        <w:rPr>
          <w:iCs/>
        </w:rPr>
        <w:fldChar w:fldCharType="begin"/>
      </w:r>
      <w:r w:rsidR="00DD408F">
        <w:rPr>
          <w:iCs/>
        </w:rPr>
        <w:instrText xml:space="preserve"> ADDIN EN.CITE &lt;EndNote&gt;&lt;Cite&gt;&lt;Author&gt;Lammertsma&lt;/Author&gt;&lt;Year&gt;1996&lt;/Year&gt;&lt;RecNum&gt;451&lt;/RecNum&gt;&lt;DisplayText&gt;&lt;style face="superscript"&gt;19&lt;/style&gt;&lt;/DisplayText&gt;&lt;record&gt;&lt;rec-number&gt;451&lt;/rec-number&gt;&lt;foreign-keys&gt;&lt;key app="EN" db-id="295fwsazdrf2xhettpov2rpn02vew2dwwr0t" timestamp="1715874785"&gt;451&lt;/key&gt;&lt;/foreign-keys&gt;&lt;ref-type name="Journal Article"&gt;17&lt;/ref-type&gt;&lt;contributors&gt;&lt;authors&gt;&lt;author&gt;Lammertsma, Adriaan A&lt;/author&gt;&lt;author&gt;Hume, Susan P&lt;/author&gt;&lt;/authors&gt;&lt;/contributors&gt;&lt;titles&gt;&lt;title&gt;Simplified reference tissue model for PET receptor studies&lt;/title&gt;&lt;secondary-title&gt;Neuroimage&lt;/secondary-title&gt;&lt;/titles&gt;&lt;periodical&gt;&lt;full-title&gt;Neuroimage&lt;/full-title&gt;&lt;/periodical&gt;&lt;pages&gt;153-158&lt;/pages&gt;&lt;volume&gt;4&lt;/volume&gt;&lt;number&gt;3&lt;/number&gt;&lt;dates&gt;&lt;year&gt;1996&lt;/year&gt;&lt;/dates&gt;&lt;isbn&gt;1053-8119&lt;/isbn&gt;&lt;urls&gt;&lt;/urls&gt;&lt;/record&gt;&lt;/Cite&gt;&lt;/EndNote&gt;</w:instrText>
      </w:r>
      <w:r w:rsidR="00DD408F">
        <w:rPr>
          <w:iCs/>
        </w:rPr>
        <w:fldChar w:fldCharType="separate"/>
      </w:r>
      <w:r w:rsidR="00DD408F" w:rsidRPr="00DD408F">
        <w:rPr>
          <w:iCs/>
          <w:noProof/>
          <w:vertAlign w:val="superscript"/>
        </w:rPr>
        <w:t>19</w:t>
      </w:r>
      <w:r w:rsidR="00DD408F">
        <w:rPr>
          <w:iCs/>
        </w:rPr>
        <w:fldChar w:fldCharType="end"/>
      </w:r>
      <w:r w:rsidR="00DD408F">
        <w:rPr>
          <w:iCs/>
        </w:rPr>
        <w:t xml:space="preserve">. </w:t>
      </w:r>
    </w:p>
    <w:p w14:paraId="1A6DBD3C" w14:textId="77777777" w:rsidR="00651F91" w:rsidRDefault="00651F91" w:rsidP="009D5D05">
      <w:pPr>
        <w:spacing w:line="360" w:lineRule="auto"/>
        <w:rPr>
          <w:iCs/>
        </w:rPr>
      </w:pPr>
    </w:p>
    <w:p w14:paraId="7401E94D" w14:textId="77777777" w:rsidR="00651F91" w:rsidRDefault="00651F91" w:rsidP="009D5D05">
      <w:pPr>
        <w:spacing w:line="360" w:lineRule="auto"/>
        <w:rPr>
          <w:iCs/>
        </w:rPr>
      </w:pPr>
    </w:p>
    <w:p w14:paraId="6E4C1417" w14:textId="77777777" w:rsidR="00651F91" w:rsidRDefault="00651F91" w:rsidP="009D5D05">
      <w:pPr>
        <w:spacing w:line="360" w:lineRule="auto"/>
        <w:rPr>
          <w:iCs/>
        </w:rPr>
      </w:pPr>
    </w:p>
    <w:p w14:paraId="0FDB110B" w14:textId="77777777" w:rsidR="00651F91" w:rsidRDefault="00651F91" w:rsidP="009D5D05">
      <w:pPr>
        <w:spacing w:line="360" w:lineRule="auto"/>
        <w:rPr>
          <w:iCs/>
        </w:rPr>
      </w:pPr>
    </w:p>
    <w:p w14:paraId="702989D5" w14:textId="77777777" w:rsidR="00651F91" w:rsidRDefault="00651F91" w:rsidP="009D5D05">
      <w:pPr>
        <w:spacing w:line="360" w:lineRule="auto"/>
        <w:rPr>
          <w:iCs/>
        </w:rPr>
      </w:pPr>
    </w:p>
    <w:p w14:paraId="12A0095A" w14:textId="77777777" w:rsidR="00651F91" w:rsidRDefault="00651F91" w:rsidP="009D5D05">
      <w:pPr>
        <w:spacing w:line="360" w:lineRule="auto"/>
        <w:rPr>
          <w:iCs/>
        </w:rPr>
      </w:pPr>
    </w:p>
    <w:p w14:paraId="5392CFB3" w14:textId="77777777" w:rsidR="00651F91" w:rsidRDefault="00651F91" w:rsidP="009D5D05">
      <w:pPr>
        <w:spacing w:line="360" w:lineRule="auto"/>
        <w:rPr>
          <w:iCs/>
        </w:rPr>
      </w:pPr>
    </w:p>
    <w:p w14:paraId="4F3CAD8D" w14:textId="77777777" w:rsidR="00651F91" w:rsidRDefault="00651F91" w:rsidP="009D5D05">
      <w:pPr>
        <w:spacing w:line="360" w:lineRule="auto"/>
        <w:rPr>
          <w:iCs/>
        </w:rPr>
      </w:pPr>
    </w:p>
    <w:p w14:paraId="183F8D64" w14:textId="77777777" w:rsidR="00651F91" w:rsidRDefault="00651F91" w:rsidP="009D5D05">
      <w:pPr>
        <w:spacing w:line="360" w:lineRule="auto"/>
        <w:rPr>
          <w:iCs/>
        </w:rPr>
      </w:pPr>
    </w:p>
    <w:p w14:paraId="39CE0604" w14:textId="77777777" w:rsidR="00651F91" w:rsidRDefault="00651F91" w:rsidP="009D5D05">
      <w:pPr>
        <w:spacing w:line="360" w:lineRule="auto"/>
        <w:rPr>
          <w:iCs/>
        </w:rPr>
      </w:pPr>
    </w:p>
    <w:p w14:paraId="6318849E" w14:textId="77777777" w:rsidR="00651F91" w:rsidRDefault="00651F91" w:rsidP="009D5D05">
      <w:pPr>
        <w:spacing w:line="360" w:lineRule="auto"/>
        <w:rPr>
          <w:iCs/>
        </w:rPr>
      </w:pPr>
    </w:p>
    <w:p w14:paraId="4A012356" w14:textId="77777777" w:rsidR="00651F91" w:rsidRDefault="00651F91" w:rsidP="009D5D05">
      <w:pPr>
        <w:spacing w:line="360" w:lineRule="auto"/>
        <w:rPr>
          <w:iCs/>
        </w:rPr>
      </w:pPr>
    </w:p>
    <w:p w14:paraId="5527704F" w14:textId="77777777" w:rsidR="00651F91" w:rsidRDefault="00651F91" w:rsidP="009D5D05">
      <w:pPr>
        <w:spacing w:line="360" w:lineRule="auto"/>
        <w:rPr>
          <w:iCs/>
        </w:rPr>
      </w:pPr>
    </w:p>
    <w:tbl>
      <w:tblPr>
        <w:tblStyle w:val="TableGrid"/>
        <w:tblW w:w="0" w:type="auto"/>
        <w:tblLook w:val="04A0" w:firstRow="1" w:lastRow="0" w:firstColumn="1" w:lastColumn="0" w:noHBand="0" w:noVBand="1"/>
      </w:tblPr>
      <w:tblGrid>
        <w:gridCol w:w="2205"/>
        <w:gridCol w:w="6811"/>
      </w:tblGrid>
      <w:tr w:rsidR="00304B5F" w:rsidRPr="005633E0" w14:paraId="4B24ECA8" w14:textId="77777777" w:rsidTr="0008408F">
        <w:tc>
          <w:tcPr>
            <w:tcW w:w="9016" w:type="dxa"/>
            <w:gridSpan w:val="2"/>
          </w:tcPr>
          <w:p w14:paraId="43345EC8" w14:textId="77777777" w:rsidR="00304B5F" w:rsidRPr="005633E0" w:rsidRDefault="00304B5F" w:rsidP="00C3185A">
            <w:pPr>
              <w:rPr>
                <w:rFonts w:ascii="Aptos" w:hAnsi="Aptos"/>
                <w:b/>
                <w:bCs/>
                <w:iCs/>
                <w:sz w:val="20"/>
                <w:szCs w:val="20"/>
              </w:rPr>
            </w:pPr>
            <w:r w:rsidRPr="005633E0">
              <w:rPr>
                <w:rFonts w:ascii="Aptos" w:hAnsi="Aptos"/>
                <w:b/>
                <w:bCs/>
                <w:iCs/>
                <w:sz w:val="20"/>
                <w:szCs w:val="20"/>
              </w:rPr>
              <w:t>Glossary of PET terminology</w:t>
            </w:r>
          </w:p>
        </w:tc>
      </w:tr>
      <w:tr w:rsidR="00304B5F" w:rsidRPr="005633E0" w14:paraId="79995B3A" w14:textId="77777777" w:rsidTr="0008408F">
        <w:tc>
          <w:tcPr>
            <w:tcW w:w="2205" w:type="dxa"/>
          </w:tcPr>
          <w:p w14:paraId="6297C63E" w14:textId="77777777" w:rsidR="00304B5F" w:rsidRPr="005633E0" w:rsidRDefault="00304B5F" w:rsidP="00C3185A">
            <w:pPr>
              <w:rPr>
                <w:rFonts w:ascii="Aptos" w:hAnsi="Aptos"/>
                <w:b/>
                <w:bCs/>
                <w:iCs/>
                <w:sz w:val="20"/>
                <w:szCs w:val="20"/>
              </w:rPr>
            </w:pPr>
            <w:r w:rsidRPr="005633E0">
              <w:rPr>
                <w:rFonts w:ascii="Aptos" w:hAnsi="Aptos"/>
                <w:b/>
                <w:bCs/>
                <w:iCs/>
                <w:sz w:val="20"/>
                <w:szCs w:val="20"/>
              </w:rPr>
              <w:t>Compartment</w:t>
            </w:r>
          </w:p>
        </w:tc>
        <w:tc>
          <w:tcPr>
            <w:tcW w:w="6811" w:type="dxa"/>
          </w:tcPr>
          <w:p w14:paraId="739D10DC" w14:textId="77777777" w:rsidR="00304B5F" w:rsidRPr="005633E0" w:rsidRDefault="00304B5F" w:rsidP="00C3185A">
            <w:pPr>
              <w:rPr>
                <w:rFonts w:ascii="Aptos" w:hAnsi="Aptos"/>
                <w:iCs/>
                <w:sz w:val="20"/>
                <w:szCs w:val="20"/>
              </w:rPr>
            </w:pPr>
            <w:r w:rsidRPr="005633E0">
              <w:rPr>
                <w:rFonts w:ascii="Aptos" w:hAnsi="Aptos"/>
                <w:iCs/>
                <w:sz w:val="20"/>
                <w:szCs w:val="20"/>
              </w:rPr>
              <w:t xml:space="preserve">A conceptual division where measured radioactivity could emanate from. Used to inform the compartmental model, which assumes the presence of tracer in one or more tissue compartments (e.g. blood, the free and the bound states in a receptor study).  </w:t>
            </w:r>
          </w:p>
          <w:p w14:paraId="6B9CCE0B" w14:textId="77777777" w:rsidR="00304B5F" w:rsidRPr="005633E0" w:rsidRDefault="00304B5F" w:rsidP="00C3185A">
            <w:pPr>
              <w:rPr>
                <w:rFonts w:ascii="Aptos" w:hAnsi="Aptos"/>
                <w:iCs/>
                <w:sz w:val="20"/>
                <w:szCs w:val="20"/>
              </w:rPr>
            </w:pPr>
          </w:p>
        </w:tc>
      </w:tr>
      <w:tr w:rsidR="00304B5F" w:rsidRPr="005633E0" w14:paraId="1C9BC913" w14:textId="77777777" w:rsidTr="0008408F">
        <w:tc>
          <w:tcPr>
            <w:tcW w:w="2205" w:type="dxa"/>
          </w:tcPr>
          <w:p w14:paraId="0B4DBB2E" w14:textId="77777777" w:rsidR="00304B5F" w:rsidRPr="005633E0" w:rsidRDefault="00304B5F" w:rsidP="00C3185A">
            <w:pPr>
              <w:rPr>
                <w:rFonts w:ascii="Aptos" w:hAnsi="Aptos"/>
                <w:b/>
                <w:bCs/>
                <w:iCs/>
                <w:sz w:val="20"/>
                <w:szCs w:val="20"/>
              </w:rPr>
            </w:pPr>
            <w:r w:rsidRPr="005633E0">
              <w:rPr>
                <w:rFonts w:ascii="Aptos" w:hAnsi="Aptos"/>
                <w:b/>
                <w:bCs/>
                <w:iCs/>
                <w:sz w:val="20"/>
                <w:szCs w:val="20"/>
              </w:rPr>
              <w:t>Specific uptake</w:t>
            </w:r>
          </w:p>
        </w:tc>
        <w:tc>
          <w:tcPr>
            <w:tcW w:w="6811" w:type="dxa"/>
          </w:tcPr>
          <w:p w14:paraId="401297F9" w14:textId="77777777" w:rsidR="00304B5F" w:rsidRPr="005633E0" w:rsidRDefault="00304B5F" w:rsidP="00C3185A">
            <w:pPr>
              <w:rPr>
                <w:rFonts w:ascii="Aptos" w:hAnsi="Aptos"/>
                <w:iCs/>
                <w:sz w:val="20"/>
                <w:szCs w:val="20"/>
              </w:rPr>
            </w:pPr>
            <w:r w:rsidRPr="005633E0">
              <w:rPr>
                <w:rFonts w:ascii="Aptos" w:hAnsi="Aptos"/>
                <w:iCs/>
                <w:sz w:val="20"/>
                <w:szCs w:val="20"/>
              </w:rPr>
              <w:t>Uptake of tracer into</w:t>
            </w:r>
            <w:r w:rsidRPr="005633E0" w:rsidDel="003003CD">
              <w:rPr>
                <w:rFonts w:ascii="Aptos" w:hAnsi="Aptos"/>
                <w:iCs/>
                <w:sz w:val="20"/>
                <w:szCs w:val="20"/>
              </w:rPr>
              <w:t xml:space="preserve"> </w:t>
            </w:r>
            <w:r w:rsidRPr="005633E0">
              <w:rPr>
                <w:rFonts w:ascii="Aptos" w:hAnsi="Aptos"/>
                <w:iCs/>
                <w:sz w:val="20"/>
                <w:szCs w:val="20"/>
              </w:rPr>
              <w:t>the compartment of interest.</w:t>
            </w:r>
          </w:p>
          <w:p w14:paraId="245CF124" w14:textId="77777777" w:rsidR="00304B5F" w:rsidRPr="005633E0" w:rsidRDefault="00304B5F" w:rsidP="00C3185A">
            <w:pPr>
              <w:rPr>
                <w:rFonts w:ascii="Aptos" w:hAnsi="Aptos"/>
                <w:iCs/>
                <w:sz w:val="20"/>
                <w:szCs w:val="20"/>
              </w:rPr>
            </w:pPr>
          </w:p>
        </w:tc>
      </w:tr>
      <w:tr w:rsidR="00304B5F" w:rsidRPr="005633E0" w14:paraId="29915E88" w14:textId="77777777" w:rsidTr="0008408F">
        <w:tc>
          <w:tcPr>
            <w:tcW w:w="2205" w:type="dxa"/>
          </w:tcPr>
          <w:p w14:paraId="1F7D8CF6" w14:textId="77777777" w:rsidR="00304B5F" w:rsidRPr="005633E0" w:rsidRDefault="00304B5F" w:rsidP="00C3185A">
            <w:pPr>
              <w:rPr>
                <w:rFonts w:ascii="Aptos" w:hAnsi="Aptos"/>
                <w:b/>
                <w:bCs/>
                <w:iCs/>
                <w:sz w:val="20"/>
                <w:szCs w:val="20"/>
              </w:rPr>
            </w:pPr>
            <w:r w:rsidRPr="005633E0">
              <w:rPr>
                <w:rFonts w:ascii="Aptos" w:hAnsi="Aptos"/>
                <w:b/>
                <w:bCs/>
                <w:iCs/>
                <w:sz w:val="20"/>
                <w:szCs w:val="20"/>
              </w:rPr>
              <w:t>Non-displaceable uptake</w:t>
            </w:r>
          </w:p>
        </w:tc>
        <w:tc>
          <w:tcPr>
            <w:tcW w:w="6811" w:type="dxa"/>
          </w:tcPr>
          <w:p w14:paraId="2E956F8B" w14:textId="77777777" w:rsidR="00304B5F" w:rsidRPr="005633E0" w:rsidRDefault="00304B5F" w:rsidP="00C3185A">
            <w:pPr>
              <w:rPr>
                <w:rFonts w:ascii="Aptos" w:hAnsi="Aptos"/>
                <w:iCs/>
                <w:sz w:val="20"/>
                <w:szCs w:val="20"/>
              </w:rPr>
            </w:pPr>
            <w:r w:rsidRPr="005633E0">
              <w:rPr>
                <w:rFonts w:ascii="Aptos" w:hAnsi="Aptos"/>
                <w:iCs/>
                <w:sz w:val="20"/>
                <w:szCs w:val="20"/>
              </w:rPr>
              <w:t xml:space="preserve">Uptake of tracer into the free and nonspecifically bound compartments, which combines with specific uptake to constitute the measured PET signal in tissue. </w:t>
            </w:r>
          </w:p>
          <w:p w14:paraId="35E4E77C" w14:textId="77777777" w:rsidR="00304B5F" w:rsidRPr="005633E0" w:rsidRDefault="00304B5F" w:rsidP="00C3185A">
            <w:pPr>
              <w:rPr>
                <w:rFonts w:ascii="Aptos" w:hAnsi="Aptos"/>
                <w:iCs/>
                <w:sz w:val="20"/>
                <w:szCs w:val="20"/>
              </w:rPr>
            </w:pPr>
          </w:p>
        </w:tc>
      </w:tr>
      <w:tr w:rsidR="00304B5F" w:rsidRPr="005633E0" w14:paraId="1BFD2F0D" w14:textId="77777777" w:rsidTr="0008408F">
        <w:tc>
          <w:tcPr>
            <w:tcW w:w="2205" w:type="dxa"/>
          </w:tcPr>
          <w:p w14:paraId="48E4631E" w14:textId="77777777" w:rsidR="00304B5F" w:rsidRPr="005633E0" w:rsidRDefault="00304B5F" w:rsidP="00C3185A">
            <w:pPr>
              <w:rPr>
                <w:rFonts w:ascii="Aptos" w:hAnsi="Aptos"/>
                <w:b/>
                <w:bCs/>
                <w:iCs/>
                <w:sz w:val="20"/>
                <w:szCs w:val="20"/>
              </w:rPr>
            </w:pPr>
            <w:r w:rsidRPr="005633E0">
              <w:rPr>
                <w:rFonts w:ascii="Aptos" w:hAnsi="Aptos"/>
                <w:b/>
                <w:bCs/>
                <w:iCs/>
                <w:sz w:val="20"/>
                <w:szCs w:val="20"/>
              </w:rPr>
              <w:t>Reference region</w:t>
            </w:r>
          </w:p>
        </w:tc>
        <w:tc>
          <w:tcPr>
            <w:tcW w:w="6811" w:type="dxa"/>
          </w:tcPr>
          <w:p w14:paraId="7CBB5C52" w14:textId="77777777" w:rsidR="00304B5F" w:rsidRPr="005633E0" w:rsidRDefault="00304B5F" w:rsidP="00C3185A">
            <w:pPr>
              <w:rPr>
                <w:rFonts w:ascii="Aptos" w:hAnsi="Aptos"/>
                <w:iCs/>
                <w:sz w:val="20"/>
                <w:szCs w:val="20"/>
              </w:rPr>
            </w:pPr>
            <w:r w:rsidRPr="005633E0">
              <w:rPr>
                <w:rFonts w:ascii="Aptos" w:hAnsi="Aptos"/>
                <w:iCs/>
                <w:sz w:val="20"/>
                <w:szCs w:val="20"/>
              </w:rPr>
              <w:t xml:space="preserve">A brain region assumed to have minimal expression of the target of interest, but identical nondisplaceable uptake to other brain regions. Used to calculate various outcome measures. </w:t>
            </w:r>
          </w:p>
          <w:p w14:paraId="3AD1C19B" w14:textId="77777777" w:rsidR="00304B5F" w:rsidRPr="005633E0" w:rsidRDefault="00304B5F" w:rsidP="00C3185A">
            <w:pPr>
              <w:rPr>
                <w:rFonts w:ascii="Aptos" w:hAnsi="Aptos"/>
                <w:iCs/>
                <w:sz w:val="20"/>
                <w:szCs w:val="20"/>
              </w:rPr>
            </w:pPr>
          </w:p>
        </w:tc>
      </w:tr>
      <w:tr w:rsidR="00304B5F" w:rsidRPr="005633E0" w14:paraId="66F82A63" w14:textId="77777777" w:rsidTr="0008408F">
        <w:tc>
          <w:tcPr>
            <w:tcW w:w="2205" w:type="dxa"/>
          </w:tcPr>
          <w:p w14:paraId="5B02D419" w14:textId="77777777" w:rsidR="00304B5F" w:rsidRPr="005633E0" w:rsidRDefault="00304B5F" w:rsidP="00C3185A">
            <w:pPr>
              <w:rPr>
                <w:rFonts w:ascii="Aptos" w:hAnsi="Aptos"/>
                <w:b/>
                <w:bCs/>
                <w:iCs/>
                <w:sz w:val="20"/>
                <w:szCs w:val="20"/>
              </w:rPr>
            </w:pPr>
            <w:r w:rsidRPr="005633E0">
              <w:rPr>
                <w:rFonts w:ascii="Aptos" w:hAnsi="Aptos"/>
                <w:b/>
                <w:bCs/>
                <w:iCs/>
                <w:sz w:val="20"/>
                <w:szCs w:val="20"/>
              </w:rPr>
              <w:t>Standardised uptake value (SUV)</w:t>
            </w:r>
          </w:p>
        </w:tc>
        <w:tc>
          <w:tcPr>
            <w:tcW w:w="6811" w:type="dxa"/>
          </w:tcPr>
          <w:p w14:paraId="168F9CC6" w14:textId="46AFB84A" w:rsidR="00304B5F" w:rsidRPr="005633E0" w:rsidRDefault="00304B5F" w:rsidP="00C3185A">
            <w:pPr>
              <w:rPr>
                <w:rFonts w:ascii="Aptos" w:hAnsi="Aptos"/>
                <w:iCs/>
                <w:sz w:val="20"/>
                <w:szCs w:val="20"/>
              </w:rPr>
            </w:pPr>
            <w:r w:rsidRPr="005633E0">
              <w:rPr>
                <w:rFonts w:ascii="Aptos" w:hAnsi="Aptos"/>
                <w:iCs/>
                <w:sz w:val="20"/>
                <w:szCs w:val="20"/>
              </w:rPr>
              <w:t>The ratio between radioactivity concentration in a voxel and the injected dose per unit body weight. Can be used to calculate SUVR, or the ratio of SUV between a ROI and reference region, a common outcome measure</w:t>
            </w:r>
            <w:r w:rsidR="00073366">
              <w:rPr>
                <w:rFonts w:ascii="Aptos" w:hAnsi="Aptos"/>
                <w:iCs/>
                <w:sz w:val="20"/>
                <w:szCs w:val="20"/>
              </w:rPr>
              <w:t>, based on</w:t>
            </w:r>
            <w:r w:rsidR="00525C3D">
              <w:rPr>
                <w:rFonts w:ascii="Aptos" w:hAnsi="Aptos"/>
                <w:iCs/>
                <w:sz w:val="20"/>
                <w:szCs w:val="20"/>
              </w:rPr>
              <w:t xml:space="preserve"> the average radioactivity concentration over a given period of time</w:t>
            </w:r>
            <w:r w:rsidRPr="005633E0">
              <w:rPr>
                <w:rFonts w:ascii="Aptos" w:hAnsi="Aptos"/>
                <w:iCs/>
                <w:sz w:val="20"/>
                <w:szCs w:val="20"/>
              </w:rPr>
              <w:t xml:space="preserve">. </w:t>
            </w:r>
          </w:p>
          <w:p w14:paraId="1E7E1BAB" w14:textId="77777777" w:rsidR="00304B5F" w:rsidRPr="005633E0" w:rsidRDefault="00304B5F" w:rsidP="00C3185A">
            <w:pPr>
              <w:rPr>
                <w:rFonts w:ascii="Aptos" w:hAnsi="Aptos"/>
                <w:iCs/>
                <w:sz w:val="20"/>
                <w:szCs w:val="20"/>
              </w:rPr>
            </w:pPr>
          </w:p>
        </w:tc>
      </w:tr>
      <w:tr w:rsidR="00304B5F" w:rsidRPr="005633E0" w14:paraId="3B2905AD" w14:textId="77777777" w:rsidTr="0008408F">
        <w:tc>
          <w:tcPr>
            <w:tcW w:w="2205" w:type="dxa"/>
          </w:tcPr>
          <w:p w14:paraId="597F0BCE" w14:textId="77777777" w:rsidR="00304B5F" w:rsidRPr="005633E0" w:rsidRDefault="00304B5F" w:rsidP="00C3185A">
            <w:pPr>
              <w:rPr>
                <w:rFonts w:ascii="Aptos" w:hAnsi="Aptos"/>
                <w:b/>
                <w:bCs/>
                <w:iCs/>
                <w:sz w:val="20"/>
                <w:szCs w:val="20"/>
              </w:rPr>
            </w:pPr>
            <w:r w:rsidRPr="005633E0">
              <w:rPr>
                <w:rFonts w:ascii="Aptos" w:hAnsi="Aptos"/>
                <w:b/>
                <w:bCs/>
                <w:iCs/>
                <w:sz w:val="20"/>
                <w:szCs w:val="20"/>
              </w:rPr>
              <w:t>Plasma free fraction (</w:t>
            </w:r>
            <w:r w:rsidRPr="005633E0">
              <w:rPr>
                <w:rFonts w:ascii="Aptos" w:hAnsi="Aptos"/>
                <w:b/>
                <w:bCs/>
                <w:i/>
                <w:sz w:val="20"/>
                <w:szCs w:val="20"/>
              </w:rPr>
              <w:t>f</w:t>
            </w:r>
            <w:r w:rsidRPr="005633E0">
              <w:rPr>
                <w:rFonts w:ascii="Aptos" w:hAnsi="Aptos"/>
                <w:b/>
                <w:bCs/>
                <w:i/>
                <w:sz w:val="20"/>
                <w:szCs w:val="20"/>
                <w:vertAlign w:val="subscript"/>
              </w:rPr>
              <w:t>p</w:t>
            </w:r>
            <w:r w:rsidRPr="005633E0">
              <w:rPr>
                <w:rFonts w:ascii="Aptos" w:hAnsi="Aptos"/>
                <w:b/>
                <w:bCs/>
                <w:iCs/>
                <w:sz w:val="20"/>
                <w:szCs w:val="20"/>
              </w:rPr>
              <w:t>)</w:t>
            </w:r>
          </w:p>
        </w:tc>
        <w:tc>
          <w:tcPr>
            <w:tcW w:w="6811" w:type="dxa"/>
          </w:tcPr>
          <w:p w14:paraId="79F4B0A1" w14:textId="77777777" w:rsidR="00304B5F" w:rsidRPr="005633E0" w:rsidRDefault="00304B5F" w:rsidP="00C3185A">
            <w:pPr>
              <w:rPr>
                <w:rFonts w:ascii="Aptos" w:hAnsi="Aptos"/>
                <w:iCs/>
                <w:sz w:val="20"/>
                <w:szCs w:val="20"/>
              </w:rPr>
            </w:pPr>
            <w:r w:rsidRPr="005633E0">
              <w:rPr>
                <w:rFonts w:ascii="Aptos" w:hAnsi="Aptos"/>
                <w:iCs/>
                <w:sz w:val="20"/>
                <w:szCs w:val="20"/>
              </w:rPr>
              <w:t xml:space="preserve">The proportion of ligand in blood plasma not bound to plasma proteins. </w:t>
            </w:r>
          </w:p>
        </w:tc>
      </w:tr>
      <w:tr w:rsidR="00304B5F" w:rsidRPr="005633E0" w14:paraId="2AD67AF6" w14:textId="77777777" w:rsidTr="0008408F">
        <w:tc>
          <w:tcPr>
            <w:tcW w:w="2205" w:type="dxa"/>
          </w:tcPr>
          <w:p w14:paraId="2FCB9AFC" w14:textId="77777777" w:rsidR="00304B5F" w:rsidRPr="005633E0" w:rsidRDefault="00304B5F" w:rsidP="00C3185A">
            <w:pPr>
              <w:rPr>
                <w:rFonts w:ascii="Aptos" w:hAnsi="Aptos"/>
                <w:b/>
                <w:bCs/>
                <w:iCs/>
                <w:sz w:val="20"/>
                <w:szCs w:val="20"/>
              </w:rPr>
            </w:pPr>
            <w:r w:rsidRPr="005633E0">
              <w:rPr>
                <w:rFonts w:ascii="Aptos" w:hAnsi="Aptos"/>
                <w:b/>
                <w:bCs/>
                <w:iCs/>
                <w:sz w:val="20"/>
                <w:szCs w:val="20"/>
              </w:rPr>
              <w:t>Volume of distribution (V</w:t>
            </w:r>
            <w:r w:rsidRPr="005633E0">
              <w:rPr>
                <w:rFonts w:ascii="Aptos" w:hAnsi="Aptos"/>
                <w:b/>
                <w:bCs/>
                <w:iCs/>
                <w:sz w:val="20"/>
                <w:szCs w:val="20"/>
                <w:vertAlign w:val="subscript"/>
              </w:rPr>
              <w:t>T</w:t>
            </w:r>
            <w:r w:rsidRPr="005633E0">
              <w:rPr>
                <w:rFonts w:ascii="Aptos" w:hAnsi="Aptos"/>
                <w:b/>
                <w:bCs/>
                <w:iCs/>
                <w:sz w:val="20"/>
                <w:szCs w:val="20"/>
              </w:rPr>
              <w:t>)</w:t>
            </w:r>
          </w:p>
        </w:tc>
        <w:tc>
          <w:tcPr>
            <w:tcW w:w="6811" w:type="dxa"/>
          </w:tcPr>
          <w:p w14:paraId="310586EC" w14:textId="6A316F69" w:rsidR="00304B5F" w:rsidRPr="005633E0" w:rsidRDefault="00304B5F" w:rsidP="00C3185A">
            <w:pPr>
              <w:rPr>
                <w:rFonts w:ascii="Aptos" w:hAnsi="Aptos"/>
                <w:iCs/>
                <w:sz w:val="20"/>
                <w:szCs w:val="20"/>
              </w:rPr>
            </w:pPr>
            <w:r w:rsidRPr="005633E0">
              <w:rPr>
                <w:rFonts w:ascii="Aptos" w:hAnsi="Aptos"/>
                <w:iCs/>
                <w:sz w:val="20"/>
                <w:szCs w:val="20"/>
              </w:rPr>
              <w:t>A PET outcome measure</w:t>
            </w:r>
            <w:r w:rsidR="00525C3D">
              <w:rPr>
                <w:rFonts w:ascii="Aptos" w:hAnsi="Aptos"/>
                <w:iCs/>
                <w:sz w:val="20"/>
                <w:szCs w:val="20"/>
              </w:rPr>
              <w:t xml:space="preserve"> </w:t>
            </w:r>
            <w:r w:rsidR="003E1518">
              <w:rPr>
                <w:rFonts w:ascii="Aptos" w:hAnsi="Aptos"/>
                <w:iCs/>
                <w:sz w:val="20"/>
                <w:szCs w:val="20"/>
              </w:rPr>
              <w:t xml:space="preserve">requiring </w:t>
            </w:r>
            <w:r w:rsidR="00525C3D">
              <w:rPr>
                <w:rFonts w:ascii="Aptos" w:hAnsi="Aptos"/>
                <w:iCs/>
                <w:sz w:val="20"/>
                <w:szCs w:val="20"/>
              </w:rPr>
              <w:t>dynamic imaging, relying on measurement of time activity curves in a voxel</w:t>
            </w:r>
            <w:r w:rsidRPr="005633E0">
              <w:rPr>
                <w:rFonts w:ascii="Aptos" w:hAnsi="Aptos"/>
                <w:iCs/>
                <w:sz w:val="20"/>
                <w:szCs w:val="20"/>
              </w:rPr>
              <w:t>. Describes the volume of blood that contains the same activity as 1ml of tissue</w:t>
            </w:r>
            <w:r w:rsidR="00CB71EF">
              <w:rPr>
                <w:rFonts w:ascii="Aptos" w:hAnsi="Aptos"/>
                <w:iCs/>
                <w:sz w:val="20"/>
                <w:szCs w:val="20"/>
              </w:rPr>
              <w:t xml:space="preserve"> in the region of interest</w:t>
            </w:r>
            <w:r w:rsidRPr="005633E0">
              <w:rPr>
                <w:rFonts w:ascii="Aptos" w:hAnsi="Aptos"/>
                <w:iCs/>
                <w:sz w:val="20"/>
                <w:szCs w:val="20"/>
              </w:rPr>
              <w:t xml:space="preserve">. Dependent on measurement of the arterial input function. Sometimes given as a ratio over </w:t>
            </w:r>
            <w:r w:rsidRPr="005633E0">
              <w:rPr>
                <w:rFonts w:ascii="Aptos" w:hAnsi="Aptos"/>
                <w:i/>
                <w:sz w:val="20"/>
                <w:szCs w:val="20"/>
              </w:rPr>
              <w:t>f</w:t>
            </w:r>
            <w:r w:rsidRPr="005633E0">
              <w:rPr>
                <w:rFonts w:ascii="Aptos" w:hAnsi="Aptos"/>
                <w:i/>
                <w:sz w:val="20"/>
                <w:szCs w:val="20"/>
                <w:vertAlign w:val="subscript"/>
              </w:rPr>
              <w:t>p</w:t>
            </w:r>
            <w:r w:rsidRPr="005633E0">
              <w:rPr>
                <w:rFonts w:ascii="Aptos" w:hAnsi="Aptos"/>
                <w:iCs/>
                <w:sz w:val="20"/>
                <w:szCs w:val="20"/>
              </w:rPr>
              <w:t xml:space="preserve"> if </w:t>
            </w:r>
            <w:r w:rsidRPr="005633E0">
              <w:rPr>
                <w:rFonts w:ascii="Aptos" w:hAnsi="Aptos"/>
                <w:i/>
                <w:sz w:val="20"/>
                <w:szCs w:val="20"/>
              </w:rPr>
              <w:t>f</w:t>
            </w:r>
            <w:r w:rsidRPr="005633E0">
              <w:rPr>
                <w:rFonts w:ascii="Aptos" w:hAnsi="Aptos"/>
                <w:i/>
                <w:sz w:val="20"/>
                <w:szCs w:val="20"/>
                <w:vertAlign w:val="subscript"/>
              </w:rPr>
              <w:t>p</w:t>
            </w:r>
            <w:r w:rsidRPr="005633E0">
              <w:rPr>
                <w:rFonts w:ascii="Aptos" w:hAnsi="Aptos"/>
                <w:iCs/>
                <w:sz w:val="20"/>
                <w:szCs w:val="20"/>
              </w:rPr>
              <w:t xml:space="preserve"> varies between subjects, as this will affect the calculation of V</w:t>
            </w:r>
            <w:r w:rsidRPr="005633E0">
              <w:rPr>
                <w:rFonts w:ascii="Aptos" w:hAnsi="Aptos"/>
                <w:iCs/>
                <w:sz w:val="20"/>
                <w:szCs w:val="20"/>
                <w:vertAlign w:val="subscript"/>
              </w:rPr>
              <w:t>T</w:t>
            </w:r>
            <w:r w:rsidRPr="005633E0">
              <w:rPr>
                <w:rFonts w:ascii="Aptos" w:hAnsi="Aptos"/>
                <w:iCs/>
                <w:sz w:val="20"/>
                <w:szCs w:val="20"/>
              </w:rPr>
              <w:t xml:space="preserve">. </w:t>
            </w:r>
          </w:p>
          <w:p w14:paraId="3C15C940" w14:textId="77777777" w:rsidR="00304B5F" w:rsidRPr="005633E0" w:rsidRDefault="00304B5F" w:rsidP="00C3185A">
            <w:pPr>
              <w:rPr>
                <w:rFonts w:ascii="Aptos" w:hAnsi="Aptos"/>
                <w:iCs/>
                <w:sz w:val="20"/>
                <w:szCs w:val="20"/>
              </w:rPr>
            </w:pPr>
          </w:p>
        </w:tc>
      </w:tr>
      <w:tr w:rsidR="00304B5F" w:rsidRPr="005633E0" w14:paraId="0824B2ED" w14:textId="77777777" w:rsidTr="0008408F">
        <w:tc>
          <w:tcPr>
            <w:tcW w:w="2205" w:type="dxa"/>
          </w:tcPr>
          <w:p w14:paraId="0137F9A0" w14:textId="77777777" w:rsidR="00304B5F" w:rsidRPr="005633E0" w:rsidRDefault="00304B5F" w:rsidP="00C3185A">
            <w:pPr>
              <w:rPr>
                <w:rFonts w:ascii="Aptos" w:hAnsi="Aptos"/>
                <w:b/>
                <w:bCs/>
                <w:iCs/>
                <w:sz w:val="20"/>
                <w:szCs w:val="20"/>
              </w:rPr>
            </w:pPr>
            <w:r w:rsidRPr="005633E0">
              <w:rPr>
                <w:rFonts w:ascii="Aptos" w:hAnsi="Aptos"/>
                <w:b/>
                <w:bCs/>
                <w:iCs/>
                <w:sz w:val="20"/>
                <w:szCs w:val="20"/>
              </w:rPr>
              <w:t>Distribution volume ratio (DVR)</w:t>
            </w:r>
          </w:p>
        </w:tc>
        <w:tc>
          <w:tcPr>
            <w:tcW w:w="6811" w:type="dxa"/>
          </w:tcPr>
          <w:p w14:paraId="5B7022D3" w14:textId="3D020591" w:rsidR="00304B5F" w:rsidRPr="005633E0" w:rsidRDefault="00304B5F" w:rsidP="00C3185A">
            <w:pPr>
              <w:rPr>
                <w:rFonts w:ascii="Aptos" w:hAnsi="Aptos"/>
                <w:iCs/>
                <w:sz w:val="20"/>
                <w:szCs w:val="20"/>
              </w:rPr>
            </w:pPr>
            <w:r w:rsidRPr="005633E0">
              <w:rPr>
                <w:rFonts w:ascii="Aptos" w:hAnsi="Aptos"/>
                <w:iCs/>
                <w:sz w:val="20"/>
                <w:szCs w:val="20"/>
              </w:rPr>
              <w:t>A PET outcome measure</w:t>
            </w:r>
            <w:r w:rsidR="00525C3D" w:rsidRPr="00525C3D">
              <w:rPr>
                <w:rFonts w:ascii="Aptos" w:hAnsi="Aptos"/>
                <w:iCs/>
                <w:kern w:val="2"/>
                <w:sz w:val="20"/>
                <w:szCs w:val="20"/>
                <w14:ligatures w14:val="standardContextual"/>
              </w:rPr>
              <w:t xml:space="preserve"> </w:t>
            </w:r>
            <w:r w:rsidR="003E1518">
              <w:rPr>
                <w:rFonts w:ascii="Aptos" w:hAnsi="Aptos"/>
                <w:iCs/>
                <w:kern w:val="2"/>
                <w:sz w:val="20"/>
                <w:szCs w:val="20"/>
                <w14:ligatures w14:val="standardContextual"/>
              </w:rPr>
              <w:t xml:space="preserve">requiring </w:t>
            </w:r>
            <w:r w:rsidR="00525C3D" w:rsidRPr="00525C3D">
              <w:rPr>
                <w:rFonts w:ascii="Aptos" w:hAnsi="Aptos"/>
                <w:iCs/>
                <w:sz w:val="20"/>
                <w:szCs w:val="20"/>
              </w:rPr>
              <w:t>dynamic imaging, relying on measurement of time activity curves in a voxel</w:t>
            </w:r>
            <w:r w:rsidRPr="005633E0">
              <w:rPr>
                <w:rFonts w:ascii="Aptos" w:hAnsi="Aptos"/>
                <w:iCs/>
                <w:sz w:val="20"/>
                <w:szCs w:val="20"/>
              </w:rPr>
              <w:t>. Describes the ratio of V</w:t>
            </w:r>
            <w:r w:rsidRPr="005633E0">
              <w:rPr>
                <w:rFonts w:ascii="Aptos" w:hAnsi="Aptos"/>
                <w:iCs/>
                <w:sz w:val="20"/>
                <w:szCs w:val="20"/>
                <w:vertAlign w:val="subscript"/>
              </w:rPr>
              <w:t>T</w:t>
            </w:r>
            <w:r w:rsidRPr="005633E0">
              <w:rPr>
                <w:rFonts w:ascii="Aptos" w:hAnsi="Aptos"/>
                <w:iCs/>
                <w:sz w:val="20"/>
                <w:szCs w:val="20"/>
              </w:rPr>
              <w:t xml:space="preserve"> between an ROI and a reference region to correct for nondisplaceable uptake. </w:t>
            </w:r>
          </w:p>
          <w:p w14:paraId="77F4DF3A" w14:textId="77777777" w:rsidR="00304B5F" w:rsidRPr="005633E0" w:rsidRDefault="00304B5F" w:rsidP="00C3185A">
            <w:pPr>
              <w:rPr>
                <w:rFonts w:ascii="Aptos" w:hAnsi="Aptos"/>
                <w:iCs/>
                <w:sz w:val="20"/>
                <w:szCs w:val="20"/>
              </w:rPr>
            </w:pPr>
          </w:p>
        </w:tc>
      </w:tr>
      <w:tr w:rsidR="00304B5F" w:rsidRPr="005633E0" w14:paraId="5290E869" w14:textId="77777777" w:rsidTr="0008408F">
        <w:tc>
          <w:tcPr>
            <w:tcW w:w="2205" w:type="dxa"/>
          </w:tcPr>
          <w:p w14:paraId="02F0F582" w14:textId="77777777" w:rsidR="00304B5F" w:rsidRPr="005633E0" w:rsidRDefault="00304B5F" w:rsidP="00C3185A">
            <w:pPr>
              <w:rPr>
                <w:rFonts w:ascii="Aptos" w:hAnsi="Aptos"/>
                <w:b/>
                <w:bCs/>
                <w:iCs/>
                <w:sz w:val="20"/>
                <w:szCs w:val="20"/>
              </w:rPr>
            </w:pPr>
            <w:r w:rsidRPr="005633E0">
              <w:rPr>
                <w:rFonts w:ascii="Aptos" w:hAnsi="Aptos"/>
                <w:b/>
                <w:bCs/>
                <w:iCs/>
                <w:sz w:val="20"/>
                <w:szCs w:val="20"/>
              </w:rPr>
              <w:t>Binding potential (BP</w:t>
            </w:r>
            <w:r w:rsidRPr="005633E0">
              <w:rPr>
                <w:rFonts w:ascii="Aptos" w:hAnsi="Aptos"/>
                <w:b/>
                <w:bCs/>
                <w:iCs/>
                <w:sz w:val="20"/>
                <w:szCs w:val="20"/>
                <w:vertAlign w:val="subscript"/>
              </w:rPr>
              <w:t>ND</w:t>
            </w:r>
            <w:r w:rsidRPr="005633E0">
              <w:rPr>
                <w:rFonts w:ascii="Aptos" w:hAnsi="Aptos"/>
                <w:b/>
                <w:bCs/>
                <w:iCs/>
                <w:sz w:val="20"/>
                <w:szCs w:val="20"/>
              </w:rPr>
              <w:t>)</w:t>
            </w:r>
          </w:p>
        </w:tc>
        <w:tc>
          <w:tcPr>
            <w:tcW w:w="6811" w:type="dxa"/>
          </w:tcPr>
          <w:p w14:paraId="710733AC" w14:textId="1910845F" w:rsidR="00304B5F" w:rsidRPr="005633E0" w:rsidRDefault="00304B5F" w:rsidP="00C3185A">
            <w:pPr>
              <w:rPr>
                <w:rFonts w:ascii="Aptos" w:hAnsi="Aptos"/>
                <w:iCs/>
                <w:sz w:val="20"/>
                <w:szCs w:val="20"/>
              </w:rPr>
            </w:pPr>
            <w:r w:rsidRPr="005633E0">
              <w:rPr>
                <w:rFonts w:ascii="Aptos" w:hAnsi="Aptos"/>
                <w:iCs/>
                <w:sz w:val="20"/>
                <w:szCs w:val="20"/>
              </w:rPr>
              <w:t>A PET outcome measure</w:t>
            </w:r>
            <w:r w:rsidR="003E1518" w:rsidRPr="003E1518">
              <w:rPr>
                <w:rFonts w:ascii="Aptos" w:hAnsi="Aptos"/>
                <w:iCs/>
                <w:kern w:val="2"/>
                <w:sz w:val="20"/>
                <w:szCs w:val="20"/>
                <w14:ligatures w14:val="standardContextual"/>
              </w:rPr>
              <w:t xml:space="preserve"> </w:t>
            </w:r>
            <w:r w:rsidR="003E1518" w:rsidRPr="003E1518">
              <w:rPr>
                <w:rFonts w:ascii="Aptos" w:hAnsi="Aptos"/>
                <w:iCs/>
                <w:sz w:val="20"/>
                <w:szCs w:val="20"/>
              </w:rPr>
              <w:t>requiring dynamic imaging</w:t>
            </w:r>
            <w:r w:rsidRPr="005633E0">
              <w:rPr>
                <w:rFonts w:ascii="Aptos" w:hAnsi="Aptos"/>
                <w:iCs/>
                <w:sz w:val="20"/>
                <w:szCs w:val="20"/>
              </w:rPr>
              <w:t xml:space="preserve">, comprising both the affinity of tracer for the receptor and the amount of available receptor. Quantified by the ratio of activity between an ROI and reference region. </w:t>
            </w:r>
          </w:p>
          <w:p w14:paraId="3C563736" w14:textId="77777777" w:rsidR="00304B5F" w:rsidRPr="005633E0" w:rsidRDefault="00304B5F" w:rsidP="00C3185A">
            <w:pPr>
              <w:rPr>
                <w:rFonts w:ascii="Aptos" w:hAnsi="Aptos"/>
                <w:iCs/>
                <w:sz w:val="20"/>
                <w:szCs w:val="20"/>
              </w:rPr>
            </w:pPr>
          </w:p>
        </w:tc>
      </w:tr>
    </w:tbl>
    <w:p w14:paraId="32FAFF4B" w14:textId="77777777" w:rsidR="00875021" w:rsidRDefault="00875021" w:rsidP="00C3185A"/>
    <w:p w14:paraId="5B30A839" w14:textId="4E8DD912" w:rsidR="00304B5F" w:rsidRPr="00304B5F" w:rsidRDefault="00304B5F" w:rsidP="00C3185A">
      <w:pPr>
        <w:tabs>
          <w:tab w:val="left" w:pos="2280"/>
        </w:tabs>
        <w:rPr>
          <w:i/>
          <w:iCs/>
          <w:color w:val="0E2841" w:themeColor="text2"/>
          <w:sz w:val="18"/>
          <w:szCs w:val="18"/>
        </w:rPr>
      </w:pPr>
      <w:r w:rsidRPr="00304B5F">
        <w:rPr>
          <w:b/>
          <w:bCs/>
          <w:i/>
          <w:iCs/>
          <w:color w:val="0E2841" w:themeColor="text2"/>
          <w:sz w:val="18"/>
          <w:szCs w:val="18"/>
        </w:rPr>
        <w:t>Table S</w:t>
      </w:r>
      <w:r w:rsidRPr="00304B5F">
        <w:rPr>
          <w:b/>
          <w:bCs/>
          <w:i/>
          <w:iCs/>
          <w:color w:val="0E2841" w:themeColor="text2"/>
          <w:sz w:val="18"/>
          <w:szCs w:val="18"/>
        </w:rPr>
        <w:fldChar w:fldCharType="begin"/>
      </w:r>
      <w:r w:rsidRPr="00304B5F">
        <w:rPr>
          <w:b/>
          <w:bCs/>
          <w:i/>
          <w:iCs/>
          <w:color w:val="0E2841" w:themeColor="text2"/>
          <w:sz w:val="18"/>
          <w:szCs w:val="18"/>
        </w:rPr>
        <w:instrText xml:space="preserve"> SEQ Table_S \* ARABIC </w:instrText>
      </w:r>
      <w:r w:rsidRPr="00304B5F">
        <w:rPr>
          <w:b/>
          <w:bCs/>
          <w:i/>
          <w:iCs/>
          <w:color w:val="0E2841" w:themeColor="text2"/>
          <w:sz w:val="18"/>
          <w:szCs w:val="18"/>
        </w:rPr>
        <w:fldChar w:fldCharType="separate"/>
      </w:r>
      <w:r w:rsidRPr="00304B5F">
        <w:rPr>
          <w:b/>
          <w:bCs/>
          <w:i/>
          <w:iCs/>
          <w:color w:val="0E2841" w:themeColor="text2"/>
          <w:sz w:val="18"/>
          <w:szCs w:val="18"/>
        </w:rPr>
        <w:t>1</w:t>
      </w:r>
      <w:r w:rsidRPr="00304B5F">
        <w:rPr>
          <w:color w:val="0E2841" w:themeColor="text2"/>
          <w:sz w:val="18"/>
          <w:szCs w:val="18"/>
        </w:rPr>
        <w:fldChar w:fldCharType="end"/>
      </w:r>
      <w:r w:rsidRPr="00304B5F">
        <w:rPr>
          <w:i/>
          <w:iCs/>
          <w:color w:val="0E2841" w:themeColor="text2"/>
          <w:sz w:val="18"/>
          <w:szCs w:val="18"/>
        </w:rPr>
        <w:t xml:space="preserve"> </w:t>
      </w:r>
      <w:r>
        <w:rPr>
          <w:i/>
          <w:iCs/>
          <w:color w:val="0E2841" w:themeColor="text2"/>
          <w:sz w:val="18"/>
          <w:szCs w:val="18"/>
          <w:lang w:val="en-US"/>
        </w:rPr>
        <w:t xml:space="preserve">Summary of </w:t>
      </w:r>
      <w:r w:rsidR="00CB6B42">
        <w:rPr>
          <w:i/>
          <w:iCs/>
          <w:color w:val="0E2841" w:themeColor="text2"/>
          <w:sz w:val="18"/>
          <w:szCs w:val="18"/>
          <w:lang w:val="en-US"/>
        </w:rPr>
        <w:t xml:space="preserve">common terminology in SV2A PET. </w:t>
      </w:r>
      <w:r w:rsidR="007E3DB2">
        <w:rPr>
          <w:i/>
          <w:iCs/>
          <w:color w:val="0E2841" w:themeColor="text2"/>
          <w:sz w:val="18"/>
          <w:szCs w:val="18"/>
          <w:lang w:val="en-US"/>
        </w:rPr>
        <w:t xml:space="preserve">PET = positron emission tomography. ROI = region of interest. </w:t>
      </w:r>
    </w:p>
    <w:p w14:paraId="1A81A755" w14:textId="08B12036" w:rsidR="00304B5F" w:rsidRPr="00304B5F" w:rsidRDefault="00304B5F" w:rsidP="00C3185A">
      <w:pPr>
        <w:tabs>
          <w:tab w:val="left" w:pos="2280"/>
        </w:tabs>
        <w:rPr>
          <w:sz w:val="18"/>
          <w:szCs w:val="18"/>
        </w:rPr>
      </w:pPr>
    </w:p>
    <w:p w14:paraId="68673AC4" w14:textId="77777777" w:rsidR="00304B5F" w:rsidRDefault="00304B5F" w:rsidP="00C3185A">
      <w:pPr>
        <w:tabs>
          <w:tab w:val="left" w:pos="2280"/>
        </w:tabs>
      </w:pPr>
      <w:r>
        <w:tab/>
      </w:r>
    </w:p>
    <w:p w14:paraId="19252316" w14:textId="77777777" w:rsidR="004716C9" w:rsidRDefault="004716C9" w:rsidP="00C3185A">
      <w:pPr>
        <w:tabs>
          <w:tab w:val="left" w:pos="2280"/>
        </w:tabs>
      </w:pPr>
    </w:p>
    <w:p w14:paraId="1723BB9F" w14:textId="77777777" w:rsidR="004716C9" w:rsidRDefault="004716C9" w:rsidP="00C3185A">
      <w:pPr>
        <w:tabs>
          <w:tab w:val="left" w:pos="2280"/>
        </w:tabs>
      </w:pPr>
    </w:p>
    <w:p w14:paraId="7473747A" w14:textId="77777777" w:rsidR="004716C9" w:rsidRDefault="004716C9" w:rsidP="00C3185A">
      <w:pPr>
        <w:tabs>
          <w:tab w:val="left" w:pos="2280"/>
        </w:tabs>
      </w:pPr>
    </w:p>
    <w:p w14:paraId="4EBDA1C7" w14:textId="77777777" w:rsidR="004716C9" w:rsidRDefault="004716C9" w:rsidP="00C3185A">
      <w:pPr>
        <w:tabs>
          <w:tab w:val="left" w:pos="2280"/>
        </w:tabs>
      </w:pPr>
    </w:p>
    <w:p w14:paraId="4161E8F2" w14:textId="77777777" w:rsidR="004716C9" w:rsidRDefault="004716C9" w:rsidP="00C3185A">
      <w:pPr>
        <w:tabs>
          <w:tab w:val="left" w:pos="2280"/>
        </w:tabs>
      </w:pPr>
    </w:p>
    <w:p w14:paraId="7C1D52CA" w14:textId="77777777" w:rsidR="004716C9" w:rsidRDefault="004716C9" w:rsidP="00C3185A">
      <w:pPr>
        <w:tabs>
          <w:tab w:val="left" w:pos="2280"/>
        </w:tabs>
      </w:pPr>
    </w:p>
    <w:p w14:paraId="2E7D4A3C" w14:textId="77777777" w:rsidR="004716C9" w:rsidRDefault="004716C9" w:rsidP="00C3185A">
      <w:pPr>
        <w:tabs>
          <w:tab w:val="left" w:pos="2280"/>
        </w:tabs>
      </w:pPr>
    </w:p>
    <w:p w14:paraId="65169E5C" w14:textId="77777777" w:rsidR="004716C9" w:rsidRDefault="004716C9" w:rsidP="00C3185A">
      <w:pPr>
        <w:tabs>
          <w:tab w:val="left" w:pos="2280"/>
        </w:tabs>
      </w:pPr>
    </w:p>
    <w:p w14:paraId="5F54D35C" w14:textId="77777777" w:rsidR="004716C9" w:rsidRDefault="004716C9" w:rsidP="00C3185A">
      <w:pPr>
        <w:tabs>
          <w:tab w:val="left" w:pos="2280"/>
        </w:tabs>
      </w:pPr>
    </w:p>
    <w:p w14:paraId="4EBB597C" w14:textId="77777777" w:rsidR="004716C9" w:rsidRDefault="004716C9" w:rsidP="00C3185A">
      <w:pPr>
        <w:tabs>
          <w:tab w:val="left" w:pos="2280"/>
        </w:tabs>
      </w:pPr>
    </w:p>
    <w:p w14:paraId="2A0BFE02" w14:textId="77777777" w:rsidR="004716C9" w:rsidRDefault="004716C9" w:rsidP="00C3185A">
      <w:pPr>
        <w:tabs>
          <w:tab w:val="left" w:pos="2280"/>
        </w:tabs>
      </w:pPr>
    </w:p>
    <w:p w14:paraId="3F280EC2" w14:textId="77777777" w:rsidR="004716C9" w:rsidRDefault="004716C9" w:rsidP="00C3185A">
      <w:pPr>
        <w:tabs>
          <w:tab w:val="left" w:pos="2280"/>
        </w:tabs>
      </w:pPr>
    </w:p>
    <w:p w14:paraId="4C869636" w14:textId="77777777" w:rsidR="004716C9" w:rsidRDefault="004716C9" w:rsidP="00C3185A">
      <w:pPr>
        <w:tabs>
          <w:tab w:val="left" w:pos="2280"/>
        </w:tabs>
      </w:pPr>
    </w:p>
    <w:p w14:paraId="695433E6" w14:textId="77777777" w:rsidR="004716C9" w:rsidRDefault="004716C9" w:rsidP="00C3185A">
      <w:pPr>
        <w:tabs>
          <w:tab w:val="left" w:pos="2280"/>
        </w:tabs>
      </w:pPr>
    </w:p>
    <w:p w14:paraId="6E628657" w14:textId="77777777" w:rsidR="004716C9" w:rsidRDefault="004716C9" w:rsidP="00C3185A">
      <w:pPr>
        <w:tabs>
          <w:tab w:val="left" w:pos="2280"/>
        </w:tabs>
      </w:pPr>
    </w:p>
    <w:p w14:paraId="2FD67943" w14:textId="77777777" w:rsidR="004716C9" w:rsidRDefault="004716C9" w:rsidP="00C3185A">
      <w:pPr>
        <w:tabs>
          <w:tab w:val="left" w:pos="2280"/>
        </w:tabs>
      </w:pPr>
    </w:p>
    <w:p w14:paraId="35B6DDA7" w14:textId="7AFD3427" w:rsidR="004716C9" w:rsidRPr="00304B5F" w:rsidRDefault="004716C9" w:rsidP="00C3185A">
      <w:pPr>
        <w:tabs>
          <w:tab w:val="left" w:pos="2280"/>
        </w:tabs>
        <w:sectPr w:rsidR="004716C9" w:rsidRPr="00304B5F" w:rsidSect="007056A1">
          <w:footerReference w:type="default" r:id="rId8"/>
          <w:pgSz w:w="11906" w:h="16838"/>
          <w:pgMar w:top="1440" w:right="1440" w:bottom="1440" w:left="1440" w:header="708" w:footer="708" w:gutter="0"/>
          <w:cols w:space="708"/>
          <w:docGrid w:linePitch="360"/>
        </w:sectPr>
      </w:pPr>
    </w:p>
    <w:p w14:paraId="0017DE93" w14:textId="428E9F44" w:rsidR="00383638" w:rsidRDefault="00383638" w:rsidP="00C3185A"/>
    <w:tbl>
      <w:tblPr>
        <w:tblW w:w="14751" w:type="dxa"/>
        <w:tblLook w:val="04A0" w:firstRow="1" w:lastRow="0" w:firstColumn="1" w:lastColumn="0" w:noHBand="0" w:noVBand="1"/>
      </w:tblPr>
      <w:tblGrid>
        <w:gridCol w:w="988"/>
        <w:gridCol w:w="1559"/>
        <w:gridCol w:w="1559"/>
        <w:gridCol w:w="2126"/>
        <w:gridCol w:w="1560"/>
        <w:gridCol w:w="1842"/>
        <w:gridCol w:w="1418"/>
        <w:gridCol w:w="1276"/>
        <w:gridCol w:w="1289"/>
        <w:gridCol w:w="1134"/>
      </w:tblGrid>
      <w:tr w:rsidR="00D03208" w:rsidRPr="00866AB8" w14:paraId="6D5D12B1" w14:textId="77777777" w:rsidTr="009C056C">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hideMark/>
          </w:tcPr>
          <w:p w14:paraId="03A337D7"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Diagnosis</w:t>
            </w:r>
          </w:p>
        </w:tc>
        <w:tc>
          <w:tcPr>
            <w:tcW w:w="1559" w:type="dxa"/>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27A1ED67"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Reference</w:t>
            </w:r>
          </w:p>
        </w:tc>
        <w:tc>
          <w:tcPr>
            <w:tcW w:w="1559" w:type="dxa"/>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0A1D4809"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Design</w:t>
            </w:r>
          </w:p>
        </w:tc>
        <w:tc>
          <w:tcPr>
            <w:tcW w:w="2126" w:type="dxa"/>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20613CEA"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Overlapping samples</w:t>
            </w:r>
          </w:p>
        </w:tc>
        <w:tc>
          <w:tcPr>
            <w:tcW w:w="1560" w:type="dxa"/>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4D6AA6F6"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Participants</w:t>
            </w:r>
          </w:p>
        </w:tc>
        <w:tc>
          <w:tcPr>
            <w:tcW w:w="1842" w:type="dxa"/>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0F940FED"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Age mean ±SD</w:t>
            </w:r>
          </w:p>
        </w:tc>
        <w:tc>
          <w:tcPr>
            <w:tcW w:w="1418" w:type="dxa"/>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3E33A16F"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Medication</w:t>
            </w:r>
          </w:p>
        </w:tc>
        <w:tc>
          <w:tcPr>
            <w:tcW w:w="1276" w:type="dxa"/>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5DC4EADA"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Radioligand</w:t>
            </w:r>
          </w:p>
        </w:tc>
        <w:tc>
          <w:tcPr>
            <w:tcW w:w="1289" w:type="dxa"/>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66728AA1"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PET measurement</w:t>
            </w:r>
          </w:p>
        </w:tc>
        <w:tc>
          <w:tcPr>
            <w:tcW w:w="1134" w:type="dxa"/>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533D2FBC"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PET reference</w:t>
            </w:r>
          </w:p>
        </w:tc>
      </w:tr>
      <w:tr w:rsidR="00D03208" w:rsidRPr="00866AB8" w14:paraId="1A36CD48" w14:textId="77777777" w:rsidTr="009C056C">
        <w:trPr>
          <w:trHeight w:val="300"/>
        </w:trPr>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A2F083"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HC</w:t>
            </w:r>
          </w:p>
        </w:tc>
        <w:tc>
          <w:tcPr>
            <w:tcW w:w="1559" w:type="dxa"/>
            <w:tcBorders>
              <w:top w:val="nil"/>
              <w:left w:val="nil"/>
              <w:bottom w:val="single" w:sz="4" w:space="0" w:color="auto"/>
              <w:right w:val="single" w:sz="4" w:space="0" w:color="auto"/>
            </w:tcBorders>
            <w:shd w:val="clear" w:color="auto" w:fill="auto"/>
            <w:noWrap/>
            <w:vAlign w:val="center"/>
            <w:hideMark/>
          </w:tcPr>
          <w:p w14:paraId="53F18DC2" w14:textId="4728C008"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Andersen (2022)</w:t>
            </w:r>
            <w:r w:rsidR="00017FF8">
              <w:rPr>
                <w:rFonts w:asciiTheme="majorHAnsi" w:eastAsia="Times New Roman" w:hAnsiTheme="majorHAnsi" w:cs="Calibri"/>
                <w:b/>
                <w:bCs/>
                <w:color w:val="000000"/>
                <w:kern w:val="0"/>
                <w:sz w:val="18"/>
                <w:szCs w:val="18"/>
                <w:vertAlign w:val="superscript"/>
                <w:lang w:eastAsia="en-GB"/>
                <w14:ligatures w14:val="none"/>
              </w:rPr>
              <w:t>17</w:t>
            </w:r>
          </w:p>
        </w:tc>
        <w:tc>
          <w:tcPr>
            <w:tcW w:w="1559" w:type="dxa"/>
            <w:tcBorders>
              <w:top w:val="nil"/>
              <w:left w:val="nil"/>
              <w:bottom w:val="single" w:sz="4" w:space="0" w:color="auto"/>
              <w:right w:val="single" w:sz="4" w:space="0" w:color="auto"/>
            </w:tcBorders>
            <w:shd w:val="clear" w:color="auto" w:fill="auto"/>
            <w:noWrap/>
            <w:vAlign w:val="center"/>
            <w:hideMark/>
          </w:tcPr>
          <w:p w14:paraId="74D81FD8"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cross-sectional</w:t>
            </w:r>
          </w:p>
        </w:tc>
        <w:tc>
          <w:tcPr>
            <w:tcW w:w="2126" w:type="dxa"/>
            <w:tcBorders>
              <w:top w:val="nil"/>
              <w:left w:val="nil"/>
              <w:bottom w:val="single" w:sz="4" w:space="0" w:color="auto"/>
              <w:right w:val="single" w:sz="4" w:space="0" w:color="auto"/>
            </w:tcBorders>
            <w:shd w:val="clear" w:color="auto" w:fill="auto"/>
            <w:noWrap/>
            <w:vAlign w:val="center"/>
            <w:hideMark/>
          </w:tcPr>
          <w:p w14:paraId="224A8F8A"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N</w:t>
            </w:r>
          </w:p>
        </w:tc>
        <w:tc>
          <w:tcPr>
            <w:tcW w:w="1560" w:type="dxa"/>
            <w:tcBorders>
              <w:top w:val="nil"/>
              <w:left w:val="nil"/>
              <w:bottom w:val="single" w:sz="4" w:space="0" w:color="auto"/>
              <w:right w:val="single" w:sz="4" w:space="0" w:color="auto"/>
            </w:tcBorders>
            <w:shd w:val="clear" w:color="auto" w:fill="auto"/>
            <w:noWrap/>
            <w:vAlign w:val="center"/>
            <w:hideMark/>
          </w:tcPr>
          <w:p w14:paraId="04F890C0" w14:textId="77777777" w:rsidR="00296C06"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 xml:space="preserve">young=11, </w:t>
            </w:r>
          </w:p>
          <w:p w14:paraId="21717488" w14:textId="400E705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old= 15</w:t>
            </w:r>
          </w:p>
        </w:tc>
        <w:tc>
          <w:tcPr>
            <w:tcW w:w="1842" w:type="dxa"/>
            <w:tcBorders>
              <w:top w:val="nil"/>
              <w:left w:val="nil"/>
              <w:bottom w:val="single" w:sz="4" w:space="0" w:color="auto"/>
              <w:right w:val="single" w:sz="4" w:space="0" w:color="auto"/>
            </w:tcBorders>
            <w:shd w:val="clear" w:color="auto" w:fill="auto"/>
            <w:noWrap/>
            <w:vAlign w:val="center"/>
            <w:hideMark/>
          </w:tcPr>
          <w:p w14:paraId="7C029750" w14:textId="77777777" w:rsidR="00296C06"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 xml:space="preserve">young=24.8 ±1.2, </w:t>
            </w:r>
          </w:p>
          <w:p w14:paraId="18903F41" w14:textId="4ED5D2BE"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old= 72.7 ±4.2</w:t>
            </w:r>
          </w:p>
        </w:tc>
        <w:tc>
          <w:tcPr>
            <w:tcW w:w="1418" w:type="dxa"/>
            <w:tcBorders>
              <w:top w:val="nil"/>
              <w:left w:val="nil"/>
              <w:bottom w:val="single" w:sz="4" w:space="0" w:color="auto"/>
              <w:right w:val="single" w:sz="4" w:space="0" w:color="auto"/>
            </w:tcBorders>
            <w:shd w:val="clear" w:color="auto" w:fill="auto"/>
            <w:noWrap/>
            <w:vAlign w:val="center"/>
            <w:hideMark/>
          </w:tcPr>
          <w:p w14:paraId="70D75CC7"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medication free</w:t>
            </w:r>
          </w:p>
        </w:tc>
        <w:tc>
          <w:tcPr>
            <w:tcW w:w="1276" w:type="dxa"/>
            <w:tcBorders>
              <w:top w:val="nil"/>
              <w:left w:val="nil"/>
              <w:bottom w:val="single" w:sz="4" w:space="0" w:color="auto"/>
              <w:right w:val="single" w:sz="4" w:space="0" w:color="auto"/>
            </w:tcBorders>
            <w:shd w:val="clear" w:color="auto" w:fill="auto"/>
            <w:noWrap/>
            <w:vAlign w:val="center"/>
            <w:hideMark/>
          </w:tcPr>
          <w:p w14:paraId="110F3907"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[11C]UCB-J</w:t>
            </w:r>
          </w:p>
        </w:tc>
        <w:tc>
          <w:tcPr>
            <w:tcW w:w="1289" w:type="dxa"/>
            <w:tcBorders>
              <w:top w:val="nil"/>
              <w:left w:val="nil"/>
              <w:bottom w:val="single" w:sz="4" w:space="0" w:color="auto"/>
              <w:right w:val="single" w:sz="4" w:space="0" w:color="auto"/>
            </w:tcBorders>
            <w:shd w:val="clear" w:color="auto" w:fill="auto"/>
            <w:noWrap/>
            <w:vAlign w:val="center"/>
            <w:hideMark/>
          </w:tcPr>
          <w:p w14:paraId="100B8941"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SUVR</w:t>
            </w:r>
          </w:p>
        </w:tc>
        <w:tc>
          <w:tcPr>
            <w:tcW w:w="1134" w:type="dxa"/>
            <w:tcBorders>
              <w:top w:val="nil"/>
              <w:left w:val="nil"/>
              <w:bottom w:val="single" w:sz="4" w:space="0" w:color="auto"/>
              <w:right w:val="single" w:sz="4" w:space="0" w:color="auto"/>
            </w:tcBorders>
            <w:shd w:val="clear" w:color="auto" w:fill="auto"/>
            <w:noWrap/>
            <w:vAlign w:val="center"/>
            <w:hideMark/>
          </w:tcPr>
          <w:p w14:paraId="259D2F92"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CS</w:t>
            </w:r>
          </w:p>
        </w:tc>
      </w:tr>
      <w:tr w:rsidR="00D03208" w:rsidRPr="00866AB8" w14:paraId="5355AD55" w14:textId="77777777" w:rsidTr="009C056C">
        <w:trPr>
          <w:trHeight w:val="300"/>
        </w:trPr>
        <w:tc>
          <w:tcPr>
            <w:tcW w:w="988" w:type="dxa"/>
            <w:vMerge/>
            <w:tcBorders>
              <w:top w:val="nil"/>
              <w:left w:val="single" w:sz="4" w:space="0" w:color="auto"/>
              <w:bottom w:val="single" w:sz="4" w:space="0" w:color="auto"/>
              <w:right w:val="single" w:sz="4" w:space="0" w:color="auto"/>
            </w:tcBorders>
            <w:vAlign w:val="center"/>
            <w:hideMark/>
          </w:tcPr>
          <w:p w14:paraId="436E0372"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p>
        </w:tc>
        <w:tc>
          <w:tcPr>
            <w:tcW w:w="1559" w:type="dxa"/>
            <w:tcBorders>
              <w:top w:val="nil"/>
              <w:left w:val="nil"/>
              <w:bottom w:val="single" w:sz="4" w:space="0" w:color="auto"/>
              <w:right w:val="single" w:sz="4" w:space="0" w:color="auto"/>
            </w:tcBorders>
            <w:shd w:val="clear" w:color="auto" w:fill="auto"/>
            <w:noWrap/>
            <w:vAlign w:val="center"/>
            <w:hideMark/>
          </w:tcPr>
          <w:p w14:paraId="6E870068" w14:textId="45ED7960"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Johansen (2023)</w:t>
            </w:r>
            <w:r w:rsidR="00017FF8">
              <w:rPr>
                <w:rFonts w:asciiTheme="majorHAnsi" w:eastAsia="Times New Roman" w:hAnsiTheme="majorHAnsi" w:cs="Calibri"/>
                <w:b/>
                <w:bCs/>
                <w:color w:val="000000"/>
                <w:kern w:val="0"/>
                <w:sz w:val="18"/>
                <w:szCs w:val="18"/>
                <w:vertAlign w:val="superscript"/>
                <w:lang w:eastAsia="en-GB"/>
                <w14:ligatures w14:val="none"/>
              </w:rPr>
              <w:t>18</w:t>
            </w:r>
          </w:p>
        </w:tc>
        <w:tc>
          <w:tcPr>
            <w:tcW w:w="1559" w:type="dxa"/>
            <w:tcBorders>
              <w:top w:val="nil"/>
              <w:left w:val="nil"/>
              <w:bottom w:val="single" w:sz="4" w:space="0" w:color="auto"/>
              <w:right w:val="single" w:sz="4" w:space="0" w:color="auto"/>
            </w:tcBorders>
            <w:shd w:val="clear" w:color="auto" w:fill="auto"/>
            <w:noWrap/>
            <w:vAlign w:val="center"/>
            <w:hideMark/>
          </w:tcPr>
          <w:p w14:paraId="4C27875F"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cross-sectional</w:t>
            </w:r>
          </w:p>
        </w:tc>
        <w:tc>
          <w:tcPr>
            <w:tcW w:w="2126" w:type="dxa"/>
            <w:tcBorders>
              <w:top w:val="nil"/>
              <w:left w:val="nil"/>
              <w:bottom w:val="single" w:sz="4" w:space="0" w:color="auto"/>
              <w:right w:val="single" w:sz="4" w:space="0" w:color="auto"/>
            </w:tcBorders>
            <w:shd w:val="clear" w:color="auto" w:fill="auto"/>
            <w:noWrap/>
            <w:vAlign w:val="center"/>
            <w:hideMark/>
          </w:tcPr>
          <w:p w14:paraId="23812F70" w14:textId="5825DA6F"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subset of Langley (2023)</w:t>
            </w:r>
            <w:r w:rsidR="00017FF8">
              <w:rPr>
                <w:rFonts w:asciiTheme="majorHAnsi" w:eastAsia="Times New Roman" w:hAnsiTheme="majorHAnsi" w:cs="Calibri"/>
                <w:color w:val="000000"/>
                <w:kern w:val="0"/>
                <w:sz w:val="18"/>
                <w:szCs w:val="18"/>
                <w:vertAlign w:val="superscript"/>
                <w:lang w:eastAsia="en-GB"/>
                <w14:ligatures w14:val="none"/>
              </w:rPr>
              <w:t>19</w:t>
            </w:r>
          </w:p>
        </w:tc>
        <w:tc>
          <w:tcPr>
            <w:tcW w:w="1560" w:type="dxa"/>
            <w:tcBorders>
              <w:top w:val="nil"/>
              <w:left w:val="nil"/>
              <w:bottom w:val="single" w:sz="4" w:space="0" w:color="auto"/>
              <w:right w:val="single" w:sz="4" w:space="0" w:color="auto"/>
            </w:tcBorders>
            <w:shd w:val="clear" w:color="auto" w:fill="auto"/>
            <w:noWrap/>
            <w:vAlign w:val="center"/>
            <w:hideMark/>
          </w:tcPr>
          <w:p w14:paraId="2E05B30E" w14:textId="75C3ED3C"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 xml:space="preserve"> HC (placebo)=15, HC (escitalopram) =17</w:t>
            </w:r>
          </w:p>
        </w:tc>
        <w:tc>
          <w:tcPr>
            <w:tcW w:w="1842" w:type="dxa"/>
            <w:tcBorders>
              <w:top w:val="nil"/>
              <w:left w:val="nil"/>
              <w:bottom w:val="single" w:sz="4" w:space="0" w:color="auto"/>
              <w:right w:val="single" w:sz="4" w:space="0" w:color="auto"/>
            </w:tcBorders>
            <w:shd w:val="clear" w:color="auto" w:fill="auto"/>
            <w:noWrap/>
            <w:vAlign w:val="center"/>
            <w:hideMark/>
          </w:tcPr>
          <w:p w14:paraId="2BB2F1FC"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placebo=22.8 ±2.9, escitalopram= 25.2 ±5.8</w:t>
            </w:r>
          </w:p>
        </w:tc>
        <w:tc>
          <w:tcPr>
            <w:tcW w:w="1418" w:type="dxa"/>
            <w:tcBorders>
              <w:top w:val="nil"/>
              <w:left w:val="nil"/>
              <w:bottom w:val="single" w:sz="4" w:space="0" w:color="auto"/>
              <w:right w:val="single" w:sz="4" w:space="0" w:color="auto"/>
            </w:tcBorders>
            <w:shd w:val="clear" w:color="auto" w:fill="auto"/>
            <w:noWrap/>
            <w:vAlign w:val="center"/>
            <w:hideMark/>
          </w:tcPr>
          <w:p w14:paraId="0AFA187B"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SSRI-naive</w:t>
            </w:r>
          </w:p>
        </w:tc>
        <w:tc>
          <w:tcPr>
            <w:tcW w:w="1276" w:type="dxa"/>
            <w:tcBorders>
              <w:top w:val="nil"/>
              <w:left w:val="nil"/>
              <w:bottom w:val="single" w:sz="4" w:space="0" w:color="auto"/>
              <w:right w:val="single" w:sz="4" w:space="0" w:color="auto"/>
            </w:tcBorders>
            <w:shd w:val="clear" w:color="auto" w:fill="auto"/>
            <w:noWrap/>
            <w:vAlign w:val="center"/>
            <w:hideMark/>
          </w:tcPr>
          <w:p w14:paraId="3789E88C"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[11C]UCB-J</w:t>
            </w:r>
          </w:p>
        </w:tc>
        <w:tc>
          <w:tcPr>
            <w:tcW w:w="1289" w:type="dxa"/>
            <w:tcBorders>
              <w:top w:val="nil"/>
              <w:left w:val="nil"/>
              <w:bottom w:val="single" w:sz="4" w:space="0" w:color="auto"/>
              <w:right w:val="single" w:sz="4" w:space="0" w:color="auto"/>
            </w:tcBorders>
            <w:shd w:val="clear" w:color="auto" w:fill="auto"/>
            <w:noWrap/>
            <w:vAlign w:val="center"/>
            <w:hideMark/>
          </w:tcPr>
          <w:p w14:paraId="40AB0FBC"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VT</w:t>
            </w:r>
          </w:p>
        </w:tc>
        <w:tc>
          <w:tcPr>
            <w:tcW w:w="1134" w:type="dxa"/>
            <w:tcBorders>
              <w:top w:val="nil"/>
              <w:left w:val="nil"/>
              <w:bottom w:val="single" w:sz="4" w:space="0" w:color="auto"/>
              <w:right w:val="single" w:sz="4" w:space="0" w:color="auto"/>
            </w:tcBorders>
            <w:shd w:val="clear" w:color="auto" w:fill="auto"/>
            <w:noWrap/>
            <w:vAlign w:val="center"/>
            <w:hideMark/>
          </w:tcPr>
          <w:p w14:paraId="7D878712"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 </w:t>
            </w:r>
          </w:p>
        </w:tc>
      </w:tr>
      <w:tr w:rsidR="00D03208" w:rsidRPr="00866AB8" w14:paraId="5B76D898" w14:textId="77777777" w:rsidTr="009C056C">
        <w:trPr>
          <w:trHeight w:val="300"/>
        </w:trPr>
        <w:tc>
          <w:tcPr>
            <w:tcW w:w="988" w:type="dxa"/>
            <w:vMerge/>
            <w:tcBorders>
              <w:top w:val="nil"/>
              <w:left w:val="single" w:sz="4" w:space="0" w:color="auto"/>
              <w:bottom w:val="single" w:sz="4" w:space="0" w:color="auto"/>
              <w:right w:val="single" w:sz="4" w:space="0" w:color="auto"/>
            </w:tcBorders>
            <w:vAlign w:val="center"/>
            <w:hideMark/>
          </w:tcPr>
          <w:p w14:paraId="18E77005"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p>
        </w:tc>
        <w:tc>
          <w:tcPr>
            <w:tcW w:w="1559" w:type="dxa"/>
            <w:tcBorders>
              <w:top w:val="nil"/>
              <w:left w:val="nil"/>
              <w:bottom w:val="single" w:sz="4" w:space="0" w:color="auto"/>
              <w:right w:val="single" w:sz="4" w:space="0" w:color="auto"/>
            </w:tcBorders>
            <w:shd w:val="clear" w:color="auto" w:fill="auto"/>
            <w:noWrap/>
            <w:vAlign w:val="center"/>
            <w:hideMark/>
          </w:tcPr>
          <w:p w14:paraId="01C13701" w14:textId="2D92E95B"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Michiels (2021)</w:t>
            </w:r>
            <w:r w:rsidR="00017FF8">
              <w:rPr>
                <w:rFonts w:asciiTheme="majorHAnsi" w:eastAsia="Times New Roman" w:hAnsiTheme="majorHAnsi" w:cs="Calibri"/>
                <w:b/>
                <w:bCs/>
                <w:color w:val="000000"/>
                <w:kern w:val="0"/>
                <w:sz w:val="18"/>
                <w:szCs w:val="18"/>
                <w:vertAlign w:val="superscript"/>
                <w:lang w:eastAsia="en-GB"/>
                <w14:ligatures w14:val="none"/>
              </w:rPr>
              <w:t>20</w:t>
            </w:r>
          </w:p>
        </w:tc>
        <w:tc>
          <w:tcPr>
            <w:tcW w:w="1559" w:type="dxa"/>
            <w:tcBorders>
              <w:top w:val="nil"/>
              <w:left w:val="nil"/>
              <w:bottom w:val="single" w:sz="4" w:space="0" w:color="auto"/>
              <w:right w:val="single" w:sz="4" w:space="0" w:color="auto"/>
            </w:tcBorders>
            <w:shd w:val="clear" w:color="auto" w:fill="auto"/>
            <w:noWrap/>
            <w:vAlign w:val="center"/>
            <w:hideMark/>
          </w:tcPr>
          <w:p w14:paraId="6C67C3E7"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cross-sectional</w:t>
            </w:r>
          </w:p>
        </w:tc>
        <w:tc>
          <w:tcPr>
            <w:tcW w:w="2126" w:type="dxa"/>
            <w:tcBorders>
              <w:top w:val="nil"/>
              <w:left w:val="nil"/>
              <w:bottom w:val="single" w:sz="4" w:space="0" w:color="auto"/>
              <w:right w:val="single" w:sz="4" w:space="0" w:color="auto"/>
            </w:tcBorders>
            <w:shd w:val="clear" w:color="auto" w:fill="auto"/>
            <w:noWrap/>
            <w:vAlign w:val="center"/>
            <w:hideMark/>
          </w:tcPr>
          <w:p w14:paraId="63D36B01" w14:textId="1EC53C0B"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HC: Delva (2020)</w:t>
            </w:r>
            <w:r w:rsidR="00017FF8">
              <w:rPr>
                <w:rFonts w:asciiTheme="majorHAnsi" w:eastAsia="Times New Roman" w:hAnsiTheme="majorHAnsi" w:cs="Calibri"/>
                <w:color w:val="000000"/>
                <w:kern w:val="0"/>
                <w:sz w:val="18"/>
                <w:szCs w:val="18"/>
                <w:vertAlign w:val="superscript"/>
                <w:lang w:eastAsia="en-GB"/>
                <w14:ligatures w14:val="none"/>
              </w:rPr>
              <w:t>21</w:t>
            </w:r>
          </w:p>
        </w:tc>
        <w:tc>
          <w:tcPr>
            <w:tcW w:w="1560" w:type="dxa"/>
            <w:tcBorders>
              <w:top w:val="nil"/>
              <w:left w:val="nil"/>
              <w:bottom w:val="single" w:sz="4" w:space="0" w:color="auto"/>
              <w:right w:val="single" w:sz="4" w:space="0" w:color="auto"/>
            </w:tcBorders>
            <w:shd w:val="clear" w:color="auto" w:fill="auto"/>
            <w:noWrap/>
            <w:vAlign w:val="center"/>
            <w:hideMark/>
          </w:tcPr>
          <w:p w14:paraId="40BD0052"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HC=78</w:t>
            </w:r>
          </w:p>
        </w:tc>
        <w:tc>
          <w:tcPr>
            <w:tcW w:w="1842" w:type="dxa"/>
            <w:tcBorders>
              <w:top w:val="nil"/>
              <w:left w:val="nil"/>
              <w:bottom w:val="single" w:sz="4" w:space="0" w:color="auto"/>
              <w:right w:val="single" w:sz="4" w:space="0" w:color="auto"/>
            </w:tcBorders>
            <w:shd w:val="clear" w:color="auto" w:fill="auto"/>
            <w:noWrap/>
            <w:vAlign w:val="center"/>
            <w:hideMark/>
          </w:tcPr>
          <w:p w14:paraId="2DC22667"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HC (median)=55</w:t>
            </w:r>
          </w:p>
        </w:tc>
        <w:tc>
          <w:tcPr>
            <w:tcW w:w="1418" w:type="dxa"/>
            <w:tcBorders>
              <w:top w:val="nil"/>
              <w:left w:val="nil"/>
              <w:bottom w:val="single" w:sz="4" w:space="0" w:color="auto"/>
              <w:right w:val="single" w:sz="4" w:space="0" w:color="auto"/>
            </w:tcBorders>
            <w:shd w:val="clear" w:color="auto" w:fill="auto"/>
            <w:noWrap/>
            <w:vAlign w:val="center"/>
            <w:hideMark/>
          </w:tcPr>
          <w:p w14:paraId="0C480461"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medication free</w:t>
            </w:r>
          </w:p>
        </w:tc>
        <w:tc>
          <w:tcPr>
            <w:tcW w:w="1276" w:type="dxa"/>
            <w:tcBorders>
              <w:top w:val="nil"/>
              <w:left w:val="nil"/>
              <w:bottom w:val="single" w:sz="4" w:space="0" w:color="auto"/>
              <w:right w:val="single" w:sz="4" w:space="0" w:color="auto"/>
            </w:tcBorders>
            <w:shd w:val="clear" w:color="auto" w:fill="auto"/>
            <w:noWrap/>
            <w:vAlign w:val="center"/>
            <w:hideMark/>
          </w:tcPr>
          <w:p w14:paraId="41DCB13D"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[11C]UCB-J</w:t>
            </w:r>
          </w:p>
        </w:tc>
        <w:tc>
          <w:tcPr>
            <w:tcW w:w="1289" w:type="dxa"/>
            <w:tcBorders>
              <w:top w:val="nil"/>
              <w:left w:val="nil"/>
              <w:bottom w:val="single" w:sz="4" w:space="0" w:color="auto"/>
              <w:right w:val="single" w:sz="4" w:space="0" w:color="auto"/>
            </w:tcBorders>
            <w:shd w:val="clear" w:color="auto" w:fill="auto"/>
            <w:noWrap/>
            <w:vAlign w:val="center"/>
            <w:hideMark/>
          </w:tcPr>
          <w:p w14:paraId="4A884D3F"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SUVR</w:t>
            </w:r>
          </w:p>
        </w:tc>
        <w:tc>
          <w:tcPr>
            <w:tcW w:w="1134" w:type="dxa"/>
            <w:tcBorders>
              <w:top w:val="nil"/>
              <w:left w:val="nil"/>
              <w:bottom w:val="single" w:sz="4" w:space="0" w:color="auto"/>
              <w:right w:val="single" w:sz="4" w:space="0" w:color="auto"/>
            </w:tcBorders>
            <w:shd w:val="clear" w:color="auto" w:fill="auto"/>
            <w:noWrap/>
            <w:vAlign w:val="center"/>
            <w:hideMark/>
          </w:tcPr>
          <w:p w14:paraId="6A084CCA"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CS</w:t>
            </w:r>
          </w:p>
        </w:tc>
      </w:tr>
      <w:tr w:rsidR="00D03208" w:rsidRPr="00866AB8" w14:paraId="162AA4AF" w14:textId="77777777" w:rsidTr="009C056C">
        <w:trPr>
          <w:trHeight w:val="300"/>
        </w:trPr>
        <w:tc>
          <w:tcPr>
            <w:tcW w:w="988" w:type="dxa"/>
            <w:vMerge/>
            <w:tcBorders>
              <w:top w:val="nil"/>
              <w:left w:val="single" w:sz="4" w:space="0" w:color="auto"/>
              <w:bottom w:val="single" w:sz="4" w:space="0" w:color="auto"/>
              <w:right w:val="single" w:sz="4" w:space="0" w:color="auto"/>
            </w:tcBorders>
            <w:vAlign w:val="center"/>
            <w:hideMark/>
          </w:tcPr>
          <w:p w14:paraId="796018AE"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p>
        </w:tc>
        <w:tc>
          <w:tcPr>
            <w:tcW w:w="1559" w:type="dxa"/>
            <w:tcBorders>
              <w:top w:val="nil"/>
              <w:left w:val="nil"/>
              <w:bottom w:val="single" w:sz="4" w:space="0" w:color="auto"/>
              <w:right w:val="single" w:sz="4" w:space="0" w:color="auto"/>
            </w:tcBorders>
            <w:shd w:val="clear" w:color="auto" w:fill="auto"/>
            <w:noWrap/>
            <w:vAlign w:val="center"/>
            <w:hideMark/>
          </w:tcPr>
          <w:p w14:paraId="769FC6C4" w14:textId="1E430CB2"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Toyonaga (2023)</w:t>
            </w:r>
            <w:r w:rsidR="00017FF8">
              <w:rPr>
                <w:rFonts w:asciiTheme="majorHAnsi" w:eastAsia="Times New Roman" w:hAnsiTheme="majorHAnsi" w:cs="Calibri"/>
                <w:b/>
                <w:bCs/>
                <w:color w:val="000000"/>
                <w:kern w:val="0"/>
                <w:sz w:val="18"/>
                <w:szCs w:val="18"/>
                <w:vertAlign w:val="superscript"/>
                <w:lang w:eastAsia="en-GB"/>
                <w14:ligatures w14:val="none"/>
              </w:rPr>
              <w:t>22</w:t>
            </w:r>
          </w:p>
        </w:tc>
        <w:tc>
          <w:tcPr>
            <w:tcW w:w="1559" w:type="dxa"/>
            <w:tcBorders>
              <w:top w:val="nil"/>
              <w:left w:val="nil"/>
              <w:bottom w:val="single" w:sz="4" w:space="0" w:color="auto"/>
              <w:right w:val="single" w:sz="4" w:space="0" w:color="auto"/>
            </w:tcBorders>
            <w:shd w:val="clear" w:color="auto" w:fill="auto"/>
            <w:noWrap/>
            <w:vAlign w:val="center"/>
            <w:hideMark/>
          </w:tcPr>
          <w:p w14:paraId="6A993B45"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cross-sectional</w:t>
            </w:r>
          </w:p>
        </w:tc>
        <w:tc>
          <w:tcPr>
            <w:tcW w:w="2126" w:type="dxa"/>
            <w:tcBorders>
              <w:top w:val="nil"/>
              <w:left w:val="nil"/>
              <w:bottom w:val="single" w:sz="4" w:space="0" w:color="auto"/>
              <w:right w:val="single" w:sz="4" w:space="0" w:color="auto"/>
            </w:tcBorders>
            <w:shd w:val="clear" w:color="auto" w:fill="auto"/>
            <w:noWrap/>
            <w:vAlign w:val="center"/>
            <w:hideMark/>
          </w:tcPr>
          <w:p w14:paraId="1383BFD4" w14:textId="1412BC54"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HC: Chen (2018)</w:t>
            </w:r>
            <w:r w:rsidR="00017FF8">
              <w:rPr>
                <w:rFonts w:asciiTheme="majorHAnsi" w:eastAsia="Times New Roman" w:hAnsiTheme="majorHAnsi" w:cs="Calibri"/>
                <w:color w:val="000000"/>
                <w:kern w:val="0"/>
                <w:sz w:val="18"/>
                <w:szCs w:val="18"/>
                <w:vertAlign w:val="superscript"/>
                <w:lang w:eastAsia="en-GB"/>
                <w14:ligatures w14:val="none"/>
              </w:rPr>
              <w:t>23</w:t>
            </w:r>
            <w:r w:rsidRPr="00866AB8">
              <w:rPr>
                <w:rFonts w:asciiTheme="majorHAnsi" w:eastAsia="Times New Roman" w:hAnsiTheme="majorHAnsi" w:cs="Calibri"/>
                <w:color w:val="000000"/>
                <w:kern w:val="0"/>
                <w:sz w:val="18"/>
                <w:szCs w:val="18"/>
                <w:lang w:eastAsia="en-GB"/>
                <w14:ligatures w14:val="none"/>
              </w:rPr>
              <w:t>, Finnema (2018), Holmes (2019)</w:t>
            </w:r>
            <w:r w:rsidR="00017FF8">
              <w:rPr>
                <w:rFonts w:asciiTheme="majorHAnsi" w:eastAsia="Times New Roman" w:hAnsiTheme="majorHAnsi" w:cs="Calibri"/>
                <w:color w:val="000000"/>
                <w:kern w:val="0"/>
                <w:sz w:val="18"/>
                <w:szCs w:val="18"/>
                <w:vertAlign w:val="superscript"/>
                <w:lang w:eastAsia="en-GB"/>
                <w14:ligatures w14:val="none"/>
              </w:rPr>
              <w:t>24</w:t>
            </w:r>
            <w:r w:rsidRPr="00866AB8">
              <w:rPr>
                <w:rFonts w:asciiTheme="majorHAnsi" w:eastAsia="Times New Roman" w:hAnsiTheme="majorHAnsi" w:cs="Calibri"/>
                <w:color w:val="000000"/>
                <w:kern w:val="0"/>
                <w:sz w:val="18"/>
                <w:szCs w:val="18"/>
                <w:lang w:eastAsia="en-GB"/>
                <w14:ligatures w14:val="none"/>
              </w:rPr>
              <w:t>, Finnema (2020)</w:t>
            </w:r>
            <w:r w:rsidR="00017FF8">
              <w:rPr>
                <w:rFonts w:asciiTheme="majorHAnsi" w:eastAsia="Times New Roman" w:hAnsiTheme="majorHAnsi" w:cs="Calibri"/>
                <w:color w:val="000000"/>
                <w:kern w:val="0"/>
                <w:sz w:val="18"/>
                <w:szCs w:val="18"/>
                <w:vertAlign w:val="superscript"/>
                <w:lang w:eastAsia="en-GB"/>
                <w14:ligatures w14:val="none"/>
              </w:rPr>
              <w:t>25</w:t>
            </w:r>
            <w:r w:rsidRPr="00866AB8">
              <w:rPr>
                <w:rFonts w:asciiTheme="majorHAnsi" w:eastAsia="Times New Roman" w:hAnsiTheme="majorHAnsi" w:cs="Calibri"/>
                <w:color w:val="000000"/>
                <w:kern w:val="0"/>
                <w:sz w:val="18"/>
                <w:szCs w:val="18"/>
                <w:lang w:eastAsia="en-GB"/>
                <w14:ligatures w14:val="none"/>
              </w:rPr>
              <w:t>, Matuskey (2020)</w:t>
            </w:r>
            <w:r w:rsidR="00017FF8">
              <w:rPr>
                <w:rFonts w:asciiTheme="majorHAnsi" w:eastAsia="Times New Roman" w:hAnsiTheme="majorHAnsi" w:cs="Calibri"/>
                <w:color w:val="000000"/>
                <w:kern w:val="0"/>
                <w:sz w:val="18"/>
                <w:szCs w:val="18"/>
                <w:vertAlign w:val="superscript"/>
                <w:lang w:eastAsia="en-GB"/>
                <w14:ligatures w14:val="none"/>
              </w:rPr>
              <w:t>26</w:t>
            </w:r>
            <w:r w:rsidRPr="00866AB8">
              <w:rPr>
                <w:rFonts w:asciiTheme="majorHAnsi" w:eastAsia="Times New Roman" w:hAnsiTheme="majorHAnsi" w:cs="Calibri"/>
                <w:color w:val="000000"/>
                <w:kern w:val="0"/>
                <w:sz w:val="18"/>
                <w:szCs w:val="18"/>
                <w:lang w:eastAsia="en-GB"/>
                <w14:ligatures w14:val="none"/>
              </w:rPr>
              <w:t>, Mecca (2020)</w:t>
            </w:r>
            <w:r w:rsidR="00017FF8">
              <w:rPr>
                <w:rFonts w:asciiTheme="majorHAnsi" w:eastAsia="Times New Roman" w:hAnsiTheme="majorHAnsi" w:cs="Calibri"/>
                <w:color w:val="000000"/>
                <w:kern w:val="0"/>
                <w:sz w:val="18"/>
                <w:szCs w:val="18"/>
                <w:vertAlign w:val="superscript"/>
                <w:lang w:eastAsia="en-GB"/>
                <w14:ligatures w14:val="none"/>
              </w:rPr>
              <w:t>27</w:t>
            </w:r>
            <w:r w:rsidRPr="00866AB8">
              <w:rPr>
                <w:rFonts w:asciiTheme="majorHAnsi" w:eastAsia="Times New Roman" w:hAnsiTheme="majorHAnsi" w:cs="Calibri"/>
                <w:color w:val="000000"/>
                <w:kern w:val="0"/>
                <w:sz w:val="18"/>
                <w:szCs w:val="18"/>
                <w:lang w:eastAsia="en-GB"/>
                <w14:ligatures w14:val="none"/>
              </w:rPr>
              <w:t>, D'Souza  (2019</w:t>
            </w:r>
            <w:r w:rsidR="009C056C">
              <w:rPr>
                <w:rFonts w:asciiTheme="majorHAnsi" w:eastAsia="Times New Roman" w:hAnsiTheme="majorHAnsi" w:cs="Calibri"/>
                <w:color w:val="000000"/>
                <w:kern w:val="0"/>
                <w:sz w:val="18"/>
                <w:szCs w:val="18"/>
                <w:lang w:eastAsia="en-GB"/>
                <w14:ligatures w14:val="none"/>
              </w:rPr>
              <w:t>)</w:t>
            </w:r>
            <w:r w:rsidR="00017FF8">
              <w:rPr>
                <w:rFonts w:asciiTheme="majorHAnsi" w:eastAsia="Times New Roman" w:hAnsiTheme="majorHAnsi" w:cs="Calibri"/>
                <w:color w:val="000000"/>
                <w:kern w:val="0"/>
                <w:sz w:val="18"/>
                <w:szCs w:val="18"/>
                <w:vertAlign w:val="superscript"/>
                <w:lang w:eastAsia="en-GB"/>
                <w14:ligatures w14:val="none"/>
              </w:rPr>
              <w:t>28</w:t>
            </w:r>
            <w:r w:rsidR="009C056C" w:rsidRPr="00866AB8">
              <w:rPr>
                <w:rFonts w:asciiTheme="majorHAnsi" w:eastAsia="Times New Roman" w:hAnsiTheme="majorHAnsi" w:cs="Calibri"/>
                <w:color w:val="000000"/>
                <w:kern w:val="0"/>
                <w:sz w:val="18"/>
                <w:szCs w:val="18"/>
                <w:lang w:eastAsia="en-GB"/>
                <w14:ligatures w14:val="none"/>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062E1DC"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HC=80</w:t>
            </w:r>
          </w:p>
        </w:tc>
        <w:tc>
          <w:tcPr>
            <w:tcW w:w="1842" w:type="dxa"/>
            <w:tcBorders>
              <w:top w:val="nil"/>
              <w:left w:val="nil"/>
              <w:bottom w:val="single" w:sz="4" w:space="0" w:color="auto"/>
              <w:right w:val="single" w:sz="4" w:space="0" w:color="auto"/>
            </w:tcBorders>
            <w:shd w:val="clear" w:color="auto" w:fill="auto"/>
            <w:noWrap/>
            <w:vAlign w:val="center"/>
            <w:hideMark/>
          </w:tcPr>
          <w:p w14:paraId="2C7F9774"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HC (range)= 21–83</w:t>
            </w:r>
          </w:p>
        </w:tc>
        <w:tc>
          <w:tcPr>
            <w:tcW w:w="1418" w:type="dxa"/>
            <w:tcBorders>
              <w:top w:val="nil"/>
              <w:left w:val="nil"/>
              <w:bottom w:val="single" w:sz="4" w:space="0" w:color="auto"/>
              <w:right w:val="single" w:sz="4" w:space="0" w:color="auto"/>
            </w:tcBorders>
            <w:shd w:val="clear" w:color="auto" w:fill="auto"/>
            <w:noWrap/>
            <w:vAlign w:val="center"/>
            <w:hideMark/>
          </w:tcPr>
          <w:p w14:paraId="35E21183"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SSRI-naive</w:t>
            </w:r>
          </w:p>
        </w:tc>
        <w:tc>
          <w:tcPr>
            <w:tcW w:w="1276" w:type="dxa"/>
            <w:tcBorders>
              <w:top w:val="nil"/>
              <w:left w:val="nil"/>
              <w:bottom w:val="single" w:sz="4" w:space="0" w:color="auto"/>
              <w:right w:val="single" w:sz="4" w:space="0" w:color="auto"/>
            </w:tcBorders>
            <w:shd w:val="clear" w:color="auto" w:fill="auto"/>
            <w:noWrap/>
            <w:vAlign w:val="center"/>
            <w:hideMark/>
          </w:tcPr>
          <w:p w14:paraId="3CC6964C"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[11C]UCB-J</w:t>
            </w:r>
          </w:p>
        </w:tc>
        <w:tc>
          <w:tcPr>
            <w:tcW w:w="1289" w:type="dxa"/>
            <w:tcBorders>
              <w:top w:val="nil"/>
              <w:left w:val="nil"/>
              <w:bottom w:val="single" w:sz="4" w:space="0" w:color="auto"/>
              <w:right w:val="single" w:sz="4" w:space="0" w:color="auto"/>
            </w:tcBorders>
            <w:shd w:val="clear" w:color="auto" w:fill="auto"/>
            <w:noWrap/>
            <w:vAlign w:val="center"/>
            <w:hideMark/>
          </w:tcPr>
          <w:p w14:paraId="2980B4EE"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SUVR, BPf</w:t>
            </w:r>
          </w:p>
        </w:tc>
        <w:tc>
          <w:tcPr>
            <w:tcW w:w="1134" w:type="dxa"/>
            <w:tcBorders>
              <w:top w:val="nil"/>
              <w:left w:val="nil"/>
              <w:bottom w:val="single" w:sz="4" w:space="0" w:color="auto"/>
              <w:right w:val="single" w:sz="4" w:space="0" w:color="auto"/>
            </w:tcBorders>
            <w:shd w:val="clear" w:color="auto" w:fill="auto"/>
            <w:noWrap/>
            <w:vAlign w:val="center"/>
            <w:hideMark/>
          </w:tcPr>
          <w:p w14:paraId="49A9E7B3"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CS</w:t>
            </w:r>
          </w:p>
        </w:tc>
      </w:tr>
      <w:tr w:rsidR="00D03208" w:rsidRPr="00866AB8" w14:paraId="011C8882" w14:textId="77777777" w:rsidTr="009C056C">
        <w:trPr>
          <w:trHeight w:val="300"/>
        </w:trPr>
        <w:tc>
          <w:tcPr>
            <w:tcW w:w="988" w:type="dxa"/>
            <w:vMerge/>
            <w:tcBorders>
              <w:top w:val="nil"/>
              <w:left w:val="single" w:sz="4" w:space="0" w:color="auto"/>
              <w:bottom w:val="single" w:sz="4" w:space="0" w:color="auto"/>
              <w:right w:val="single" w:sz="4" w:space="0" w:color="auto"/>
            </w:tcBorders>
            <w:vAlign w:val="center"/>
            <w:hideMark/>
          </w:tcPr>
          <w:p w14:paraId="7CFC7B34" w14:textId="77777777"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p>
        </w:tc>
        <w:tc>
          <w:tcPr>
            <w:tcW w:w="1559" w:type="dxa"/>
            <w:tcBorders>
              <w:top w:val="nil"/>
              <w:left w:val="nil"/>
              <w:bottom w:val="single" w:sz="4" w:space="0" w:color="auto"/>
              <w:right w:val="single" w:sz="4" w:space="0" w:color="auto"/>
            </w:tcBorders>
            <w:shd w:val="clear" w:color="auto" w:fill="auto"/>
            <w:noWrap/>
            <w:vAlign w:val="center"/>
            <w:hideMark/>
          </w:tcPr>
          <w:p w14:paraId="7D0F6B7A" w14:textId="67815F5D" w:rsidR="00D03208" w:rsidRPr="00866AB8" w:rsidRDefault="00D03208" w:rsidP="00C3185A">
            <w:pPr>
              <w:rPr>
                <w:rFonts w:asciiTheme="majorHAnsi" w:eastAsia="Times New Roman" w:hAnsiTheme="majorHAnsi" w:cs="Calibri"/>
                <w:b/>
                <w:bCs/>
                <w:color w:val="000000"/>
                <w:kern w:val="0"/>
                <w:sz w:val="18"/>
                <w:szCs w:val="18"/>
                <w:lang w:eastAsia="en-GB"/>
                <w14:ligatures w14:val="none"/>
              </w:rPr>
            </w:pPr>
            <w:r w:rsidRPr="00866AB8">
              <w:rPr>
                <w:rFonts w:asciiTheme="majorHAnsi" w:eastAsia="Times New Roman" w:hAnsiTheme="majorHAnsi" w:cs="Calibri"/>
                <w:b/>
                <w:bCs/>
                <w:color w:val="000000"/>
                <w:kern w:val="0"/>
                <w:sz w:val="18"/>
                <w:szCs w:val="18"/>
                <w:lang w:eastAsia="en-GB"/>
                <w14:ligatures w14:val="none"/>
              </w:rPr>
              <w:t>Van Aalst (2021)</w:t>
            </w:r>
            <w:r w:rsidR="00017FF8">
              <w:rPr>
                <w:rFonts w:asciiTheme="majorHAnsi" w:eastAsia="Times New Roman" w:hAnsiTheme="majorHAnsi" w:cs="Calibri"/>
                <w:b/>
                <w:bCs/>
                <w:color w:val="000000"/>
                <w:kern w:val="0"/>
                <w:sz w:val="18"/>
                <w:szCs w:val="18"/>
                <w:vertAlign w:val="superscript"/>
                <w:lang w:eastAsia="en-GB"/>
                <w14:ligatures w14:val="none"/>
              </w:rPr>
              <w:t>29</w:t>
            </w:r>
          </w:p>
        </w:tc>
        <w:tc>
          <w:tcPr>
            <w:tcW w:w="1559" w:type="dxa"/>
            <w:tcBorders>
              <w:top w:val="nil"/>
              <w:left w:val="nil"/>
              <w:bottom w:val="single" w:sz="4" w:space="0" w:color="auto"/>
              <w:right w:val="single" w:sz="4" w:space="0" w:color="auto"/>
            </w:tcBorders>
            <w:shd w:val="clear" w:color="auto" w:fill="auto"/>
            <w:noWrap/>
            <w:vAlign w:val="center"/>
            <w:hideMark/>
          </w:tcPr>
          <w:p w14:paraId="539B359C"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cross-sectional</w:t>
            </w:r>
          </w:p>
        </w:tc>
        <w:tc>
          <w:tcPr>
            <w:tcW w:w="2126" w:type="dxa"/>
            <w:tcBorders>
              <w:top w:val="nil"/>
              <w:left w:val="nil"/>
              <w:bottom w:val="single" w:sz="4" w:space="0" w:color="auto"/>
              <w:right w:val="single" w:sz="4" w:space="0" w:color="auto"/>
            </w:tcBorders>
            <w:shd w:val="clear" w:color="auto" w:fill="auto"/>
            <w:noWrap/>
            <w:vAlign w:val="center"/>
            <w:hideMark/>
          </w:tcPr>
          <w:p w14:paraId="0464791E"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N</w:t>
            </w:r>
          </w:p>
        </w:tc>
        <w:tc>
          <w:tcPr>
            <w:tcW w:w="1560" w:type="dxa"/>
            <w:tcBorders>
              <w:top w:val="nil"/>
              <w:left w:val="nil"/>
              <w:bottom w:val="single" w:sz="4" w:space="0" w:color="auto"/>
              <w:right w:val="single" w:sz="4" w:space="0" w:color="auto"/>
            </w:tcBorders>
            <w:shd w:val="clear" w:color="auto" w:fill="auto"/>
            <w:noWrap/>
            <w:vAlign w:val="center"/>
            <w:hideMark/>
          </w:tcPr>
          <w:p w14:paraId="1D872667"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HC=20</w:t>
            </w:r>
          </w:p>
        </w:tc>
        <w:tc>
          <w:tcPr>
            <w:tcW w:w="1842" w:type="dxa"/>
            <w:tcBorders>
              <w:top w:val="nil"/>
              <w:left w:val="nil"/>
              <w:bottom w:val="single" w:sz="4" w:space="0" w:color="auto"/>
              <w:right w:val="single" w:sz="4" w:space="0" w:color="auto"/>
            </w:tcBorders>
            <w:shd w:val="clear" w:color="auto" w:fill="auto"/>
            <w:noWrap/>
            <w:vAlign w:val="center"/>
            <w:hideMark/>
          </w:tcPr>
          <w:p w14:paraId="64D9013A"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HC= 29.6 ± 9.9</w:t>
            </w:r>
          </w:p>
        </w:tc>
        <w:tc>
          <w:tcPr>
            <w:tcW w:w="1418" w:type="dxa"/>
            <w:tcBorders>
              <w:top w:val="nil"/>
              <w:left w:val="nil"/>
              <w:bottom w:val="single" w:sz="4" w:space="0" w:color="auto"/>
              <w:right w:val="single" w:sz="4" w:space="0" w:color="auto"/>
            </w:tcBorders>
            <w:shd w:val="clear" w:color="auto" w:fill="auto"/>
            <w:noWrap/>
            <w:vAlign w:val="center"/>
            <w:hideMark/>
          </w:tcPr>
          <w:p w14:paraId="7410F6AB"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medication free</w:t>
            </w:r>
          </w:p>
        </w:tc>
        <w:tc>
          <w:tcPr>
            <w:tcW w:w="1276" w:type="dxa"/>
            <w:tcBorders>
              <w:top w:val="nil"/>
              <w:left w:val="nil"/>
              <w:bottom w:val="single" w:sz="4" w:space="0" w:color="auto"/>
              <w:right w:val="single" w:sz="4" w:space="0" w:color="auto"/>
            </w:tcBorders>
            <w:shd w:val="clear" w:color="auto" w:fill="auto"/>
            <w:noWrap/>
            <w:vAlign w:val="center"/>
            <w:hideMark/>
          </w:tcPr>
          <w:p w14:paraId="49D3EDD7"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[11C]UCB-J</w:t>
            </w:r>
          </w:p>
        </w:tc>
        <w:tc>
          <w:tcPr>
            <w:tcW w:w="1289" w:type="dxa"/>
            <w:tcBorders>
              <w:top w:val="nil"/>
              <w:left w:val="nil"/>
              <w:bottom w:val="single" w:sz="4" w:space="0" w:color="auto"/>
              <w:right w:val="single" w:sz="4" w:space="0" w:color="auto"/>
            </w:tcBorders>
            <w:shd w:val="clear" w:color="auto" w:fill="auto"/>
            <w:noWrap/>
            <w:vAlign w:val="center"/>
            <w:hideMark/>
          </w:tcPr>
          <w:p w14:paraId="62582459"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BPND</w:t>
            </w:r>
          </w:p>
        </w:tc>
        <w:tc>
          <w:tcPr>
            <w:tcW w:w="1134" w:type="dxa"/>
            <w:tcBorders>
              <w:top w:val="nil"/>
              <w:left w:val="nil"/>
              <w:bottom w:val="single" w:sz="4" w:space="0" w:color="auto"/>
              <w:right w:val="single" w:sz="4" w:space="0" w:color="auto"/>
            </w:tcBorders>
            <w:shd w:val="clear" w:color="auto" w:fill="auto"/>
            <w:noWrap/>
            <w:vAlign w:val="center"/>
            <w:hideMark/>
          </w:tcPr>
          <w:p w14:paraId="6A7762F7" w14:textId="77777777" w:rsidR="00D03208" w:rsidRPr="00866AB8" w:rsidRDefault="00D03208" w:rsidP="00C3185A">
            <w:pPr>
              <w:rPr>
                <w:rFonts w:asciiTheme="majorHAnsi" w:eastAsia="Times New Roman" w:hAnsiTheme="majorHAnsi" w:cs="Calibri"/>
                <w:color w:val="000000"/>
                <w:kern w:val="0"/>
                <w:sz w:val="18"/>
                <w:szCs w:val="18"/>
                <w:lang w:eastAsia="en-GB"/>
                <w14:ligatures w14:val="none"/>
              </w:rPr>
            </w:pPr>
            <w:r w:rsidRPr="00866AB8">
              <w:rPr>
                <w:rFonts w:asciiTheme="majorHAnsi" w:eastAsia="Times New Roman" w:hAnsiTheme="majorHAnsi" w:cs="Calibri"/>
                <w:color w:val="000000"/>
                <w:kern w:val="0"/>
                <w:sz w:val="18"/>
                <w:szCs w:val="18"/>
                <w:lang w:eastAsia="en-GB"/>
                <w14:ligatures w14:val="none"/>
              </w:rPr>
              <w:t>CS</w:t>
            </w:r>
          </w:p>
        </w:tc>
      </w:tr>
    </w:tbl>
    <w:p w14:paraId="3EAD907C" w14:textId="1233FA1B" w:rsidR="00D03208" w:rsidRPr="00866AB8" w:rsidRDefault="00D03208" w:rsidP="00C3185A">
      <w:pPr>
        <w:pStyle w:val="Caption"/>
      </w:pPr>
      <w:r w:rsidRPr="009237CF">
        <w:rPr>
          <w:b/>
          <w:bCs/>
        </w:rPr>
        <w:t>Table S</w:t>
      </w:r>
      <w:r w:rsidR="00FB02DA">
        <w:rPr>
          <w:b/>
          <w:bCs/>
        </w:rPr>
        <w:t>2</w:t>
      </w:r>
      <w:r>
        <w:t xml:space="preserve"> </w:t>
      </w:r>
      <w:r w:rsidR="00CA038A">
        <w:rPr>
          <w:lang w:val="en-US"/>
        </w:rPr>
        <w:t>Summary of studies in healthy controls</w:t>
      </w:r>
      <w:r w:rsidR="00CA038A">
        <w:t xml:space="preserve">. If the same sample or a subset of the same sample was used across multiple studies, this is indicated in the ‘Overlapping samples’ column, where citation indicates the first study published (chronologically) where this sample was included; otherwise ‘N’ indicates no overlap in data with previous studies.  </w:t>
      </w:r>
      <w:r w:rsidR="00CA038A" w:rsidRPr="00383638">
        <w:rPr>
          <w:b/>
          <w:bCs/>
        </w:rPr>
        <w:t>Abbreviations</w:t>
      </w:r>
      <w:r w:rsidR="00CA038A">
        <w:t xml:space="preserve">: </w:t>
      </w:r>
      <w:r w:rsidR="00CA038A">
        <w:rPr>
          <w:lang w:val="en-US"/>
        </w:rPr>
        <w:t>CS = centrum semiovale, HC = healthy control, N = no, PET = positron emission tomography, SD = standard deviation, SSRI = selective serotonin reuptake inhibitor, SUVR = standardised uptake value ratio, Vt = volume of distribution.</w:t>
      </w:r>
    </w:p>
    <w:p w14:paraId="67DA7ABD" w14:textId="43A39880" w:rsidR="00D03208" w:rsidRDefault="00D03208" w:rsidP="00C3185A">
      <w:r>
        <w:br w:type="page"/>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084"/>
        <w:gridCol w:w="1275"/>
        <w:gridCol w:w="1560"/>
        <w:gridCol w:w="1559"/>
        <w:gridCol w:w="1701"/>
        <w:gridCol w:w="1701"/>
        <w:gridCol w:w="1559"/>
        <w:gridCol w:w="992"/>
        <w:gridCol w:w="993"/>
      </w:tblGrid>
      <w:tr w:rsidR="00CA038A" w:rsidRPr="00C170BC" w14:paraId="6628E0EB" w14:textId="77777777" w:rsidTr="009C056C">
        <w:trPr>
          <w:trHeight w:val="300"/>
          <w:tblHeader/>
        </w:trPr>
        <w:tc>
          <w:tcPr>
            <w:tcW w:w="1038" w:type="dxa"/>
            <w:shd w:val="clear" w:color="auto" w:fill="C1E4F5" w:themeFill="accent1" w:themeFillTint="33"/>
            <w:noWrap/>
            <w:vAlign w:val="center"/>
            <w:hideMark/>
          </w:tcPr>
          <w:p w14:paraId="2F7FFF19"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lastRenderedPageBreak/>
              <w:t>Diagnosis</w:t>
            </w:r>
          </w:p>
        </w:tc>
        <w:tc>
          <w:tcPr>
            <w:tcW w:w="1084" w:type="dxa"/>
            <w:shd w:val="clear" w:color="auto" w:fill="C1E4F5" w:themeFill="accent1" w:themeFillTint="33"/>
            <w:noWrap/>
            <w:vAlign w:val="center"/>
            <w:hideMark/>
          </w:tcPr>
          <w:p w14:paraId="5C6A32EE"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Reference</w:t>
            </w:r>
          </w:p>
        </w:tc>
        <w:tc>
          <w:tcPr>
            <w:tcW w:w="1275" w:type="dxa"/>
            <w:shd w:val="clear" w:color="auto" w:fill="C1E4F5" w:themeFill="accent1" w:themeFillTint="33"/>
            <w:noWrap/>
            <w:vAlign w:val="center"/>
            <w:hideMark/>
          </w:tcPr>
          <w:p w14:paraId="7130ADEC"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Design</w:t>
            </w:r>
          </w:p>
        </w:tc>
        <w:tc>
          <w:tcPr>
            <w:tcW w:w="1560" w:type="dxa"/>
            <w:shd w:val="clear" w:color="auto" w:fill="C1E4F5" w:themeFill="accent1" w:themeFillTint="33"/>
            <w:noWrap/>
            <w:vAlign w:val="center"/>
            <w:hideMark/>
          </w:tcPr>
          <w:p w14:paraId="738D324A"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Overlapping samples</w:t>
            </w:r>
          </w:p>
        </w:tc>
        <w:tc>
          <w:tcPr>
            <w:tcW w:w="1559" w:type="dxa"/>
            <w:shd w:val="clear" w:color="auto" w:fill="C1E4F5" w:themeFill="accent1" w:themeFillTint="33"/>
            <w:noWrap/>
            <w:vAlign w:val="center"/>
            <w:hideMark/>
          </w:tcPr>
          <w:p w14:paraId="0ACF2EF5"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Participants</w:t>
            </w:r>
          </w:p>
        </w:tc>
        <w:tc>
          <w:tcPr>
            <w:tcW w:w="1701" w:type="dxa"/>
            <w:shd w:val="clear" w:color="auto" w:fill="C1E4F5" w:themeFill="accent1" w:themeFillTint="33"/>
            <w:noWrap/>
            <w:vAlign w:val="center"/>
            <w:hideMark/>
          </w:tcPr>
          <w:p w14:paraId="49491A09"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Age mean ±SD</w:t>
            </w:r>
          </w:p>
        </w:tc>
        <w:tc>
          <w:tcPr>
            <w:tcW w:w="1701" w:type="dxa"/>
            <w:shd w:val="clear" w:color="auto" w:fill="C1E4F5" w:themeFill="accent1" w:themeFillTint="33"/>
            <w:noWrap/>
            <w:vAlign w:val="center"/>
            <w:hideMark/>
          </w:tcPr>
          <w:p w14:paraId="1478AB7B"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Medication</w:t>
            </w:r>
          </w:p>
        </w:tc>
        <w:tc>
          <w:tcPr>
            <w:tcW w:w="1559" w:type="dxa"/>
            <w:shd w:val="clear" w:color="auto" w:fill="C1E4F5" w:themeFill="accent1" w:themeFillTint="33"/>
            <w:noWrap/>
            <w:vAlign w:val="center"/>
            <w:hideMark/>
          </w:tcPr>
          <w:p w14:paraId="745749D9"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Radioligand</w:t>
            </w:r>
          </w:p>
        </w:tc>
        <w:tc>
          <w:tcPr>
            <w:tcW w:w="992" w:type="dxa"/>
            <w:shd w:val="clear" w:color="auto" w:fill="C1E4F5" w:themeFill="accent1" w:themeFillTint="33"/>
            <w:noWrap/>
            <w:vAlign w:val="center"/>
            <w:hideMark/>
          </w:tcPr>
          <w:p w14:paraId="53B90490"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PET measurement</w:t>
            </w:r>
          </w:p>
        </w:tc>
        <w:tc>
          <w:tcPr>
            <w:tcW w:w="993" w:type="dxa"/>
            <w:shd w:val="clear" w:color="auto" w:fill="C1E4F5" w:themeFill="accent1" w:themeFillTint="33"/>
            <w:noWrap/>
            <w:vAlign w:val="center"/>
            <w:hideMark/>
          </w:tcPr>
          <w:p w14:paraId="7BF0F661"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PET reference</w:t>
            </w:r>
          </w:p>
        </w:tc>
      </w:tr>
      <w:tr w:rsidR="00CA038A" w:rsidRPr="00C170BC" w14:paraId="69C679FC" w14:textId="77777777" w:rsidTr="009C056C">
        <w:trPr>
          <w:trHeight w:val="300"/>
        </w:trPr>
        <w:tc>
          <w:tcPr>
            <w:tcW w:w="1038" w:type="dxa"/>
            <w:vMerge w:val="restart"/>
            <w:shd w:val="clear" w:color="auto" w:fill="auto"/>
            <w:noWrap/>
            <w:vAlign w:val="center"/>
            <w:hideMark/>
          </w:tcPr>
          <w:p w14:paraId="494996F9"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Addictions</w:t>
            </w:r>
          </w:p>
        </w:tc>
        <w:tc>
          <w:tcPr>
            <w:tcW w:w="1084" w:type="dxa"/>
            <w:shd w:val="clear" w:color="auto" w:fill="auto"/>
            <w:noWrap/>
            <w:vAlign w:val="center"/>
            <w:hideMark/>
          </w:tcPr>
          <w:p w14:paraId="2731B51C" w14:textId="4BF109B0"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Angarita (2022)</w:t>
            </w:r>
            <w:r w:rsidR="00017FF8">
              <w:rPr>
                <w:rFonts w:asciiTheme="majorHAnsi" w:eastAsia="Times New Roman" w:hAnsiTheme="majorHAnsi" w:cs="Calibri"/>
                <w:b/>
                <w:bCs/>
                <w:color w:val="000000"/>
                <w:kern w:val="0"/>
                <w:sz w:val="18"/>
                <w:szCs w:val="18"/>
                <w:vertAlign w:val="superscript"/>
                <w:lang w:eastAsia="en-GB"/>
                <w14:ligatures w14:val="none"/>
              </w:rPr>
              <w:t>30</w:t>
            </w:r>
          </w:p>
        </w:tc>
        <w:tc>
          <w:tcPr>
            <w:tcW w:w="1275" w:type="dxa"/>
            <w:shd w:val="clear" w:color="auto" w:fill="auto"/>
            <w:noWrap/>
            <w:vAlign w:val="center"/>
            <w:hideMark/>
          </w:tcPr>
          <w:p w14:paraId="38FDC72B"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cross-sectional</w:t>
            </w:r>
          </w:p>
        </w:tc>
        <w:tc>
          <w:tcPr>
            <w:tcW w:w="1560" w:type="dxa"/>
            <w:shd w:val="clear" w:color="auto" w:fill="auto"/>
            <w:noWrap/>
            <w:vAlign w:val="center"/>
            <w:hideMark/>
          </w:tcPr>
          <w:p w14:paraId="7ACE87D9" w14:textId="56070494"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8 HC: Finnema (2018)</w:t>
            </w:r>
            <w:r w:rsidR="00017FF8">
              <w:rPr>
                <w:rFonts w:asciiTheme="majorHAnsi" w:eastAsia="Times New Roman" w:hAnsiTheme="majorHAnsi" w:cs="Calibri"/>
                <w:color w:val="000000"/>
                <w:kern w:val="0"/>
                <w:sz w:val="18"/>
                <w:szCs w:val="18"/>
                <w:vertAlign w:val="superscript"/>
                <w:lang w:eastAsia="en-GB"/>
                <w14:ligatures w14:val="none"/>
              </w:rPr>
              <w:t>31</w:t>
            </w:r>
            <w:r w:rsidRPr="00C170BC">
              <w:rPr>
                <w:rFonts w:asciiTheme="majorHAnsi" w:eastAsia="Times New Roman" w:hAnsiTheme="majorHAnsi" w:cs="Calibri"/>
                <w:color w:val="000000"/>
                <w:kern w:val="0"/>
                <w:sz w:val="18"/>
                <w:szCs w:val="18"/>
                <w:lang w:eastAsia="en-GB"/>
                <w14:ligatures w14:val="none"/>
              </w:rPr>
              <w:t>, Holmes (2019)</w:t>
            </w:r>
            <w:r w:rsidR="00017FF8">
              <w:rPr>
                <w:rFonts w:asciiTheme="majorHAnsi" w:eastAsia="Times New Roman" w:hAnsiTheme="majorHAnsi" w:cs="Calibri"/>
                <w:color w:val="000000"/>
                <w:kern w:val="0"/>
                <w:sz w:val="18"/>
                <w:szCs w:val="18"/>
                <w:vertAlign w:val="superscript"/>
                <w:lang w:eastAsia="en-GB"/>
                <w14:ligatures w14:val="none"/>
              </w:rPr>
              <w:t>34</w:t>
            </w:r>
            <w:r w:rsidRPr="00C170BC">
              <w:rPr>
                <w:rFonts w:asciiTheme="majorHAnsi" w:eastAsia="Times New Roman" w:hAnsiTheme="majorHAnsi" w:cs="Calibri"/>
                <w:color w:val="000000"/>
                <w:kern w:val="0"/>
                <w:sz w:val="18"/>
                <w:szCs w:val="18"/>
                <w:lang w:eastAsia="en-GB"/>
                <w14:ligatures w14:val="none"/>
              </w:rPr>
              <w:t>, Finnema (2019)</w:t>
            </w:r>
            <w:r w:rsidR="00017FF8">
              <w:rPr>
                <w:rFonts w:asciiTheme="majorHAnsi" w:eastAsia="Times New Roman" w:hAnsiTheme="majorHAnsi" w:cs="Calibri"/>
                <w:color w:val="000000"/>
                <w:kern w:val="0"/>
                <w:sz w:val="18"/>
                <w:szCs w:val="18"/>
                <w:vertAlign w:val="superscript"/>
                <w:lang w:eastAsia="en-GB"/>
                <w14:ligatures w14:val="none"/>
              </w:rPr>
              <w:t>31</w:t>
            </w:r>
            <w:r w:rsidRPr="00C170BC">
              <w:rPr>
                <w:rFonts w:asciiTheme="majorHAnsi" w:eastAsia="Times New Roman" w:hAnsiTheme="majorHAnsi" w:cs="Calibri"/>
                <w:color w:val="000000"/>
                <w:kern w:val="0"/>
                <w:sz w:val="18"/>
                <w:szCs w:val="18"/>
                <w:lang w:eastAsia="en-GB"/>
                <w14:ligatures w14:val="none"/>
              </w:rPr>
              <w:t>, Rossano (20</w:t>
            </w:r>
            <w:r w:rsidR="00BB493A">
              <w:rPr>
                <w:rFonts w:asciiTheme="majorHAnsi" w:eastAsia="Times New Roman" w:hAnsiTheme="majorHAnsi" w:cs="Calibri"/>
                <w:color w:val="000000"/>
                <w:kern w:val="0"/>
                <w:sz w:val="18"/>
                <w:szCs w:val="18"/>
                <w:lang w:eastAsia="en-GB"/>
                <w14:ligatures w14:val="none"/>
              </w:rPr>
              <w:t>20</w:t>
            </w:r>
            <w:r w:rsidRPr="00C170BC">
              <w:rPr>
                <w:rFonts w:asciiTheme="majorHAnsi" w:eastAsia="Times New Roman" w:hAnsiTheme="majorHAnsi" w:cs="Calibri"/>
                <w:color w:val="000000"/>
                <w:kern w:val="0"/>
                <w:sz w:val="18"/>
                <w:szCs w:val="18"/>
                <w:lang w:eastAsia="en-GB"/>
                <w14:ligatures w14:val="none"/>
              </w:rPr>
              <w:t>)</w:t>
            </w:r>
            <w:r w:rsidR="00017FF8">
              <w:rPr>
                <w:rFonts w:asciiTheme="majorHAnsi" w:eastAsia="Times New Roman" w:hAnsiTheme="majorHAnsi" w:cs="Calibri"/>
                <w:color w:val="000000"/>
                <w:kern w:val="0"/>
                <w:sz w:val="18"/>
                <w:szCs w:val="18"/>
                <w:vertAlign w:val="superscript"/>
                <w:lang w:eastAsia="en-GB"/>
                <w14:ligatures w14:val="none"/>
              </w:rPr>
              <w:t>32</w:t>
            </w:r>
            <w:r w:rsidR="00A777DD" w:rsidRPr="00C170BC">
              <w:rPr>
                <w:rFonts w:asciiTheme="majorHAnsi" w:eastAsia="Times New Roman" w:hAnsiTheme="majorHAnsi" w:cs="Calibri"/>
                <w:color w:val="000000"/>
                <w:kern w:val="0"/>
                <w:sz w:val="18"/>
                <w:szCs w:val="18"/>
                <w:lang w:eastAsia="en-GB"/>
                <w14:ligatures w14:val="none"/>
              </w:rPr>
              <w:t xml:space="preserve"> </w:t>
            </w:r>
          </w:p>
        </w:tc>
        <w:tc>
          <w:tcPr>
            <w:tcW w:w="1559" w:type="dxa"/>
            <w:shd w:val="clear" w:color="auto" w:fill="auto"/>
            <w:noWrap/>
            <w:vAlign w:val="center"/>
            <w:hideMark/>
          </w:tcPr>
          <w:p w14:paraId="35FEA2CD" w14:textId="77777777" w:rsidR="00263284"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HC=15,</w:t>
            </w:r>
          </w:p>
          <w:p w14:paraId="603E77C2" w14:textId="73BD4BB6"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CoUD=15</w:t>
            </w:r>
          </w:p>
        </w:tc>
        <w:tc>
          <w:tcPr>
            <w:tcW w:w="1701" w:type="dxa"/>
            <w:shd w:val="clear" w:color="auto" w:fill="auto"/>
            <w:noWrap/>
            <w:vAlign w:val="center"/>
            <w:hideMark/>
          </w:tcPr>
          <w:p w14:paraId="578524EB"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HC=43.4 ± 9.2, CoUD= 42.9 ± 7.5</w:t>
            </w:r>
          </w:p>
        </w:tc>
        <w:tc>
          <w:tcPr>
            <w:tcW w:w="1701" w:type="dxa"/>
            <w:shd w:val="clear" w:color="auto" w:fill="auto"/>
            <w:noWrap/>
            <w:vAlign w:val="center"/>
            <w:hideMark/>
          </w:tcPr>
          <w:p w14:paraId="29E6243D"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not reported</w:t>
            </w:r>
          </w:p>
        </w:tc>
        <w:tc>
          <w:tcPr>
            <w:tcW w:w="1559" w:type="dxa"/>
            <w:shd w:val="clear" w:color="auto" w:fill="auto"/>
            <w:noWrap/>
            <w:vAlign w:val="center"/>
            <w:hideMark/>
          </w:tcPr>
          <w:p w14:paraId="7D08FBF8"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w:t>
            </w:r>
            <w:r w:rsidRPr="00685177">
              <w:rPr>
                <w:rFonts w:asciiTheme="majorHAnsi" w:eastAsia="Times New Roman" w:hAnsiTheme="majorHAnsi" w:cs="Calibri"/>
                <w:color w:val="000000"/>
                <w:kern w:val="0"/>
                <w:sz w:val="18"/>
                <w:szCs w:val="18"/>
                <w:vertAlign w:val="superscript"/>
                <w:lang w:eastAsia="en-GB"/>
                <w14:ligatures w14:val="none"/>
              </w:rPr>
              <w:t>11</w:t>
            </w:r>
            <w:r w:rsidRPr="00C170BC">
              <w:rPr>
                <w:rFonts w:asciiTheme="majorHAnsi" w:eastAsia="Times New Roman" w:hAnsiTheme="majorHAnsi" w:cs="Calibri"/>
                <w:color w:val="000000"/>
                <w:kern w:val="0"/>
                <w:sz w:val="18"/>
                <w:szCs w:val="18"/>
                <w:lang w:eastAsia="en-GB"/>
                <w14:ligatures w14:val="none"/>
              </w:rPr>
              <w:t>C]UCB-J</w:t>
            </w:r>
          </w:p>
        </w:tc>
        <w:tc>
          <w:tcPr>
            <w:tcW w:w="992" w:type="dxa"/>
            <w:shd w:val="clear" w:color="auto" w:fill="auto"/>
            <w:noWrap/>
            <w:vAlign w:val="center"/>
            <w:hideMark/>
          </w:tcPr>
          <w:p w14:paraId="5CB741B1"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VT/fp, VT, BPND</w:t>
            </w:r>
          </w:p>
        </w:tc>
        <w:tc>
          <w:tcPr>
            <w:tcW w:w="993" w:type="dxa"/>
            <w:shd w:val="clear" w:color="auto" w:fill="auto"/>
            <w:noWrap/>
            <w:vAlign w:val="center"/>
            <w:hideMark/>
          </w:tcPr>
          <w:p w14:paraId="7D601304"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CS</w:t>
            </w:r>
          </w:p>
        </w:tc>
      </w:tr>
      <w:tr w:rsidR="00CA038A" w:rsidRPr="00C170BC" w14:paraId="3875DE65" w14:textId="77777777" w:rsidTr="009C056C">
        <w:trPr>
          <w:trHeight w:val="300"/>
        </w:trPr>
        <w:tc>
          <w:tcPr>
            <w:tcW w:w="1038" w:type="dxa"/>
            <w:vMerge/>
            <w:vAlign w:val="center"/>
            <w:hideMark/>
          </w:tcPr>
          <w:p w14:paraId="7E42AA36"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p>
        </w:tc>
        <w:tc>
          <w:tcPr>
            <w:tcW w:w="1084" w:type="dxa"/>
            <w:shd w:val="clear" w:color="auto" w:fill="auto"/>
            <w:noWrap/>
            <w:vAlign w:val="center"/>
            <w:hideMark/>
          </w:tcPr>
          <w:p w14:paraId="5E88C882" w14:textId="7C49D67F"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D’Souza (2019)</w:t>
            </w:r>
            <w:r w:rsidR="009C056C">
              <w:rPr>
                <w:rFonts w:asciiTheme="majorHAnsi" w:eastAsia="Times New Roman" w:hAnsiTheme="majorHAnsi" w:cs="Calibri"/>
                <w:color w:val="000000"/>
                <w:kern w:val="0"/>
                <w:sz w:val="18"/>
                <w:szCs w:val="18"/>
                <w:lang w:eastAsia="en-GB"/>
                <w14:ligatures w14:val="none"/>
              </w:rPr>
              <w:t xml:space="preserve"> </w:t>
            </w:r>
            <w:r w:rsidR="00017FF8">
              <w:rPr>
                <w:rFonts w:asciiTheme="majorHAnsi" w:eastAsia="Times New Roman" w:hAnsiTheme="majorHAnsi" w:cs="Calibri"/>
                <w:color w:val="000000"/>
                <w:kern w:val="0"/>
                <w:sz w:val="18"/>
                <w:szCs w:val="18"/>
                <w:vertAlign w:val="superscript"/>
                <w:lang w:eastAsia="en-GB"/>
                <w14:ligatures w14:val="none"/>
              </w:rPr>
              <w:t>28</w:t>
            </w:r>
          </w:p>
        </w:tc>
        <w:tc>
          <w:tcPr>
            <w:tcW w:w="1275" w:type="dxa"/>
            <w:shd w:val="clear" w:color="auto" w:fill="auto"/>
            <w:noWrap/>
            <w:vAlign w:val="center"/>
            <w:hideMark/>
          </w:tcPr>
          <w:p w14:paraId="40811CD6"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cross-sectional</w:t>
            </w:r>
          </w:p>
        </w:tc>
        <w:tc>
          <w:tcPr>
            <w:tcW w:w="1560" w:type="dxa"/>
            <w:shd w:val="clear" w:color="auto" w:fill="auto"/>
            <w:noWrap/>
            <w:vAlign w:val="center"/>
            <w:hideMark/>
          </w:tcPr>
          <w:p w14:paraId="343C1004"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N</w:t>
            </w:r>
          </w:p>
        </w:tc>
        <w:tc>
          <w:tcPr>
            <w:tcW w:w="1559" w:type="dxa"/>
            <w:shd w:val="clear" w:color="auto" w:fill="auto"/>
            <w:noWrap/>
            <w:vAlign w:val="center"/>
            <w:hideMark/>
          </w:tcPr>
          <w:p w14:paraId="2F8AE87B" w14:textId="77777777" w:rsidR="00263284"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 xml:space="preserve">HC=12, </w:t>
            </w:r>
          </w:p>
          <w:p w14:paraId="7F3F2DDC" w14:textId="04B85B15"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CaUD=12</w:t>
            </w:r>
          </w:p>
        </w:tc>
        <w:tc>
          <w:tcPr>
            <w:tcW w:w="1701" w:type="dxa"/>
            <w:shd w:val="clear" w:color="auto" w:fill="auto"/>
            <w:noWrap/>
            <w:vAlign w:val="center"/>
            <w:hideMark/>
          </w:tcPr>
          <w:p w14:paraId="35CF4AE8"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 xml:space="preserve">HC=27.32 ±4.41, CaUD 24.24 ±3.12 </w:t>
            </w:r>
          </w:p>
        </w:tc>
        <w:tc>
          <w:tcPr>
            <w:tcW w:w="1701" w:type="dxa"/>
            <w:shd w:val="clear" w:color="auto" w:fill="auto"/>
            <w:noWrap/>
            <w:vAlign w:val="center"/>
            <w:hideMark/>
          </w:tcPr>
          <w:p w14:paraId="6C797507"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not reported</w:t>
            </w:r>
          </w:p>
        </w:tc>
        <w:tc>
          <w:tcPr>
            <w:tcW w:w="1559" w:type="dxa"/>
            <w:shd w:val="clear" w:color="auto" w:fill="auto"/>
            <w:noWrap/>
            <w:vAlign w:val="center"/>
            <w:hideMark/>
          </w:tcPr>
          <w:p w14:paraId="0A8B8A14"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[11C]UCB-J</w:t>
            </w:r>
          </w:p>
        </w:tc>
        <w:tc>
          <w:tcPr>
            <w:tcW w:w="992" w:type="dxa"/>
            <w:shd w:val="clear" w:color="auto" w:fill="auto"/>
            <w:noWrap/>
            <w:vAlign w:val="center"/>
            <w:hideMark/>
          </w:tcPr>
          <w:p w14:paraId="263CD066"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VT, BPND</w:t>
            </w:r>
          </w:p>
        </w:tc>
        <w:tc>
          <w:tcPr>
            <w:tcW w:w="993" w:type="dxa"/>
            <w:shd w:val="clear" w:color="auto" w:fill="auto"/>
            <w:noWrap/>
            <w:vAlign w:val="center"/>
            <w:hideMark/>
          </w:tcPr>
          <w:p w14:paraId="06139633"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CS</w:t>
            </w:r>
          </w:p>
        </w:tc>
      </w:tr>
      <w:tr w:rsidR="00CA038A" w:rsidRPr="00C170BC" w14:paraId="5DA65807" w14:textId="77777777" w:rsidTr="009C056C">
        <w:trPr>
          <w:trHeight w:val="300"/>
        </w:trPr>
        <w:tc>
          <w:tcPr>
            <w:tcW w:w="1038" w:type="dxa"/>
            <w:vMerge/>
            <w:vAlign w:val="center"/>
            <w:hideMark/>
          </w:tcPr>
          <w:p w14:paraId="1CE1A78E"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p>
        </w:tc>
        <w:tc>
          <w:tcPr>
            <w:tcW w:w="1084" w:type="dxa"/>
            <w:shd w:val="clear" w:color="auto" w:fill="auto"/>
            <w:noWrap/>
            <w:vAlign w:val="center"/>
            <w:hideMark/>
          </w:tcPr>
          <w:p w14:paraId="17E5A46B" w14:textId="7D64829D"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Hou (2023)</w:t>
            </w:r>
            <w:r w:rsidR="00017FF8" w:rsidRPr="00017FF8">
              <w:rPr>
                <w:rFonts w:asciiTheme="majorHAnsi" w:eastAsia="Times New Roman" w:hAnsiTheme="majorHAnsi" w:cs="Calibri"/>
                <w:color w:val="000000"/>
                <w:kern w:val="0"/>
                <w:sz w:val="18"/>
                <w:szCs w:val="18"/>
                <w:vertAlign w:val="superscript"/>
                <w:lang w:eastAsia="en-GB"/>
                <w14:ligatures w14:val="none"/>
              </w:rPr>
              <w:t>33</w:t>
            </w:r>
          </w:p>
        </w:tc>
        <w:tc>
          <w:tcPr>
            <w:tcW w:w="1275" w:type="dxa"/>
            <w:shd w:val="clear" w:color="auto" w:fill="auto"/>
            <w:noWrap/>
            <w:vAlign w:val="center"/>
            <w:hideMark/>
          </w:tcPr>
          <w:p w14:paraId="5FE14854"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cross-sectional</w:t>
            </w:r>
          </w:p>
        </w:tc>
        <w:tc>
          <w:tcPr>
            <w:tcW w:w="1560" w:type="dxa"/>
            <w:shd w:val="clear" w:color="auto" w:fill="auto"/>
            <w:noWrap/>
            <w:vAlign w:val="center"/>
            <w:hideMark/>
          </w:tcPr>
          <w:p w14:paraId="60A0A5D7"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N</w:t>
            </w:r>
          </w:p>
        </w:tc>
        <w:tc>
          <w:tcPr>
            <w:tcW w:w="1559" w:type="dxa"/>
            <w:shd w:val="clear" w:color="auto" w:fill="auto"/>
            <w:noWrap/>
            <w:vAlign w:val="center"/>
            <w:hideMark/>
          </w:tcPr>
          <w:p w14:paraId="11C5CA88" w14:textId="77777777" w:rsidR="00263284"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 xml:space="preserve">HC=16, </w:t>
            </w:r>
          </w:p>
          <w:p w14:paraId="0E071575" w14:textId="7F0584D5"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IGD=18</w:t>
            </w:r>
          </w:p>
        </w:tc>
        <w:tc>
          <w:tcPr>
            <w:tcW w:w="1701" w:type="dxa"/>
            <w:shd w:val="clear" w:color="auto" w:fill="auto"/>
            <w:noWrap/>
            <w:vAlign w:val="center"/>
            <w:hideMark/>
          </w:tcPr>
          <w:p w14:paraId="40CECFA5"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HC=22.44 ±5.44, IGD=20.53 ±3.69</w:t>
            </w:r>
          </w:p>
        </w:tc>
        <w:tc>
          <w:tcPr>
            <w:tcW w:w="1701" w:type="dxa"/>
            <w:shd w:val="clear" w:color="auto" w:fill="auto"/>
            <w:noWrap/>
            <w:vAlign w:val="center"/>
            <w:hideMark/>
          </w:tcPr>
          <w:p w14:paraId="5900B1E0"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all  medication-naive</w:t>
            </w:r>
          </w:p>
        </w:tc>
        <w:tc>
          <w:tcPr>
            <w:tcW w:w="1559" w:type="dxa"/>
            <w:shd w:val="clear" w:color="auto" w:fill="auto"/>
            <w:noWrap/>
            <w:vAlign w:val="center"/>
            <w:hideMark/>
          </w:tcPr>
          <w:p w14:paraId="0AB4BC6A"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w:t>
            </w:r>
            <w:r w:rsidRPr="00685177">
              <w:rPr>
                <w:rFonts w:asciiTheme="majorHAnsi" w:eastAsia="Times New Roman" w:hAnsiTheme="majorHAnsi" w:cs="Calibri"/>
                <w:color w:val="000000"/>
                <w:kern w:val="0"/>
                <w:sz w:val="18"/>
                <w:szCs w:val="18"/>
                <w:lang w:eastAsia="en-GB"/>
                <w14:ligatures w14:val="none"/>
              </w:rPr>
              <w:t>18</w:t>
            </w:r>
            <w:r w:rsidRPr="00C170BC">
              <w:rPr>
                <w:rFonts w:asciiTheme="majorHAnsi" w:eastAsia="Times New Roman" w:hAnsiTheme="majorHAnsi" w:cs="Calibri"/>
                <w:color w:val="000000"/>
                <w:kern w:val="0"/>
                <w:sz w:val="18"/>
                <w:szCs w:val="18"/>
                <w:lang w:eastAsia="en-GB"/>
                <w14:ligatures w14:val="none"/>
              </w:rPr>
              <w:t>F]SynVesT-1</w:t>
            </w:r>
          </w:p>
        </w:tc>
        <w:tc>
          <w:tcPr>
            <w:tcW w:w="992" w:type="dxa"/>
            <w:shd w:val="clear" w:color="auto" w:fill="auto"/>
            <w:noWrap/>
            <w:vAlign w:val="center"/>
            <w:hideMark/>
          </w:tcPr>
          <w:p w14:paraId="52ACE069"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SUVR</w:t>
            </w:r>
          </w:p>
        </w:tc>
        <w:tc>
          <w:tcPr>
            <w:tcW w:w="993" w:type="dxa"/>
            <w:shd w:val="clear" w:color="auto" w:fill="auto"/>
            <w:noWrap/>
            <w:vAlign w:val="center"/>
            <w:hideMark/>
          </w:tcPr>
          <w:p w14:paraId="4D29F4EF"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CS</w:t>
            </w:r>
          </w:p>
        </w:tc>
      </w:tr>
      <w:tr w:rsidR="00CA038A" w:rsidRPr="00C170BC" w14:paraId="60564177" w14:textId="77777777" w:rsidTr="009C056C">
        <w:trPr>
          <w:trHeight w:val="300"/>
        </w:trPr>
        <w:tc>
          <w:tcPr>
            <w:tcW w:w="1038" w:type="dxa"/>
            <w:vMerge w:val="restart"/>
            <w:shd w:val="clear" w:color="auto" w:fill="auto"/>
            <w:noWrap/>
            <w:vAlign w:val="center"/>
            <w:hideMark/>
          </w:tcPr>
          <w:p w14:paraId="518BF143"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Mood disorders</w:t>
            </w:r>
          </w:p>
        </w:tc>
        <w:tc>
          <w:tcPr>
            <w:tcW w:w="1084" w:type="dxa"/>
            <w:shd w:val="clear" w:color="auto" w:fill="auto"/>
            <w:noWrap/>
            <w:vAlign w:val="center"/>
            <w:hideMark/>
          </w:tcPr>
          <w:p w14:paraId="00B386B0" w14:textId="2FB5C835"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Asch (2022)</w:t>
            </w:r>
            <w:r w:rsidR="00017FF8" w:rsidRPr="00017FF8">
              <w:rPr>
                <w:rFonts w:asciiTheme="majorHAnsi" w:eastAsia="Times New Roman" w:hAnsiTheme="majorHAnsi" w:cs="Calibri"/>
                <w:color w:val="000000"/>
                <w:kern w:val="0"/>
                <w:sz w:val="18"/>
                <w:szCs w:val="18"/>
                <w:vertAlign w:val="superscript"/>
                <w:lang w:eastAsia="en-GB"/>
                <w14:ligatures w14:val="none"/>
              </w:rPr>
              <w:t>34</w:t>
            </w:r>
          </w:p>
        </w:tc>
        <w:tc>
          <w:tcPr>
            <w:tcW w:w="1275" w:type="dxa"/>
            <w:shd w:val="clear" w:color="auto" w:fill="auto"/>
            <w:noWrap/>
            <w:vAlign w:val="center"/>
            <w:hideMark/>
          </w:tcPr>
          <w:p w14:paraId="0242BE45"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cross-sectional</w:t>
            </w:r>
          </w:p>
        </w:tc>
        <w:tc>
          <w:tcPr>
            <w:tcW w:w="1560" w:type="dxa"/>
            <w:shd w:val="clear" w:color="auto" w:fill="auto"/>
            <w:noWrap/>
            <w:vAlign w:val="center"/>
            <w:hideMark/>
          </w:tcPr>
          <w:p w14:paraId="558A169D"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N</w:t>
            </w:r>
          </w:p>
        </w:tc>
        <w:tc>
          <w:tcPr>
            <w:tcW w:w="1559" w:type="dxa"/>
            <w:shd w:val="clear" w:color="auto" w:fill="auto"/>
            <w:noWrap/>
            <w:vAlign w:val="center"/>
            <w:hideMark/>
          </w:tcPr>
          <w:p w14:paraId="2D925731"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 normal weight (NWHC, n=16), overweight (OWHC, n=28),  normal weight (NWPsy, n=14), ovewrweight patients (OWPsy, n=16)</w:t>
            </w:r>
          </w:p>
        </w:tc>
        <w:tc>
          <w:tcPr>
            <w:tcW w:w="1701" w:type="dxa"/>
            <w:shd w:val="clear" w:color="auto" w:fill="auto"/>
            <w:noWrap/>
            <w:vAlign w:val="center"/>
            <w:hideMark/>
          </w:tcPr>
          <w:p w14:paraId="3625FB5A" w14:textId="77777777" w:rsidR="00263284"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 xml:space="preserve">NWHC=41.94 ±4.00, </w:t>
            </w:r>
          </w:p>
          <w:p w14:paraId="2C926D3B" w14:textId="77777777" w:rsidR="00263284"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 xml:space="preserve">NWPsy= 40.77 ±2.68, </w:t>
            </w:r>
          </w:p>
          <w:p w14:paraId="160598BC" w14:textId="77777777" w:rsidR="00263284"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 xml:space="preserve">OWHC= 46.50 ±5.03, </w:t>
            </w:r>
          </w:p>
          <w:p w14:paraId="6227CF56" w14:textId="087545DB"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OWCPsy= 37.46 ±2.27</w:t>
            </w:r>
          </w:p>
        </w:tc>
        <w:tc>
          <w:tcPr>
            <w:tcW w:w="1701" w:type="dxa"/>
            <w:shd w:val="clear" w:color="auto" w:fill="auto"/>
            <w:noWrap/>
            <w:vAlign w:val="center"/>
            <w:hideMark/>
          </w:tcPr>
          <w:p w14:paraId="2C49FC99"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NWPsych (n=7), OWPsych (n=8)</w:t>
            </w:r>
          </w:p>
        </w:tc>
        <w:tc>
          <w:tcPr>
            <w:tcW w:w="1559" w:type="dxa"/>
            <w:shd w:val="clear" w:color="auto" w:fill="auto"/>
            <w:noWrap/>
            <w:vAlign w:val="center"/>
            <w:hideMark/>
          </w:tcPr>
          <w:p w14:paraId="2D6C31B4"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[11C]UCB-J</w:t>
            </w:r>
          </w:p>
        </w:tc>
        <w:tc>
          <w:tcPr>
            <w:tcW w:w="992" w:type="dxa"/>
            <w:shd w:val="clear" w:color="auto" w:fill="auto"/>
            <w:noWrap/>
            <w:vAlign w:val="center"/>
            <w:hideMark/>
          </w:tcPr>
          <w:p w14:paraId="2ABBA21B"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VT, VT/fp</w:t>
            </w:r>
          </w:p>
        </w:tc>
        <w:tc>
          <w:tcPr>
            <w:tcW w:w="993" w:type="dxa"/>
            <w:shd w:val="clear" w:color="auto" w:fill="auto"/>
            <w:noWrap/>
            <w:vAlign w:val="center"/>
            <w:hideMark/>
          </w:tcPr>
          <w:p w14:paraId="7B46A5DE"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n/a</w:t>
            </w:r>
          </w:p>
        </w:tc>
      </w:tr>
      <w:tr w:rsidR="00CA038A" w:rsidRPr="00C170BC" w14:paraId="764D2608" w14:textId="77777777" w:rsidTr="009C056C">
        <w:trPr>
          <w:trHeight w:val="300"/>
        </w:trPr>
        <w:tc>
          <w:tcPr>
            <w:tcW w:w="1038" w:type="dxa"/>
            <w:vMerge/>
            <w:vAlign w:val="center"/>
            <w:hideMark/>
          </w:tcPr>
          <w:p w14:paraId="681A49D2"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p>
        </w:tc>
        <w:tc>
          <w:tcPr>
            <w:tcW w:w="1084" w:type="dxa"/>
            <w:shd w:val="clear" w:color="auto" w:fill="auto"/>
            <w:noWrap/>
            <w:vAlign w:val="center"/>
            <w:hideMark/>
          </w:tcPr>
          <w:p w14:paraId="538EE417" w14:textId="07BFFD80"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Casteele (2023)</w:t>
            </w:r>
            <w:r w:rsidR="00017FF8" w:rsidRPr="00017FF8">
              <w:rPr>
                <w:rFonts w:asciiTheme="majorHAnsi" w:eastAsia="Times New Roman" w:hAnsiTheme="majorHAnsi" w:cs="Calibri"/>
                <w:color w:val="000000"/>
                <w:kern w:val="0"/>
                <w:sz w:val="18"/>
                <w:szCs w:val="18"/>
                <w:vertAlign w:val="superscript"/>
                <w:lang w:eastAsia="en-GB"/>
                <w14:ligatures w14:val="none"/>
              </w:rPr>
              <w:t>35</w:t>
            </w:r>
          </w:p>
        </w:tc>
        <w:tc>
          <w:tcPr>
            <w:tcW w:w="1275" w:type="dxa"/>
            <w:shd w:val="clear" w:color="auto" w:fill="auto"/>
            <w:noWrap/>
            <w:vAlign w:val="center"/>
            <w:hideMark/>
          </w:tcPr>
          <w:p w14:paraId="2BD1284A"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cross-sectional</w:t>
            </w:r>
          </w:p>
        </w:tc>
        <w:tc>
          <w:tcPr>
            <w:tcW w:w="1560" w:type="dxa"/>
            <w:shd w:val="clear" w:color="auto" w:fill="auto"/>
            <w:noWrap/>
            <w:vAlign w:val="center"/>
            <w:hideMark/>
          </w:tcPr>
          <w:p w14:paraId="120361DF"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NK</w:t>
            </w:r>
          </w:p>
        </w:tc>
        <w:tc>
          <w:tcPr>
            <w:tcW w:w="1559" w:type="dxa"/>
            <w:shd w:val="clear" w:color="auto" w:fill="auto"/>
            <w:noWrap/>
            <w:vAlign w:val="center"/>
            <w:hideMark/>
          </w:tcPr>
          <w:p w14:paraId="26CE6A53"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HC=36, Depression=24</w:t>
            </w:r>
          </w:p>
        </w:tc>
        <w:tc>
          <w:tcPr>
            <w:tcW w:w="1701" w:type="dxa"/>
            <w:shd w:val="clear" w:color="auto" w:fill="auto"/>
            <w:noWrap/>
            <w:vAlign w:val="center"/>
            <w:hideMark/>
          </w:tcPr>
          <w:p w14:paraId="57D1C279"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HC=70.4 ± 6.2, Depression=73.0 ± 6.2</w:t>
            </w:r>
          </w:p>
        </w:tc>
        <w:tc>
          <w:tcPr>
            <w:tcW w:w="1701" w:type="dxa"/>
            <w:shd w:val="clear" w:color="auto" w:fill="auto"/>
            <w:noWrap/>
            <w:vAlign w:val="center"/>
            <w:hideMark/>
          </w:tcPr>
          <w:p w14:paraId="251E915F"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not reported</w:t>
            </w:r>
          </w:p>
        </w:tc>
        <w:tc>
          <w:tcPr>
            <w:tcW w:w="1559" w:type="dxa"/>
            <w:shd w:val="clear" w:color="auto" w:fill="auto"/>
            <w:noWrap/>
            <w:vAlign w:val="center"/>
            <w:hideMark/>
          </w:tcPr>
          <w:p w14:paraId="20BBB531"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[11C]UCB-J</w:t>
            </w:r>
          </w:p>
        </w:tc>
        <w:tc>
          <w:tcPr>
            <w:tcW w:w="992" w:type="dxa"/>
            <w:shd w:val="clear" w:color="auto" w:fill="auto"/>
            <w:noWrap/>
            <w:vAlign w:val="center"/>
            <w:hideMark/>
          </w:tcPr>
          <w:p w14:paraId="5C22DDCF"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SUVR</w:t>
            </w:r>
          </w:p>
        </w:tc>
        <w:tc>
          <w:tcPr>
            <w:tcW w:w="993" w:type="dxa"/>
            <w:shd w:val="clear" w:color="auto" w:fill="auto"/>
            <w:noWrap/>
            <w:vAlign w:val="center"/>
            <w:hideMark/>
          </w:tcPr>
          <w:p w14:paraId="40A43334"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CS</w:t>
            </w:r>
          </w:p>
        </w:tc>
      </w:tr>
      <w:tr w:rsidR="00CA038A" w:rsidRPr="00C170BC" w14:paraId="58643257" w14:textId="77777777" w:rsidTr="009C056C">
        <w:trPr>
          <w:trHeight w:val="300"/>
        </w:trPr>
        <w:tc>
          <w:tcPr>
            <w:tcW w:w="1038" w:type="dxa"/>
            <w:vMerge/>
            <w:vAlign w:val="center"/>
            <w:hideMark/>
          </w:tcPr>
          <w:p w14:paraId="08B90070"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p>
        </w:tc>
        <w:tc>
          <w:tcPr>
            <w:tcW w:w="1084" w:type="dxa"/>
            <w:shd w:val="clear" w:color="auto" w:fill="auto"/>
            <w:noWrap/>
            <w:vAlign w:val="center"/>
            <w:hideMark/>
          </w:tcPr>
          <w:p w14:paraId="3C528202" w14:textId="118DEE1A"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Holmes (2019)</w:t>
            </w:r>
            <w:r w:rsidR="00017FF8" w:rsidRPr="00017FF8">
              <w:rPr>
                <w:rFonts w:asciiTheme="majorHAnsi" w:eastAsia="Times New Roman" w:hAnsiTheme="majorHAnsi" w:cs="Calibri"/>
                <w:color w:val="000000"/>
                <w:kern w:val="0"/>
                <w:sz w:val="18"/>
                <w:szCs w:val="18"/>
                <w:vertAlign w:val="superscript"/>
                <w:lang w:eastAsia="en-GB"/>
                <w14:ligatures w14:val="none"/>
              </w:rPr>
              <w:t>24</w:t>
            </w:r>
          </w:p>
        </w:tc>
        <w:tc>
          <w:tcPr>
            <w:tcW w:w="1275" w:type="dxa"/>
            <w:shd w:val="clear" w:color="auto" w:fill="auto"/>
            <w:noWrap/>
            <w:vAlign w:val="center"/>
            <w:hideMark/>
          </w:tcPr>
          <w:p w14:paraId="44525ED8"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cross-sectional</w:t>
            </w:r>
          </w:p>
        </w:tc>
        <w:tc>
          <w:tcPr>
            <w:tcW w:w="1560" w:type="dxa"/>
            <w:shd w:val="clear" w:color="auto" w:fill="auto"/>
            <w:noWrap/>
            <w:vAlign w:val="center"/>
            <w:hideMark/>
          </w:tcPr>
          <w:p w14:paraId="270D4F53"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N</w:t>
            </w:r>
          </w:p>
        </w:tc>
        <w:tc>
          <w:tcPr>
            <w:tcW w:w="1559" w:type="dxa"/>
            <w:shd w:val="clear" w:color="auto" w:fill="auto"/>
            <w:noWrap/>
            <w:vAlign w:val="center"/>
            <w:hideMark/>
          </w:tcPr>
          <w:p w14:paraId="44A8E83C"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HC=21, MDD/PTSD=26 (14 low + 12 high severity)</w:t>
            </w:r>
          </w:p>
        </w:tc>
        <w:tc>
          <w:tcPr>
            <w:tcW w:w="1701" w:type="dxa"/>
            <w:shd w:val="clear" w:color="auto" w:fill="auto"/>
            <w:noWrap/>
            <w:vAlign w:val="center"/>
            <w:hideMark/>
          </w:tcPr>
          <w:p w14:paraId="1EE231C5"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HC=44.48 ±15.41, low= 39.14 ±11.18, high=38.67 ±13.89</w:t>
            </w:r>
          </w:p>
        </w:tc>
        <w:tc>
          <w:tcPr>
            <w:tcW w:w="1701" w:type="dxa"/>
            <w:shd w:val="clear" w:color="auto" w:fill="auto"/>
            <w:noWrap/>
            <w:vAlign w:val="center"/>
            <w:hideMark/>
          </w:tcPr>
          <w:p w14:paraId="669C2296"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medication free (4m)</w:t>
            </w:r>
          </w:p>
        </w:tc>
        <w:tc>
          <w:tcPr>
            <w:tcW w:w="1559" w:type="dxa"/>
            <w:shd w:val="clear" w:color="auto" w:fill="auto"/>
            <w:noWrap/>
            <w:vAlign w:val="center"/>
            <w:hideMark/>
          </w:tcPr>
          <w:p w14:paraId="0EE7D466"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[11C]UCB-J</w:t>
            </w:r>
          </w:p>
        </w:tc>
        <w:tc>
          <w:tcPr>
            <w:tcW w:w="992" w:type="dxa"/>
            <w:shd w:val="clear" w:color="auto" w:fill="auto"/>
            <w:noWrap/>
            <w:vAlign w:val="center"/>
            <w:hideMark/>
          </w:tcPr>
          <w:p w14:paraId="6ECC02DA"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VT</w:t>
            </w:r>
          </w:p>
        </w:tc>
        <w:tc>
          <w:tcPr>
            <w:tcW w:w="993" w:type="dxa"/>
            <w:shd w:val="clear" w:color="auto" w:fill="auto"/>
            <w:noWrap/>
            <w:vAlign w:val="center"/>
            <w:hideMark/>
          </w:tcPr>
          <w:p w14:paraId="23964F12"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n/a</w:t>
            </w:r>
          </w:p>
        </w:tc>
      </w:tr>
      <w:tr w:rsidR="00CA038A" w:rsidRPr="00C170BC" w14:paraId="06A41A53" w14:textId="77777777" w:rsidTr="009C056C">
        <w:trPr>
          <w:trHeight w:val="300"/>
        </w:trPr>
        <w:tc>
          <w:tcPr>
            <w:tcW w:w="1038" w:type="dxa"/>
            <w:vMerge/>
            <w:vAlign w:val="center"/>
            <w:hideMark/>
          </w:tcPr>
          <w:p w14:paraId="16EC146A"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p>
        </w:tc>
        <w:tc>
          <w:tcPr>
            <w:tcW w:w="1084" w:type="dxa"/>
            <w:shd w:val="clear" w:color="auto" w:fill="auto"/>
            <w:noWrap/>
            <w:vAlign w:val="center"/>
            <w:hideMark/>
          </w:tcPr>
          <w:p w14:paraId="79D7F40E" w14:textId="59B01949"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Holmes (2022)</w:t>
            </w:r>
            <w:r w:rsidR="009C056C">
              <w:rPr>
                <w:rFonts w:asciiTheme="majorHAnsi" w:eastAsia="Times New Roman" w:hAnsiTheme="majorHAnsi" w:cs="Calibri"/>
                <w:b/>
                <w:bCs/>
                <w:color w:val="000000"/>
                <w:kern w:val="0"/>
                <w:sz w:val="18"/>
                <w:szCs w:val="18"/>
                <w:lang w:eastAsia="en-GB"/>
                <w14:ligatures w14:val="none"/>
              </w:rPr>
              <w:fldChar w:fldCharType="begin"/>
            </w:r>
            <w:r w:rsidR="00971887">
              <w:rPr>
                <w:rFonts w:asciiTheme="majorHAnsi" w:eastAsia="Times New Roman" w:hAnsiTheme="majorHAnsi" w:cs="Calibri"/>
                <w:b/>
                <w:bCs/>
                <w:color w:val="000000"/>
                <w:kern w:val="0"/>
                <w:sz w:val="18"/>
                <w:szCs w:val="18"/>
                <w:lang w:eastAsia="en-GB"/>
                <w14:ligatures w14:val="none"/>
              </w:rPr>
              <w:instrText xml:space="preserve"> ADDIN ZOTERO_ITEM CSL_CITATION {"citationID":"dZZS60gn","properties":{"formattedCitation":"\\super 20\\nosupersub{}","plainCitation":"20","noteIndex":0},"citationItems":[{"id":405,"uris":["http://zotero.org/users/8854451/items/I3VM8N74"],"itemData":{"id":405,"type":"article-journal","container-title":"Molecular Psychiatry","DOI":"10.1038/s41380-022-01465-2","ISSN":"1359-4184, 1476-5578","issue":"4","journalAbbreviation":"Mol Psychiatry","language":"en","page":"2273-2281","source":"DOI.org (Crossref)","title":"Imaging the effect of ketamine on synaptic density (SV2A) in the living brain","volume":"27","author":[{"family":"Holmes","given":"Sophie E."},{"family":"Finnema","given":"Sjoerd J."},{"family":"Naganawa","given":"Mika"},{"family":"DellaGioia","given":"Nicole"},{"family":"Holden","given":"Daniel"},{"family":"Fowles","given":"Krista"},{"family":"Davis","given":"Margaret"},{"family":"Ropchan","given":"Jim"},{"family":"Emory","given":"Paul"},{"family":"Ye","given":"Yunpeng"},{"family":"Nabulsi","given":"Nabeel"},{"family":"Matuskey","given":"David"},{"family":"Angarita","given":"Gustavo A."},{"family":"Pietrzak","given":"Robert H."},{"family":"Duman","given":"Ronald S."},{"family":"Sanacora","given":"Gerard"},{"family":"Krystal","given":"John H."},{"family":"Carson","given":"Richard E."},{"family":"Esterlis","given":"Irina"}],"issued":{"date-parts":[["2022",4]]},"citation-key":"holmes_imaging_2022"}}],"schema":"https://github.com/citation-style-language/schema/raw/master/csl-citation.json"} </w:instrText>
            </w:r>
            <w:r w:rsidR="009C056C">
              <w:rPr>
                <w:rFonts w:asciiTheme="majorHAnsi" w:eastAsia="Times New Roman" w:hAnsiTheme="majorHAnsi" w:cs="Calibri"/>
                <w:b/>
                <w:bCs/>
                <w:color w:val="000000"/>
                <w:kern w:val="0"/>
                <w:sz w:val="18"/>
                <w:szCs w:val="18"/>
                <w:lang w:eastAsia="en-GB"/>
                <w14:ligatures w14:val="none"/>
              </w:rPr>
              <w:fldChar w:fldCharType="separate"/>
            </w:r>
            <w:r w:rsidR="00017FF8">
              <w:rPr>
                <w:rFonts w:ascii="Aptos Display" w:hAnsiTheme="majorHAnsi" w:cs="Times New Roman"/>
                <w:color w:val="000000"/>
                <w:kern w:val="0"/>
                <w:sz w:val="18"/>
                <w:vertAlign w:val="superscript"/>
              </w:rPr>
              <w:t>36</w:t>
            </w:r>
            <w:r w:rsidR="009C056C">
              <w:rPr>
                <w:rFonts w:asciiTheme="majorHAnsi" w:eastAsia="Times New Roman" w:hAnsiTheme="majorHAnsi" w:cs="Calibri"/>
                <w:b/>
                <w:bCs/>
                <w:color w:val="000000"/>
                <w:kern w:val="0"/>
                <w:sz w:val="18"/>
                <w:szCs w:val="18"/>
                <w:lang w:eastAsia="en-GB"/>
                <w14:ligatures w14:val="none"/>
              </w:rPr>
              <w:fldChar w:fldCharType="end"/>
            </w:r>
          </w:p>
        </w:tc>
        <w:tc>
          <w:tcPr>
            <w:tcW w:w="1275" w:type="dxa"/>
            <w:shd w:val="clear" w:color="auto" w:fill="auto"/>
            <w:noWrap/>
            <w:vAlign w:val="center"/>
            <w:hideMark/>
          </w:tcPr>
          <w:p w14:paraId="6CBABD36"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cross-sectional</w:t>
            </w:r>
          </w:p>
        </w:tc>
        <w:tc>
          <w:tcPr>
            <w:tcW w:w="1560" w:type="dxa"/>
            <w:shd w:val="clear" w:color="auto" w:fill="auto"/>
            <w:noWrap/>
            <w:vAlign w:val="center"/>
            <w:hideMark/>
          </w:tcPr>
          <w:p w14:paraId="52F9B1AF"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N</w:t>
            </w:r>
          </w:p>
        </w:tc>
        <w:tc>
          <w:tcPr>
            <w:tcW w:w="1559" w:type="dxa"/>
            <w:shd w:val="clear" w:color="auto" w:fill="auto"/>
            <w:noWrap/>
            <w:vAlign w:val="center"/>
            <w:hideMark/>
          </w:tcPr>
          <w:p w14:paraId="50226429"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HC=9, MDD/PTSD=12 (6 SV2A deficit, 6 no SV2A deficit)</w:t>
            </w:r>
          </w:p>
        </w:tc>
        <w:tc>
          <w:tcPr>
            <w:tcW w:w="1701" w:type="dxa"/>
            <w:shd w:val="clear" w:color="auto" w:fill="auto"/>
            <w:noWrap/>
            <w:vAlign w:val="center"/>
            <w:hideMark/>
          </w:tcPr>
          <w:p w14:paraId="52694DB6"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HC=35.11 ±12.68, MDD/PTSD= 39.91 ±11.23</w:t>
            </w:r>
          </w:p>
        </w:tc>
        <w:tc>
          <w:tcPr>
            <w:tcW w:w="1701" w:type="dxa"/>
            <w:shd w:val="clear" w:color="auto" w:fill="auto"/>
            <w:noWrap/>
            <w:vAlign w:val="center"/>
            <w:hideMark/>
          </w:tcPr>
          <w:p w14:paraId="2CD730A3"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in clinical group: Paxil (n=1), Wellbutrin (n=2)</w:t>
            </w:r>
          </w:p>
        </w:tc>
        <w:tc>
          <w:tcPr>
            <w:tcW w:w="1559" w:type="dxa"/>
            <w:shd w:val="clear" w:color="auto" w:fill="auto"/>
            <w:noWrap/>
            <w:vAlign w:val="center"/>
            <w:hideMark/>
          </w:tcPr>
          <w:p w14:paraId="567197CF"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[11C]UCB-J</w:t>
            </w:r>
          </w:p>
        </w:tc>
        <w:tc>
          <w:tcPr>
            <w:tcW w:w="992" w:type="dxa"/>
            <w:shd w:val="clear" w:color="auto" w:fill="auto"/>
            <w:noWrap/>
            <w:vAlign w:val="center"/>
            <w:hideMark/>
          </w:tcPr>
          <w:p w14:paraId="5ED9BBAF"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VT</w:t>
            </w:r>
          </w:p>
        </w:tc>
        <w:tc>
          <w:tcPr>
            <w:tcW w:w="993" w:type="dxa"/>
            <w:shd w:val="clear" w:color="auto" w:fill="auto"/>
            <w:noWrap/>
            <w:vAlign w:val="center"/>
            <w:hideMark/>
          </w:tcPr>
          <w:p w14:paraId="62022075"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n/a</w:t>
            </w:r>
          </w:p>
        </w:tc>
      </w:tr>
      <w:tr w:rsidR="00CA038A" w:rsidRPr="00C170BC" w14:paraId="275BD799" w14:textId="77777777" w:rsidTr="009C056C">
        <w:trPr>
          <w:trHeight w:val="300"/>
        </w:trPr>
        <w:tc>
          <w:tcPr>
            <w:tcW w:w="1038" w:type="dxa"/>
            <w:vMerge w:val="restart"/>
            <w:shd w:val="clear" w:color="auto" w:fill="auto"/>
            <w:noWrap/>
            <w:vAlign w:val="center"/>
            <w:hideMark/>
          </w:tcPr>
          <w:p w14:paraId="60929241"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SZ</w:t>
            </w:r>
          </w:p>
        </w:tc>
        <w:tc>
          <w:tcPr>
            <w:tcW w:w="1084" w:type="dxa"/>
            <w:shd w:val="clear" w:color="auto" w:fill="auto"/>
            <w:noWrap/>
            <w:vAlign w:val="center"/>
            <w:hideMark/>
          </w:tcPr>
          <w:p w14:paraId="7201B8FA" w14:textId="27B081E8"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Onwordi (2020)</w:t>
            </w:r>
            <w:r w:rsidR="00017FF8">
              <w:rPr>
                <w:rFonts w:asciiTheme="majorHAnsi" w:eastAsia="Times New Roman" w:hAnsiTheme="majorHAnsi" w:cs="Calibri"/>
                <w:color w:val="000000"/>
                <w:kern w:val="0"/>
                <w:sz w:val="18"/>
                <w:szCs w:val="18"/>
                <w:vertAlign w:val="superscript"/>
                <w:lang w:eastAsia="en-GB"/>
                <w14:ligatures w14:val="none"/>
              </w:rPr>
              <w:t>37</w:t>
            </w:r>
          </w:p>
        </w:tc>
        <w:tc>
          <w:tcPr>
            <w:tcW w:w="1275" w:type="dxa"/>
            <w:shd w:val="clear" w:color="auto" w:fill="auto"/>
            <w:noWrap/>
            <w:vAlign w:val="center"/>
            <w:hideMark/>
          </w:tcPr>
          <w:p w14:paraId="47224834"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cross-sectional</w:t>
            </w:r>
          </w:p>
        </w:tc>
        <w:tc>
          <w:tcPr>
            <w:tcW w:w="1560" w:type="dxa"/>
            <w:shd w:val="clear" w:color="auto" w:fill="auto"/>
            <w:noWrap/>
            <w:vAlign w:val="center"/>
            <w:hideMark/>
          </w:tcPr>
          <w:p w14:paraId="0938D6A0"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N</w:t>
            </w:r>
          </w:p>
        </w:tc>
        <w:tc>
          <w:tcPr>
            <w:tcW w:w="1559" w:type="dxa"/>
            <w:shd w:val="clear" w:color="auto" w:fill="auto"/>
            <w:noWrap/>
            <w:vAlign w:val="center"/>
            <w:hideMark/>
          </w:tcPr>
          <w:p w14:paraId="2E90B6A3" w14:textId="77777777" w:rsidR="00263284"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 xml:space="preserve">HC=18, </w:t>
            </w:r>
          </w:p>
          <w:p w14:paraId="648E6288" w14:textId="3BFB30ED"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SZ=18</w:t>
            </w:r>
          </w:p>
        </w:tc>
        <w:tc>
          <w:tcPr>
            <w:tcW w:w="1701" w:type="dxa"/>
            <w:shd w:val="clear" w:color="auto" w:fill="auto"/>
            <w:noWrap/>
            <w:vAlign w:val="center"/>
            <w:hideMark/>
          </w:tcPr>
          <w:p w14:paraId="4A64B103" w14:textId="77777777" w:rsidR="00263284"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HC=38.7±3.1,</w:t>
            </w:r>
          </w:p>
          <w:p w14:paraId="4566F444" w14:textId="2468251E"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SZ=41.5 ±2.7</w:t>
            </w:r>
          </w:p>
        </w:tc>
        <w:tc>
          <w:tcPr>
            <w:tcW w:w="1701" w:type="dxa"/>
            <w:shd w:val="clear" w:color="auto" w:fill="auto"/>
            <w:noWrap/>
            <w:vAlign w:val="center"/>
            <w:hideMark/>
          </w:tcPr>
          <w:p w14:paraId="19B5AE05"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most taking antipsychotics</w:t>
            </w:r>
          </w:p>
        </w:tc>
        <w:tc>
          <w:tcPr>
            <w:tcW w:w="1559" w:type="dxa"/>
            <w:shd w:val="clear" w:color="auto" w:fill="auto"/>
            <w:noWrap/>
            <w:vAlign w:val="center"/>
            <w:hideMark/>
          </w:tcPr>
          <w:p w14:paraId="69E1BD12"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[11C]UCB-J</w:t>
            </w:r>
          </w:p>
        </w:tc>
        <w:tc>
          <w:tcPr>
            <w:tcW w:w="992" w:type="dxa"/>
            <w:shd w:val="clear" w:color="auto" w:fill="auto"/>
            <w:noWrap/>
            <w:vAlign w:val="center"/>
            <w:hideMark/>
          </w:tcPr>
          <w:p w14:paraId="141F51C7"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DVR, VT</w:t>
            </w:r>
          </w:p>
        </w:tc>
        <w:tc>
          <w:tcPr>
            <w:tcW w:w="993" w:type="dxa"/>
            <w:shd w:val="clear" w:color="auto" w:fill="auto"/>
            <w:noWrap/>
            <w:vAlign w:val="center"/>
            <w:hideMark/>
          </w:tcPr>
          <w:p w14:paraId="10910AE6"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CS</w:t>
            </w:r>
          </w:p>
        </w:tc>
      </w:tr>
      <w:tr w:rsidR="00CA038A" w:rsidRPr="00C170BC" w14:paraId="0202AAE4" w14:textId="77777777" w:rsidTr="009C056C">
        <w:trPr>
          <w:trHeight w:val="300"/>
        </w:trPr>
        <w:tc>
          <w:tcPr>
            <w:tcW w:w="1038" w:type="dxa"/>
            <w:vMerge/>
            <w:vAlign w:val="center"/>
            <w:hideMark/>
          </w:tcPr>
          <w:p w14:paraId="096ACB59"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p>
        </w:tc>
        <w:tc>
          <w:tcPr>
            <w:tcW w:w="1084" w:type="dxa"/>
            <w:shd w:val="clear" w:color="auto" w:fill="auto"/>
            <w:noWrap/>
            <w:vAlign w:val="center"/>
            <w:hideMark/>
          </w:tcPr>
          <w:p w14:paraId="6107C2BD" w14:textId="4F392F10"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Onwordi (2021)</w:t>
            </w:r>
            <w:r w:rsidR="00017FF8">
              <w:rPr>
                <w:rFonts w:asciiTheme="majorHAnsi" w:eastAsia="Times New Roman" w:hAnsiTheme="majorHAnsi" w:cs="Calibri"/>
                <w:color w:val="000000"/>
                <w:kern w:val="0"/>
                <w:sz w:val="18"/>
                <w:szCs w:val="18"/>
                <w:vertAlign w:val="superscript"/>
                <w:lang w:eastAsia="en-GB"/>
                <w14:ligatures w14:val="none"/>
              </w:rPr>
              <w:t>38</w:t>
            </w:r>
          </w:p>
        </w:tc>
        <w:tc>
          <w:tcPr>
            <w:tcW w:w="1275" w:type="dxa"/>
            <w:shd w:val="clear" w:color="auto" w:fill="auto"/>
            <w:noWrap/>
            <w:vAlign w:val="center"/>
            <w:hideMark/>
          </w:tcPr>
          <w:p w14:paraId="01C6A95A"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cross-sectional</w:t>
            </w:r>
          </w:p>
        </w:tc>
        <w:tc>
          <w:tcPr>
            <w:tcW w:w="1560" w:type="dxa"/>
            <w:shd w:val="clear" w:color="auto" w:fill="auto"/>
            <w:noWrap/>
            <w:vAlign w:val="center"/>
            <w:hideMark/>
          </w:tcPr>
          <w:p w14:paraId="3D5B8942" w14:textId="4E795A4C"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Onwordi (2020)</w:t>
            </w:r>
            <w:r w:rsidR="00017FF8">
              <w:rPr>
                <w:rFonts w:asciiTheme="majorHAnsi" w:eastAsia="Times New Roman" w:hAnsiTheme="majorHAnsi" w:cs="Calibri"/>
                <w:color w:val="000000"/>
                <w:kern w:val="0"/>
                <w:sz w:val="18"/>
                <w:szCs w:val="18"/>
                <w:vertAlign w:val="superscript"/>
                <w:lang w:eastAsia="en-GB"/>
                <w14:ligatures w14:val="none"/>
              </w:rPr>
              <w:t>37</w:t>
            </w:r>
          </w:p>
        </w:tc>
        <w:tc>
          <w:tcPr>
            <w:tcW w:w="1559" w:type="dxa"/>
            <w:shd w:val="clear" w:color="auto" w:fill="auto"/>
            <w:noWrap/>
            <w:vAlign w:val="center"/>
            <w:hideMark/>
          </w:tcPr>
          <w:p w14:paraId="2C15CA51" w14:textId="77777777" w:rsidR="00263284"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 xml:space="preserve">HC=22, </w:t>
            </w:r>
          </w:p>
          <w:p w14:paraId="7BAD7F38" w14:textId="00BB4A15"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SZ=18</w:t>
            </w:r>
          </w:p>
        </w:tc>
        <w:tc>
          <w:tcPr>
            <w:tcW w:w="1701" w:type="dxa"/>
            <w:shd w:val="clear" w:color="auto" w:fill="auto"/>
            <w:noWrap/>
            <w:vAlign w:val="center"/>
            <w:hideMark/>
          </w:tcPr>
          <w:p w14:paraId="49F67ACF"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HC=38.23 ±2.59, SZ=40.89 ±2.75</w:t>
            </w:r>
          </w:p>
        </w:tc>
        <w:tc>
          <w:tcPr>
            <w:tcW w:w="1701" w:type="dxa"/>
            <w:shd w:val="clear" w:color="auto" w:fill="auto"/>
            <w:noWrap/>
            <w:vAlign w:val="center"/>
            <w:hideMark/>
          </w:tcPr>
          <w:p w14:paraId="0FD22D98"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not reported</w:t>
            </w:r>
          </w:p>
        </w:tc>
        <w:tc>
          <w:tcPr>
            <w:tcW w:w="1559" w:type="dxa"/>
            <w:shd w:val="clear" w:color="auto" w:fill="auto"/>
            <w:noWrap/>
            <w:vAlign w:val="center"/>
            <w:hideMark/>
          </w:tcPr>
          <w:p w14:paraId="0D2BE442"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[11C]UCB-J</w:t>
            </w:r>
          </w:p>
        </w:tc>
        <w:tc>
          <w:tcPr>
            <w:tcW w:w="992" w:type="dxa"/>
            <w:shd w:val="clear" w:color="auto" w:fill="auto"/>
            <w:noWrap/>
            <w:vAlign w:val="center"/>
            <w:hideMark/>
          </w:tcPr>
          <w:p w14:paraId="67E068C1"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VT, DVR</w:t>
            </w:r>
          </w:p>
        </w:tc>
        <w:tc>
          <w:tcPr>
            <w:tcW w:w="993" w:type="dxa"/>
            <w:shd w:val="clear" w:color="auto" w:fill="auto"/>
            <w:noWrap/>
            <w:vAlign w:val="center"/>
            <w:hideMark/>
          </w:tcPr>
          <w:p w14:paraId="271F9778"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CS</w:t>
            </w:r>
          </w:p>
        </w:tc>
      </w:tr>
      <w:tr w:rsidR="00CA038A" w:rsidRPr="00C170BC" w14:paraId="187932DA" w14:textId="77777777" w:rsidTr="009C056C">
        <w:trPr>
          <w:trHeight w:val="300"/>
        </w:trPr>
        <w:tc>
          <w:tcPr>
            <w:tcW w:w="1038" w:type="dxa"/>
            <w:vMerge/>
            <w:vAlign w:val="center"/>
            <w:hideMark/>
          </w:tcPr>
          <w:p w14:paraId="3B62AD91"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p>
        </w:tc>
        <w:tc>
          <w:tcPr>
            <w:tcW w:w="1084" w:type="dxa"/>
            <w:shd w:val="clear" w:color="auto" w:fill="auto"/>
            <w:noWrap/>
            <w:vAlign w:val="center"/>
            <w:hideMark/>
          </w:tcPr>
          <w:p w14:paraId="53A96B1E" w14:textId="71A15B3E"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Onwordi (2023)</w:t>
            </w:r>
            <w:r w:rsidR="00017FF8" w:rsidRPr="00017FF8">
              <w:rPr>
                <w:rFonts w:asciiTheme="majorHAnsi" w:eastAsia="Times New Roman" w:hAnsiTheme="majorHAnsi" w:cs="Calibri"/>
                <w:color w:val="000000"/>
                <w:kern w:val="0"/>
                <w:sz w:val="18"/>
                <w:szCs w:val="18"/>
                <w:vertAlign w:val="superscript"/>
                <w:lang w:eastAsia="en-GB"/>
                <w14:ligatures w14:val="none"/>
              </w:rPr>
              <w:t>39</w:t>
            </w:r>
          </w:p>
        </w:tc>
        <w:tc>
          <w:tcPr>
            <w:tcW w:w="1275" w:type="dxa"/>
            <w:shd w:val="clear" w:color="auto" w:fill="auto"/>
            <w:noWrap/>
            <w:vAlign w:val="center"/>
            <w:hideMark/>
          </w:tcPr>
          <w:p w14:paraId="257F4DC5"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cross-sectional</w:t>
            </w:r>
          </w:p>
        </w:tc>
        <w:tc>
          <w:tcPr>
            <w:tcW w:w="1560" w:type="dxa"/>
            <w:shd w:val="clear" w:color="auto" w:fill="auto"/>
            <w:noWrap/>
            <w:vAlign w:val="center"/>
            <w:hideMark/>
          </w:tcPr>
          <w:p w14:paraId="1FD73950" w14:textId="2BCA86BD"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Onwordi (2020)</w:t>
            </w:r>
            <w:r w:rsidR="00017FF8">
              <w:rPr>
                <w:rFonts w:asciiTheme="majorHAnsi" w:eastAsia="Times New Roman" w:hAnsiTheme="majorHAnsi" w:cs="Calibri"/>
                <w:color w:val="000000"/>
                <w:kern w:val="0"/>
                <w:sz w:val="18"/>
                <w:szCs w:val="18"/>
                <w:vertAlign w:val="superscript"/>
                <w:lang w:eastAsia="en-GB"/>
                <w14:ligatures w14:val="none"/>
              </w:rPr>
              <w:t>37</w:t>
            </w:r>
          </w:p>
        </w:tc>
        <w:tc>
          <w:tcPr>
            <w:tcW w:w="1559" w:type="dxa"/>
            <w:shd w:val="clear" w:color="auto" w:fill="auto"/>
            <w:noWrap/>
            <w:vAlign w:val="center"/>
            <w:hideMark/>
          </w:tcPr>
          <w:p w14:paraId="10026762" w14:textId="77777777" w:rsidR="00263284"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 xml:space="preserve">HC=21, </w:t>
            </w:r>
          </w:p>
          <w:p w14:paraId="1EBE7520" w14:textId="5AFF523A"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HC=21</w:t>
            </w:r>
          </w:p>
        </w:tc>
        <w:tc>
          <w:tcPr>
            <w:tcW w:w="1701" w:type="dxa"/>
            <w:shd w:val="clear" w:color="auto" w:fill="auto"/>
            <w:noWrap/>
            <w:vAlign w:val="center"/>
            <w:hideMark/>
          </w:tcPr>
          <w:p w14:paraId="0BA015E9"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HC=30.86 ±1.90, SZ=26.52 ±1.74</w:t>
            </w:r>
          </w:p>
        </w:tc>
        <w:tc>
          <w:tcPr>
            <w:tcW w:w="1701" w:type="dxa"/>
            <w:shd w:val="clear" w:color="auto" w:fill="auto"/>
            <w:noWrap/>
            <w:vAlign w:val="center"/>
            <w:hideMark/>
          </w:tcPr>
          <w:p w14:paraId="1775317C"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Antipsychotic naïve (n=2), antipsychotic-free (n=19)</w:t>
            </w:r>
          </w:p>
        </w:tc>
        <w:tc>
          <w:tcPr>
            <w:tcW w:w="1559" w:type="dxa"/>
            <w:shd w:val="clear" w:color="auto" w:fill="auto"/>
            <w:noWrap/>
            <w:vAlign w:val="center"/>
            <w:hideMark/>
          </w:tcPr>
          <w:p w14:paraId="05F8317A"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[11C]UCB-J</w:t>
            </w:r>
          </w:p>
        </w:tc>
        <w:tc>
          <w:tcPr>
            <w:tcW w:w="992" w:type="dxa"/>
            <w:shd w:val="clear" w:color="auto" w:fill="auto"/>
            <w:noWrap/>
            <w:vAlign w:val="center"/>
            <w:hideMark/>
          </w:tcPr>
          <w:p w14:paraId="1D8EB71E"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DVR, VT, VT/fp</w:t>
            </w:r>
          </w:p>
        </w:tc>
        <w:tc>
          <w:tcPr>
            <w:tcW w:w="993" w:type="dxa"/>
            <w:shd w:val="clear" w:color="auto" w:fill="auto"/>
            <w:noWrap/>
            <w:vAlign w:val="center"/>
            <w:hideMark/>
          </w:tcPr>
          <w:p w14:paraId="0713AA4E"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CS</w:t>
            </w:r>
          </w:p>
        </w:tc>
      </w:tr>
      <w:tr w:rsidR="00CA038A" w:rsidRPr="00C170BC" w14:paraId="21DD209F" w14:textId="77777777" w:rsidTr="009C056C">
        <w:trPr>
          <w:trHeight w:val="300"/>
        </w:trPr>
        <w:tc>
          <w:tcPr>
            <w:tcW w:w="1038" w:type="dxa"/>
            <w:vMerge/>
            <w:vAlign w:val="center"/>
            <w:hideMark/>
          </w:tcPr>
          <w:p w14:paraId="7CA097BA"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p>
        </w:tc>
        <w:tc>
          <w:tcPr>
            <w:tcW w:w="1084" w:type="dxa"/>
            <w:shd w:val="clear" w:color="auto" w:fill="auto"/>
            <w:noWrap/>
            <w:vAlign w:val="center"/>
            <w:hideMark/>
          </w:tcPr>
          <w:p w14:paraId="37E9C62A" w14:textId="66A392EF"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Radhakrishnan (2021)</w:t>
            </w:r>
            <w:r w:rsidR="00017FF8" w:rsidRPr="00017FF8">
              <w:rPr>
                <w:rFonts w:asciiTheme="majorHAnsi" w:eastAsia="Times New Roman" w:hAnsiTheme="majorHAnsi" w:cs="Calibri"/>
                <w:color w:val="000000"/>
                <w:kern w:val="0"/>
                <w:sz w:val="18"/>
                <w:szCs w:val="18"/>
                <w:vertAlign w:val="superscript"/>
                <w:lang w:eastAsia="en-GB"/>
                <w14:ligatures w14:val="none"/>
              </w:rPr>
              <w:t>40</w:t>
            </w:r>
          </w:p>
        </w:tc>
        <w:tc>
          <w:tcPr>
            <w:tcW w:w="1275" w:type="dxa"/>
            <w:shd w:val="clear" w:color="auto" w:fill="auto"/>
            <w:noWrap/>
            <w:vAlign w:val="center"/>
            <w:hideMark/>
          </w:tcPr>
          <w:p w14:paraId="1E63FC05"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cross-sectional</w:t>
            </w:r>
          </w:p>
        </w:tc>
        <w:tc>
          <w:tcPr>
            <w:tcW w:w="1560" w:type="dxa"/>
            <w:shd w:val="clear" w:color="auto" w:fill="auto"/>
            <w:noWrap/>
            <w:vAlign w:val="center"/>
            <w:hideMark/>
          </w:tcPr>
          <w:p w14:paraId="7CC81F95"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N</w:t>
            </w:r>
          </w:p>
        </w:tc>
        <w:tc>
          <w:tcPr>
            <w:tcW w:w="1559" w:type="dxa"/>
            <w:shd w:val="clear" w:color="auto" w:fill="auto"/>
            <w:noWrap/>
            <w:vAlign w:val="center"/>
            <w:hideMark/>
          </w:tcPr>
          <w:p w14:paraId="2275B03D" w14:textId="77777777" w:rsidR="00263284"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 xml:space="preserve">HC=15, </w:t>
            </w:r>
          </w:p>
          <w:p w14:paraId="24709A2E" w14:textId="78710264"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SZ=13</w:t>
            </w:r>
          </w:p>
        </w:tc>
        <w:tc>
          <w:tcPr>
            <w:tcW w:w="1701" w:type="dxa"/>
            <w:shd w:val="clear" w:color="auto" w:fill="auto"/>
            <w:noWrap/>
            <w:vAlign w:val="center"/>
            <w:hideMark/>
          </w:tcPr>
          <w:p w14:paraId="0ED7A4B7"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HC=40.77 ±11.04, SZ=40.52 ±11.15</w:t>
            </w:r>
          </w:p>
        </w:tc>
        <w:tc>
          <w:tcPr>
            <w:tcW w:w="1701" w:type="dxa"/>
            <w:shd w:val="clear" w:color="auto" w:fill="auto"/>
            <w:noWrap/>
            <w:vAlign w:val="center"/>
            <w:hideMark/>
          </w:tcPr>
          <w:p w14:paraId="01D6B755"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antipsychotic-free (n=3)</w:t>
            </w:r>
          </w:p>
        </w:tc>
        <w:tc>
          <w:tcPr>
            <w:tcW w:w="1559" w:type="dxa"/>
            <w:shd w:val="clear" w:color="auto" w:fill="auto"/>
            <w:noWrap/>
            <w:vAlign w:val="center"/>
            <w:hideMark/>
          </w:tcPr>
          <w:p w14:paraId="2543E9DC"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[11C]UCB-J</w:t>
            </w:r>
          </w:p>
        </w:tc>
        <w:tc>
          <w:tcPr>
            <w:tcW w:w="992" w:type="dxa"/>
            <w:shd w:val="clear" w:color="auto" w:fill="auto"/>
            <w:noWrap/>
            <w:vAlign w:val="center"/>
            <w:hideMark/>
          </w:tcPr>
          <w:p w14:paraId="396F5652"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VT, BPND</w:t>
            </w:r>
          </w:p>
        </w:tc>
        <w:tc>
          <w:tcPr>
            <w:tcW w:w="993" w:type="dxa"/>
            <w:shd w:val="clear" w:color="auto" w:fill="auto"/>
            <w:noWrap/>
            <w:vAlign w:val="center"/>
            <w:hideMark/>
          </w:tcPr>
          <w:p w14:paraId="7F4F5782"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CS</w:t>
            </w:r>
          </w:p>
        </w:tc>
      </w:tr>
      <w:tr w:rsidR="00CA038A" w:rsidRPr="00C170BC" w14:paraId="6516E767" w14:textId="77777777" w:rsidTr="009C056C">
        <w:trPr>
          <w:trHeight w:val="300"/>
        </w:trPr>
        <w:tc>
          <w:tcPr>
            <w:tcW w:w="1038" w:type="dxa"/>
            <w:vMerge/>
            <w:vAlign w:val="center"/>
            <w:hideMark/>
          </w:tcPr>
          <w:p w14:paraId="3B393A1F" w14:textId="77777777"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p>
        </w:tc>
        <w:tc>
          <w:tcPr>
            <w:tcW w:w="1084" w:type="dxa"/>
            <w:shd w:val="clear" w:color="auto" w:fill="auto"/>
            <w:noWrap/>
            <w:vAlign w:val="center"/>
            <w:hideMark/>
          </w:tcPr>
          <w:p w14:paraId="1D77803F" w14:textId="0489123B" w:rsidR="00CA038A" w:rsidRPr="00C170BC" w:rsidRDefault="00CA038A" w:rsidP="00C3185A">
            <w:pPr>
              <w:rPr>
                <w:rFonts w:asciiTheme="majorHAnsi" w:eastAsia="Times New Roman" w:hAnsiTheme="majorHAnsi" w:cs="Calibri"/>
                <w:b/>
                <w:bCs/>
                <w:color w:val="000000"/>
                <w:kern w:val="0"/>
                <w:sz w:val="18"/>
                <w:szCs w:val="18"/>
                <w:lang w:eastAsia="en-GB"/>
                <w14:ligatures w14:val="none"/>
              </w:rPr>
            </w:pPr>
            <w:r w:rsidRPr="00C170BC">
              <w:rPr>
                <w:rFonts w:asciiTheme="majorHAnsi" w:eastAsia="Times New Roman" w:hAnsiTheme="majorHAnsi" w:cs="Calibri"/>
                <w:b/>
                <w:bCs/>
                <w:color w:val="000000"/>
                <w:kern w:val="0"/>
                <w:sz w:val="18"/>
                <w:szCs w:val="18"/>
                <w:lang w:eastAsia="en-GB"/>
                <w14:ligatures w14:val="none"/>
              </w:rPr>
              <w:t>Yoon (2023)</w:t>
            </w:r>
            <w:r w:rsidR="00017FF8">
              <w:rPr>
                <w:rFonts w:asciiTheme="majorHAnsi" w:eastAsia="Times New Roman" w:hAnsiTheme="majorHAnsi" w:cs="Calibri"/>
                <w:color w:val="000000"/>
                <w:kern w:val="0"/>
                <w:sz w:val="18"/>
                <w:szCs w:val="18"/>
                <w:vertAlign w:val="superscript"/>
                <w:lang w:eastAsia="en-GB"/>
                <w14:ligatures w14:val="none"/>
              </w:rPr>
              <w:t>41</w:t>
            </w:r>
          </w:p>
        </w:tc>
        <w:tc>
          <w:tcPr>
            <w:tcW w:w="1275" w:type="dxa"/>
            <w:shd w:val="clear" w:color="auto" w:fill="auto"/>
            <w:noWrap/>
            <w:vAlign w:val="center"/>
            <w:hideMark/>
          </w:tcPr>
          <w:p w14:paraId="0C7FA138"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cross-sectional</w:t>
            </w:r>
          </w:p>
        </w:tc>
        <w:tc>
          <w:tcPr>
            <w:tcW w:w="1560" w:type="dxa"/>
            <w:shd w:val="clear" w:color="auto" w:fill="auto"/>
            <w:noWrap/>
            <w:vAlign w:val="center"/>
            <w:hideMark/>
          </w:tcPr>
          <w:p w14:paraId="17589AE4"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N</w:t>
            </w:r>
          </w:p>
        </w:tc>
        <w:tc>
          <w:tcPr>
            <w:tcW w:w="1559" w:type="dxa"/>
            <w:shd w:val="clear" w:color="auto" w:fill="auto"/>
            <w:noWrap/>
            <w:vAlign w:val="center"/>
            <w:hideMark/>
          </w:tcPr>
          <w:p w14:paraId="746366B5" w14:textId="77777777" w:rsidR="00263284"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 xml:space="preserve">HC=9, </w:t>
            </w:r>
          </w:p>
          <w:p w14:paraId="3D3AE37C" w14:textId="17F6DC05"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SZ=9</w:t>
            </w:r>
          </w:p>
        </w:tc>
        <w:tc>
          <w:tcPr>
            <w:tcW w:w="1701" w:type="dxa"/>
            <w:shd w:val="clear" w:color="auto" w:fill="auto"/>
            <w:noWrap/>
            <w:vAlign w:val="center"/>
            <w:hideMark/>
          </w:tcPr>
          <w:p w14:paraId="1735F0E7"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HC=27.22 ±4.60, SZ=25.67 ±3.97</w:t>
            </w:r>
          </w:p>
        </w:tc>
        <w:tc>
          <w:tcPr>
            <w:tcW w:w="1701" w:type="dxa"/>
            <w:shd w:val="clear" w:color="auto" w:fill="auto"/>
            <w:noWrap/>
            <w:vAlign w:val="center"/>
            <w:hideMark/>
          </w:tcPr>
          <w:p w14:paraId="0B679421"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taking antipsychotics (n=8), antipsychotic-free (n=1)</w:t>
            </w:r>
          </w:p>
        </w:tc>
        <w:tc>
          <w:tcPr>
            <w:tcW w:w="1559" w:type="dxa"/>
            <w:shd w:val="clear" w:color="auto" w:fill="auto"/>
            <w:noWrap/>
            <w:vAlign w:val="center"/>
            <w:hideMark/>
          </w:tcPr>
          <w:p w14:paraId="1FAA7109"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[11C]UCB-J</w:t>
            </w:r>
          </w:p>
        </w:tc>
        <w:tc>
          <w:tcPr>
            <w:tcW w:w="992" w:type="dxa"/>
            <w:shd w:val="clear" w:color="auto" w:fill="auto"/>
            <w:noWrap/>
            <w:vAlign w:val="center"/>
            <w:hideMark/>
          </w:tcPr>
          <w:p w14:paraId="68BF1ED7"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BPND</w:t>
            </w:r>
          </w:p>
        </w:tc>
        <w:tc>
          <w:tcPr>
            <w:tcW w:w="993" w:type="dxa"/>
            <w:shd w:val="clear" w:color="auto" w:fill="auto"/>
            <w:noWrap/>
            <w:vAlign w:val="center"/>
            <w:hideMark/>
          </w:tcPr>
          <w:p w14:paraId="070EFD45" w14:textId="77777777" w:rsidR="00CA038A" w:rsidRPr="00C170BC" w:rsidRDefault="00CA038A" w:rsidP="00C3185A">
            <w:pPr>
              <w:rPr>
                <w:rFonts w:asciiTheme="majorHAnsi" w:eastAsia="Times New Roman" w:hAnsiTheme="majorHAnsi" w:cs="Calibri"/>
                <w:color w:val="000000"/>
                <w:kern w:val="0"/>
                <w:sz w:val="18"/>
                <w:szCs w:val="18"/>
                <w:lang w:eastAsia="en-GB"/>
                <w14:ligatures w14:val="none"/>
              </w:rPr>
            </w:pPr>
            <w:r w:rsidRPr="00C170BC">
              <w:rPr>
                <w:rFonts w:asciiTheme="majorHAnsi" w:eastAsia="Times New Roman" w:hAnsiTheme="majorHAnsi" w:cs="Calibri"/>
                <w:color w:val="000000"/>
                <w:kern w:val="0"/>
                <w:sz w:val="18"/>
                <w:szCs w:val="18"/>
                <w:lang w:eastAsia="en-GB"/>
                <w14:ligatures w14:val="none"/>
              </w:rPr>
              <w:t>CS</w:t>
            </w:r>
          </w:p>
        </w:tc>
      </w:tr>
    </w:tbl>
    <w:p w14:paraId="513929D8" w14:textId="29FDD43C" w:rsidR="00CA038A" w:rsidRDefault="00CA038A" w:rsidP="00C3185A">
      <w:pPr>
        <w:pStyle w:val="Caption"/>
      </w:pPr>
      <w:r w:rsidRPr="009237CF">
        <w:rPr>
          <w:b/>
          <w:bCs/>
        </w:rPr>
        <w:t>Table S</w:t>
      </w:r>
      <w:r w:rsidR="00FB02DA">
        <w:rPr>
          <w:b/>
          <w:bCs/>
        </w:rPr>
        <w:t>3</w:t>
      </w:r>
      <w:r>
        <w:t xml:space="preserve"> </w:t>
      </w:r>
      <w:r>
        <w:rPr>
          <w:lang w:val="en-US"/>
        </w:rPr>
        <w:t xml:space="preserve">Summary of studies in psychiatric illnesses. </w:t>
      </w:r>
      <w:r>
        <w:t xml:space="preserve">If the same sample or a subset of the same sample was used across multiple studies, this is indicated in the ‘Overlapping samples’ column, where citation indicates the first study published (chronologically) where this sample was included; otherwise ‘N’ indicates no overlap in data with previous studies.  </w:t>
      </w:r>
      <w:r w:rsidRPr="00383638">
        <w:rPr>
          <w:b/>
          <w:bCs/>
        </w:rPr>
        <w:t>Abbreviations</w:t>
      </w:r>
      <w:r>
        <w:t xml:space="preserve">: </w:t>
      </w:r>
      <w:r w:rsidRPr="00DE4311">
        <w:rPr>
          <w:lang w:val="en-US"/>
        </w:rPr>
        <w:t>BP</w:t>
      </w:r>
      <w:r w:rsidRPr="00DE4311">
        <w:rPr>
          <w:vertAlign w:val="subscript"/>
          <w:lang w:val="en-US"/>
        </w:rPr>
        <w:t>ND</w:t>
      </w:r>
      <w:r w:rsidRPr="00DE4311">
        <w:rPr>
          <w:lang w:val="en-US"/>
        </w:rPr>
        <w:t xml:space="preserve"> = nondisplaceable binding potential,</w:t>
      </w:r>
      <w:r>
        <w:rPr>
          <w:lang w:val="en-US"/>
        </w:rPr>
        <w:t xml:space="preserve"> CaUD = cannabis use disorder, CoUD = cocaine use disorder,</w:t>
      </w:r>
      <w:r w:rsidRPr="00DE4311">
        <w:rPr>
          <w:lang w:val="en-US"/>
        </w:rPr>
        <w:t xml:space="preserve"> CS = centrum semiovale, DVR = distribution volume ratio,</w:t>
      </w:r>
      <w:r>
        <w:rPr>
          <w:lang w:val="en-US"/>
        </w:rPr>
        <w:t xml:space="preserve"> fp = plasma free fraction,</w:t>
      </w:r>
      <w:r w:rsidRPr="00DE4311">
        <w:rPr>
          <w:lang w:val="en-US"/>
        </w:rPr>
        <w:t xml:space="preserve"> HC = healthy controls,</w:t>
      </w:r>
      <w:r>
        <w:rPr>
          <w:lang w:val="en-US"/>
        </w:rPr>
        <w:t xml:space="preserve"> IGD = internet gaming disorder,</w:t>
      </w:r>
      <w:r w:rsidRPr="00DE4311">
        <w:rPr>
          <w:lang w:val="en-US"/>
        </w:rPr>
        <w:t xml:space="preserve"> </w:t>
      </w:r>
      <w:r>
        <w:rPr>
          <w:lang w:val="en-US"/>
        </w:rPr>
        <w:t xml:space="preserve">MDD = major depressive disorder, </w:t>
      </w:r>
      <w:r w:rsidRPr="00DE4311">
        <w:rPr>
          <w:lang w:val="en-US"/>
        </w:rPr>
        <w:t xml:space="preserve">N = no, NA = not applicable, </w:t>
      </w:r>
      <w:r>
        <w:rPr>
          <w:lang w:val="en-US"/>
        </w:rPr>
        <w:t xml:space="preserve">NK = not known, NWHC = normal weight healthy control, NWPsy = normal weight with psychiatric diagnosis, OWHC = overweight healthy control, OWPsy = overweight with psychiatric diagnosis, PTSD = posttraumatic stress disorder, </w:t>
      </w:r>
      <w:r w:rsidRPr="00DE4311">
        <w:rPr>
          <w:lang w:val="en-US"/>
        </w:rPr>
        <w:t xml:space="preserve">SUVR = standardised uptake value ratio, </w:t>
      </w:r>
      <w:r>
        <w:rPr>
          <w:lang w:val="en-US"/>
        </w:rPr>
        <w:t xml:space="preserve">SZ = schizophrenia, </w:t>
      </w:r>
      <w:r w:rsidRPr="00DE4311">
        <w:rPr>
          <w:lang w:val="en-US"/>
        </w:rPr>
        <w:t>V</w:t>
      </w:r>
      <w:r w:rsidRPr="00DE4311">
        <w:rPr>
          <w:vertAlign w:val="subscript"/>
          <w:lang w:val="en-US"/>
        </w:rPr>
        <w:t>T</w:t>
      </w:r>
      <w:r w:rsidRPr="00DE4311">
        <w:rPr>
          <w:lang w:val="en-US"/>
        </w:rPr>
        <w:t xml:space="preserve"> = volume of distribution</w:t>
      </w:r>
      <w:r>
        <w:rPr>
          <w:lang w:val="en-US"/>
        </w:rPr>
        <w:t>.</w:t>
      </w:r>
      <w:r>
        <w:br w:type="page"/>
      </w:r>
    </w:p>
    <w:tbl>
      <w:tblPr>
        <w:tblW w:w="4918" w:type="pct"/>
        <w:tblLayout w:type="fixed"/>
        <w:tblLook w:val="04A0" w:firstRow="1" w:lastRow="0" w:firstColumn="1" w:lastColumn="0" w:noHBand="0" w:noVBand="1"/>
      </w:tblPr>
      <w:tblGrid>
        <w:gridCol w:w="1157"/>
        <w:gridCol w:w="1338"/>
        <w:gridCol w:w="1470"/>
        <w:gridCol w:w="1416"/>
        <w:gridCol w:w="1844"/>
        <w:gridCol w:w="1984"/>
        <w:gridCol w:w="1844"/>
        <w:gridCol w:w="1416"/>
        <w:gridCol w:w="1230"/>
      </w:tblGrid>
      <w:tr w:rsidR="003B106A" w:rsidRPr="003B106A" w14:paraId="203A76D8" w14:textId="77777777" w:rsidTr="003B106A">
        <w:trPr>
          <w:trHeight w:val="320"/>
          <w:tblHeader/>
        </w:trPr>
        <w:tc>
          <w:tcPr>
            <w:tcW w:w="422"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A3B3956"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lastRenderedPageBreak/>
              <w:t>Diagnosis</w:t>
            </w:r>
          </w:p>
        </w:tc>
        <w:tc>
          <w:tcPr>
            <w:tcW w:w="488" w:type="pct"/>
            <w:tcBorders>
              <w:top w:val="single" w:sz="4" w:space="0" w:color="auto"/>
              <w:left w:val="nil"/>
              <w:bottom w:val="single" w:sz="4" w:space="0" w:color="auto"/>
              <w:right w:val="single" w:sz="4" w:space="0" w:color="auto"/>
            </w:tcBorders>
            <w:shd w:val="clear" w:color="auto" w:fill="C1E4F5" w:themeFill="accent1" w:themeFillTint="33"/>
            <w:vAlign w:val="center"/>
            <w:hideMark/>
          </w:tcPr>
          <w:p w14:paraId="4D139021"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Reference</w:t>
            </w:r>
          </w:p>
        </w:tc>
        <w:tc>
          <w:tcPr>
            <w:tcW w:w="536" w:type="pct"/>
            <w:tcBorders>
              <w:top w:val="single" w:sz="4" w:space="0" w:color="auto"/>
              <w:left w:val="nil"/>
              <w:bottom w:val="single" w:sz="4" w:space="0" w:color="auto"/>
              <w:right w:val="single" w:sz="4" w:space="0" w:color="auto"/>
            </w:tcBorders>
            <w:shd w:val="clear" w:color="auto" w:fill="C1E4F5" w:themeFill="accent1" w:themeFillTint="33"/>
            <w:vAlign w:val="center"/>
            <w:hideMark/>
          </w:tcPr>
          <w:p w14:paraId="028D0D72"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Design</w:t>
            </w:r>
          </w:p>
        </w:tc>
        <w:tc>
          <w:tcPr>
            <w:tcW w:w="517" w:type="pct"/>
            <w:tcBorders>
              <w:top w:val="single" w:sz="4" w:space="0" w:color="auto"/>
              <w:left w:val="nil"/>
              <w:bottom w:val="single" w:sz="4" w:space="0" w:color="auto"/>
              <w:right w:val="single" w:sz="4" w:space="0" w:color="auto"/>
            </w:tcBorders>
            <w:shd w:val="clear" w:color="auto" w:fill="C1E4F5" w:themeFill="accent1" w:themeFillTint="33"/>
            <w:vAlign w:val="center"/>
            <w:hideMark/>
          </w:tcPr>
          <w:p w14:paraId="78497E84"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Overlapping samples</w:t>
            </w:r>
          </w:p>
        </w:tc>
        <w:tc>
          <w:tcPr>
            <w:tcW w:w="673" w:type="pct"/>
            <w:tcBorders>
              <w:top w:val="single" w:sz="4" w:space="0" w:color="auto"/>
              <w:left w:val="nil"/>
              <w:bottom w:val="single" w:sz="4" w:space="0" w:color="auto"/>
              <w:right w:val="single" w:sz="4" w:space="0" w:color="auto"/>
            </w:tcBorders>
            <w:shd w:val="clear" w:color="auto" w:fill="C1E4F5" w:themeFill="accent1" w:themeFillTint="33"/>
            <w:vAlign w:val="center"/>
            <w:hideMark/>
          </w:tcPr>
          <w:p w14:paraId="36877F53"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Participants</w:t>
            </w:r>
          </w:p>
        </w:tc>
        <w:tc>
          <w:tcPr>
            <w:tcW w:w="724" w:type="pct"/>
            <w:tcBorders>
              <w:top w:val="single" w:sz="4" w:space="0" w:color="auto"/>
              <w:left w:val="nil"/>
              <w:bottom w:val="single" w:sz="4" w:space="0" w:color="auto"/>
              <w:right w:val="single" w:sz="4" w:space="0" w:color="auto"/>
            </w:tcBorders>
            <w:shd w:val="clear" w:color="auto" w:fill="C1E4F5" w:themeFill="accent1" w:themeFillTint="33"/>
            <w:vAlign w:val="center"/>
            <w:hideMark/>
          </w:tcPr>
          <w:p w14:paraId="072C56D1"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Age mean ±SD</w:t>
            </w:r>
          </w:p>
        </w:tc>
        <w:tc>
          <w:tcPr>
            <w:tcW w:w="673" w:type="pct"/>
            <w:tcBorders>
              <w:top w:val="single" w:sz="4" w:space="0" w:color="auto"/>
              <w:left w:val="nil"/>
              <w:bottom w:val="single" w:sz="4" w:space="0" w:color="auto"/>
              <w:right w:val="single" w:sz="4" w:space="0" w:color="auto"/>
            </w:tcBorders>
            <w:shd w:val="clear" w:color="auto" w:fill="C1E4F5" w:themeFill="accent1" w:themeFillTint="33"/>
            <w:vAlign w:val="center"/>
            <w:hideMark/>
          </w:tcPr>
          <w:p w14:paraId="4B0B443A"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Radioligand</w:t>
            </w:r>
          </w:p>
        </w:tc>
        <w:tc>
          <w:tcPr>
            <w:tcW w:w="517" w:type="pct"/>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0A4536AC"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PET measurement</w:t>
            </w:r>
          </w:p>
        </w:tc>
        <w:tc>
          <w:tcPr>
            <w:tcW w:w="449" w:type="pct"/>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1C4F108B"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PET reference</w:t>
            </w:r>
          </w:p>
        </w:tc>
      </w:tr>
      <w:tr w:rsidR="003B106A" w:rsidRPr="003B106A" w14:paraId="510EA2DA" w14:textId="77777777" w:rsidTr="003B106A">
        <w:trPr>
          <w:trHeight w:val="640"/>
        </w:trPr>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14:paraId="7DEE07D8"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AD</w:t>
            </w:r>
          </w:p>
        </w:tc>
        <w:tc>
          <w:tcPr>
            <w:tcW w:w="488" w:type="pct"/>
            <w:tcBorders>
              <w:top w:val="nil"/>
              <w:left w:val="nil"/>
              <w:bottom w:val="single" w:sz="4" w:space="0" w:color="auto"/>
              <w:right w:val="single" w:sz="4" w:space="0" w:color="auto"/>
            </w:tcBorders>
            <w:shd w:val="clear" w:color="auto" w:fill="auto"/>
            <w:vAlign w:val="center"/>
            <w:hideMark/>
          </w:tcPr>
          <w:p w14:paraId="2FAFDF55" w14:textId="7B891B09"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Bastin (2020)</w:t>
            </w:r>
            <w:r w:rsidR="00017FF8">
              <w:rPr>
                <w:rFonts w:asciiTheme="majorHAnsi" w:eastAsia="Times New Roman" w:hAnsiTheme="majorHAnsi" w:cs="Calibri"/>
                <w:color w:val="000000"/>
                <w:kern w:val="0"/>
                <w:sz w:val="18"/>
                <w:szCs w:val="18"/>
                <w:vertAlign w:val="superscript"/>
                <w:lang w:eastAsia="en-GB"/>
                <w14:ligatures w14:val="none"/>
              </w:rPr>
              <w:t>42</w:t>
            </w:r>
          </w:p>
        </w:tc>
        <w:tc>
          <w:tcPr>
            <w:tcW w:w="536" w:type="pct"/>
            <w:tcBorders>
              <w:top w:val="nil"/>
              <w:left w:val="nil"/>
              <w:bottom w:val="single" w:sz="4" w:space="0" w:color="auto"/>
              <w:right w:val="single" w:sz="4" w:space="0" w:color="auto"/>
            </w:tcBorders>
            <w:shd w:val="clear" w:color="auto" w:fill="auto"/>
            <w:vAlign w:val="center"/>
            <w:hideMark/>
          </w:tcPr>
          <w:p w14:paraId="09178F15"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67D8CBE1"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031259DF"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Aβ+ patients=25, HC=21</w:t>
            </w:r>
          </w:p>
        </w:tc>
        <w:tc>
          <w:tcPr>
            <w:tcW w:w="724" w:type="pct"/>
            <w:tcBorders>
              <w:top w:val="nil"/>
              <w:left w:val="nil"/>
              <w:bottom w:val="single" w:sz="4" w:space="0" w:color="auto"/>
              <w:right w:val="single" w:sz="4" w:space="0" w:color="auto"/>
            </w:tcBorders>
            <w:shd w:val="clear" w:color="auto" w:fill="auto"/>
            <w:vAlign w:val="center"/>
            <w:hideMark/>
          </w:tcPr>
          <w:p w14:paraId="720E7F66"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Aβ+=73.3 ±8.0, HC=71.5 ±4.5</w:t>
            </w:r>
          </w:p>
        </w:tc>
        <w:tc>
          <w:tcPr>
            <w:tcW w:w="673" w:type="pct"/>
            <w:tcBorders>
              <w:top w:val="nil"/>
              <w:left w:val="nil"/>
              <w:bottom w:val="single" w:sz="4" w:space="0" w:color="auto"/>
              <w:right w:val="single" w:sz="4" w:space="0" w:color="auto"/>
            </w:tcBorders>
            <w:shd w:val="clear" w:color="auto" w:fill="auto"/>
            <w:vAlign w:val="center"/>
            <w:hideMark/>
          </w:tcPr>
          <w:p w14:paraId="313A5F86" w14:textId="6E66D485"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[18F]-UCB-H</w:t>
            </w:r>
          </w:p>
        </w:tc>
        <w:tc>
          <w:tcPr>
            <w:tcW w:w="517" w:type="pct"/>
            <w:tcBorders>
              <w:top w:val="nil"/>
              <w:left w:val="nil"/>
              <w:bottom w:val="single" w:sz="4" w:space="0" w:color="auto"/>
              <w:right w:val="single" w:sz="4" w:space="0" w:color="auto"/>
            </w:tcBorders>
            <w:shd w:val="clear" w:color="auto" w:fill="auto"/>
            <w:noWrap/>
            <w:vAlign w:val="center"/>
            <w:hideMark/>
          </w:tcPr>
          <w:p w14:paraId="276F5EA3"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Vt</w:t>
            </w:r>
          </w:p>
        </w:tc>
        <w:tc>
          <w:tcPr>
            <w:tcW w:w="449" w:type="pct"/>
            <w:tcBorders>
              <w:top w:val="nil"/>
              <w:left w:val="nil"/>
              <w:bottom w:val="single" w:sz="4" w:space="0" w:color="auto"/>
              <w:right w:val="single" w:sz="4" w:space="0" w:color="auto"/>
            </w:tcBorders>
            <w:shd w:val="clear" w:color="auto" w:fill="auto"/>
            <w:noWrap/>
            <w:vAlign w:val="center"/>
            <w:hideMark/>
          </w:tcPr>
          <w:p w14:paraId="768E6D93"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62FE8612" w14:textId="77777777" w:rsidTr="003B106A">
        <w:trPr>
          <w:trHeight w:val="640"/>
        </w:trPr>
        <w:tc>
          <w:tcPr>
            <w:tcW w:w="422" w:type="pct"/>
            <w:vMerge/>
            <w:tcBorders>
              <w:top w:val="nil"/>
              <w:left w:val="single" w:sz="4" w:space="0" w:color="auto"/>
              <w:bottom w:val="single" w:sz="4" w:space="0" w:color="auto"/>
              <w:right w:val="single" w:sz="4" w:space="0" w:color="auto"/>
            </w:tcBorders>
            <w:vAlign w:val="center"/>
            <w:hideMark/>
          </w:tcPr>
          <w:p w14:paraId="398A682D"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0DCB5E2B" w14:textId="220C1AAB"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Chen (2018)</w:t>
            </w:r>
            <w:r w:rsidR="00017FF8">
              <w:rPr>
                <w:rFonts w:asciiTheme="majorHAnsi" w:eastAsia="Times New Roman" w:hAnsiTheme="majorHAnsi" w:cs="Calibri"/>
                <w:color w:val="000000"/>
                <w:kern w:val="0"/>
                <w:sz w:val="18"/>
                <w:szCs w:val="18"/>
                <w:vertAlign w:val="superscript"/>
                <w:lang w:eastAsia="en-GB"/>
                <w14:ligatures w14:val="none"/>
              </w:rPr>
              <w:t>23</w:t>
            </w:r>
          </w:p>
        </w:tc>
        <w:tc>
          <w:tcPr>
            <w:tcW w:w="536" w:type="pct"/>
            <w:tcBorders>
              <w:top w:val="nil"/>
              <w:left w:val="nil"/>
              <w:bottom w:val="single" w:sz="4" w:space="0" w:color="auto"/>
              <w:right w:val="single" w:sz="4" w:space="0" w:color="auto"/>
            </w:tcBorders>
            <w:shd w:val="clear" w:color="auto" w:fill="auto"/>
            <w:vAlign w:val="center"/>
            <w:hideMark/>
          </w:tcPr>
          <w:p w14:paraId="4DE8469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62E95783"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2CCF271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AD=10 (MCI=5, mild AD=5), HC=11</w:t>
            </w:r>
          </w:p>
        </w:tc>
        <w:tc>
          <w:tcPr>
            <w:tcW w:w="724" w:type="pct"/>
            <w:tcBorders>
              <w:top w:val="nil"/>
              <w:left w:val="nil"/>
              <w:bottom w:val="single" w:sz="4" w:space="0" w:color="auto"/>
              <w:right w:val="single" w:sz="4" w:space="0" w:color="auto"/>
            </w:tcBorders>
            <w:shd w:val="clear" w:color="auto" w:fill="auto"/>
            <w:vAlign w:val="center"/>
            <w:hideMark/>
          </w:tcPr>
          <w:p w14:paraId="221A6EED"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AD=72.7 ±6.3,, HC=72.9 ±8.7</w:t>
            </w:r>
          </w:p>
        </w:tc>
        <w:tc>
          <w:tcPr>
            <w:tcW w:w="673" w:type="pct"/>
            <w:tcBorders>
              <w:top w:val="nil"/>
              <w:left w:val="nil"/>
              <w:bottom w:val="single" w:sz="4" w:space="0" w:color="auto"/>
              <w:right w:val="single" w:sz="4" w:space="0" w:color="auto"/>
            </w:tcBorders>
            <w:shd w:val="clear" w:color="auto" w:fill="auto"/>
            <w:vAlign w:val="center"/>
            <w:hideMark/>
          </w:tcPr>
          <w:p w14:paraId="6B1E32F7" w14:textId="65DE7BA3"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hideMark/>
          </w:tcPr>
          <w:p w14:paraId="009628C4"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VT, BPND</w:t>
            </w:r>
          </w:p>
        </w:tc>
        <w:tc>
          <w:tcPr>
            <w:tcW w:w="449" w:type="pct"/>
            <w:tcBorders>
              <w:top w:val="nil"/>
              <w:left w:val="nil"/>
              <w:bottom w:val="single" w:sz="4" w:space="0" w:color="auto"/>
              <w:right w:val="single" w:sz="4" w:space="0" w:color="auto"/>
            </w:tcBorders>
            <w:shd w:val="clear" w:color="auto" w:fill="auto"/>
            <w:noWrap/>
            <w:vAlign w:val="center"/>
            <w:hideMark/>
          </w:tcPr>
          <w:p w14:paraId="1BA6A46C"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4858919E" w14:textId="77777777" w:rsidTr="003B106A">
        <w:trPr>
          <w:trHeight w:val="640"/>
        </w:trPr>
        <w:tc>
          <w:tcPr>
            <w:tcW w:w="422" w:type="pct"/>
            <w:vMerge/>
            <w:tcBorders>
              <w:top w:val="nil"/>
              <w:left w:val="single" w:sz="4" w:space="0" w:color="auto"/>
              <w:bottom w:val="single" w:sz="4" w:space="0" w:color="auto"/>
              <w:right w:val="single" w:sz="4" w:space="0" w:color="auto"/>
            </w:tcBorders>
            <w:vAlign w:val="center"/>
            <w:hideMark/>
          </w:tcPr>
          <w:p w14:paraId="596A46C7"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5D2A278B" w14:textId="6762C6CF"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Chen (2021)</w:t>
            </w:r>
            <w:r w:rsidR="00181D2E">
              <w:rPr>
                <w:rFonts w:asciiTheme="majorHAnsi" w:eastAsia="Times New Roman" w:hAnsiTheme="majorHAnsi" w:cs="Calibri"/>
                <w:color w:val="000000"/>
                <w:kern w:val="0"/>
                <w:sz w:val="18"/>
                <w:szCs w:val="18"/>
                <w:vertAlign w:val="superscript"/>
                <w:lang w:eastAsia="en-GB"/>
                <w14:ligatures w14:val="none"/>
              </w:rPr>
              <w:t>43</w:t>
            </w:r>
          </w:p>
        </w:tc>
        <w:tc>
          <w:tcPr>
            <w:tcW w:w="536" w:type="pct"/>
            <w:tcBorders>
              <w:top w:val="nil"/>
              <w:left w:val="nil"/>
              <w:bottom w:val="single" w:sz="4" w:space="0" w:color="auto"/>
              <w:right w:val="single" w:sz="4" w:space="0" w:color="auto"/>
            </w:tcBorders>
            <w:shd w:val="clear" w:color="auto" w:fill="auto"/>
            <w:vAlign w:val="center"/>
            <w:hideMark/>
          </w:tcPr>
          <w:p w14:paraId="353BE4E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55C835FF" w14:textId="37195A96"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Chen (2018</w:t>
            </w:r>
            <w:r w:rsidR="00EB57AD" w:rsidRPr="00EB57AD">
              <w:rPr>
                <w:rFonts w:asciiTheme="majorHAnsi" w:eastAsia="Times New Roman" w:hAnsiTheme="majorHAnsi" w:cs="Calibri"/>
                <w:color w:val="000000"/>
                <w:kern w:val="0"/>
                <w:sz w:val="18"/>
                <w:szCs w:val="18"/>
                <w:lang w:eastAsia="en-GB"/>
                <w14:ligatures w14:val="none"/>
              </w:rPr>
              <w:t>)</w:t>
            </w:r>
            <w:r w:rsidR="00181D2E">
              <w:rPr>
                <w:rFonts w:asciiTheme="majorHAnsi" w:eastAsia="Times New Roman" w:hAnsiTheme="majorHAnsi" w:cs="Calibri"/>
                <w:color w:val="000000"/>
                <w:kern w:val="0"/>
                <w:sz w:val="18"/>
                <w:szCs w:val="18"/>
                <w:vertAlign w:val="superscript"/>
                <w:lang w:eastAsia="en-GB"/>
                <w14:ligatures w14:val="none"/>
              </w:rPr>
              <w:t>23</w:t>
            </w:r>
            <w:r w:rsidR="00181D2E" w:rsidRPr="00383638">
              <w:rPr>
                <w:rFonts w:asciiTheme="majorHAnsi" w:eastAsia="Times New Roman" w:hAnsiTheme="majorHAnsi" w:cs="Calibri"/>
                <w:color w:val="000000"/>
                <w:kern w:val="0"/>
                <w:sz w:val="18"/>
                <w:szCs w:val="18"/>
                <w:lang w:eastAsia="en-GB"/>
                <w14:ligatures w14:val="none"/>
              </w:rPr>
              <w:t xml:space="preserve"> </w:t>
            </w:r>
          </w:p>
        </w:tc>
        <w:tc>
          <w:tcPr>
            <w:tcW w:w="673" w:type="pct"/>
            <w:tcBorders>
              <w:top w:val="nil"/>
              <w:left w:val="nil"/>
              <w:bottom w:val="single" w:sz="4" w:space="0" w:color="auto"/>
              <w:right w:val="single" w:sz="4" w:space="0" w:color="auto"/>
            </w:tcBorders>
            <w:shd w:val="clear" w:color="auto" w:fill="auto"/>
            <w:vAlign w:val="center"/>
            <w:hideMark/>
          </w:tcPr>
          <w:p w14:paraId="7CCC628E"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AD=14 (MCI=10, AD=4), HC=11</w:t>
            </w:r>
          </w:p>
        </w:tc>
        <w:tc>
          <w:tcPr>
            <w:tcW w:w="724" w:type="pct"/>
            <w:tcBorders>
              <w:top w:val="nil"/>
              <w:left w:val="nil"/>
              <w:bottom w:val="single" w:sz="4" w:space="0" w:color="auto"/>
              <w:right w:val="single" w:sz="4" w:space="0" w:color="auto"/>
            </w:tcBorders>
            <w:shd w:val="clear" w:color="auto" w:fill="auto"/>
            <w:vAlign w:val="center"/>
            <w:hideMark/>
          </w:tcPr>
          <w:p w14:paraId="1B39437D" w14:textId="77777777" w:rsidR="00296C06"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AD=69 ±5.7, </w:t>
            </w:r>
          </w:p>
          <w:p w14:paraId="47EDE981" w14:textId="0A73E588"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HC=69.4 ±9.0</w:t>
            </w:r>
          </w:p>
        </w:tc>
        <w:tc>
          <w:tcPr>
            <w:tcW w:w="673" w:type="pct"/>
            <w:tcBorders>
              <w:top w:val="nil"/>
              <w:left w:val="nil"/>
              <w:bottom w:val="single" w:sz="4" w:space="0" w:color="auto"/>
              <w:right w:val="single" w:sz="4" w:space="0" w:color="auto"/>
            </w:tcBorders>
            <w:shd w:val="clear" w:color="auto" w:fill="auto"/>
            <w:vAlign w:val="center"/>
            <w:hideMark/>
          </w:tcPr>
          <w:p w14:paraId="11B8A076" w14:textId="77777777" w:rsidR="001878CE"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t xml:space="preserve"> </w:t>
            </w:r>
          </w:p>
          <w:p w14:paraId="0D23E6BD" w14:textId="1D81A58C" w:rsidR="00383638" w:rsidRPr="00383638" w:rsidRDefault="001878CE"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[18F]-FDG</w:t>
            </w:r>
          </w:p>
        </w:tc>
        <w:tc>
          <w:tcPr>
            <w:tcW w:w="517" w:type="pct"/>
            <w:tcBorders>
              <w:top w:val="nil"/>
              <w:left w:val="nil"/>
              <w:bottom w:val="single" w:sz="4" w:space="0" w:color="auto"/>
              <w:right w:val="single" w:sz="4" w:space="0" w:color="auto"/>
            </w:tcBorders>
            <w:shd w:val="clear" w:color="auto" w:fill="auto"/>
            <w:noWrap/>
            <w:vAlign w:val="center"/>
            <w:hideMark/>
          </w:tcPr>
          <w:p w14:paraId="35579137"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DVR</w:t>
            </w:r>
          </w:p>
        </w:tc>
        <w:tc>
          <w:tcPr>
            <w:tcW w:w="449" w:type="pct"/>
            <w:tcBorders>
              <w:top w:val="nil"/>
              <w:left w:val="nil"/>
              <w:bottom w:val="single" w:sz="4" w:space="0" w:color="auto"/>
              <w:right w:val="single" w:sz="4" w:space="0" w:color="auto"/>
            </w:tcBorders>
            <w:shd w:val="clear" w:color="auto" w:fill="auto"/>
            <w:noWrap/>
            <w:vAlign w:val="center"/>
            <w:hideMark/>
          </w:tcPr>
          <w:p w14:paraId="7B6AB96D"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78AD7379" w14:textId="77777777" w:rsidTr="003B106A">
        <w:trPr>
          <w:trHeight w:val="640"/>
        </w:trPr>
        <w:tc>
          <w:tcPr>
            <w:tcW w:w="422" w:type="pct"/>
            <w:vMerge/>
            <w:tcBorders>
              <w:top w:val="nil"/>
              <w:left w:val="single" w:sz="4" w:space="0" w:color="auto"/>
              <w:bottom w:val="single" w:sz="4" w:space="0" w:color="auto"/>
              <w:right w:val="single" w:sz="4" w:space="0" w:color="auto"/>
            </w:tcBorders>
            <w:vAlign w:val="center"/>
            <w:hideMark/>
          </w:tcPr>
          <w:p w14:paraId="08D74061"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44CD84E2" w14:textId="783D38B9"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Coomans (2021)</w:t>
            </w:r>
            <w:r w:rsidR="00181D2E" w:rsidRPr="00181D2E">
              <w:rPr>
                <w:rFonts w:asciiTheme="majorHAnsi" w:eastAsia="Times New Roman" w:hAnsiTheme="majorHAnsi" w:cs="Calibri"/>
                <w:color w:val="000000"/>
                <w:kern w:val="0"/>
                <w:sz w:val="18"/>
                <w:szCs w:val="18"/>
                <w:vertAlign w:val="superscript"/>
                <w:lang w:eastAsia="en-GB"/>
                <w14:ligatures w14:val="none"/>
              </w:rPr>
              <w:t>44</w:t>
            </w:r>
          </w:p>
        </w:tc>
        <w:tc>
          <w:tcPr>
            <w:tcW w:w="536" w:type="pct"/>
            <w:tcBorders>
              <w:top w:val="nil"/>
              <w:left w:val="nil"/>
              <w:bottom w:val="single" w:sz="4" w:space="0" w:color="auto"/>
              <w:right w:val="single" w:sz="4" w:space="0" w:color="auto"/>
            </w:tcBorders>
            <w:shd w:val="clear" w:color="auto" w:fill="auto"/>
            <w:vAlign w:val="center"/>
            <w:hideMark/>
          </w:tcPr>
          <w:p w14:paraId="1B6F9C0F"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23C2A9A4"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7DF2C946"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AD=7</w:t>
            </w:r>
          </w:p>
        </w:tc>
        <w:tc>
          <w:tcPr>
            <w:tcW w:w="724" w:type="pct"/>
            <w:tcBorders>
              <w:top w:val="nil"/>
              <w:left w:val="nil"/>
              <w:bottom w:val="single" w:sz="4" w:space="0" w:color="auto"/>
              <w:right w:val="single" w:sz="4" w:space="0" w:color="auto"/>
            </w:tcBorders>
            <w:shd w:val="clear" w:color="auto" w:fill="auto"/>
            <w:vAlign w:val="center"/>
            <w:hideMark/>
          </w:tcPr>
          <w:p w14:paraId="66207452"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AD=64.3 ±8.2</w:t>
            </w:r>
          </w:p>
        </w:tc>
        <w:tc>
          <w:tcPr>
            <w:tcW w:w="673" w:type="pct"/>
            <w:tcBorders>
              <w:top w:val="nil"/>
              <w:left w:val="nil"/>
              <w:bottom w:val="single" w:sz="4" w:space="0" w:color="auto"/>
              <w:right w:val="single" w:sz="4" w:space="0" w:color="auto"/>
            </w:tcBorders>
            <w:shd w:val="clear" w:color="auto" w:fill="auto"/>
            <w:vAlign w:val="center"/>
            <w:hideMark/>
          </w:tcPr>
          <w:p w14:paraId="12B659C3" w14:textId="77777777" w:rsidR="001878CE"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t xml:space="preserve"> </w:t>
            </w:r>
          </w:p>
          <w:p w14:paraId="061B4B3A" w14:textId="72F095F9"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[18F]</w:t>
            </w:r>
            <w:r w:rsidR="00685177">
              <w:rPr>
                <w:rFonts w:asciiTheme="majorHAnsi" w:eastAsia="Times New Roman" w:hAnsiTheme="majorHAnsi" w:cs="Calibri"/>
                <w:color w:val="000000"/>
                <w:kern w:val="0"/>
                <w:sz w:val="18"/>
                <w:szCs w:val="18"/>
                <w:lang w:eastAsia="en-GB"/>
                <w14:ligatures w14:val="none"/>
              </w:rPr>
              <w:t>-</w:t>
            </w:r>
            <w:r w:rsidRPr="00383638">
              <w:rPr>
                <w:rFonts w:asciiTheme="majorHAnsi" w:eastAsia="Times New Roman" w:hAnsiTheme="majorHAnsi" w:cs="Calibri"/>
                <w:color w:val="000000"/>
                <w:kern w:val="0"/>
                <w:sz w:val="18"/>
                <w:szCs w:val="18"/>
                <w:lang w:eastAsia="en-GB"/>
                <w14:ligatures w14:val="none"/>
              </w:rPr>
              <w:t>flortaucipir</w:t>
            </w:r>
          </w:p>
        </w:tc>
        <w:tc>
          <w:tcPr>
            <w:tcW w:w="517" w:type="pct"/>
            <w:tcBorders>
              <w:top w:val="nil"/>
              <w:left w:val="nil"/>
              <w:bottom w:val="single" w:sz="4" w:space="0" w:color="auto"/>
              <w:right w:val="single" w:sz="4" w:space="0" w:color="auto"/>
            </w:tcBorders>
            <w:shd w:val="clear" w:color="auto" w:fill="auto"/>
            <w:noWrap/>
            <w:vAlign w:val="center"/>
            <w:hideMark/>
          </w:tcPr>
          <w:p w14:paraId="6021B6F3"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BPND</w:t>
            </w:r>
          </w:p>
        </w:tc>
        <w:tc>
          <w:tcPr>
            <w:tcW w:w="449" w:type="pct"/>
            <w:tcBorders>
              <w:top w:val="nil"/>
              <w:left w:val="nil"/>
              <w:bottom w:val="single" w:sz="4" w:space="0" w:color="auto"/>
              <w:right w:val="single" w:sz="4" w:space="0" w:color="auto"/>
            </w:tcBorders>
            <w:shd w:val="clear" w:color="auto" w:fill="auto"/>
            <w:noWrap/>
            <w:vAlign w:val="center"/>
            <w:hideMark/>
          </w:tcPr>
          <w:p w14:paraId="0874820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636012A4" w14:textId="77777777" w:rsidTr="003B106A">
        <w:trPr>
          <w:trHeight w:val="640"/>
        </w:trPr>
        <w:tc>
          <w:tcPr>
            <w:tcW w:w="422" w:type="pct"/>
            <w:vMerge/>
            <w:tcBorders>
              <w:top w:val="nil"/>
              <w:left w:val="single" w:sz="4" w:space="0" w:color="auto"/>
              <w:bottom w:val="single" w:sz="4" w:space="0" w:color="auto"/>
              <w:right w:val="single" w:sz="4" w:space="0" w:color="auto"/>
            </w:tcBorders>
            <w:vAlign w:val="center"/>
            <w:hideMark/>
          </w:tcPr>
          <w:p w14:paraId="3133F1DA"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30D20CA4" w14:textId="55BDB2E3"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Lu (2021)</w:t>
            </w:r>
            <w:r w:rsidR="00181D2E">
              <w:rPr>
                <w:rFonts w:asciiTheme="majorHAnsi" w:eastAsia="Times New Roman" w:hAnsiTheme="majorHAnsi" w:cs="Calibri"/>
                <w:color w:val="000000"/>
                <w:kern w:val="0"/>
                <w:sz w:val="18"/>
                <w:szCs w:val="18"/>
                <w:vertAlign w:val="superscript"/>
                <w:lang w:eastAsia="en-GB"/>
                <w14:ligatures w14:val="none"/>
              </w:rPr>
              <w:t>45</w:t>
            </w:r>
          </w:p>
        </w:tc>
        <w:tc>
          <w:tcPr>
            <w:tcW w:w="536" w:type="pct"/>
            <w:tcBorders>
              <w:top w:val="nil"/>
              <w:left w:val="nil"/>
              <w:bottom w:val="single" w:sz="4" w:space="0" w:color="auto"/>
              <w:right w:val="single" w:sz="4" w:space="0" w:color="auto"/>
            </w:tcBorders>
            <w:shd w:val="clear" w:color="auto" w:fill="auto"/>
            <w:vAlign w:val="center"/>
            <w:hideMark/>
          </w:tcPr>
          <w:p w14:paraId="053BBE42"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5FFE92D0" w14:textId="7F7A50E0"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Chen (2018</w:t>
            </w:r>
            <w:r w:rsidR="00EB57AD" w:rsidRPr="00EB57AD">
              <w:rPr>
                <w:rFonts w:asciiTheme="majorHAnsi" w:eastAsia="Times New Roman" w:hAnsiTheme="majorHAnsi" w:cs="Calibri"/>
                <w:color w:val="000000"/>
                <w:kern w:val="0"/>
                <w:sz w:val="18"/>
                <w:szCs w:val="18"/>
                <w:lang w:eastAsia="en-GB"/>
                <w14:ligatures w14:val="none"/>
              </w:rPr>
              <w:t>)</w:t>
            </w:r>
            <w:r w:rsidR="00181D2E">
              <w:rPr>
                <w:rFonts w:asciiTheme="majorHAnsi" w:eastAsia="Times New Roman" w:hAnsiTheme="majorHAnsi" w:cs="Calibri"/>
                <w:color w:val="000000"/>
                <w:kern w:val="0"/>
                <w:sz w:val="18"/>
                <w:szCs w:val="18"/>
                <w:vertAlign w:val="superscript"/>
                <w:lang w:eastAsia="en-GB"/>
                <w14:ligatures w14:val="none"/>
              </w:rPr>
              <w:t>23</w:t>
            </w:r>
          </w:p>
        </w:tc>
        <w:tc>
          <w:tcPr>
            <w:tcW w:w="673" w:type="pct"/>
            <w:tcBorders>
              <w:top w:val="nil"/>
              <w:left w:val="nil"/>
              <w:bottom w:val="single" w:sz="4" w:space="0" w:color="auto"/>
              <w:right w:val="single" w:sz="4" w:space="0" w:color="auto"/>
            </w:tcBorders>
            <w:shd w:val="clear" w:color="auto" w:fill="auto"/>
            <w:vAlign w:val="center"/>
            <w:hideMark/>
          </w:tcPr>
          <w:p w14:paraId="44530F2D"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AD=17 (dementia=6, MCI=11), HC=11</w:t>
            </w:r>
          </w:p>
        </w:tc>
        <w:tc>
          <w:tcPr>
            <w:tcW w:w="724" w:type="pct"/>
            <w:tcBorders>
              <w:top w:val="nil"/>
              <w:left w:val="nil"/>
              <w:bottom w:val="single" w:sz="4" w:space="0" w:color="auto"/>
              <w:right w:val="single" w:sz="4" w:space="0" w:color="auto"/>
            </w:tcBorders>
            <w:shd w:val="clear" w:color="auto" w:fill="auto"/>
            <w:vAlign w:val="center"/>
            <w:hideMark/>
          </w:tcPr>
          <w:p w14:paraId="417A147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between 58-82</w:t>
            </w:r>
          </w:p>
        </w:tc>
        <w:tc>
          <w:tcPr>
            <w:tcW w:w="673" w:type="pct"/>
            <w:tcBorders>
              <w:top w:val="nil"/>
              <w:left w:val="nil"/>
              <w:bottom w:val="single" w:sz="4" w:space="0" w:color="auto"/>
              <w:right w:val="single" w:sz="4" w:space="0" w:color="auto"/>
            </w:tcBorders>
            <w:shd w:val="clear" w:color="auto" w:fill="auto"/>
            <w:vAlign w:val="center"/>
            <w:hideMark/>
          </w:tcPr>
          <w:p w14:paraId="69569C71" w14:textId="77777777" w:rsidR="001878CE"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[11C]-PiB</w:t>
            </w:r>
            <w:r w:rsidR="00383638" w:rsidRPr="00383638">
              <w:rPr>
                <w:rFonts w:asciiTheme="majorHAnsi" w:eastAsia="Times New Roman" w:hAnsiTheme="majorHAnsi" w:cs="Calibri"/>
                <w:color w:val="000000"/>
                <w:kern w:val="0"/>
                <w:sz w:val="18"/>
                <w:szCs w:val="18"/>
                <w:lang w:eastAsia="en-GB"/>
                <w14:ligatures w14:val="none"/>
              </w:rPr>
              <w:t xml:space="preserve">, </w:t>
            </w:r>
          </w:p>
          <w:p w14:paraId="03707214" w14:textId="789E3B51"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hideMark/>
          </w:tcPr>
          <w:p w14:paraId="0BD51002"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Vt, BPND</w:t>
            </w:r>
          </w:p>
        </w:tc>
        <w:tc>
          <w:tcPr>
            <w:tcW w:w="449" w:type="pct"/>
            <w:tcBorders>
              <w:top w:val="nil"/>
              <w:left w:val="nil"/>
              <w:bottom w:val="single" w:sz="4" w:space="0" w:color="auto"/>
              <w:right w:val="single" w:sz="4" w:space="0" w:color="auto"/>
            </w:tcBorders>
            <w:shd w:val="clear" w:color="auto" w:fill="auto"/>
            <w:noWrap/>
            <w:vAlign w:val="center"/>
            <w:hideMark/>
          </w:tcPr>
          <w:p w14:paraId="07D3CCAF"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571285E0" w14:textId="77777777" w:rsidTr="003B106A">
        <w:trPr>
          <w:trHeight w:val="960"/>
        </w:trPr>
        <w:tc>
          <w:tcPr>
            <w:tcW w:w="422" w:type="pct"/>
            <w:vMerge/>
            <w:tcBorders>
              <w:top w:val="nil"/>
              <w:left w:val="single" w:sz="4" w:space="0" w:color="auto"/>
              <w:bottom w:val="single" w:sz="4" w:space="0" w:color="auto"/>
              <w:right w:val="single" w:sz="4" w:space="0" w:color="auto"/>
            </w:tcBorders>
            <w:vAlign w:val="center"/>
            <w:hideMark/>
          </w:tcPr>
          <w:p w14:paraId="77B7F8D6"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67D23315" w14:textId="0C9066F6"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Mecca (2020)</w:t>
            </w:r>
            <w:r w:rsidR="00181D2E">
              <w:rPr>
                <w:rFonts w:asciiTheme="majorHAnsi" w:eastAsia="Times New Roman" w:hAnsiTheme="majorHAnsi" w:cs="Calibri"/>
                <w:color w:val="000000"/>
                <w:kern w:val="0"/>
                <w:sz w:val="18"/>
                <w:szCs w:val="18"/>
                <w:vertAlign w:val="superscript"/>
                <w:lang w:eastAsia="en-GB"/>
                <w14:ligatures w14:val="none"/>
              </w:rPr>
              <w:t>27</w:t>
            </w:r>
          </w:p>
        </w:tc>
        <w:tc>
          <w:tcPr>
            <w:tcW w:w="536" w:type="pct"/>
            <w:tcBorders>
              <w:top w:val="nil"/>
              <w:left w:val="nil"/>
              <w:bottom w:val="single" w:sz="4" w:space="0" w:color="auto"/>
              <w:right w:val="single" w:sz="4" w:space="0" w:color="auto"/>
            </w:tcBorders>
            <w:shd w:val="clear" w:color="auto" w:fill="auto"/>
            <w:vAlign w:val="center"/>
            <w:hideMark/>
          </w:tcPr>
          <w:p w14:paraId="05FEAAE3"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15EE7C6B" w14:textId="63274ED6" w:rsidR="00383638" w:rsidRPr="00181D2E" w:rsidRDefault="00383638" w:rsidP="00C3185A">
            <w:pPr>
              <w:rPr>
                <w:rFonts w:asciiTheme="majorHAnsi" w:eastAsia="Times New Roman" w:hAnsiTheme="majorHAnsi" w:cs="Calibri"/>
                <w:color w:val="000000"/>
                <w:kern w:val="0"/>
                <w:sz w:val="18"/>
                <w:szCs w:val="18"/>
                <w:vertAlign w:val="superscript"/>
                <w:lang w:eastAsia="en-GB"/>
                <w14:ligatures w14:val="none"/>
              </w:rPr>
            </w:pPr>
            <w:r w:rsidRPr="00383638">
              <w:rPr>
                <w:rFonts w:asciiTheme="majorHAnsi" w:eastAsia="Times New Roman" w:hAnsiTheme="majorHAnsi" w:cs="Calibri"/>
                <w:color w:val="000000"/>
                <w:kern w:val="0"/>
                <w:sz w:val="18"/>
                <w:szCs w:val="18"/>
                <w:lang w:eastAsia="en-GB"/>
                <w14:ligatures w14:val="none"/>
              </w:rPr>
              <w:t>Chen (2018</w:t>
            </w:r>
            <w:r w:rsidR="00EB57AD" w:rsidRPr="00EB57AD">
              <w:rPr>
                <w:rFonts w:asciiTheme="majorHAnsi" w:eastAsia="Times New Roman" w:hAnsiTheme="majorHAnsi" w:cs="Calibri"/>
                <w:color w:val="000000"/>
                <w:kern w:val="0"/>
                <w:sz w:val="18"/>
                <w:szCs w:val="18"/>
                <w:lang w:eastAsia="en-GB"/>
                <w14:ligatures w14:val="none"/>
              </w:rPr>
              <w:t>)</w:t>
            </w:r>
            <w:r w:rsidR="00181D2E">
              <w:rPr>
                <w:rFonts w:asciiTheme="majorHAnsi" w:eastAsia="Times New Roman" w:hAnsiTheme="majorHAnsi" w:cs="Calibri"/>
                <w:color w:val="000000"/>
                <w:kern w:val="0"/>
                <w:sz w:val="18"/>
                <w:szCs w:val="18"/>
                <w:vertAlign w:val="superscript"/>
                <w:lang w:eastAsia="en-GB"/>
                <w14:ligatures w14:val="none"/>
              </w:rPr>
              <w:t>23</w:t>
            </w:r>
          </w:p>
        </w:tc>
        <w:tc>
          <w:tcPr>
            <w:tcW w:w="673" w:type="pct"/>
            <w:tcBorders>
              <w:top w:val="nil"/>
              <w:left w:val="nil"/>
              <w:bottom w:val="single" w:sz="4" w:space="0" w:color="auto"/>
              <w:right w:val="single" w:sz="4" w:space="0" w:color="auto"/>
            </w:tcBorders>
            <w:shd w:val="clear" w:color="auto" w:fill="auto"/>
            <w:vAlign w:val="center"/>
            <w:hideMark/>
          </w:tcPr>
          <w:p w14:paraId="7927BFF4"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Aβ+=34 (dementia=20, MCI=14), HC=19</w:t>
            </w:r>
          </w:p>
        </w:tc>
        <w:tc>
          <w:tcPr>
            <w:tcW w:w="724" w:type="pct"/>
            <w:tcBorders>
              <w:top w:val="nil"/>
              <w:left w:val="nil"/>
              <w:bottom w:val="single" w:sz="4" w:space="0" w:color="auto"/>
              <w:right w:val="single" w:sz="4" w:space="0" w:color="auto"/>
            </w:tcBorders>
            <w:shd w:val="clear" w:color="auto" w:fill="auto"/>
            <w:vAlign w:val="center"/>
            <w:hideMark/>
          </w:tcPr>
          <w:p w14:paraId="04FBDE7E"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Aβ+=71.7 ±8.2, HC=70.2 ±7.9</w:t>
            </w:r>
          </w:p>
        </w:tc>
        <w:tc>
          <w:tcPr>
            <w:tcW w:w="673" w:type="pct"/>
            <w:tcBorders>
              <w:top w:val="nil"/>
              <w:left w:val="nil"/>
              <w:bottom w:val="single" w:sz="4" w:space="0" w:color="auto"/>
              <w:right w:val="single" w:sz="4" w:space="0" w:color="auto"/>
            </w:tcBorders>
            <w:shd w:val="clear" w:color="auto" w:fill="auto"/>
            <w:vAlign w:val="center"/>
            <w:hideMark/>
          </w:tcPr>
          <w:p w14:paraId="4D933BFF" w14:textId="7497CE85"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[11C]-PiB</w:t>
            </w:r>
            <w:r w:rsidR="00383638" w:rsidRPr="00383638">
              <w:rPr>
                <w:rFonts w:asciiTheme="majorHAnsi" w:eastAsia="Times New Roman" w:hAnsiTheme="majorHAnsi" w:cs="Calibri"/>
                <w:color w:val="000000"/>
                <w:kern w:val="0"/>
                <w:sz w:val="18"/>
                <w:szCs w:val="18"/>
                <w:lang w:eastAsia="en-GB"/>
                <w14:ligatures w14:val="none"/>
              </w:rPr>
              <w:t>,</w:t>
            </w:r>
            <w:r w:rsidR="00383638" w:rsidRPr="00383638">
              <w:rPr>
                <w:rFonts w:asciiTheme="majorHAnsi" w:eastAsia="Times New Roman" w:hAnsiTheme="majorHAnsi" w:cs="Calibri"/>
                <w:color w:val="000000"/>
                <w:kern w:val="0"/>
                <w:sz w:val="18"/>
                <w:szCs w:val="18"/>
                <w:lang w:eastAsia="en-GB"/>
                <w14:ligatures w14:val="none"/>
              </w:rPr>
              <w:br/>
            </w:r>
            <w:r>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hideMark/>
          </w:tcPr>
          <w:p w14:paraId="247196A1"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BPND, DVRcs</w:t>
            </w:r>
          </w:p>
        </w:tc>
        <w:tc>
          <w:tcPr>
            <w:tcW w:w="449" w:type="pct"/>
            <w:tcBorders>
              <w:top w:val="nil"/>
              <w:left w:val="nil"/>
              <w:bottom w:val="single" w:sz="4" w:space="0" w:color="auto"/>
              <w:right w:val="single" w:sz="4" w:space="0" w:color="auto"/>
            </w:tcBorders>
            <w:shd w:val="clear" w:color="auto" w:fill="auto"/>
            <w:noWrap/>
            <w:vAlign w:val="center"/>
            <w:hideMark/>
          </w:tcPr>
          <w:p w14:paraId="34AC7508"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 CBL</w:t>
            </w:r>
          </w:p>
        </w:tc>
      </w:tr>
      <w:tr w:rsidR="003B106A" w:rsidRPr="003B106A" w14:paraId="54C510E6" w14:textId="77777777" w:rsidTr="003B106A">
        <w:trPr>
          <w:trHeight w:val="640"/>
        </w:trPr>
        <w:tc>
          <w:tcPr>
            <w:tcW w:w="422" w:type="pct"/>
            <w:vMerge/>
            <w:tcBorders>
              <w:top w:val="nil"/>
              <w:left w:val="single" w:sz="4" w:space="0" w:color="auto"/>
              <w:bottom w:val="single" w:sz="4" w:space="0" w:color="auto"/>
              <w:right w:val="single" w:sz="4" w:space="0" w:color="auto"/>
            </w:tcBorders>
            <w:vAlign w:val="center"/>
            <w:hideMark/>
          </w:tcPr>
          <w:p w14:paraId="7CA6D7A2"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27AB6C52" w14:textId="79C8A1A5"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Mecca (2022a)</w:t>
            </w:r>
            <w:r w:rsidR="00181D2E">
              <w:rPr>
                <w:rFonts w:asciiTheme="majorHAnsi" w:eastAsia="Times New Roman" w:hAnsiTheme="majorHAnsi" w:cs="Calibri"/>
                <w:color w:val="000000"/>
                <w:kern w:val="0"/>
                <w:sz w:val="18"/>
                <w:szCs w:val="18"/>
                <w:vertAlign w:val="superscript"/>
                <w:lang w:eastAsia="en-GB"/>
                <w14:ligatures w14:val="none"/>
              </w:rPr>
              <w:t>46</w:t>
            </w:r>
          </w:p>
        </w:tc>
        <w:tc>
          <w:tcPr>
            <w:tcW w:w="536" w:type="pct"/>
            <w:tcBorders>
              <w:top w:val="nil"/>
              <w:left w:val="nil"/>
              <w:bottom w:val="single" w:sz="4" w:space="0" w:color="auto"/>
              <w:right w:val="single" w:sz="4" w:space="0" w:color="auto"/>
            </w:tcBorders>
            <w:shd w:val="clear" w:color="auto" w:fill="auto"/>
            <w:vAlign w:val="center"/>
            <w:hideMark/>
          </w:tcPr>
          <w:p w14:paraId="7667530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74E98AE2" w14:textId="1A241DDC"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Chen (2018</w:t>
            </w:r>
            <w:r w:rsidR="00EB57AD" w:rsidRPr="00EB57AD">
              <w:rPr>
                <w:rFonts w:asciiTheme="majorHAnsi" w:eastAsia="Times New Roman" w:hAnsiTheme="majorHAnsi" w:cs="Calibri"/>
                <w:color w:val="000000"/>
                <w:kern w:val="0"/>
                <w:sz w:val="18"/>
                <w:szCs w:val="18"/>
                <w:lang w:eastAsia="en-GB"/>
                <w14:ligatures w14:val="none"/>
              </w:rPr>
              <w:t>)</w:t>
            </w:r>
            <w:r w:rsidR="00181D2E">
              <w:rPr>
                <w:rFonts w:asciiTheme="majorHAnsi" w:eastAsia="Times New Roman" w:hAnsiTheme="majorHAnsi" w:cs="Calibri"/>
                <w:color w:val="000000"/>
                <w:kern w:val="0"/>
                <w:sz w:val="18"/>
                <w:szCs w:val="18"/>
                <w:vertAlign w:val="superscript"/>
                <w:lang w:eastAsia="en-GB"/>
                <w14:ligatures w14:val="none"/>
              </w:rPr>
              <w:t>23</w:t>
            </w:r>
          </w:p>
        </w:tc>
        <w:tc>
          <w:tcPr>
            <w:tcW w:w="673" w:type="pct"/>
            <w:tcBorders>
              <w:top w:val="nil"/>
              <w:left w:val="nil"/>
              <w:bottom w:val="single" w:sz="4" w:space="0" w:color="auto"/>
              <w:right w:val="single" w:sz="4" w:space="0" w:color="auto"/>
            </w:tcBorders>
            <w:shd w:val="clear" w:color="auto" w:fill="auto"/>
            <w:vAlign w:val="center"/>
            <w:hideMark/>
          </w:tcPr>
          <w:p w14:paraId="3E8201A7"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AD=10 (dementia=5, MCI=5), HC=10</w:t>
            </w:r>
          </w:p>
        </w:tc>
        <w:tc>
          <w:tcPr>
            <w:tcW w:w="724" w:type="pct"/>
            <w:tcBorders>
              <w:top w:val="nil"/>
              <w:left w:val="nil"/>
              <w:bottom w:val="single" w:sz="4" w:space="0" w:color="auto"/>
              <w:right w:val="single" w:sz="4" w:space="0" w:color="auto"/>
            </w:tcBorders>
            <w:shd w:val="clear" w:color="auto" w:fill="auto"/>
            <w:vAlign w:val="center"/>
            <w:hideMark/>
          </w:tcPr>
          <w:p w14:paraId="433508D1" w14:textId="77777777" w:rsidR="00296C06"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AD=72.1 ±7.9, </w:t>
            </w:r>
          </w:p>
          <w:p w14:paraId="1C863FC2" w14:textId="7EDEC4E9"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HC=68.8 ±6.6</w:t>
            </w:r>
          </w:p>
        </w:tc>
        <w:tc>
          <w:tcPr>
            <w:tcW w:w="673" w:type="pct"/>
            <w:tcBorders>
              <w:top w:val="nil"/>
              <w:left w:val="nil"/>
              <w:bottom w:val="single" w:sz="4" w:space="0" w:color="auto"/>
              <w:right w:val="single" w:sz="4" w:space="0" w:color="auto"/>
            </w:tcBorders>
            <w:shd w:val="clear" w:color="auto" w:fill="auto"/>
            <w:vAlign w:val="center"/>
            <w:hideMark/>
          </w:tcPr>
          <w:p w14:paraId="6E35B9F5" w14:textId="77777777" w:rsidR="001878CE"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t xml:space="preserve"> </w:t>
            </w:r>
          </w:p>
          <w:p w14:paraId="6548B204" w14:textId="3ABC8B38"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w:t>
            </w:r>
            <w:r w:rsidR="00383638" w:rsidRPr="00383638">
              <w:rPr>
                <w:rFonts w:asciiTheme="majorHAnsi" w:eastAsia="Times New Roman" w:hAnsiTheme="majorHAnsi" w:cs="Calibri"/>
                <w:color w:val="000000"/>
                <w:kern w:val="0"/>
                <w:sz w:val="18"/>
                <w:szCs w:val="18"/>
                <w:lang w:eastAsia="en-GB"/>
                <w14:ligatures w14:val="none"/>
              </w:rPr>
              <w:t>18F</w:t>
            </w:r>
            <w:r>
              <w:rPr>
                <w:rFonts w:asciiTheme="majorHAnsi" w:eastAsia="Times New Roman" w:hAnsiTheme="majorHAnsi" w:cs="Calibri"/>
                <w:color w:val="000000"/>
                <w:kern w:val="0"/>
                <w:sz w:val="18"/>
                <w:szCs w:val="18"/>
                <w:lang w:eastAsia="en-GB"/>
                <w14:ligatures w14:val="none"/>
              </w:rPr>
              <w:t>]</w:t>
            </w:r>
            <w:r w:rsidR="00383638" w:rsidRPr="00383638">
              <w:rPr>
                <w:rFonts w:asciiTheme="majorHAnsi" w:eastAsia="Times New Roman" w:hAnsiTheme="majorHAnsi" w:cs="Calibri"/>
                <w:color w:val="000000"/>
                <w:kern w:val="0"/>
                <w:sz w:val="18"/>
                <w:szCs w:val="18"/>
                <w:lang w:eastAsia="en-GB"/>
                <w14:ligatures w14:val="none"/>
              </w:rPr>
              <w:t>-flortaucipir</w:t>
            </w:r>
          </w:p>
        </w:tc>
        <w:tc>
          <w:tcPr>
            <w:tcW w:w="517" w:type="pct"/>
            <w:tcBorders>
              <w:top w:val="nil"/>
              <w:left w:val="nil"/>
              <w:bottom w:val="single" w:sz="4" w:space="0" w:color="auto"/>
              <w:right w:val="single" w:sz="4" w:space="0" w:color="auto"/>
            </w:tcBorders>
            <w:shd w:val="clear" w:color="auto" w:fill="auto"/>
            <w:noWrap/>
            <w:vAlign w:val="center"/>
            <w:hideMark/>
          </w:tcPr>
          <w:p w14:paraId="30E23AA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DVR</w:t>
            </w:r>
          </w:p>
        </w:tc>
        <w:tc>
          <w:tcPr>
            <w:tcW w:w="449" w:type="pct"/>
            <w:tcBorders>
              <w:top w:val="nil"/>
              <w:left w:val="nil"/>
              <w:bottom w:val="single" w:sz="4" w:space="0" w:color="auto"/>
              <w:right w:val="single" w:sz="4" w:space="0" w:color="auto"/>
            </w:tcBorders>
            <w:shd w:val="clear" w:color="auto" w:fill="auto"/>
            <w:noWrap/>
            <w:vAlign w:val="center"/>
            <w:hideMark/>
          </w:tcPr>
          <w:p w14:paraId="71F16538"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 CBL</w:t>
            </w:r>
          </w:p>
        </w:tc>
      </w:tr>
      <w:tr w:rsidR="003B106A" w:rsidRPr="003B106A" w14:paraId="7CF44669" w14:textId="77777777" w:rsidTr="003B106A">
        <w:trPr>
          <w:trHeight w:val="640"/>
        </w:trPr>
        <w:tc>
          <w:tcPr>
            <w:tcW w:w="422" w:type="pct"/>
            <w:vMerge/>
            <w:tcBorders>
              <w:top w:val="nil"/>
              <w:left w:val="single" w:sz="4" w:space="0" w:color="auto"/>
              <w:bottom w:val="single" w:sz="4" w:space="0" w:color="auto"/>
              <w:right w:val="single" w:sz="4" w:space="0" w:color="auto"/>
            </w:tcBorders>
            <w:vAlign w:val="center"/>
            <w:hideMark/>
          </w:tcPr>
          <w:p w14:paraId="272635A0"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7FE40E71" w14:textId="29CC42B1"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Mecca (2022b)</w:t>
            </w:r>
            <w:r w:rsidR="00181D2E">
              <w:rPr>
                <w:rFonts w:asciiTheme="majorHAnsi" w:eastAsia="Times New Roman" w:hAnsiTheme="majorHAnsi" w:cs="Calibri"/>
                <w:b/>
                <w:bCs/>
                <w:color w:val="000000"/>
                <w:kern w:val="0"/>
                <w:sz w:val="18"/>
                <w:szCs w:val="18"/>
                <w:vertAlign w:val="superscript"/>
                <w:lang w:eastAsia="en-GB"/>
                <w14:ligatures w14:val="none"/>
              </w:rPr>
              <w:t>47</w:t>
            </w:r>
          </w:p>
        </w:tc>
        <w:tc>
          <w:tcPr>
            <w:tcW w:w="536" w:type="pct"/>
            <w:tcBorders>
              <w:top w:val="nil"/>
              <w:left w:val="nil"/>
              <w:bottom w:val="single" w:sz="4" w:space="0" w:color="auto"/>
              <w:right w:val="single" w:sz="4" w:space="0" w:color="auto"/>
            </w:tcBorders>
            <w:shd w:val="clear" w:color="auto" w:fill="auto"/>
            <w:vAlign w:val="center"/>
            <w:hideMark/>
          </w:tcPr>
          <w:p w14:paraId="6B0B04A7"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20BE6166" w14:textId="2C9D58A5"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Chen (2018</w:t>
            </w:r>
            <w:r w:rsidR="00EB57AD" w:rsidRPr="00EB57AD">
              <w:rPr>
                <w:rFonts w:asciiTheme="majorHAnsi" w:eastAsia="Times New Roman" w:hAnsiTheme="majorHAnsi" w:cs="Calibri"/>
                <w:color w:val="000000"/>
                <w:kern w:val="0"/>
                <w:sz w:val="18"/>
                <w:szCs w:val="18"/>
                <w:lang w:eastAsia="en-GB"/>
                <w14:ligatures w14:val="none"/>
              </w:rPr>
              <w:t>)</w:t>
            </w:r>
            <w:r w:rsidR="00181D2E">
              <w:rPr>
                <w:rFonts w:asciiTheme="majorHAnsi" w:eastAsia="Times New Roman" w:hAnsiTheme="majorHAnsi" w:cs="Calibri"/>
                <w:color w:val="000000"/>
                <w:kern w:val="0"/>
                <w:sz w:val="18"/>
                <w:szCs w:val="18"/>
                <w:vertAlign w:val="superscript"/>
                <w:lang w:eastAsia="en-GB"/>
                <w14:ligatures w14:val="none"/>
              </w:rPr>
              <w:t>23</w:t>
            </w:r>
          </w:p>
        </w:tc>
        <w:tc>
          <w:tcPr>
            <w:tcW w:w="673" w:type="pct"/>
            <w:tcBorders>
              <w:top w:val="nil"/>
              <w:left w:val="nil"/>
              <w:bottom w:val="single" w:sz="4" w:space="0" w:color="auto"/>
              <w:right w:val="single" w:sz="4" w:space="0" w:color="auto"/>
            </w:tcBorders>
            <w:shd w:val="clear" w:color="auto" w:fill="auto"/>
            <w:vAlign w:val="center"/>
            <w:hideMark/>
          </w:tcPr>
          <w:p w14:paraId="42AB3ABB"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AD=45 (dementia=28, MCI=17),HC=19</w:t>
            </w:r>
          </w:p>
        </w:tc>
        <w:tc>
          <w:tcPr>
            <w:tcW w:w="724" w:type="pct"/>
            <w:tcBorders>
              <w:top w:val="nil"/>
              <w:left w:val="nil"/>
              <w:bottom w:val="single" w:sz="4" w:space="0" w:color="auto"/>
              <w:right w:val="single" w:sz="4" w:space="0" w:color="auto"/>
            </w:tcBorders>
            <w:shd w:val="clear" w:color="auto" w:fill="auto"/>
            <w:vAlign w:val="center"/>
            <w:hideMark/>
          </w:tcPr>
          <w:p w14:paraId="3DF8E602"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AD=70.82 ±7.48, HC=70.84 ±7.78</w:t>
            </w:r>
          </w:p>
        </w:tc>
        <w:tc>
          <w:tcPr>
            <w:tcW w:w="673" w:type="pct"/>
            <w:tcBorders>
              <w:top w:val="nil"/>
              <w:left w:val="nil"/>
              <w:bottom w:val="single" w:sz="4" w:space="0" w:color="auto"/>
              <w:right w:val="single" w:sz="4" w:space="0" w:color="auto"/>
            </w:tcBorders>
            <w:shd w:val="clear" w:color="auto" w:fill="auto"/>
            <w:vAlign w:val="center"/>
            <w:hideMark/>
          </w:tcPr>
          <w:p w14:paraId="109CBEE9" w14:textId="26E91423"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hideMark/>
          </w:tcPr>
          <w:p w14:paraId="68549E8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DVR</w:t>
            </w:r>
          </w:p>
        </w:tc>
        <w:tc>
          <w:tcPr>
            <w:tcW w:w="449" w:type="pct"/>
            <w:tcBorders>
              <w:top w:val="nil"/>
              <w:left w:val="nil"/>
              <w:bottom w:val="single" w:sz="4" w:space="0" w:color="auto"/>
              <w:right w:val="single" w:sz="4" w:space="0" w:color="auto"/>
            </w:tcBorders>
            <w:shd w:val="clear" w:color="auto" w:fill="auto"/>
            <w:noWrap/>
            <w:vAlign w:val="center"/>
            <w:hideMark/>
          </w:tcPr>
          <w:p w14:paraId="115174A3"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68195F5F" w14:textId="77777777" w:rsidTr="003B106A">
        <w:trPr>
          <w:trHeight w:val="640"/>
        </w:trPr>
        <w:tc>
          <w:tcPr>
            <w:tcW w:w="422" w:type="pct"/>
            <w:vMerge/>
            <w:tcBorders>
              <w:top w:val="nil"/>
              <w:left w:val="single" w:sz="4" w:space="0" w:color="auto"/>
              <w:bottom w:val="single" w:sz="4" w:space="0" w:color="auto"/>
              <w:right w:val="single" w:sz="4" w:space="0" w:color="auto"/>
            </w:tcBorders>
            <w:vAlign w:val="center"/>
            <w:hideMark/>
          </w:tcPr>
          <w:p w14:paraId="423E2900"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65B7AC68" w14:textId="34F024EC"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Moallemian (2023)</w:t>
            </w:r>
            <w:r w:rsidR="00181D2E">
              <w:rPr>
                <w:rFonts w:asciiTheme="majorHAnsi" w:eastAsia="Times New Roman" w:hAnsiTheme="majorHAnsi" w:cs="Calibri"/>
                <w:color w:val="000000"/>
                <w:kern w:val="0"/>
                <w:sz w:val="18"/>
                <w:szCs w:val="18"/>
                <w:vertAlign w:val="superscript"/>
                <w:lang w:eastAsia="en-GB"/>
                <w14:ligatures w14:val="none"/>
              </w:rPr>
              <w:t>48</w:t>
            </w:r>
          </w:p>
        </w:tc>
        <w:tc>
          <w:tcPr>
            <w:tcW w:w="536" w:type="pct"/>
            <w:tcBorders>
              <w:top w:val="nil"/>
              <w:left w:val="nil"/>
              <w:bottom w:val="single" w:sz="4" w:space="0" w:color="auto"/>
              <w:right w:val="single" w:sz="4" w:space="0" w:color="auto"/>
            </w:tcBorders>
            <w:shd w:val="clear" w:color="auto" w:fill="auto"/>
            <w:vAlign w:val="center"/>
            <w:hideMark/>
          </w:tcPr>
          <w:p w14:paraId="525DEF97"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78BD5D93" w14:textId="1A0B0FBA"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Bastin (2020</w:t>
            </w:r>
            <w:r w:rsidR="00EB57AD" w:rsidRPr="00EB57AD">
              <w:rPr>
                <w:rFonts w:asciiTheme="majorHAnsi" w:eastAsia="Times New Roman" w:hAnsiTheme="majorHAnsi" w:cs="Calibri"/>
                <w:color w:val="000000"/>
                <w:kern w:val="0"/>
                <w:sz w:val="18"/>
                <w:szCs w:val="18"/>
                <w:lang w:eastAsia="en-GB"/>
                <w14:ligatures w14:val="none"/>
              </w:rPr>
              <w:t>)</w:t>
            </w:r>
            <w:r w:rsidR="00181D2E">
              <w:rPr>
                <w:rFonts w:asciiTheme="majorHAnsi" w:eastAsia="Times New Roman" w:hAnsiTheme="majorHAnsi" w:cs="Calibri"/>
                <w:color w:val="000000"/>
                <w:kern w:val="0"/>
                <w:sz w:val="18"/>
                <w:szCs w:val="18"/>
                <w:vertAlign w:val="superscript"/>
                <w:lang w:eastAsia="en-GB"/>
                <w14:ligatures w14:val="none"/>
              </w:rPr>
              <w:t>42</w:t>
            </w:r>
          </w:p>
        </w:tc>
        <w:tc>
          <w:tcPr>
            <w:tcW w:w="673" w:type="pct"/>
            <w:tcBorders>
              <w:top w:val="nil"/>
              <w:left w:val="nil"/>
              <w:bottom w:val="single" w:sz="4" w:space="0" w:color="auto"/>
              <w:right w:val="single" w:sz="4" w:space="0" w:color="auto"/>
            </w:tcBorders>
            <w:shd w:val="clear" w:color="auto" w:fill="auto"/>
            <w:vAlign w:val="center"/>
            <w:hideMark/>
          </w:tcPr>
          <w:p w14:paraId="13BBDBEC"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AD=24, HC=19</w:t>
            </w:r>
          </w:p>
        </w:tc>
        <w:tc>
          <w:tcPr>
            <w:tcW w:w="724" w:type="pct"/>
            <w:tcBorders>
              <w:top w:val="nil"/>
              <w:left w:val="nil"/>
              <w:bottom w:val="single" w:sz="4" w:space="0" w:color="auto"/>
              <w:right w:val="single" w:sz="4" w:space="0" w:color="auto"/>
            </w:tcBorders>
            <w:shd w:val="clear" w:color="auto" w:fill="auto"/>
            <w:vAlign w:val="center"/>
            <w:hideMark/>
          </w:tcPr>
          <w:p w14:paraId="28F0A874"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AD=73.08 ±8.07, HC=71.95 ±4.58</w:t>
            </w:r>
          </w:p>
        </w:tc>
        <w:tc>
          <w:tcPr>
            <w:tcW w:w="673" w:type="pct"/>
            <w:tcBorders>
              <w:top w:val="nil"/>
              <w:left w:val="nil"/>
              <w:bottom w:val="single" w:sz="4" w:space="0" w:color="auto"/>
              <w:right w:val="single" w:sz="4" w:space="0" w:color="auto"/>
            </w:tcBorders>
            <w:shd w:val="clear" w:color="auto" w:fill="auto"/>
            <w:vAlign w:val="center"/>
            <w:hideMark/>
          </w:tcPr>
          <w:p w14:paraId="337B3B10" w14:textId="1B3651E6"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[18F]-UCB-H</w:t>
            </w:r>
          </w:p>
        </w:tc>
        <w:tc>
          <w:tcPr>
            <w:tcW w:w="517" w:type="pct"/>
            <w:tcBorders>
              <w:top w:val="nil"/>
              <w:left w:val="nil"/>
              <w:bottom w:val="single" w:sz="4" w:space="0" w:color="auto"/>
              <w:right w:val="single" w:sz="4" w:space="0" w:color="auto"/>
            </w:tcBorders>
            <w:shd w:val="clear" w:color="auto" w:fill="auto"/>
            <w:noWrap/>
            <w:vAlign w:val="center"/>
            <w:hideMark/>
          </w:tcPr>
          <w:p w14:paraId="1995B53F"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Vt</w:t>
            </w:r>
          </w:p>
        </w:tc>
        <w:tc>
          <w:tcPr>
            <w:tcW w:w="449" w:type="pct"/>
            <w:tcBorders>
              <w:top w:val="nil"/>
              <w:left w:val="nil"/>
              <w:bottom w:val="single" w:sz="4" w:space="0" w:color="auto"/>
              <w:right w:val="single" w:sz="4" w:space="0" w:color="auto"/>
            </w:tcBorders>
            <w:shd w:val="clear" w:color="auto" w:fill="auto"/>
            <w:noWrap/>
            <w:vAlign w:val="center"/>
            <w:hideMark/>
          </w:tcPr>
          <w:p w14:paraId="1F5702F6"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w:t>
            </w:r>
          </w:p>
        </w:tc>
      </w:tr>
      <w:tr w:rsidR="003B106A" w:rsidRPr="003B106A" w14:paraId="26A98C06" w14:textId="77777777" w:rsidTr="003B106A">
        <w:trPr>
          <w:trHeight w:val="960"/>
        </w:trPr>
        <w:tc>
          <w:tcPr>
            <w:tcW w:w="422" w:type="pct"/>
            <w:vMerge/>
            <w:tcBorders>
              <w:top w:val="nil"/>
              <w:left w:val="single" w:sz="4" w:space="0" w:color="auto"/>
              <w:bottom w:val="single" w:sz="4" w:space="0" w:color="auto"/>
              <w:right w:val="single" w:sz="4" w:space="0" w:color="auto"/>
            </w:tcBorders>
            <w:vAlign w:val="center"/>
            <w:hideMark/>
          </w:tcPr>
          <w:p w14:paraId="306CAEB5"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54771E82" w14:textId="20745B3D"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O’Dell (2021)</w:t>
            </w:r>
            <w:r w:rsidR="00181D2E">
              <w:rPr>
                <w:rFonts w:asciiTheme="majorHAnsi" w:eastAsia="Times New Roman" w:hAnsiTheme="majorHAnsi" w:cs="Calibri"/>
                <w:color w:val="000000"/>
                <w:kern w:val="0"/>
                <w:sz w:val="18"/>
                <w:szCs w:val="18"/>
                <w:vertAlign w:val="superscript"/>
                <w:lang w:eastAsia="en-GB"/>
                <w14:ligatures w14:val="none"/>
              </w:rPr>
              <w:t>49</w:t>
            </w:r>
          </w:p>
        </w:tc>
        <w:tc>
          <w:tcPr>
            <w:tcW w:w="536" w:type="pct"/>
            <w:tcBorders>
              <w:top w:val="nil"/>
              <w:left w:val="nil"/>
              <w:bottom w:val="single" w:sz="4" w:space="0" w:color="auto"/>
              <w:right w:val="single" w:sz="4" w:space="0" w:color="auto"/>
            </w:tcBorders>
            <w:shd w:val="clear" w:color="auto" w:fill="auto"/>
            <w:vAlign w:val="center"/>
            <w:hideMark/>
          </w:tcPr>
          <w:p w14:paraId="78DA496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693DD425" w14:textId="09CCE96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Chen (2018</w:t>
            </w:r>
            <w:r w:rsidR="00EB57AD" w:rsidRPr="00EB57AD">
              <w:rPr>
                <w:rFonts w:asciiTheme="majorHAnsi" w:eastAsia="Times New Roman" w:hAnsiTheme="majorHAnsi" w:cs="Calibri"/>
                <w:color w:val="000000"/>
                <w:kern w:val="0"/>
                <w:sz w:val="18"/>
                <w:szCs w:val="18"/>
                <w:lang w:eastAsia="en-GB"/>
                <w14:ligatures w14:val="none"/>
              </w:rPr>
              <w:t>)</w:t>
            </w:r>
            <w:r w:rsidR="00181D2E">
              <w:rPr>
                <w:rFonts w:asciiTheme="majorHAnsi" w:eastAsia="Times New Roman" w:hAnsiTheme="majorHAnsi" w:cs="Calibri"/>
                <w:color w:val="000000"/>
                <w:kern w:val="0"/>
                <w:sz w:val="18"/>
                <w:szCs w:val="18"/>
                <w:vertAlign w:val="superscript"/>
                <w:lang w:eastAsia="en-GB"/>
                <w14:ligatures w14:val="none"/>
              </w:rPr>
              <w:t>23</w:t>
            </w:r>
          </w:p>
        </w:tc>
        <w:tc>
          <w:tcPr>
            <w:tcW w:w="673" w:type="pct"/>
            <w:tcBorders>
              <w:top w:val="nil"/>
              <w:left w:val="nil"/>
              <w:bottom w:val="single" w:sz="4" w:space="0" w:color="auto"/>
              <w:right w:val="single" w:sz="4" w:space="0" w:color="auto"/>
            </w:tcBorders>
            <w:shd w:val="clear" w:color="auto" w:fill="auto"/>
            <w:vAlign w:val="center"/>
            <w:hideMark/>
          </w:tcPr>
          <w:p w14:paraId="04007B6B"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MCI=14, AD=24, HC=19</w:t>
            </w:r>
          </w:p>
        </w:tc>
        <w:tc>
          <w:tcPr>
            <w:tcW w:w="724" w:type="pct"/>
            <w:tcBorders>
              <w:top w:val="nil"/>
              <w:left w:val="nil"/>
              <w:bottom w:val="single" w:sz="4" w:space="0" w:color="auto"/>
              <w:right w:val="single" w:sz="4" w:space="0" w:color="auto"/>
            </w:tcBorders>
            <w:shd w:val="clear" w:color="auto" w:fill="auto"/>
            <w:vAlign w:val="center"/>
            <w:hideMark/>
          </w:tcPr>
          <w:p w14:paraId="6E5C3E44" w14:textId="77777777" w:rsidR="00296C06"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MCI=71.6 ±4.2, AD=69.9 ±9.2, </w:t>
            </w:r>
          </w:p>
          <w:p w14:paraId="218B6189" w14:textId="64A02299"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HC=71.5 ±7.6</w:t>
            </w:r>
          </w:p>
        </w:tc>
        <w:tc>
          <w:tcPr>
            <w:tcW w:w="673" w:type="pct"/>
            <w:tcBorders>
              <w:top w:val="nil"/>
              <w:left w:val="nil"/>
              <w:bottom w:val="single" w:sz="4" w:space="0" w:color="auto"/>
              <w:right w:val="single" w:sz="4" w:space="0" w:color="auto"/>
            </w:tcBorders>
            <w:shd w:val="clear" w:color="auto" w:fill="auto"/>
            <w:vAlign w:val="center"/>
            <w:hideMark/>
          </w:tcPr>
          <w:p w14:paraId="15EF008E" w14:textId="77777777" w:rsidR="001878CE"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t xml:space="preserve"> </w:t>
            </w:r>
          </w:p>
          <w:p w14:paraId="7B2977F1" w14:textId="0CF50CAC"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[11C]-PiB</w:t>
            </w:r>
          </w:p>
        </w:tc>
        <w:tc>
          <w:tcPr>
            <w:tcW w:w="517" w:type="pct"/>
            <w:tcBorders>
              <w:top w:val="nil"/>
              <w:left w:val="nil"/>
              <w:bottom w:val="single" w:sz="4" w:space="0" w:color="auto"/>
              <w:right w:val="single" w:sz="4" w:space="0" w:color="auto"/>
            </w:tcBorders>
            <w:shd w:val="clear" w:color="auto" w:fill="auto"/>
            <w:noWrap/>
            <w:vAlign w:val="center"/>
            <w:hideMark/>
          </w:tcPr>
          <w:p w14:paraId="00EB5B14"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DVR</w:t>
            </w:r>
          </w:p>
        </w:tc>
        <w:tc>
          <w:tcPr>
            <w:tcW w:w="449" w:type="pct"/>
            <w:tcBorders>
              <w:top w:val="nil"/>
              <w:left w:val="nil"/>
              <w:bottom w:val="single" w:sz="4" w:space="0" w:color="auto"/>
              <w:right w:val="single" w:sz="4" w:space="0" w:color="auto"/>
            </w:tcBorders>
            <w:shd w:val="clear" w:color="auto" w:fill="auto"/>
            <w:noWrap/>
            <w:vAlign w:val="center"/>
            <w:hideMark/>
          </w:tcPr>
          <w:p w14:paraId="6011D1C6"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CBL</w:t>
            </w:r>
          </w:p>
        </w:tc>
      </w:tr>
      <w:tr w:rsidR="003B106A" w:rsidRPr="003B106A" w14:paraId="1101BC73" w14:textId="77777777" w:rsidTr="003B106A">
        <w:trPr>
          <w:trHeight w:val="960"/>
        </w:trPr>
        <w:tc>
          <w:tcPr>
            <w:tcW w:w="422" w:type="pct"/>
            <w:vMerge/>
            <w:tcBorders>
              <w:top w:val="nil"/>
              <w:left w:val="single" w:sz="4" w:space="0" w:color="auto"/>
              <w:bottom w:val="single" w:sz="4" w:space="0" w:color="auto"/>
              <w:right w:val="single" w:sz="4" w:space="0" w:color="auto"/>
            </w:tcBorders>
            <w:vAlign w:val="center"/>
            <w:hideMark/>
          </w:tcPr>
          <w:p w14:paraId="516D811E"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70FF4BEA" w14:textId="08950C60"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O’Dell (2023)</w:t>
            </w:r>
            <w:r w:rsidR="00181D2E">
              <w:rPr>
                <w:rFonts w:asciiTheme="majorHAnsi" w:eastAsia="Times New Roman" w:hAnsiTheme="majorHAnsi" w:cs="Calibri"/>
                <w:color w:val="000000"/>
                <w:kern w:val="0"/>
                <w:sz w:val="18"/>
                <w:szCs w:val="18"/>
                <w:vertAlign w:val="superscript"/>
                <w:lang w:eastAsia="en-GB"/>
                <w14:ligatures w14:val="none"/>
              </w:rPr>
              <w:t>50</w:t>
            </w:r>
          </w:p>
        </w:tc>
        <w:tc>
          <w:tcPr>
            <w:tcW w:w="536" w:type="pct"/>
            <w:tcBorders>
              <w:top w:val="nil"/>
              <w:left w:val="nil"/>
              <w:bottom w:val="single" w:sz="4" w:space="0" w:color="auto"/>
              <w:right w:val="single" w:sz="4" w:space="0" w:color="auto"/>
            </w:tcBorders>
            <w:shd w:val="clear" w:color="auto" w:fill="auto"/>
            <w:vAlign w:val="center"/>
            <w:hideMark/>
          </w:tcPr>
          <w:p w14:paraId="0D103F0E"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434FB6E8" w14:textId="3099A91A"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Chen (2018</w:t>
            </w:r>
            <w:r w:rsidR="00EB57AD" w:rsidRPr="00EB57AD">
              <w:rPr>
                <w:rFonts w:asciiTheme="majorHAnsi" w:eastAsia="Times New Roman" w:hAnsiTheme="majorHAnsi" w:cs="Calibri"/>
                <w:color w:val="000000"/>
                <w:kern w:val="0"/>
                <w:sz w:val="18"/>
                <w:szCs w:val="18"/>
                <w:lang w:eastAsia="en-GB"/>
                <w14:ligatures w14:val="none"/>
              </w:rPr>
              <w:t>)</w:t>
            </w:r>
            <w:r w:rsidR="00181D2E">
              <w:rPr>
                <w:rFonts w:asciiTheme="majorHAnsi" w:eastAsia="Times New Roman" w:hAnsiTheme="majorHAnsi" w:cs="Calibri"/>
                <w:color w:val="000000"/>
                <w:kern w:val="0"/>
                <w:sz w:val="18"/>
                <w:szCs w:val="18"/>
                <w:vertAlign w:val="superscript"/>
                <w:lang w:eastAsia="en-GB"/>
                <w14:ligatures w14:val="none"/>
              </w:rPr>
              <w:t>23</w:t>
            </w:r>
          </w:p>
        </w:tc>
        <w:tc>
          <w:tcPr>
            <w:tcW w:w="673" w:type="pct"/>
            <w:tcBorders>
              <w:top w:val="nil"/>
              <w:left w:val="nil"/>
              <w:bottom w:val="single" w:sz="4" w:space="0" w:color="auto"/>
              <w:right w:val="single" w:sz="4" w:space="0" w:color="auto"/>
            </w:tcBorders>
            <w:shd w:val="clear" w:color="auto" w:fill="auto"/>
            <w:vAlign w:val="center"/>
            <w:hideMark/>
          </w:tcPr>
          <w:p w14:paraId="6428AC4F"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HC=18, AD=45 (MCI=17, dementia=28)</w:t>
            </w:r>
          </w:p>
        </w:tc>
        <w:tc>
          <w:tcPr>
            <w:tcW w:w="724" w:type="pct"/>
            <w:tcBorders>
              <w:top w:val="nil"/>
              <w:left w:val="nil"/>
              <w:bottom w:val="single" w:sz="4" w:space="0" w:color="auto"/>
              <w:right w:val="single" w:sz="4" w:space="0" w:color="auto"/>
            </w:tcBorders>
            <w:shd w:val="clear" w:color="auto" w:fill="auto"/>
            <w:vAlign w:val="center"/>
            <w:hideMark/>
          </w:tcPr>
          <w:p w14:paraId="6450C6A6" w14:textId="77777777" w:rsidR="00296C06"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HC=70.8 ±7.8, </w:t>
            </w:r>
          </w:p>
          <w:p w14:paraId="07673E3A" w14:textId="63CDAC1D"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AD=70.8 ±7.5</w:t>
            </w:r>
          </w:p>
        </w:tc>
        <w:tc>
          <w:tcPr>
            <w:tcW w:w="673" w:type="pct"/>
            <w:tcBorders>
              <w:top w:val="nil"/>
              <w:left w:val="nil"/>
              <w:bottom w:val="single" w:sz="4" w:space="0" w:color="auto"/>
              <w:right w:val="single" w:sz="4" w:space="0" w:color="auto"/>
            </w:tcBorders>
            <w:shd w:val="clear" w:color="auto" w:fill="auto"/>
            <w:vAlign w:val="center"/>
            <w:hideMark/>
          </w:tcPr>
          <w:p w14:paraId="30584290" w14:textId="77777777" w:rsidR="001878CE"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t xml:space="preserve"> </w:t>
            </w:r>
          </w:p>
          <w:p w14:paraId="1ECADD49" w14:textId="3B1BB0BE"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[11C]-PiB</w:t>
            </w:r>
          </w:p>
        </w:tc>
        <w:tc>
          <w:tcPr>
            <w:tcW w:w="517" w:type="pct"/>
            <w:tcBorders>
              <w:top w:val="nil"/>
              <w:left w:val="nil"/>
              <w:bottom w:val="single" w:sz="4" w:space="0" w:color="auto"/>
              <w:right w:val="single" w:sz="4" w:space="0" w:color="auto"/>
            </w:tcBorders>
            <w:shd w:val="clear" w:color="auto" w:fill="auto"/>
            <w:noWrap/>
            <w:vAlign w:val="center"/>
            <w:hideMark/>
          </w:tcPr>
          <w:p w14:paraId="6798056B"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DVR</w:t>
            </w:r>
          </w:p>
        </w:tc>
        <w:tc>
          <w:tcPr>
            <w:tcW w:w="449" w:type="pct"/>
            <w:tcBorders>
              <w:top w:val="nil"/>
              <w:left w:val="nil"/>
              <w:bottom w:val="single" w:sz="4" w:space="0" w:color="auto"/>
              <w:right w:val="single" w:sz="4" w:space="0" w:color="auto"/>
            </w:tcBorders>
            <w:shd w:val="clear" w:color="auto" w:fill="auto"/>
            <w:noWrap/>
            <w:vAlign w:val="center"/>
            <w:hideMark/>
          </w:tcPr>
          <w:p w14:paraId="4E14DA26"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CBL</w:t>
            </w:r>
          </w:p>
        </w:tc>
      </w:tr>
      <w:tr w:rsidR="00011589" w:rsidRPr="003B106A" w14:paraId="37624F3E" w14:textId="77777777" w:rsidTr="003B106A">
        <w:trPr>
          <w:trHeight w:val="640"/>
        </w:trPr>
        <w:tc>
          <w:tcPr>
            <w:tcW w:w="422" w:type="pct"/>
            <w:vMerge/>
            <w:tcBorders>
              <w:top w:val="nil"/>
              <w:left w:val="single" w:sz="4" w:space="0" w:color="auto"/>
              <w:bottom w:val="single" w:sz="4" w:space="0" w:color="auto"/>
              <w:right w:val="single" w:sz="4" w:space="0" w:color="auto"/>
            </w:tcBorders>
            <w:vAlign w:val="center"/>
          </w:tcPr>
          <w:p w14:paraId="09C1A24A" w14:textId="77777777" w:rsidR="00011589" w:rsidRPr="00383638" w:rsidRDefault="00011589"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tcPr>
          <w:p w14:paraId="647B94C6" w14:textId="3E6EE63E" w:rsidR="00011589" w:rsidRPr="00011589" w:rsidRDefault="00011589" w:rsidP="00C3185A">
            <w:pPr>
              <w:rPr>
                <w:rFonts w:asciiTheme="majorHAnsi" w:eastAsia="Times New Roman" w:hAnsiTheme="majorHAnsi" w:cs="Calibri"/>
                <w:b/>
                <w:bCs/>
                <w:color w:val="000000"/>
                <w:kern w:val="0"/>
                <w:sz w:val="18"/>
                <w:szCs w:val="18"/>
                <w:lang w:eastAsia="en-GB"/>
                <w14:ligatures w14:val="none"/>
              </w:rPr>
            </w:pPr>
            <w:r>
              <w:rPr>
                <w:rFonts w:asciiTheme="majorHAnsi" w:eastAsia="Times New Roman" w:hAnsiTheme="majorHAnsi" w:cs="Calibri"/>
                <w:b/>
                <w:bCs/>
                <w:color w:val="000000"/>
                <w:kern w:val="0"/>
                <w:sz w:val="18"/>
                <w:szCs w:val="18"/>
                <w:lang w:eastAsia="en-GB"/>
                <w14:ligatures w14:val="none"/>
              </w:rPr>
              <w:t>Tuncel</w:t>
            </w:r>
            <w:r w:rsidR="009F3A04">
              <w:rPr>
                <w:rFonts w:asciiTheme="majorHAnsi" w:eastAsia="Times New Roman" w:hAnsiTheme="majorHAnsi" w:cs="Calibri"/>
                <w:b/>
                <w:bCs/>
                <w:color w:val="000000"/>
                <w:kern w:val="0"/>
                <w:sz w:val="18"/>
                <w:szCs w:val="18"/>
                <w:lang w:eastAsia="en-GB"/>
                <w14:ligatures w14:val="none"/>
              </w:rPr>
              <w:t xml:space="preserve"> (2021)</w:t>
            </w:r>
            <w:r w:rsidR="00231DE6">
              <w:rPr>
                <w:rFonts w:asciiTheme="majorHAnsi" w:eastAsia="Times New Roman" w:hAnsiTheme="majorHAnsi" w:cs="Calibri"/>
                <w:b/>
                <w:bCs/>
                <w:color w:val="000000"/>
                <w:kern w:val="0"/>
                <w:sz w:val="18"/>
                <w:szCs w:val="18"/>
                <w:lang w:eastAsia="en-GB"/>
                <w14:ligatures w14:val="none"/>
              </w:rPr>
              <w:fldChar w:fldCharType="begin"/>
            </w:r>
            <w:r w:rsidR="00231DE6">
              <w:rPr>
                <w:rFonts w:asciiTheme="majorHAnsi" w:eastAsia="Times New Roman" w:hAnsiTheme="majorHAnsi" w:cs="Calibri"/>
                <w:b/>
                <w:bCs/>
                <w:color w:val="000000"/>
                <w:kern w:val="0"/>
                <w:sz w:val="18"/>
                <w:szCs w:val="18"/>
                <w:lang w:eastAsia="en-GB"/>
                <w14:ligatures w14:val="none"/>
              </w:rPr>
              <w:instrText xml:space="preserve"> ADDIN EN.CITE &lt;EndNote&gt;&lt;Cite&gt;&lt;Author&gt;Tuncel&lt;/Author&gt;&lt;Year&gt;2021&lt;/Year&gt;&lt;RecNum&gt;83&lt;/RecNum&gt;&lt;DisplayText&gt;&lt;style face="superscript"&gt;20&lt;/style&gt;&lt;/DisplayText&gt;&lt;record&gt;&lt;rec-number&gt;83&lt;/rec-number&gt;&lt;foreign-keys&gt;&lt;key app="EN" db-id="295fwsazdrf2xhettpov2rpn02vew2dwwr0t" timestamp="1699891372"&gt;83&lt;/key&gt;&lt;/foreign-keys&gt;&lt;ref-type name="Journal Article"&gt;17&lt;/ref-type&gt;&lt;contributors&gt;&lt;authors&gt;&lt;author&gt;Tuncel, Hayel&lt;/author&gt;&lt;author&gt;Boellaard, Ronald&lt;/author&gt;&lt;author&gt;Coomans, Emma M&lt;/author&gt;&lt;author&gt;de Vries, Erik FJ&lt;/author&gt;&lt;author&gt;Glaudemans, Andor WJM&lt;/author&gt;&lt;author&gt;Feltes, Paula Kopschina&lt;/author&gt;&lt;author&gt;García, David V&lt;/author&gt;&lt;author&gt;Verfaillie, Sander CJ&lt;/author&gt;&lt;author&gt;Wolters, Emma E&lt;/author&gt;&lt;author&gt;Sweeney, Steven P&lt;/author&gt;&lt;/authors&gt;&lt;/contributors&gt;&lt;titles&gt;&lt;title&gt;Kinetics and 28-day test–retest repeatability and reproducibility of [11C] UCB-J PET brain imaging&lt;/title&gt;&lt;secondary-title&gt;Journal of Cerebral Blood Flow &amp;amp; Metabolism&lt;/secondary-title&gt;&lt;/titles&gt;&lt;periodical&gt;&lt;full-title&gt;Journal of Cerebral Blood Flow &amp;amp; Metabolism&lt;/full-title&gt;&lt;/periodical&gt;&lt;pages&gt;1338-1350&lt;/pages&gt;&lt;volume&gt;41&lt;/volume&gt;&lt;number&gt;6&lt;/number&gt;&lt;dates&gt;&lt;year&gt;2021&lt;/year&gt;&lt;/dates&gt;&lt;isbn&gt;0271-678X&lt;/isbn&gt;&lt;urls&gt;&lt;/urls&gt;&lt;/record&gt;&lt;/Cite&gt;&lt;/EndNote&gt;</w:instrText>
            </w:r>
            <w:r w:rsidR="00231DE6">
              <w:rPr>
                <w:rFonts w:asciiTheme="majorHAnsi" w:eastAsia="Times New Roman" w:hAnsiTheme="majorHAnsi" w:cs="Calibri"/>
                <w:b/>
                <w:bCs/>
                <w:color w:val="000000"/>
                <w:kern w:val="0"/>
                <w:sz w:val="18"/>
                <w:szCs w:val="18"/>
                <w:lang w:eastAsia="en-GB"/>
                <w14:ligatures w14:val="none"/>
              </w:rPr>
              <w:fldChar w:fldCharType="separate"/>
            </w:r>
            <w:r w:rsidR="00231DE6" w:rsidRPr="00231DE6">
              <w:rPr>
                <w:rFonts w:asciiTheme="majorHAnsi" w:eastAsia="Times New Roman" w:hAnsiTheme="majorHAnsi" w:cs="Calibri"/>
                <w:b/>
                <w:bCs/>
                <w:noProof/>
                <w:color w:val="000000"/>
                <w:kern w:val="0"/>
                <w:sz w:val="18"/>
                <w:szCs w:val="18"/>
                <w:vertAlign w:val="superscript"/>
                <w:lang w:eastAsia="en-GB"/>
                <w14:ligatures w14:val="none"/>
              </w:rPr>
              <w:t>20</w:t>
            </w:r>
            <w:r w:rsidR="00231DE6">
              <w:rPr>
                <w:rFonts w:asciiTheme="majorHAnsi" w:eastAsia="Times New Roman" w:hAnsiTheme="majorHAnsi" w:cs="Calibri"/>
                <w:b/>
                <w:bCs/>
                <w:color w:val="000000"/>
                <w:kern w:val="0"/>
                <w:sz w:val="18"/>
                <w:szCs w:val="18"/>
                <w:lang w:eastAsia="en-GB"/>
                <w14:ligatures w14:val="none"/>
              </w:rPr>
              <w:fldChar w:fldCharType="end"/>
            </w:r>
          </w:p>
        </w:tc>
        <w:tc>
          <w:tcPr>
            <w:tcW w:w="536" w:type="pct"/>
            <w:tcBorders>
              <w:top w:val="nil"/>
              <w:left w:val="nil"/>
              <w:bottom w:val="single" w:sz="4" w:space="0" w:color="auto"/>
              <w:right w:val="single" w:sz="4" w:space="0" w:color="auto"/>
            </w:tcBorders>
            <w:shd w:val="clear" w:color="auto" w:fill="auto"/>
            <w:vAlign w:val="center"/>
          </w:tcPr>
          <w:p w14:paraId="740749FE" w14:textId="23914A2C" w:rsidR="00011589" w:rsidRPr="00383638" w:rsidRDefault="009F3A04"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test-retest</w:t>
            </w:r>
          </w:p>
        </w:tc>
        <w:tc>
          <w:tcPr>
            <w:tcW w:w="517" w:type="pct"/>
            <w:tcBorders>
              <w:top w:val="nil"/>
              <w:left w:val="nil"/>
              <w:bottom w:val="single" w:sz="4" w:space="0" w:color="auto"/>
              <w:right w:val="single" w:sz="4" w:space="0" w:color="auto"/>
            </w:tcBorders>
            <w:shd w:val="clear" w:color="auto" w:fill="auto"/>
            <w:vAlign w:val="center"/>
          </w:tcPr>
          <w:p w14:paraId="56AE7BD9" w14:textId="07FB7764" w:rsidR="00011589" w:rsidRPr="00383638" w:rsidRDefault="009F3A04"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tcPr>
          <w:p w14:paraId="7ED2274B" w14:textId="5BF35539" w:rsidR="00011589" w:rsidRPr="00383638" w:rsidRDefault="0051102D"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AD=8, HC=9</w:t>
            </w:r>
          </w:p>
        </w:tc>
        <w:tc>
          <w:tcPr>
            <w:tcW w:w="724" w:type="pct"/>
            <w:tcBorders>
              <w:top w:val="nil"/>
              <w:left w:val="nil"/>
              <w:bottom w:val="single" w:sz="4" w:space="0" w:color="auto"/>
              <w:right w:val="single" w:sz="4" w:space="0" w:color="auto"/>
            </w:tcBorders>
            <w:shd w:val="clear" w:color="auto" w:fill="auto"/>
            <w:vAlign w:val="center"/>
          </w:tcPr>
          <w:p w14:paraId="5F3A64ED" w14:textId="57325B53" w:rsidR="00011589" w:rsidRPr="00383638" w:rsidRDefault="00FE2E4D"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AD=63.8, HC=62.2</w:t>
            </w:r>
          </w:p>
        </w:tc>
        <w:tc>
          <w:tcPr>
            <w:tcW w:w="673" w:type="pct"/>
            <w:tcBorders>
              <w:top w:val="nil"/>
              <w:left w:val="nil"/>
              <w:bottom w:val="single" w:sz="4" w:space="0" w:color="auto"/>
              <w:right w:val="single" w:sz="4" w:space="0" w:color="auto"/>
            </w:tcBorders>
            <w:shd w:val="clear" w:color="auto" w:fill="auto"/>
            <w:vAlign w:val="center"/>
          </w:tcPr>
          <w:p w14:paraId="5E3EBB87" w14:textId="0E9EF8DB" w:rsidR="00011589" w:rsidRDefault="00FE2E4D"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tcPr>
          <w:p w14:paraId="27AD054F" w14:textId="0FA9513E" w:rsidR="00011589" w:rsidRPr="00921EEC" w:rsidRDefault="009D0E9D" w:rsidP="00C3185A">
            <w:pPr>
              <w:rPr>
                <w:rFonts w:asciiTheme="majorHAnsi" w:eastAsia="Times New Roman" w:hAnsiTheme="majorHAnsi" w:cs="Calibri"/>
                <w:color w:val="000000"/>
                <w:kern w:val="0"/>
                <w:sz w:val="18"/>
                <w:szCs w:val="18"/>
                <w:vertAlign w:val="subscript"/>
                <w:lang w:eastAsia="en-GB"/>
                <w14:ligatures w14:val="none"/>
              </w:rPr>
            </w:pPr>
            <w:r>
              <w:rPr>
                <w:rFonts w:asciiTheme="majorHAnsi" w:eastAsia="Times New Roman" w:hAnsiTheme="majorHAnsi" w:cs="Calibri"/>
                <w:color w:val="000000"/>
                <w:kern w:val="0"/>
                <w:sz w:val="18"/>
                <w:szCs w:val="18"/>
                <w:lang w:eastAsia="en-GB"/>
                <w14:ligatures w14:val="none"/>
              </w:rPr>
              <w:t>BP</w:t>
            </w:r>
            <w:r>
              <w:rPr>
                <w:rFonts w:asciiTheme="majorHAnsi" w:eastAsia="Times New Roman" w:hAnsiTheme="majorHAnsi" w:cs="Calibri"/>
                <w:color w:val="000000"/>
                <w:kern w:val="0"/>
                <w:sz w:val="18"/>
                <w:szCs w:val="18"/>
                <w:vertAlign w:val="subscript"/>
                <w:lang w:eastAsia="en-GB"/>
                <w14:ligatures w14:val="none"/>
              </w:rPr>
              <w:t>ND</w:t>
            </w:r>
          </w:p>
        </w:tc>
        <w:tc>
          <w:tcPr>
            <w:tcW w:w="449" w:type="pct"/>
            <w:tcBorders>
              <w:top w:val="nil"/>
              <w:left w:val="nil"/>
              <w:bottom w:val="single" w:sz="4" w:space="0" w:color="auto"/>
              <w:right w:val="single" w:sz="4" w:space="0" w:color="auto"/>
            </w:tcBorders>
            <w:shd w:val="clear" w:color="auto" w:fill="auto"/>
            <w:noWrap/>
            <w:vAlign w:val="center"/>
          </w:tcPr>
          <w:p w14:paraId="33B16451" w14:textId="40D4E324" w:rsidR="00011589" w:rsidRPr="00383638" w:rsidRDefault="00FF20F8"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CS</w:t>
            </w:r>
          </w:p>
        </w:tc>
      </w:tr>
      <w:tr w:rsidR="003B106A" w:rsidRPr="003B106A" w14:paraId="1720226B" w14:textId="77777777" w:rsidTr="003B106A">
        <w:trPr>
          <w:trHeight w:val="640"/>
        </w:trPr>
        <w:tc>
          <w:tcPr>
            <w:tcW w:w="422" w:type="pct"/>
            <w:vMerge/>
            <w:tcBorders>
              <w:top w:val="nil"/>
              <w:left w:val="single" w:sz="4" w:space="0" w:color="auto"/>
              <w:bottom w:val="single" w:sz="4" w:space="0" w:color="auto"/>
              <w:right w:val="single" w:sz="4" w:space="0" w:color="auto"/>
            </w:tcBorders>
            <w:vAlign w:val="center"/>
            <w:hideMark/>
          </w:tcPr>
          <w:p w14:paraId="0AA736B0"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4BE9A62C" w14:textId="6860843C"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Silva-Rudberg (2024)</w:t>
            </w:r>
            <w:r w:rsidR="00181D2E" w:rsidRPr="00181D2E">
              <w:rPr>
                <w:rFonts w:asciiTheme="majorHAnsi" w:eastAsia="Times New Roman" w:hAnsiTheme="majorHAnsi" w:cs="Calibri"/>
                <w:color w:val="000000"/>
                <w:kern w:val="0"/>
                <w:sz w:val="18"/>
                <w:szCs w:val="18"/>
                <w:vertAlign w:val="superscript"/>
                <w:lang w:eastAsia="en-GB"/>
                <w14:ligatures w14:val="none"/>
              </w:rPr>
              <w:t>51</w:t>
            </w:r>
          </w:p>
        </w:tc>
        <w:tc>
          <w:tcPr>
            <w:tcW w:w="536" w:type="pct"/>
            <w:tcBorders>
              <w:top w:val="nil"/>
              <w:left w:val="nil"/>
              <w:bottom w:val="single" w:sz="4" w:space="0" w:color="auto"/>
              <w:right w:val="single" w:sz="4" w:space="0" w:color="auto"/>
            </w:tcBorders>
            <w:shd w:val="clear" w:color="auto" w:fill="auto"/>
            <w:vAlign w:val="center"/>
            <w:hideMark/>
          </w:tcPr>
          <w:p w14:paraId="5D98D494"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4B200F80" w14:textId="201BFFDE" w:rsidR="00383638" w:rsidRPr="00181D2E" w:rsidRDefault="00383638" w:rsidP="00C3185A">
            <w:pPr>
              <w:rPr>
                <w:rFonts w:asciiTheme="majorHAnsi" w:eastAsia="Times New Roman" w:hAnsiTheme="majorHAnsi" w:cs="Calibri"/>
                <w:color w:val="000000"/>
                <w:kern w:val="0"/>
                <w:sz w:val="18"/>
                <w:szCs w:val="18"/>
                <w:vertAlign w:val="superscript"/>
                <w:lang w:eastAsia="en-GB"/>
                <w14:ligatures w14:val="none"/>
              </w:rPr>
            </w:pPr>
            <w:r w:rsidRPr="00383638">
              <w:rPr>
                <w:rFonts w:asciiTheme="majorHAnsi" w:eastAsia="Times New Roman" w:hAnsiTheme="majorHAnsi" w:cs="Calibri"/>
                <w:color w:val="000000"/>
                <w:kern w:val="0"/>
                <w:sz w:val="18"/>
                <w:szCs w:val="18"/>
                <w:lang w:eastAsia="en-GB"/>
                <w14:ligatures w14:val="none"/>
              </w:rPr>
              <w:t>Chen (2018</w:t>
            </w:r>
            <w:r w:rsidR="00EB57AD" w:rsidRPr="00EB57AD">
              <w:rPr>
                <w:rFonts w:asciiTheme="majorHAnsi" w:eastAsia="Times New Roman" w:hAnsiTheme="majorHAnsi" w:cs="Calibri"/>
                <w:color w:val="000000"/>
                <w:kern w:val="0"/>
                <w:sz w:val="18"/>
                <w:szCs w:val="18"/>
                <w:lang w:eastAsia="en-GB"/>
                <w14:ligatures w14:val="none"/>
              </w:rPr>
              <w:t>)</w:t>
            </w:r>
            <w:r w:rsidR="00181D2E">
              <w:rPr>
                <w:rFonts w:asciiTheme="majorHAnsi" w:eastAsia="Times New Roman" w:hAnsiTheme="majorHAnsi" w:cs="Calibri"/>
                <w:color w:val="000000"/>
                <w:kern w:val="0"/>
                <w:sz w:val="18"/>
                <w:szCs w:val="18"/>
                <w:vertAlign w:val="superscript"/>
                <w:lang w:eastAsia="en-GB"/>
                <w14:ligatures w14:val="none"/>
              </w:rPr>
              <w:t>23</w:t>
            </w:r>
          </w:p>
        </w:tc>
        <w:tc>
          <w:tcPr>
            <w:tcW w:w="673" w:type="pct"/>
            <w:tcBorders>
              <w:top w:val="nil"/>
              <w:left w:val="nil"/>
              <w:bottom w:val="single" w:sz="4" w:space="0" w:color="auto"/>
              <w:right w:val="single" w:sz="4" w:space="0" w:color="auto"/>
            </w:tcBorders>
            <w:shd w:val="clear" w:color="auto" w:fill="auto"/>
            <w:vAlign w:val="center"/>
            <w:hideMark/>
          </w:tcPr>
          <w:p w14:paraId="27FF8442"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 MCI=14, AD-mild dementia=19, HC=17</w:t>
            </w:r>
          </w:p>
        </w:tc>
        <w:tc>
          <w:tcPr>
            <w:tcW w:w="724" w:type="pct"/>
            <w:tcBorders>
              <w:top w:val="nil"/>
              <w:left w:val="nil"/>
              <w:bottom w:val="single" w:sz="4" w:space="0" w:color="auto"/>
              <w:right w:val="single" w:sz="4" w:space="0" w:color="auto"/>
            </w:tcBorders>
            <w:shd w:val="clear" w:color="auto" w:fill="auto"/>
            <w:vAlign w:val="center"/>
            <w:hideMark/>
          </w:tcPr>
          <w:p w14:paraId="10819AE4"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AD=70.3 ±7.7, HC=72.1 ±7.1</w:t>
            </w:r>
          </w:p>
        </w:tc>
        <w:tc>
          <w:tcPr>
            <w:tcW w:w="673" w:type="pct"/>
            <w:tcBorders>
              <w:top w:val="nil"/>
              <w:left w:val="nil"/>
              <w:bottom w:val="single" w:sz="4" w:space="0" w:color="auto"/>
              <w:right w:val="single" w:sz="4" w:space="0" w:color="auto"/>
            </w:tcBorders>
            <w:shd w:val="clear" w:color="auto" w:fill="auto"/>
            <w:vAlign w:val="center"/>
            <w:hideMark/>
          </w:tcPr>
          <w:p w14:paraId="36F2BA0F" w14:textId="77777777" w:rsidR="00685177"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t xml:space="preserve"> </w:t>
            </w:r>
          </w:p>
          <w:p w14:paraId="571FD82C" w14:textId="5D3E37E2"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[11C]-PiB</w:t>
            </w:r>
          </w:p>
        </w:tc>
        <w:tc>
          <w:tcPr>
            <w:tcW w:w="517" w:type="pct"/>
            <w:tcBorders>
              <w:top w:val="nil"/>
              <w:left w:val="nil"/>
              <w:bottom w:val="single" w:sz="4" w:space="0" w:color="auto"/>
              <w:right w:val="single" w:sz="4" w:space="0" w:color="auto"/>
            </w:tcBorders>
            <w:shd w:val="clear" w:color="auto" w:fill="auto"/>
            <w:noWrap/>
            <w:vAlign w:val="center"/>
            <w:hideMark/>
          </w:tcPr>
          <w:p w14:paraId="7BB4E46D"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DVR</w:t>
            </w:r>
          </w:p>
        </w:tc>
        <w:tc>
          <w:tcPr>
            <w:tcW w:w="449" w:type="pct"/>
            <w:tcBorders>
              <w:top w:val="nil"/>
              <w:left w:val="nil"/>
              <w:bottom w:val="single" w:sz="4" w:space="0" w:color="auto"/>
              <w:right w:val="single" w:sz="4" w:space="0" w:color="auto"/>
            </w:tcBorders>
            <w:shd w:val="clear" w:color="auto" w:fill="auto"/>
            <w:noWrap/>
            <w:vAlign w:val="center"/>
            <w:hideMark/>
          </w:tcPr>
          <w:p w14:paraId="65AC1EA2"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CBL</w:t>
            </w:r>
          </w:p>
        </w:tc>
      </w:tr>
      <w:tr w:rsidR="003B106A" w:rsidRPr="003B106A" w14:paraId="6ABB00FB" w14:textId="77777777" w:rsidTr="003B106A">
        <w:trPr>
          <w:trHeight w:val="640"/>
        </w:trPr>
        <w:tc>
          <w:tcPr>
            <w:tcW w:w="422" w:type="pct"/>
            <w:vMerge/>
            <w:tcBorders>
              <w:top w:val="nil"/>
              <w:left w:val="single" w:sz="4" w:space="0" w:color="auto"/>
              <w:bottom w:val="single" w:sz="4" w:space="0" w:color="auto"/>
              <w:right w:val="single" w:sz="4" w:space="0" w:color="auto"/>
            </w:tcBorders>
            <w:vAlign w:val="center"/>
            <w:hideMark/>
          </w:tcPr>
          <w:p w14:paraId="46D5161F"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77BE8664" w14:textId="25B27B23"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Venkataraman (2022)</w:t>
            </w:r>
            <w:r w:rsidR="00181D2E">
              <w:rPr>
                <w:rFonts w:asciiTheme="majorHAnsi" w:eastAsia="Times New Roman" w:hAnsiTheme="majorHAnsi" w:cs="Calibri"/>
                <w:color w:val="000000"/>
                <w:kern w:val="0"/>
                <w:sz w:val="18"/>
                <w:szCs w:val="18"/>
                <w:vertAlign w:val="superscript"/>
                <w:lang w:eastAsia="en-GB"/>
                <w14:ligatures w14:val="none"/>
              </w:rPr>
              <w:t>52</w:t>
            </w:r>
          </w:p>
        </w:tc>
        <w:tc>
          <w:tcPr>
            <w:tcW w:w="536" w:type="pct"/>
            <w:tcBorders>
              <w:top w:val="nil"/>
              <w:left w:val="nil"/>
              <w:bottom w:val="single" w:sz="4" w:space="0" w:color="auto"/>
              <w:right w:val="single" w:sz="4" w:space="0" w:color="auto"/>
            </w:tcBorders>
            <w:shd w:val="clear" w:color="auto" w:fill="auto"/>
            <w:vAlign w:val="center"/>
            <w:hideMark/>
          </w:tcPr>
          <w:p w14:paraId="63369014"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3F4242BB" w14:textId="50681739"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 pre-print: Venkataraman (202</w:t>
            </w:r>
            <w:r w:rsidR="000F28FD">
              <w:rPr>
                <w:rFonts w:asciiTheme="majorHAnsi" w:eastAsia="Times New Roman" w:hAnsiTheme="majorHAnsi" w:cs="Calibri"/>
                <w:color w:val="000000"/>
                <w:kern w:val="0"/>
                <w:sz w:val="18"/>
                <w:szCs w:val="18"/>
                <w:lang w:eastAsia="en-GB"/>
                <w14:ligatures w14:val="none"/>
              </w:rPr>
              <w:t>1</w:t>
            </w:r>
            <w:r w:rsidRPr="00383638">
              <w:rPr>
                <w:rFonts w:asciiTheme="majorHAnsi" w:eastAsia="Times New Roman" w:hAnsiTheme="majorHAnsi" w:cs="Calibri"/>
                <w:color w:val="000000"/>
                <w:kern w:val="0"/>
                <w:sz w:val="18"/>
                <w:szCs w:val="18"/>
                <w:lang w:eastAsia="en-GB"/>
                <w14:ligatures w14:val="none"/>
              </w:rPr>
              <w:t>)</w:t>
            </w:r>
            <w:r w:rsidR="00181D2E">
              <w:rPr>
                <w:rFonts w:asciiTheme="majorHAnsi" w:eastAsia="Times New Roman" w:hAnsiTheme="majorHAnsi" w:cs="Calibri"/>
                <w:color w:val="000000"/>
                <w:kern w:val="0"/>
                <w:sz w:val="18"/>
                <w:szCs w:val="18"/>
                <w:vertAlign w:val="superscript"/>
                <w:lang w:eastAsia="en-GB"/>
                <w14:ligatures w14:val="none"/>
              </w:rPr>
              <w:t>53</w:t>
            </w:r>
          </w:p>
        </w:tc>
        <w:tc>
          <w:tcPr>
            <w:tcW w:w="673" w:type="pct"/>
            <w:tcBorders>
              <w:top w:val="nil"/>
              <w:left w:val="nil"/>
              <w:bottom w:val="single" w:sz="4" w:space="0" w:color="auto"/>
              <w:right w:val="single" w:sz="4" w:space="0" w:color="auto"/>
            </w:tcBorders>
            <w:shd w:val="clear" w:color="auto" w:fill="auto"/>
            <w:vAlign w:val="center"/>
            <w:hideMark/>
          </w:tcPr>
          <w:p w14:paraId="6C06D64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AD=12 (8 followed-up), HC=16</w:t>
            </w:r>
          </w:p>
        </w:tc>
        <w:tc>
          <w:tcPr>
            <w:tcW w:w="724" w:type="pct"/>
            <w:tcBorders>
              <w:top w:val="nil"/>
              <w:left w:val="nil"/>
              <w:bottom w:val="single" w:sz="4" w:space="0" w:color="auto"/>
              <w:right w:val="single" w:sz="4" w:space="0" w:color="auto"/>
            </w:tcBorders>
            <w:shd w:val="clear" w:color="auto" w:fill="auto"/>
            <w:vAlign w:val="center"/>
            <w:hideMark/>
          </w:tcPr>
          <w:p w14:paraId="5D5638AE"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AD=75.50 ±7.82, HC=65.88 ±9.82</w:t>
            </w:r>
          </w:p>
        </w:tc>
        <w:tc>
          <w:tcPr>
            <w:tcW w:w="673" w:type="pct"/>
            <w:tcBorders>
              <w:top w:val="nil"/>
              <w:left w:val="nil"/>
              <w:bottom w:val="single" w:sz="4" w:space="0" w:color="auto"/>
              <w:right w:val="single" w:sz="4" w:space="0" w:color="auto"/>
            </w:tcBorders>
            <w:shd w:val="clear" w:color="auto" w:fill="auto"/>
            <w:vAlign w:val="center"/>
            <w:hideMark/>
          </w:tcPr>
          <w:p w14:paraId="4FC9468C" w14:textId="2BF591AD"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hideMark/>
          </w:tcPr>
          <w:p w14:paraId="77A452CE"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DVRcs</w:t>
            </w:r>
          </w:p>
        </w:tc>
        <w:tc>
          <w:tcPr>
            <w:tcW w:w="449" w:type="pct"/>
            <w:tcBorders>
              <w:top w:val="nil"/>
              <w:left w:val="nil"/>
              <w:bottom w:val="single" w:sz="4" w:space="0" w:color="auto"/>
              <w:right w:val="single" w:sz="4" w:space="0" w:color="auto"/>
            </w:tcBorders>
            <w:shd w:val="clear" w:color="auto" w:fill="auto"/>
            <w:noWrap/>
            <w:vAlign w:val="center"/>
            <w:hideMark/>
          </w:tcPr>
          <w:p w14:paraId="7609A2E4"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3CE5F943" w14:textId="77777777" w:rsidTr="003B106A">
        <w:trPr>
          <w:trHeight w:val="960"/>
        </w:trPr>
        <w:tc>
          <w:tcPr>
            <w:tcW w:w="422" w:type="pct"/>
            <w:vMerge/>
            <w:tcBorders>
              <w:top w:val="nil"/>
              <w:left w:val="single" w:sz="4" w:space="0" w:color="auto"/>
              <w:bottom w:val="single" w:sz="4" w:space="0" w:color="auto"/>
              <w:right w:val="single" w:sz="4" w:space="0" w:color="auto"/>
            </w:tcBorders>
            <w:vAlign w:val="center"/>
            <w:hideMark/>
          </w:tcPr>
          <w:p w14:paraId="23219CA4"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5B82F1EE" w14:textId="13068578"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Zhang (2023)</w:t>
            </w:r>
            <w:r w:rsidR="00181D2E">
              <w:rPr>
                <w:rFonts w:asciiTheme="majorHAnsi" w:eastAsia="Times New Roman" w:hAnsiTheme="majorHAnsi" w:cs="Calibri"/>
                <w:color w:val="000000"/>
                <w:kern w:val="0"/>
                <w:sz w:val="18"/>
                <w:szCs w:val="18"/>
                <w:vertAlign w:val="superscript"/>
                <w:lang w:eastAsia="en-GB"/>
                <w14:ligatures w14:val="none"/>
              </w:rPr>
              <w:t>54</w:t>
            </w:r>
          </w:p>
        </w:tc>
        <w:tc>
          <w:tcPr>
            <w:tcW w:w="536" w:type="pct"/>
            <w:tcBorders>
              <w:top w:val="nil"/>
              <w:left w:val="nil"/>
              <w:bottom w:val="single" w:sz="4" w:space="0" w:color="auto"/>
              <w:right w:val="single" w:sz="4" w:space="0" w:color="auto"/>
            </w:tcBorders>
            <w:shd w:val="clear" w:color="auto" w:fill="auto"/>
            <w:vAlign w:val="center"/>
            <w:hideMark/>
          </w:tcPr>
          <w:p w14:paraId="498813B3"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04688483"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38B037D5"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AD=33, MCI=31, HC=30</w:t>
            </w:r>
          </w:p>
        </w:tc>
        <w:tc>
          <w:tcPr>
            <w:tcW w:w="724" w:type="pct"/>
            <w:tcBorders>
              <w:top w:val="nil"/>
              <w:left w:val="nil"/>
              <w:bottom w:val="single" w:sz="4" w:space="0" w:color="auto"/>
              <w:right w:val="single" w:sz="4" w:space="0" w:color="auto"/>
            </w:tcBorders>
            <w:shd w:val="clear" w:color="auto" w:fill="auto"/>
            <w:vAlign w:val="center"/>
            <w:hideMark/>
          </w:tcPr>
          <w:p w14:paraId="5B5AC097"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AD=68.0</w:t>
            </w:r>
            <w:r w:rsidRPr="00383638">
              <w:rPr>
                <w:rFonts w:ascii="Arial" w:eastAsia="Times New Roman" w:hAnsi="Arial" w:cs="Arial"/>
                <w:color w:val="000000"/>
                <w:kern w:val="0"/>
                <w:sz w:val="18"/>
                <w:szCs w:val="18"/>
                <w:lang w:eastAsia="en-GB"/>
                <w14:ligatures w14:val="none"/>
              </w:rPr>
              <w:t> </w:t>
            </w:r>
            <w:r w:rsidRPr="00383638">
              <w:rPr>
                <w:rFonts w:asciiTheme="majorHAnsi" w:eastAsia="Times New Roman" w:hAnsiTheme="majorHAnsi" w:cs="Calibri"/>
                <w:color w:val="000000"/>
                <w:kern w:val="0"/>
                <w:sz w:val="18"/>
                <w:szCs w:val="18"/>
                <w:lang w:eastAsia="en-GB"/>
                <w14:ligatures w14:val="none"/>
              </w:rPr>
              <w:t>±7.8, MCI=70.1</w:t>
            </w:r>
            <w:r w:rsidRPr="00383638">
              <w:rPr>
                <w:rFonts w:ascii="Arial" w:eastAsia="Times New Roman" w:hAnsi="Arial" w:cs="Arial"/>
                <w:color w:val="000000"/>
                <w:kern w:val="0"/>
                <w:sz w:val="18"/>
                <w:szCs w:val="18"/>
                <w:lang w:eastAsia="en-GB"/>
                <w14:ligatures w14:val="none"/>
              </w:rPr>
              <w:t> </w:t>
            </w:r>
            <w:r w:rsidRPr="00383638">
              <w:rPr>
                <w:rFonts w:asciiTheme="majorHAnsi" w:eastAsia="Times New Roman" w:hAnsiTheme="majorHAnsi" w:cs="Calibri"/>
                <w:color w:val="000000"/>
                <w:kern w:val="0"/>
                <w:sz w:val="18"/>
                <w:szCs w:val="18"/>
                <w:lang w:eastAsia="en-GB"/>
                <w14:ligatures w14:val="none"/>
              </w:rPr>
              <w:t>±6.8, HC=63.4</w:t>
            </w:r>
            <w:r w:rsidRPr="00383638">
              <w:rPr>
                <w:rFonts w:ascii="Arial" w:eastAsia="Times New Roman" w:hAnsi="Arial" w:cs="Arial"/>
                <w:color w:val="000000"/>
                <w:kern w:val="0"/>
                <w:sz w:val="18"/>
                <w:szCs w:val="18"/>
                <w:lang w:eastAsia="en-GB"/>
                <w14:ligatures w14:val="none"/>
              </w:rPr>
              <w:t> </w:t>
            </w:r>
            <w:r w:rsidRPr="00383638">
              <w:rPr>
                <w:rFonts w:asciiTheme="majorHAnsi" w:eastAsia="Times New Roman" w:hAnsiTheme="majorHAnsi" w:cs="Calibri"/>
                <w:color w:val="000000"/>
                <w:kern w:val="0"/>
                <w:sz w:val="18"/>
                <w:szCs w:val="18"/>
                <w:lang w:eastAsia="en-GB"/>
                <w14:ligatures w14:val="none"/>
              </w:rPr>
              <w:t>±8.0</w:t>
            </w:r>
          </w:p>
        </w:tc>
        <w:tc>
          <w:tcPr>
            <w:tcW w:w="673" w:type="pct"/>
            <w:tcBorders>
              <w:top w:val="nil"/>
              <w:left w:val="nil"/>
              <w:bottom w:val="single" w:sz="4" w:space="0" w:color="auto"/>
              <w:right w:val="single" w:sz="4" w:space="0" w:color="auto"/>
            </w:tcBorders>
            <w:shd w:val="clear" w:color="auto" w:fill="auto"/>
            <w:vAlign w:val="center"/>
            <w:hideMark/>
          </w:tcPr>
          <w:p w14:paraId="439B555E" w14:textId="39B2ADF0"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[18]F-Syn-VesT-1</w:t>
            </w:r>
          </w:p>
        </w:tc>
        <w:tc>
          <w:tcPr>
            <w:tcW w:w="517" w:type="pct"/>
            <w:tcBorders>
              <w:top w:val="nil"/>
              <w:left w:val="nil"/>
              <w:bottom w:val="single" w:sz="4" w:space="0" w:color="auto"/>
              <w:right w:val="single" w:sz="4" w:space="0" w:color="auto"/>
            </w:tcBorders>
            <w:shd w:val="clear" w:color="auto" w:fill="auto"/>
            <w:noWrap/>
            <w:vAlign w:val="center"/>
            <w:hideMark/>
          </w:tcPr>
          <w:p w14:paraId="3926E24C"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SUVR</w:t>
            </w:r>
          </w:p>
        </w:tc>
        <w:tc>
          <w:tcPr>
            <w:tcW w:w="449" w:type="pct"/>
            <w:tcBorders>
              <w:top w:val="nil"/>
              <w:left w:val="nil"/>
              <w:bottom w:val="single" w:sz="4" w:space="0" w:color="auto"/>
              <w:right w:val="single" w:sz="4" w:space="0" w:color="auto"/>
            </w:tcBorders>
            <w:shd w:val="clear" w:color="auto" w:fill="auto"/>
            <w:noWrap/>
            <w:vAlign w:val="center"/>
            <w:hideMark/>
          </w:tcPr>
          <w:p w14:paraId="23C44DB6"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CBL</w:t>
            </w:r>
          </w:p>
        </w:tc>
      </w:tr>
      <w:tr w:rsidR="003B106A" w:rsidRPr="003B106A" w14:paraId="6F5404CD" w14:textId="77777777" w:rsidTr="003B106A">
        <w:trPr>
          <w:trHeight w:val="960"/>
        </w:trPr>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14:paraId="5D985761"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MCI</w:t>
            </w:r>
          </w:p>
        </w:tc>
        <w:tc>
          <w:tcPr>
            <w:tcW w:w="488" w:type="pct"/>
            <w:tcBorders>
              <w:top w:val="nil"/>
              <w:left w:val="nil"/>
              <w:bottom w:val="single" w:sz="4" w:space="0" w:color="auto"/>
              <w:right w:val="single" w:sz="4" w:space="0" w:color="auto"/>
            </w:tcBorders>
            <w:shd w:val="clear" w:color="auto" w:fill="auto"/>
            <w:vAlign w:val="center"/>
            <w:hideMark/>
          </w:tcPr>
          <w:p w14:paraId="385D0E7D" w14:textId="42584E9A"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Vanderlinden (2022)</w:t>
            </w:r>
            <w:r w:rsidR="00181D2E">
              <w:rPr>
                <w:rFonts w:asciiTheme="majorHAnsi" w:eastAsia="Times New Roman" w:hAnsiTheme="majorHAnsi" w:cs="Calibri"/>
                <w:color w:val="000000"/>
                <w:kern w:val="0"/>
                <w:sz w:val="18"/>
                <w:szCs w:val="18"/>
                <w:vertAlign w:val="superscript"/>
                <w:lang w:eastAsia="en-GB"/>
                <w14:ligatures w14:val="none"/>
              </w:rPr>
              <w:t>55</w:t>
            </w:r>
          </w:p>
        </w:tc>
        <w:tc>
          <w:tcPr>
            <w:tcW w:w="536" w:type="pct"/>
            <w:tcBorders>
              <w:top w:val="nil"/>
              <w:left w:val="nil"/>
              <w:bottom w:val="single" w:sz="4" w:space="0" w:color="auto"/>
              <w:right w:val="single" w:sz="4" w:space="0" w:color="auto"/>
            </w:tcBorders>
            <w:shd w:val="clear" w:color="auto" w:fill="auto"/>
            <w:vAlign w:val="center"/>
            <w:hideMark/>
          </w:tcPr>
          <w:p w14:paraId="65019A9D"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 longitudinal</w:t>
            </w:r>
          </w:p>
        </w:tc>
        <w:tc>
          <w:tcPr>
            <w:tcW w:w="517" w:type="pct"/>
            <w:tcBorders>
              <w:top w:val="nil"/>
              <w:left w:val="nil"/>
              <w:bottom w:val="single" w:sz="4" w:space="0" w:color="auto"/>
              <w:right w:val="single" w:sz="4" w:space="0" w:color="auto"/>
            </w:tcBorders>
            <w:shd w:val="clear" w:color="auto" w:fill="auto"/>
            <w:vAlign w:val="center"/>
            <w:hideMark/>
          </w:tcPr>
          <w:p w14:paraId="099564A3" w14:textId="7C6969BA"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follow up to Vanhaute (2020)</w:t>
            </w:r>
            <w:r w:rsidR="00181D2E">
              <w:rPr>
                <w:rFonts w:asciiTheme="majorHAnsi" w:eastAsia="Times New Roman" w:hAnsiTheme="majorHAnsi" w:cs="Calibri"/>
                <w:color w:val="000000"/>
                <w:kern w:val="0"/>
                <w:sz w:val="18"/>
                <w:szCs w:val="18"/>
                <w:vertAlign w:val="superscript"/>
                <w:lang w:eastAsia="en-GB"/>
                <w14:ligatures w14:val="none"/>
              </w:rPr>
              <w:t>56</w:t>
            </w:r>
          </w:p>
        </w:tc>
        <w:tc>
          <w:tcPr>
            <w:tcW w:w="673" w:type="pct"/>
            <w:tcBorders>
              <w:top w:val="nil"/>
              <w:left w:val="nil"/>
              <w:bottom w:val="single" w:sz="4" w:space="0" w:color="auto"/>
              <w:right w:val="single" w:sz="4" w:space="0" w:color="auto"/>
            </w:tcBorders>
            <w:shd w:val="clear" w:color="auto" w:fill="auto"/>
            <w:vAlign w:val="center"/>
            <w:hideMark/>
          </w:tcPr>
          <w:p w14:paraId="43426E66"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aMCI=26, HC=12</w:t>
            </w:r>
          </w:p>
        </w:tc>
        <w:tc>
          <w:tcPr>
            <w:tcW w:w="724" w:type="pct"/>
            <w:tcBorders>
              <w:top w:val="nil"/>
              <w:left w:val="nil"/>
              <w:bottom w:val="single" w:sz="4" w:space="0" w:color="auto"/>
              <w:right w:val="single" w:sz="4" w:space="0" w:color="auto"/>
            </w:tcBorders>
            <w:shd w:val="clear" w:color="auto" w:fill="auto"/>
            <w:vAlign w:val="center"/>
            <w:hideMark/>
          </w:tcPr>
          <w:p w14:paraId="669206D5"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aMCI=71.6 ±5.3, HC=68.9 ±9.1</w:t>
            </w:r>
          </w:p>
        </w:tc>
        <w:tc>
          <w:tcPr>
            <w:tcW w:w="673" w:type="pct"/>
            <w:tcBorders>
              <w:top w:val="nil"/>
              <w:left w:val="nil"/>
              <w:bottom w:val="single" w:sz="4" w:space="0" w:color="auto"/>
              <w:right w:val="single" w:sz="4" w:space="0" w:color="auto"/>
            </w:tcBorders>
            <w:shd w:val="clear" w:color="auto" w:fill="auto"/>
            <w:vAlign w:val="center"/>
            <w:hideMark/>
          </w:tcPr>
          <w:p w14:paraId="0B1D1A09" w14:textId="22184D02"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t xml:space="preserve"> [11C]SA4503, [18F]BCPP-EF</w:t>
            </w:r>
          </w:p>
        </w:tc>
        <w:tc>
          <w:tcPr>
            <w:tcW w:w="517" w:type="pct"/>
            <w:tcBorders>
              <w:top w:val="nil"/>
              <w:left w:val="nil"/>
              <w:bottom w:val="single" w:sz="4" w:space="0" w:color="auto"/>
              <w:right w:val="single" w:sz="4" w:space="0" w:color="auto"/>
            </w:tcBorders>
            <w:shd w:val="clear" w:color="auto" w:fill="auto"/>
            <w:noWrap/>
            <w:vAlign w:val="center"/>
            <w:hideMark/>
          </w:tcPr>
          <w:p w14:paraId="767C7A06"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SUVR</w:t>
            </w:r>
          </w:p>
        </w:tc>
        <w:tc>
          <w:tcPr>
            <w:tcW w:w="449" w:type="pct"/>
            <w:tcBorders>
              <w:top w:val="nil"/>
              <w:left w:val="nil"/>
              <w:bottom w:val="single" w:sz="4" w:space="0" w:color="auto"/>
              <w:right w:val="single" w:sz="4" w:space="0" w:color="auto"/>
            </w:tcBorders>
            <w:shd w:val="clear" w:color="auto" w:fill="auto"/>
            <w:noWrap/>
            <w:vAlign w:val="center"/>
            <w:hideMark/>
          </w:tcPr>
          <w:p w14:paraId="20621F35"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58E19DCA" w14:textId="77777777" w:rsidTr="003B106A">
        <w:trPr>
          <w:trHeight w:val="640"/>
        </w:trPr>
        <w:tc>
          <w:tcPr>
            <w:tcW w:w="422" w:type="pct"/>
            <w:vMerge/>
            <w:tcBorders>
              <w:top w:val="nil"/>
              <w:left w:val="single" w:sz="4" w:space="0" w:color="auto"/>
              <w:bottom w:val="single" w:sz="4" w:space="0" w:color="auto"/>
              <w:right w:val="single" w:sz="4" w:space="0" w:color="auto"/>
            </w:tcBorders>
            <w:vAlign w:val="center"/>
            <w:hideMark/>
          </w:tcPr>
          <w:p w14:paraId="0549106E"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5F080B46" w14:textId="05DF0AA6"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Vanhaute (2020)</w:t>
            </w:r>
            <w:r w:rsidR="00181D2E">
              <w:rPr>
                <w:rFonts w:asciiTheme="majorHAnsi" w:eastAsia="Times New Roman" w:hAnsiTheme="majorHAnsi" w:cs="Calibri"/>
                <w:color w:val="000000"/>
                <w:kern w:val="0"/>
                <w:sz w:val="18"/>
                <w:szCs w:val="18"/>
                <w:vertAlign w:val="superscript"/>
                <w:lang w:eastAsia="en-GB"/>
                <w14:ligatures w14:val="none"/>
              </w:rPr>
              <w:t>56</w:t>
            </w:r>
          </w:p>
        </w:tc>
        <w:tc>
          <w:tcPr>
            <w:tcW w:w="536" w:type="pct"/>
            <w:tcBorders>
              <w:top w:val="nil"/>
              <w:left w:val="nil"/>
              <w:bottom w:val="single" w:sz="4" w:space="0" w:color="auto"/>
              <w:right w:val="single" w:sz="4" w:space="0" w:color="auto"/>
            </w:tcBorders>
            <w:shd w:val="clear" w:color="auto" w:fill="auto"/>
            <w:vAlign w:val="center"/>
            <w:hideMark/>
          </w:tcPr>
          <w:p w14:paraId="52A568ED"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2EB7268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434E38D3"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aMCI=10, HC=10</w:t>
            </w:r>
          </w:p>
        </w:tc>
        <w:tc>
          <w:tcPr>
            <w:tcW w:w="724" w:type="pct"/>
            <w:tcBorders>
              <w:top w:val="nil"/>
              <w:left w:val="nil"/>
              <w:bottom w:val="single" w:sz="4" w:space="0" w:color="auto"/>
              <w:right w:val="single" w:sz="4" w:space="0" w:color="auto"/>
            </w:tcBorders>
            <w:shd w:val="clear" w:color="auto" w:fill="auto"/>
            <w:vAlign w:val="center"/>
            <w:hideMark/>
          </w:tcPr>
          <w:p w14:paraId="2AE6D57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aMCI=69.6 ±5.4, HC=67.2 ±6.5</w:t>
            </w:r>
          </w:p>
        </w:tc>
        <w:tc>
          <w:tcPr>
            <w:tcW w:w="673" w:type="pct"/>
            <w:tcBorders>
              <w:top w:val="nil"/>
              <w:left w:val="nil"/>
              <w:bottom w:val="single" w:sz="4" w:space="0" w:color="auto"/>
              <w:right w:val="single" w:sz="4" w:space="0" w:color="auto"/>
            </w:tcBorders>
            <w:shd w:val="clear" w:color="auto" w:fill="auto"/>
            <w:vAlign w:val="center"/>
            <w:hideMark/>
          </w:tcPr>
          <w:p w14:paraId="4B6F44B6" w14:textId="77777777" w:rsidR="00685177"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t xml:space="preserve"> </w:t>
            </w:r>
          </w:p>
          <w:p w14:paraId="7496FAE8" w14:textId="18D8ACF0"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w:t>
            </w:r>
            <w:r w:rsidR="00383638" w:rsidRPr="00383638">
              <w:rPr>
                <w:rFonts w:asciiTheme="majorHAnsi" w:eastAsia="Times New Roman" w:hAnsiTheme="majorHAnsi" w:cs="Calibri"/>
                <w:color w:val="000000"/>
                <w:kern w:val="0"/>
                <w:sz w:val="18"/>
                <w:szCs w:val="18"/>
                <w:lang w:eastAsia="en-GB"/>
                <w14:ligatures w14:val="none"/>
              </w:rPr>
              <w:t>18</w:t>
            </w:r>
            <w:r>
              <w:rPr>
                <w:rFonts w:asciiTheme="majorHAnsi" w:eastAsia="Times New Roman" w:hAnsiTheme="majorHAnsi" w:cs="Calibri"/>
                <w:color w:val="000000"/>
                <w:kern w:val="0"/>
                <w:sz w:val="18"/>
                <w:szCs w:val="18"/>
                <w:lang w:eastAsia="en-GB"/>
                <w14:ligatures w14:val="none"/>
              </w:rPr>
              <w:t>]</w:t>
            </w:r>
            <w:r w:rsidR="00383638" w:rsidRPr="00383638">
              <w:rPr>
                <w:rFonts w:asciiTheme="majorHAnsi" w:eastAsia="Times New Roman" w:hAnsiTheme="majorHAnsi" w:cs="Calibri"/>
                <w:color w:val="000000"/>
                <w:kern w:val="0"/>
                <w:sz w:val="18"/>
                <w:szCs w:val="18"/>
                <w:lang w:eastAsia="en-GB"/>
                <w14:ligatures w14:val="none"/>
              </w:rPr>
              <w:t xml:space="preserve">F-MK-6241, </w:t>
            </w:r>
            <w:r>
              <w:rPr>
                <w:rFonts w:asciiTheme="majorHAnsi" w:eastAsia="Times New Roman" w:hAnsiTheme="majorHAnsi" w:cs="Calibri"/>
                <w:color w:val="000000"/>
                <w:kern w:val="0"/>
                <w:sz w:val="18"/>
                <w:szCs w:val="18"/>
                <w:lang w:eastAsia="en-GB"/>
                <w14:ligatures w14:val="none"/>
              </w:rPr>
              <w:t>[11C]-PiB</w:t>
            </w:r>
          </w:p>
        </w:tc>
        <w:tc>
          <w:tcPr>
            <w:tcW w:w="517" w:type="pct"/>
            <w:tcBorders>
              <w:top w:val="nil"/>
              <w:left w:val="nil"/>
              <w:bottom w:val="single" w:sz="4" w:space="0" w:color="auto"/>
              <w:right w:val="single" w:sz="4" w:space="0" w:color="auto"/>
            </w:tcBorders>
            <w:shd w:val="clear" w:color="auto" w:fill="auto"/>
            <w:noWrap/>
            <w:vAlign w:val="center"/>
            <w:hideMark/>
          </w:tcPr>
          <w:p w14:paraId="5F249296"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SUVR</w:t>
            </w:r>
          </w:p>
        </w:tc>
        <w:tc>
          <w:tcPr>
            <w:tcW w:w="449" w:type="pct"/>
            <w:tcBorders>
              <w:top w:val="nil"/>
              <w:left w:val="nil"/>
              <w:bottom w:val="single" w:sz="4" w:space="0" w:color="auto"/>
              <w:right w:val="single" w:sz="4" w:space="0" w:color="auto"/>
            </w:tcBorders>
            <w:shd w:val="clear" w:color="auto" w:fill="auto"/>
            <w:noWrap/>
            <w:vAlign w:val="center"/>
            <w:hideMark/>
          </w:tcPr>
          <w:p w14:paraId="19186B85"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CS, </w:t>
            </w:r>
            <w:r w:rsidRPr="00383638">
              <w:rPr>
                <w:rFonts w:asciiTheme="majorHAnsi" w:eastAsia="Times New Roman" w:hAnsiTheme="majorHAnsi" w:cs="Calibri"/>
                <w:color w:val="000000"/>
                <w:kern w:val="0"/>
                <w:sz w:val="18"/>
                <w:szCs w:val="18"/>
                <w:lang w:eastAsia="en-GB"/>
                <w14:ligatures w14:val="none"/>
              </w:rPr>
              <w:br/>
              <w:t>inferior CBL Cx</w:t>
            </w:r>
          </w:p>
        </w:tc>
      </w:tr>
      <w:tr w:rsidR="003B106A" w:rsidRPr="003B106A" w14:paraId="3D2A33D8" w14:textId="77777777" w:rsidTr="003B106A">
        <w:trPr>
          <w:trHeight w:val="64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626F2B5E"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bvFTD</w:t>
            </w:r>
          </w:p>
        </w:tc>
        <w:tc>
          <w:tcPr>
            <w:tcW w:w="488" w:type="pct"/>
            <w:tcBorders>
              <w:top w:val="nil"/>
              <w:left w:val="nil"/>
              <w:bottom w:val="single" w:sz="4" w:space="0" w:color="auto"/>
              <w:right w:val="single" w:sz="4" w:space="0" w:color="auto"/>
            </w:tcBorders>
            <w:shd w:val="clear" w:color="auto" w:fill="auto"/>
            <w:vAlign w:val="center"/>
            <w:hideMark/>
          </w:tcPr>
          <w:p w14:paraId="5DDF9EF2" w14:textId="78B2AEEA"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Malpetti (2022)</w:t>
            </w:r>
            <w:r w:rsidR="00181D2E">
              <w:rPr>
                <w:rFonts w:asciiTheme="majorHAnsi" w:eastAsia="Times New Roman" w:hAnsiTheme="majorHAnsi" w:cs="Calibri"/>
                <w:color w:val="000000"/>
                <w:kern w:val="0"/>
                <w:sz w:val="18"/>
                <w:szCs w:val="18"/>
                <w:vertAlign w:val="superscript"/>
                <w:lang w:eastAsia="en-GB"/>
                <w14:ligatures w14:val="none"/>
              </w:rPr>
              <w:t>57</w:t>
            </w:r>
          </w:p>
        </w:tc>
        <w:tc>
          <w:tcPr>
            <w:tcW w:w="536" w:type="pct"/>
            <w:tcBorders>
              <w:top w:val="nil"/>
              <w:left w:val="nil"/>
              <w:bottom w:val="single" w:sz="4" w:space="0" w:color="auto"/>
              <w:right w:val="single" w:sz="4" w:space="0" w:color="auto"/>
            </w:tcBorders>
            <w:shd w:val="clear" w:color="auto" w:fill="auto"/>
            <w:vAlign w:val="center"/>
            <w:hideMark/>
          </w:tcPr>
          <w:p w14:paraId="66E19609"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7745B53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484669BB"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bvFTD=11, HC=25</w:t>
            </w:r>
          </w:p>
        </w:tc>
        <w:tc>
          <w:tcPr>
            <w:tcW w:w="724" w:type="pct"/>
            <w:tcBorders>
              <w:top w:val="nil"/>
              <w:left w:val="nil"/>
              <w:bottom w:val="single" w:sz="4" w:space="0" w:color="auto"/>
              <w:right w:val="single" w:sz="4" w:space="0" w:color="auto"/>
            </w:tcBorders>
            <w:shd w:val="clear" w:color="auto" w:fill="auto"/>
            <w:vAlign w:val="center"/>
            <w:hideMark/>
          </w:tcPr>
          <w:p w14:paraId="505307EB"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bvFTD=65.7 ±9.3, HC=70.2 ±7</w:t>
            </w:r>
          </w:p>
        </w:tc>
        <w:tc>
          <w:tcPr>
            <w:tcW w:w="673" w:type="pct"/>
            <w:tcBorders>
              <w:top w:val="nil"/>
              <w:left w:val="nil"/>
              <w:bottom w:val="single" w:sz="4" w:space="0" w:color="auto"/>
              <w:right w:val="single" w:sz="4" w:space="0" w:color="auto"/>
            </w:tcBorders>
            <w:shd w:val="clear" w:color="auto" w:fill="auto"/>
            <w:vAlign w:val="center"/>
            <w:hideMark/>
          </w:tcPr>
          <w:p w14:paraId="1C63AC2C" w14:textId="61C999A2"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hideMark/>
          </w:tcPr>
          <w:p w14:paraId="36D0D9BE"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BPnd</w:t>
            </w:r>
          </w:p>
        </w:tc>
        <w:tc>
          <w:tcPr>
            <w:tcW w:w="449" w:type="pct"/>
            <w:tcBorders>
              <w:top w:val="nil"/>
              <w:left w:val="nil"/>
              <w:bottom w:val="single" w:sz="4" w:space="0" w:color="auto"/>
              <w:right w:val="single" w:sz="4" w:space="0" w:color="auto"/>
            </w:tcBorders>
            <w:shd w:val="clear" w:color="auto" w:fill="auto"/>
            <w:noWrap/>
            <w:vAlign w:val="center"/>
            <w:hideMark/>
          </w:tcPr>
          <w:p w14:paraId="053E2BFD"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7D98A8A5" w14:textId="77777777" w:rsidTr="003B106A">
        <w:trPr>
          <w:trHeight w:val="64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1713C262"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FTD/AD</w:t>
            </w:r>
          </w:p>
        </w:tc>
        <w:tc>
          <w:tcPr>
            <w:tcW w:w="488" w:type="pct"/>
            <w:tcBorders>
              <w:top w:val="nil"/>
              <w:left w:val="nil"/>
              <w:bottom w:val="single" w:sz="4" w:space="0" w:color="auto"/>
              <w:right w:val="single" w:sz="4" w:space="0" w:color="auto"/>
            </w:tcBorders>
            <w:shd w:val="clear" w:color="auto" w:fill="auto"/>
            <w:vAlign w:val="center"/>
            <w:hideMark/>
          </w:tcPr>
          <w:p w14:paraId="6C14E611" w14:textId="408F1F41"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Salmon (2021)</w:t>
            </w:r>
            <w:r w:rsidR="00181D2E">
              <w:rPr>
                <w:rFonts w:asciiTheme="majorHAnsi" w:eastAsia="Times New Roman" w:hAnsiTheme="majorHAnsi" w:cs="Calibri"/>
                <w:color w:val="000000"/>
                <w:kern w:val="0"/>
                <w:sz w:val="18"/>
                <w:szCs w:val="18"/>
                <w:vertAlign w:val="superscript"/>
                <w:lang w:eastAsia="en-GB"/>
                <w14:ligatures w14:val="none"/>
              </w:rPr>
              <w:t>58</w:t>
            </w:r>
          </w:p>
        </w:tc>
        <w:tc>
          <w:tcPr>
            <w:tcW w:w="536" w:type="pct"/>
            <w:tcBorders>
              <w:top w:val="nil"/>
              <w:left w:val="nil"/>
              <w:bottom w:val="single" w:sz="4" w:space="0" w:color="auto"/>
              <w:right w:val="single" w:sz="4" w:space="0" w:color="auto"/>
            </w:tcBorders>
            <w:shd w:val="clear" w:color="auto" w:fill="auto"/>
            <w:vAlign w:val="center"/>
            <w:hideMark/>
          </w:tcPr>
          <w:p w14:paraId="78CB0A6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205B8875" w14:textId="3AA1B10F"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Bastin (2020</w:t>
            </w:r>
            <w:r w:rsidR="00EB57AD" w:rsidRPr="00EB57AD">
              <w:rPr>
                <w:rFonts w:asciiTheme="majorHAnsi" w:eastAsia="Times New Roman" w:hAnsiTheme="majorHAnsi" w:cs="Calibri"/>
                <w:color w:val="000000"/>
                <w:kern w:val="0"/>
                <w:sz w:val="18"/>
                <w:szCs w:val="18"/>
                <w:lang w:eastAsia="en-GB"/>
                <w14:ligatures w14:val="none"/>
              </w:rPr>
              <w:t>)</w:t>
            </w:r>
            <w:r w:rsidR="00181D2E">
              <w:rPr>
                <w:rFonts w:asciiTheme="majorHAnsi" w:eastAsia="Times New Roman" w:hAnsiTheme="majorHAnsi" w:cs="Calibri"/>
                <w:color w:val="000000"/>
                <w:kern w:val="0"/>
                <w:sz w:val="18"/>
                <w:szCs w:val="18"/>
                <w:vertAlign w:val="superscript"/>
                <w:lang w:eastAsia="en-GB"/>
                <w14:ligatures w14:val="none"/>
              </w:rPr>
              <w:t>42</w:t>
            </w:r>
          </w:p>
        </w:tc>
        <w:tc>
          <w:tcPr>
            <w:tcW w:w="673" w:type="pct"/>
            <w:tcBorders>
              <w:top w:val="nil"/>
              <w:left w:val="nil"/>
              <w:bottom w:val="single" w:sz="4" w:space="0" w:color="auto"/>
              <w:right w:val="single" w:sz="4" w:space="0" w:color="auto"/>
            </w:tcBorders>
            <w:shd w:val="clear" w:color="auto" w:fill="auto"/>
            <w:vAlign w:val="center"/>
            <w:hideMark/>
          </w:tcPr>
          <w:p w14:paraId="728EC565"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bvFTD=12, HC=12, AD=12</w:t>
            </w:r>
          </w:p>
        </w:tc>
        <w:tc>
          <w:tcPr>
            <w:tcW w:w="724" w:type="pct"/>
            <w:tcBorders>
              <w:top w:val="nil"/>
              <w:left w:val="nil"/>
              <w:bottom w:val="single" w:sz="4" w:space="0" w:color="auto"/>
              <w:right w:val="single" w:sz="4" w:space="0" w:color="auto"/>
            </w:tcBorders>
            <w:shd w:val="clear" w:color="auto" w:fill="auto"/>
            <w:vAlign w:val="center"/>
            <w:hideMark/>
          </w:tcPr>
          <w:p w14:paraId="34A85AD3" w14:textId="77777777" w:rsidR="00296C06"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bvFTD=73.5, </w:t>
            </w:r>
          </w:p>
          <w:p w14:paraId="6A37AC2D" w14:textId="09E1C0A6"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AD=74.1, HC=71.4</w:t>
            </w:r>
          </w:p>
        </w:tc>
        <w:tc>
          <w:tcPr>
            <w:tcW w:w="673" w:type="pct"/>
            <w:tcBorders>
              <w:top w:val="nil"/>
              <w:left w:val="nil"/>
              <w:bottom w:val="single" w:sz="4" w:space="0" w:color="auto"/>
              <w:right w:val="single" w:sz="4" w:space="0" w:color="auto"/>
            </w:tcBorders>
            <w:shd w:val="clear" w:color="auto" w:fill="auto"/>
            <w:vAlign w:val="center"/>
            <w:hideMark/>
          </w:tcPr>
          <w:p w14:paraId="74D5172E" w14:textId="348D59CC"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[18F]-UCB-H</w:t>
            </w:r>
          </w:p>
        </w:tc>
        <w:tc>
          <w:tcPr>
            <w:tcW w:w="517" w:type="pct"/>
            <w:tcBorders>
              <w:top w:val="nil"/>
              <w:left w:val="nil"/>
              <w:bottom w:val="single" w:sz="4" w:space="0" w:color="auto"/>
              <w:right w:val="single" w:sz="4" w:space="0" w:color="auto"/>
            </w:tcBorders>
            <w:shd w:val="clear" w:color="auto" w:fill="auto"/>
            <w:noWrap/>
            <w:vAlign w:val="center"/>
            <w:hideMark/>
          </w:tcPr>
          <w:p w14:paraId="2DE741F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Vt</w:t>
            </w:r>
          </w:p>
        </w:tc>
        <w:tc>
          <w:tcPr>
            <w:tcW w:w="449" w:type="pct"/>
            <w:tcBorders>
              <w:top w:val="nil"/>
              <w:left w:val="nil"/>
              <w:bottom w:val="single" w:sz="4" w:space="0" w:color="auto"/>
              <w:right w:val="single" w:sz="4" w:space="0" w:color="auto"/>
            </w:tcBorders>
            <w:shd w:val="clear" w:color="auto" w:fill="auto"/>
            <w:noWrap/>
            <w:vAlign w:val="center"/>
            <w:hideMark/>
          </w:tcPr>
          <w:p w14:paraId="1BD96231"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NA, used image-derived AIF</w:t>
            </w:r>
          </w:p>
        </w:tc>
      </w:tr>
      <w:tr w:rsidR="003B106A" w:rsidRPr="003B106A" w14:paraId="24AD0509" w14:textId="77777777" w:rsidTr="003B106A">
        <w:trPr>
          <w:trHeight w:val="1280"/>
        </w:trPr>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14:paraId="648AC0A5"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HD</w:t>
            </w:r>
          </w:p>
        </w:tc>
        <w:tc>
          <w:tcPr>
            <w:tcW w:w="488" w:type="pct"/>
            <w:tcBorders>
              <w:top w:val="nil"/>
              <w:left w:val="nil"/>
              <w:bottom w:val="single" w:sz="4" w:space="0" w:color="auto"/>
              <w:right w:val="single" w:sz="4" w:space="0" w:color="auto"/>
            </w:tcBorders>
            <w:shd w:val="clear" w:color="auto" w:fill="auto"/>
            <w:vAlign w:val="center"/>
            <w:hideMark/>
          </w:tcPr>
          <w:p w14:paraId="3A0D59C6" w14:textId="55B51FE5"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Delva (2022a)</w:t>
            </w:r>
            <w:r w:rsidR="00181D2E">
              <w:rPr>
                <w:rFonts w:asciiTheme="majorHAnsi" w:eastAsia="Times New Roman" w:hAnsiTheme="majorHAnsi" w:cs="Calibri"/>
                <w:color w:val="000000"/>
                <w:kern w:val="0"/>
                <w:sz w:val="18"/>
                <w:szCs w:val="18"/>
                <w:vertAlign w:val="superscript"/>
                <w:lang w:eastAsia="en-GB"/>
                <w14:ligatures w14:val="none"/>
              </w:rPr>
              <w:t>59</w:t>
            </w:r>
          </w:p>
        </w:tc>
        <w:tc>
          <w:tcPr>
            <w:tcW w:w="536" w:type="pct"/>
            <w:tcBorders>
              <w:top w:val="nil"/>
              <w:left w:val="nil"/>
              <w:bottom w:val="single" w:sz="4" w:space="0" w:color="auto"/>
              <w:right w:val="single" w:sz="4" w:space="0" w:color="auto"/>
            </w:tcBorders>
            <w:shd w:val="clear" w:color="auto" w:fill="auto"/>
            <w:vAlign w:val="center"/>
            <w:hideMark/>
          </w:tcPr>
          <w:p w14:paraId="2D39E6FC"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 longitudinal</w:t>
            </w:r>
          </w:p>
        </w:tc>
        <w:tc>
          <w:tcPr>
            <w:tcW w:w="517" w:type="pct"/>
            <w:tcBorders>
              <w:top w:val="nil"/>
              <w:left w:val="nil"/>
              <w:bottom w:val="single" w:sz="4" w:space="0" w:color="auto"/>
              <w:right w:val="single" w:sz="4" w:space="0" w:color="auto"/>
            </w:tcBorders>
            <w:shd w:val="clear" w:color="auto" w:fill="auto"/>
            <w:vAlign w:val="center"/>
            <w:hideMark/>
          </w:tcPr>
          <w:p w14:paraId="215F1429"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57952EB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HD=18, (pmHD=7, mHD=11), HC=15</w:t>
            </w:r>
          </w:p>
        </w:tc>
        <w:tc>
          <w:tcPr>
            <w:tcW w:w="724" w:type="pct"/>
            <w:tcBorders>
              <w:top w:val="nil"/>
              <w:left w:val="nil"/>
              <w:bottom w:val="single" w:sz="4" w:space="0" w:color="auto"/>
              <w:right w:val="single" w:sz="4" w:space="0" w:color="auto"/>
            </w:tcBorders>
            <w:shd w:val="clear" w:color="auto" w:fill="auto"/>
            <w:vAlign w:val="center"/>
            <w:hideMark/>
          </w:tcPr>
          <w:p w14:paraId="112E7A8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HD=51.4 ±11.6 (pmHD=45.0 ±11.6, mHD=55.2 ±9.6), HC=52.3 ±3.5</w:t>
            </w:r>
          </w:p>
        </w:tc>
        <w:tc>
          <w:tcPr>
            <w:tcW w:w="673" w:type="pct"/>
            <w:tcBorders>
              <w:top w:val="nil"/>
              <w:left w:val="nil"/>
              <w:bottom w:val="single" w:sz="4" w:space="0" w:color="auto"/>
              <w:right w:val="single" w:sz="4" w:space="0" w:color="auto"/>
            </w:tcBorders>
            <w:shd w:val="clear" w:color="auto" w:fill="auto"/>
            <w:vAlign w:val="center"/>
            <w:hideMark/>
          </w:tcPr>
          <w:p w14:paraId="3F1E4DAD" w14:textId="36518555"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br/>
            </w:r>
            <w:r w:rsidR="001878CE">
              <w:rPr>
                <w:rFonts w:asciiTheme="majorHAnsi" w:eastAsia="Times New Roman" w:hAnsiTheme="majorHAnsi" w:cs="Calibri"/>
                <w:color w:val="000000"/>
                <w:kern w:val="0"/>
                <w:sz w:val="18"/>
                <w:szCs w:val="18"/>
                <w:lang w:eastAsia="en-GB"/>
                <w14:ligatures w14:val="none"/>
              </w:rPr>
              <w:t>[18F]-FDG</w:t>
            </w:r>
          </w:p>
        </w:tc>
        <w:tc>
          <w:tcPr>
            <w:tcW w:w="517" w:type="pct"/>
            <w:tcBorders>
              <w:top w:val="nil"/>
              <w:left w:val="nil"/>
              <w:bottom w:val="single" w:sz="4" w:space="0" w:color="auto"/>
              <w:right w:val="single" w:sz="4" w:space="0" w:color="auto"/>
            </w:tcBorders>
            <w:shd w:val="clear" w:color="auto" w:fill="auto"/>
            <w:noWrap/>
            <w:vAlign w:val="center"/>
            <w:hideMark/>
          </w:tcPr>
          <w:p w14:paraId="0896C323"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SUVR</w:t>
            </w:r>
          </w:p>
        </w:tc>
        <w:tc>
          <w:tcPr>
            <w:tcW w:w="449" w:type="pct"/>
            <w:tcBorders>
              <w:top w:val="nil"/>
              <w:left w:val="nil"/>
              <w:bottom w:val="single" w:sz="4" w:space="0" w:color="auto"/>
              <w:right w:val="single" w:sz="4" w:space="0" w:color="auto"/>
            </w:tcBorders>
            <w:shd w:val="clear" w:color="auto" w:fill="auto"/>
            <w:noWrap/>
            <w:vAlign w:val="center"/>
            <w:hideMark/>
          </w:tcPr>
          <w:p w14:paraId="1AC8CEA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0A5D5982" w14:textId="77777777" w:rsidTr="003B106A">
        <w:trPr>
          <w:trHeight w:val="640"/>
        </w:trPr>
        <w:tc>
          <w:tcPr>
            <w:tcW w:w="422" w:type="pct"/>
            <w:vMerge/>
            <w:tcBorders>
              <w:top w:val="nil"/>
              <w:left w:val="single" w:sz="4" w:space="0" w:color="auto"/>
              <w:bottom w:val="single" w:sz="4" w:space="0" w:color="auto"/>
              <w:right w:val="single" w:sz="4" w:space="0" w:color="auto"/>
            </w:tcBorders>
            <w:vAlign w:val="center"/>
            <w:hideMark/>
          </w:tcPr>
          <w:p w14:paraId="1CA6E35E"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496D505C" w14:textId="300625E3"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Delva (2023)</w:t>
            </w:r>
            <w:r w:rsidR="00181D2E">
              <w:rPr>
                <w:rFonts w:asciiTheme="majorHAnsi" w:eastAsia="Times New Roman" w:hAnsiTheme="majorHAnsi" w:cs="Calibri"/>
                <w:color w:val="000000"/>
                <w:kern w:val="0"/>
                <w:sz w:val="18"/>
                <w:szCs w:val="18"/>
                <w:vertAlign w:val="superscript"/>
                <w:lang w:eastAsia="en-GB"/>
                <w14:ligatures w14:val="none"/>
              </w:rPr>
              <w:t>60</w:t>
            </w:r>
          </w:p>
        </w:tc>
        <w:tc>
          <w:tcPr>
            <w:tcW w:w="536" w:type="pct"/>
            <w:tcBorders>
              <w:top w:val="nil"/>
              <w:left w:val="nil"/>
              <w:bottom w:val="single" w:sz="4" w:space="0" w:color="auto"/>
              <w:right w:val="single" w:sz="4" w:space="0" w:color="auto"/>
            </w:tcBorders>
            <w:shd w:val="clear" w:color="auto" w:fill="auto"/>
            <w:vAlign w:val="center"/>
            <w:hideMark/>
          </w:tcPr>
          <w:p w14:paraId="01B0B0A4"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 longitudinal</w:t>
            </w:r>
          </w:p>
        </w:tc>
        <w:tc>
          <w:tcPr>
            <w:tcW w:w="517" w:type="pct"/>
            <w:tcBorders>
              <w:top w:val="nil"/>
              <w:left w:val="nil"/>
              <w:bottom w:val="single" w:sz="4" w:space="0" w:color="auto"/>
              <w:right w:val="single" w:sz="4" w:space="0" w:color="auto"/>
            </w:tcBorders>
            <w:shd w:val="clear" w:color="auto" w:fill="auto"/>
            <w:vAlign w:val="center"/>
            <w:hideMark/>
          </w:tcPr>
          <w:p w14:paraId="72754789" w14:textId="4FB85AF4"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Delva (2022a)</w:t>
            </w:r>
            <w:r w:rsidR="00181D2E">
              <w:rPr>
                <w:rFonts w:asciiTheme="majorHAnsi" w:eastAsia="Times New Roman" w:hAnsiTheme="majorHAnsi" w:cs="Calibri"/>
                <w:color w:val="000000"/>
                <w:kern w:val="0"/>
                <w:sz w:val="18"/>
                <w:szCs w:val="18"/>
                <w:vertAlign w:val="superscript"/>
                <w:lang w:eastAsia="en-GB"/>
                <w14:ligatures w14:val="none"/>
              </w:rPr>
              <w:t>59</w:t>
            </w:r>
          </w:p>
        </w:tc>
        <w:tc>
          <w:tcPr>
            <w:tcW w:w="673" w:type="pct"/>
            <w:tcBorders>
              <w:top w:val="nil"/>
              <w:left w:val="nil"/>
              <w:bottom w:val="single" w:sz="4" w:space="0" w:color="auto"/>
              <w:right w:val="single" w:sz="4" w:space="0" w:color="auto"/>
            </w:tcBorders>
            <w:shd w:val="clear" w:color="auto" w:fill="auto"/>
            <w:vAlign w:val="center"/>
            <w:hideMark/>
          </w:tcPr>
          <w:p w14:paraId="1846495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HD=17 (pmHD=6, mHD=11), HC=13</w:t>
            </w:r>
          </w:p>
        </w:tc>
        <w:tc>
          <w:tcPr>
            <w:tcW w:w="724" w:type="pct"/>
            <w:tcBorders>
              <w:top w:val="nil"/>
              <w:left w:val="nil"/>
              <w:bottom w:val="single" w:sz="4" w:space="0" w:color="auto"/>
              <w:right w:val="single" w:sz="4" w:space="0" w:color="auto"/>
            </w:tcBorders>
            <w:shd w:val="clear" w:color="auto" w:fill="auto"/>
            <w:vAlign w:val="center"/>
            <w:hideMark/>
          </w:tcPr>
          <w:p w14:paraId="5BEBDEA0" w14:textId="77777777" w:rsidR="00296C06"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(at followup) HC=54.4 ±3.7, </w:t>
            </w:r>
          </w:p>
          <w:p w14:paraId="5B7733BD" w14:textId="39B1252C"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HD=52.9 ±12.2</w:t>
            </w:r>
          </w:p>
        </w:tc>
        <w:tc>
          <w:tcPr>
            <w:tcW w:w="673" w:type="pct"/>
            <w:tcBorders>
              <w:top w:val="nil"/>
              <w:left w:val="nil"/>
              <w:bottom w:val="single" w:sz="4" w:space="0" w:color="auto"/>
              <w:right w:val="single" w:sz="4" w:space="0" w:color="auto"/>
            </w:tcBorders>
            <w:shd w:val="clear" w:color="auto" w:fill="auto"/>
            <w:vAlign w:val="center"/>
            <w:hideMark/>
          </w:tcPr>
          <w:p w14:paraId="0708C3EA" w14:textId="4FADF23B"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br/>
            </w:r>
            <w:r w:rsidR="001878CE">
              <w:rPr>
                <w:rFonts w:asciiTheme="majorHAnsi" w:eastAsia="Times New Roman" w:hAnsiTheme="majorHAnsi" w:cs="Calibri"/>
                <w:color w:val="000000"/>
                <w:kern w:val="0"/>
                <w:sz w:val="18"/>
                <w:szCs w:val="18"/>
                <w:lang w:eastAsia="en-GB"/>
                <w14:ligatures w14:val="none"/>
              </w:rPr>
              <w:t>[18F]-FDG</w:t>
            </w:r>
          </w:p>
        </w:tc>
        <w:tc>
          <w:tcPr>
            <w:tcW w:w="517" w:type="pct"/>
            <w:tcBorders>
              <w:top w:val="nil"/>
              <w:left w:val="nil"/>
              <w:bottom w:val="single" w:sz="4" w:space="0" w:color="auto"/>
              <w:right w:val="single" w:sz="4" w:space="0" w:color="auto"/>
            </w:tcBorders>
            <w:shd w:val="clear" w:color="auto" w:fill="auto"/>
            <w:noWrap/>
            <w:vAlign w:val="center"/>
            <w:hideMark/>
          </w:tcPr>
          <w:p w14:paraId="76508AD9"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SUVR-1</w:t>
            </w:r>
          </w:p>
        </w:tc>
        <w:tc>
          <w:tcPr>
            <w:tcW w:w="449" w:type="pct"/>
            <w:tcBorders>
              <w:top w:val="nil"/>
              <w:left w:val="nil"/>
              <w:bottom w:val="single" w:sz="4" w:space="0" w:color="auto"/>
              <w:right w:val="single" w:sz="4" w:space="0" w:color="auto"/>
            </w:tcBorders>
            <w:shd w:val="clear" w:color="auto" w:fill="auto"/>
            <w:noWrap/>
            <w:vAlign w:val="center"/>
            <w:hideMark/>
          </w:tcPr>
          <w:p w14:paraId="0AEB926F"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17243B50" w14:textId="77777777" w:rsidTr="003B106A">
        <w:trPr>
          <w:trHeight w:val="64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3A3F9802"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LBD</w:t>
            </w:r>
          </w:p>
        </w:tc>
        <w:tc>
          <w:tcPr>
            <w:tcW w:w="488" w:type="pct"/>
            <w:tcBorders>
              <w:top w:val="nil"/>
              <w:left w:val="nil"/>
              <w:bottom w:val="single" w:sz="4" w:space="0" w:color="auto"/>
              <w:right w:val="single" w:sz="4" w:space="0" w:color="auto"/>
            </w:tcBorders>
            <w:shd w:val="clear" w:color="auto" w:fill="auto"/>
            <w:vAlign w:val="center"/>
            <w:hideMark/>
          </w:tcPr>
          <w:p w14:paraId="34B75F04" w14:textId="782F71BA"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Nicastro (2020)</w:t>
            </w:r>
            <w:r w:rsidR="00181D2E">
              <w:rPr>
                <w:rFonts w:asciiTheme="majorHAnsi" w:eastAsia="Times New Roman" w:hAnsiTheme="majorHAnsi" w:cs="Calibri"/>
                <w:color w:val="000000"/>
                <w:kern w:val="0"/>
                <w:sz w:val="18"/>
                <w:szCs w:val="18"/>
                <w:vertAlign w:val="superscript"/>
                <w:lang w:eastAsia="en-GB"/>
                <w14:ligatures w14:val="none"/>
              </w:rPr>
              <w:t>61</w:t>
            </w:r>
          </w:p>
        </w:tc>
        <w:tc>
          <w:tcPr>
            <w:tcW w:w="536" w:type="pct"/>
            <w:tcBorders>
              <w:top w:val="nil"/>
              <w:left w:val="nil"/>
              <w:bottom w:val="single" w:sz="4" w:space="0" w:color="auto"/>
              <w:right w:val="single" w:sz="4" w:space="0" w:color="auto"/>
            </w:tcBorders>
            <w:shd w:val="clear" w:color="auto" w:fill="auto"/>
            <w:vAlign w:val="center"/>
            <w:hideMark/>
          </w:tcPr>
          <w:p w14:paraId="79C4F192"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13745512"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70F03DB9"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LBD=2 (Aβ+: 1, Aβ-:1), HC=10</w:t>
            </w:r>
          </w:p>
        </w:tc>
        <w:tc>
          <w:tcPr>
            <w:tcW w:w="724" w:type="pct"/>
            <w:tcBorders>
              <w:top w:val="nil"/>
              <w:left w:val="nil"/>
              <w:bottom w:val="single" w:sz="4" w:space="0" w:color="auto"/>
              <w:right w:val="single" w:sz="4" w:space="0" w:color="auto"/>
            </w:tcBorders>
            <w:shd w:val="clear" w:color="auto" w:fill="auto"/>
            <w:vAlign w:val="center"/>
            <w:hideMark/>
          </w:tcPr>
          <w:p w14:paraId="638541AA" w14:textId="77777777" w:rsidR="00296C06"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LBD=73, </w:t>
            </w:r>
          </w:p>
          <w:p w14:paraId="4B7CC629" w14:textId="02C89192"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 72.4 ±3.4</w:t>
            </w:r>
          </w:p>
        </w:tc>
        <w:tc>
          <w:tcPr>
            <w:tcW w:w="673" w:type="pct"/>
            <w:tcBorders>
              <w:top w:val="nil"/>
              <w:left w:val="nil"/>
              <w:bottom w:val="single" w:sz="4" w:space="0" w:color="auto"/>
              <w:right w:val="single" w:sz="4" w:space="0" w:color="auto"/>
            </w:tcBorders>
            <w:shd w:val="clear" w:color="auto" w:fill="auto"/>
            <w:vAlign w:val="center"/>
            <w:hideMark/>
          </w:tcPr>
          <w:p w14:paraId="06C74883" w14:textId="77777777" w:rsidR="00685177"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t xml:space="preserve"> </w:t>
            </w:r>
          </w:p>
          <w:p w14:paraId="6AD2A074" w14:textId="32EAECDC" w:rsidR="00685177"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w:t>
            </w:r>
            <w:r w:rsidR="00383638" w:rsidRPr="00383638">
              <w:rPr>
                <w:rFonts w:asciiTheme="majorHAnsi" w:eastAsia="Times New Roman" w:hAnsiTheme="majorHAnsi" w:cs="Calibri"/>
                <w:color w:val="000000"/>
                <w:kern w:val="0"/>
                <w:sz w:val="18"/>
                <w:szCs w:val="18"/>
                <w:lang w:eastAsia="en-GB"/>
                <w14:ligatures w14:val="none"/>
              </w:rPr>
              <w:t>18F</w:t>
            </w:r>
            <w:r>
              <w:rPr>
                <w:rFonts w:asciiTheme="majorHAnsi" w:eastAsia="Times New Roman" w:hAnsiTheme="majorHAnsi" w:cs="Calibri"/>
                <w:color w:val="000000"/>
                <w:kern w:val="0"/>
                <w:sz w:val="18"/>
                <w:szCs w:val="18"/>
                <w:lang w:eastAsia="en-GB"/>
                <w14:ligatures w14:val="none"/>
              </w:rPr>
              <w:t>]</w:t>
            </w:r>
            <w:r w:rsidR="00383638" w:rsidRPr="00383638">
              <w:rPr>
                <w:rFonts w:asciiTheme="majorHAnsi" w:eastAsia="Times New Roman" w:hAnsiTheme="majorHAnsi" w:cs="Calibri"/>
                <w:color w:val="000000"/>
                <w:kern w:val="0"/>
                <w:sz w:val="18"/>
                <w:szCs w:val="18"/>
                <w:lang w:eastAsia="en-GB"/>
                <w14:ligatures w14:val="none"/>
              </w:rPr>
              <w:t xml:space="preserve">-AV1451, </w:t>
            </w:r>
          </w:p>
          <w:p w14:paraId="0CCAF893" w14:textId="26356E3B"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[11C]-PiB</w:t>
            </w:r>
          </w:p>
        </w:tc>
        <w:tc>
          <w:tcPr>
            <w:tcW w:w="517" w:type="pct"/>
            <w:tcBorders>
              <w:top w:val="nil"/>
              <w:left w:val="nil"/>
              <w:bottom w:val="single" w:sz="4" w:space="0" w:color="auto"/>
              <w:right w:val="single" w:sz="4" w:space="0" w:color="auto"/>
            </w:tcBorders>
            <w:shd w:val="clear" w:color="auto" w:fill="auto"/>
            <w:noWrap/>
            <w:vAlign w:val="center"/>
            <w:hideMark/>
          </w:tcPr>
          <w:p w14:paraId="61AEE589"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BPND</w:t>
            </w:r>
          </w:p>
        </w:tc>
        <w:tc>
          <w:tcPr>
            <w:tcW w:w="449" w:type="pct"/>
            <w:tcBorders>
              <w:top w:val="nil"/>
              <w:left w:val="nil"/>
              <w:bottom w:val="single" w:sz="4" w:space="0" w:color="auto"/>
              <w:right w:val="single" w:sz="4" w:space="0" w:color="auto"/>
            </w:tcBorders>
            <w:shd w:val="clear" w:color="auto" w:fill="auto"/>
            <w:noWrap/>
            <w:vAlign w:val="center"/>
            <w:hideMark/>
          </w:tcPr>
          <w:p w14:paraId="0DA89336"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CBL GM</w:t>
            </w:r>
          </w:p>
        </w:tc>
      </w:tr>
      <w:tr w:rsidR="003B106A" w:rsidRPr="003B106A" w14:paraId="71F4626F" w14:textId="77777777" w:rsidTr="003B106A">
        <w:trPr>
          <w:trHeight w:val="960"/>
        </w:trPr>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14:paraId="6404247B"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lastRenderedPageBreak/>
              <w:t>LBD, PD</w:t>
            </w:r>
          </w:p>
        </w:tc>
        <w:tc>
          <w:tcPr>
            <w:tcW w:w="488" w:type="pct"/>
            <w:tcBorders>
              <w:top w:val="nil"/>
              <w:left w:val="nil"/>
              <w:bottom w:val="single" w:sz="4" w:space="0" w:color="auto"/>
              <w:right w:val="single" w:sz="4" w:space="0" w:color="auto"/>
            </w:tcBorders>
            <w:shd w:val="clear" w:color="auto" w:fill="auto"/>
            <w:vAlign w:val="center"/>
            <w:hideMark/>
          </w:tcPr>
          <w:p w14:paraId="0DF87A46" w14:textId="31847778"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Andersen (2021)</w:t>
            </w:r>
            <w:r w:rsidR="00181D2E">
              <w:rPr>
                <w:rFonts w:asciiTheme="majorHAnsi" w:eastAsia="Times New Roman" w:hAnsiTheme="majorHAnsi" w:cs="Calibri"/>
                <w:color w:val="000000"/>
                <w:kern w:val="0"/>
                <w:sz w:val="18"/>
                <w:szCs w:val="18"/>
                <w:vertAlign w:val="superscript"/>
                <w:lang w:eastAsia="en-GB"/>
                <w14:ligatures w14:val="none"/>
              </w:rPr>
              <w:t>62</w:t>
            </w:r>
          </w:p>
        </w:tc>
        <w:tc>
          <w:tcPr>
            <w:tcW w:w="536" w:type="pct"/>
            <w:tcBorders>
              <w:top w:val="nil"/>
              <w:left w:val="nil"/>
              <w:bottom w:val="single" w:sz="4" w:space="0" w:color="auto"/>
              <w:right w:val="single" w:sz="4" w:space="0" w:color="auto"/>
            </w:tcBorders>
            <w:shd w:val="clear" w:color="auto" w:fill="auto"/>
            <w:vAlign w:val="center"/>
            <w:hideMark/>
          </w:tcPr>
          <w:p w14:paraId="10777F03"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535056AD"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4C1A1AB7"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HC=15, nPD=21, DLB/PDD=13(9/4)</w:t>
            </w:r>
          </w:p>
        </w:tc>
        <w:tc>
          <w:tcPr>
            <w:tcW w:w="724" w:type="pct"/>
            <w:tcBorders>
              <w:top w:val="nil"/>
              <w:left w:val="nil"/>
              <w:bottom w:val="single" w:sz="4" w:space="0" w:color="auto"/>
              <w:right w:val="single" w:sz="4" w:space="0" w:color="auto"/>
            </w:tcBorders>
            <w:shd w:val="clear" w:color="auto" w:fill="auto"/>
            <w:vAlign w:val="center"/>
            <w:hideMark/>
          </w:tcPr>
          <w:p w14:paraId="207FBF97"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HC=72.4 ±4.2, nPD=71.1 ±6.4, DLB/PDD=74.3 ±4.7</w:t>
            </w:r>
          </w:p>
        </w:tc>
        <w:tc>
          <w:tcPr>
            <w:tcW w:w="673" w:type="pct"/>
            <w:tcBorders>
              <w:top w:val="nil"/>
              <w:left w:val="nil"/>
              <w:bottom w:val="single" w:sz="4" w:space="0" w:color="auto"/>
              <w:right w:val="single" w:sz="4" w:space="0" w:color="auto"/>
            </w:tcBorders>
            <w:shd w:val="clear" w:color="auto" w:fill="auto"/>
            <w:vAlign w:val="center"/>
            <w:hideMark/>
          </w:tcPr>
          <w:p w14:paraId="5FE5C6EA" w14:textId="3477E6E9"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hideMark/>
          </w:tcPr>
          <w:p w14:paraId="0D0CEEA8"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SUVR-1</w:t>
            </w:r>
          </w:p>
        </w:tc>
        <w:tc>
          <w:tcPr>
            <w:tcW w:w="449" w:type="pct"/>
            <w:tcBorders>
              <w:top w:val="nil"/>
              <w:left w:val="nil"/>
              <w:bottom w:val="single" w:sz="4" w:space="0" w:color="auto"/>
              <w:right w:val="single" w:sz="4" w:space="0" w:color="auto"/>
            </w:tcBorders>
            <w:shd w:val="clear" w:color="auto" w:fill="auto"/>
            <w:noWrap/>
            <w:vAlign w:val="center"/>
            <w:hideMark/>
          </w:tcPr>
          <w:p w14:paraId="442C48DF"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CBL WM,</w:t>
            </w:r>
            <w:r w:rsidRPr="00383638">
              <w:rPr>
                <w:rFonts w:asciiTheme="majorHAnsi" w:eastAsia="Times New Roman" w:hAnsiTheme="majorHAnsi" w:cs="Calibri"/>
                <w:color w:val="000000"/>
                <w:kern w:val="0"/>
                <w:sz w:val="18"/>
                <w:szCs w:val="18"/>
                <w:lang w:eastAsia="en-GB"/>
                <w14:ligatures w14:val="none"/>
              </w:rPr>
              <w:br/>
              <w:t>CS</w:t>
            </w:r>
          </w:p>
        </w:tc>
      </w:tr>
      <w:tr w:rsidR="003B106A" w:rsidRPr="003B106A" w14:paraId="64255010" w14:textId="77777777" w:rsidTr="003B106A">
        <w:trPr>
          <w:trHeight w:val="960"/>
        </w:trPr>
        <w:tc>
          <w:tcPr>
            <w:tcW w:w="422" w:type="pct"/>
            <w:vMerge/>
            <w:tcBorders>
              <w:top w:val="nil"/>
              <w:left w:val="single" w:sz="4" w:space="0" w:color="auto"/>
              <w:bottom w:val="single" w:sz="4" w:space="0" w:color="auto"/>
              <w:right w:val="single" w:sz="4" w:space="0" w:color="auto"/>
            </w:tcBorders>
            <w:vAlign w:val="center"/>
            <w:hideMark/>
          </w:tcPr>
          <w:p w14:paraId="47712AD8"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5B85774F" w14:textId="534DBC01"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Andersen (2023)</w:t>
            </w:r>
            <w:r w:rsidR="00181D2E">
              <w:rPr>
                <w:rFonts w:asciiTheme="majorHAnsi" w:eastAsia="Times New Roman" w:hAnsiTheme="majorHAnsi" w:cs="Calibri"/>
                <w:color w:val="000000"/>
                <w:kern w:val="0"/>
                <w:sz w:val="18"/>
                <w:szCs w:val="18"/>
                <w:vertAlign w:val="superscript"/>
                <w:lang w:eastAsia="en-GB"/>
                <w14:ligatures w14:val="none"/>
              </w:rPr>
              <w:t>63</w:t>
            </w:r>
          </w:p>
        </w:tc>
        <w:tc>
          <w:tcPr>
            <w:tcW w:w="536" w:type="pct"/>
            <w:tcBorders>
              <w:top w:val="nil"/>
              <w:left w:val="nil"/>
              <w:bottom w:val="single" w:sz="4" w:space="0" w:color="auto"/>
              <w:right w:val="single" w:sz="4" w:space="0" w:color="auto"/>
            </w:tcBorders>
            <w:shd w:val="clear" w:color="auto" w:fill="auto"/>
            <w:vAlign w:val="center"/>
            <w:hideMark/>
          </w:tcPr>
          <w:p w14:paraId="2A3EFF8C"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4DDE5C46" w14:textId="0A6EDE60"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Andersen (2021)</w:t>
            </w:r>
            <w:r w:rsidR="00181D2E">
              <w:rPr>
                <w:rFonts w:asciiTheme="majorHAnsi" w:eastAsia="Times New Roman" w:hAnsiTheme="majorHAnsi" w:cs="Calibri"/>
                <w:color w:val="000000"/>
                <w:kern w:val="0"/>
                <w:sz w:val="18"/>
                <w:szCs w:val="18"/>
                <w:vertAlign w:val="superscript"/>
                <w:lang w:eastAsia="en-GB"/>
                <w14:ligatures w14:val="none"/>
              </w:rPr>
              <w:t>62</w:t>
            </w:r>
          </w:p>
        </w:tc>
        <w:tc>
          <w:tcPr>
            <w:tcW w:w="673" w:type="pct"/>
            <w:tcBorders>
              <w:top w:val="nil"/>
              <w:left w:val="nil"/>
              <w:bottom w:val="single" w:sz="4" w:space="0" w:color="auto"/>
              <w:right w:val="single" w:sz="4" w:space="0" w:color="auto"/>
            </w:tcBorders>
            <w:shd w:val="clear" w:color="auto" w:fill="auto"/>
            <w:vAlign w:val="center"/>
            <w:hideMark/>
          </w:tcPr>
          <w:p w14:paraId="6686CF08"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FDG PET included: HC=15, nPD=29, DLB/PDD=7(3/4)</w:t>
            </w:r>
          </w:p>
        </w:tc>
        <w:tc>
          <w:tcPr>
            <w:tcW w:w="724" w:type="pct"/>
            <w:tcBorders>
              <w:top w:val="nil"/>
              <w:left w:val="nil"/>
              <w:bottom w:val="single" w:sz="4" w:space="0" w:color="auto"/>
              <w:right w:val="single" w:sz="4" w:space="0" w:color="auto"/>
            </w:tcBorders>
            <w:shd w:val="clear" w:color="auto" w:fill="auto"/>
            <w:vAlign w:val="center"/>
            <w:hideMark/>
          </w:tcPr>
          <w:p w14:paraId="5CC14B6F"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HC=72.4 ±4.2, nPD=71.1 ±6.4, DLB/PDD=74.3 ±4.7</w:t>
            </w:r>
          </w:p>
        </w:tc>
        <w:tc>
          <w:tcPr>
            <w:tcW w:w="673" w:type="pct"/>
            <w:tcBorders>
              <w:top w:val="nil"/>
              <w:left w:val="nil"/>
              <w:bottom w:val="single" w:sz="4" w:space="0" w:color="auto"/>
              <w:right w:val="single" w:sz="4" w:space="0" w:color="auto"/>
            </w:tcBorders>
            <w:shd w:val="clear" w:color="auto" w:fill="auto"/>
            <w:vAlign w:val="center"/>
            <w:hideMark/>
          </w:tcPr>
          <w:p w14:paraId="7E77BFE1" w14:textId="34E5CDCF"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br/>
            </w:r>
            <w:r w:rsidR="001878CE">
              <w:rPr>
                <w:rFonts w:asciiTheme="majorHAnsi" w:eastAsia="Times New Roman" w:hAnsiTheme="majorHAnsi" w:cs="Calibri"/>
                <w:color w:val="000000"/>
                <w:kern w:val="0"/>
                <w:sz w:val="18"/>
                <w:szCs w:val="18"/>
                <w:lang w:eastAsia="en-GB"/>
                <w14:ligatures w14:val="none"/>
              </w:rPr>
              <w:t>[18F]-FDG</w:t>
            </w:r>
          </w:p>
        </w:tc>
        <w:tc>
          <w:tcPr>
            <w:tcW w:w="517" w:type="pct"/>
            <w:tcBorders>
              <w:top w:val="nil"/>
              <w:left w:val="nil"/>
              <w:bottom w:val="single" w:sz="4" w:space="0" w:color="auto"/>
              <w:right w:val="single" w:sz="4" w:space="0" w:color="auto"/>
            </w:tcBorders>
            <w:shd w:val="clear" w:color="auto" w:fill="auto"/>
            <w:noWrap/>
            <w:vAlign w:val="center"/>
            <w:hideMark/>
          </w:tcPr>
          <w:p w14:paraId="530923C8"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SUVR-1</w:t>
            </w:r>
          </w:p>
        </w:tc>
        <w:tc>
          <w:tcPr>
            <w:tcW w:w="449" w:type="pct"/>
            <w:tcBorders>
              <w:top w:val="nil"/>
              <w:left w:val="nil"/>
              <w:bottom w:val="single" w:sz="4" w:space="0" w:color="auto"/>
              <w:right w:val="single" w:sz="4" w:space="0" w:color="auto"/>
            </w:tcBorders>
            <w:shd w:val="clear" w:color="auto" w:fill="auto"/>
            <w:noWrap/>
            <w:vAlign w:val="center"/>
            <w:hideMark/>
          </w:tcPr>
          <w:p w14:paraId="20AE920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5349E5E0" w14:textId="77777777" w:rsidTr="003B106A">
        <w:trPr>
          <w:trHeight w:val="640"/>
        </w:trPr>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14:paraId="067D6C21"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PD</w:t>
            </w:r>
          </w:p>
        </w:tc>
        <w:tc>
          <w:tcPr>
            <w:tcW w:w="488" w:type="pct"/>
            <w:tcBorders>
              <w:top w:val="nil"/>
              <w:left w:val="nil"/>
              <w:bottom w:val="single" w:sz="4" w:space="0" w:color="auto"/>
              <w:right w:val="single" w:sz="4" w:space="0" w:color="auto"/>
            </w:tcBorders>
            <w:shd w:val="clear" w:color="auto" w:fill="auto"/>
            <w:vAlign w:val="center"/>
            <w:hideMark/>
          </w:tcPr>
          <w:p w14:paraId="14A9DA33" w14:textId="68FCE195"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Delva (2020)</w:t>
            </w:r>
            <w:r w:rsidR="00181D2E">
              <w:rPr>
                <w:rFonts w:asciiTheme="majorHAnsi" w:eastAsia="Times New Roman" w:hAnsiTheme="majorHAnsi" w:cs="Calibri"/>
                <w:color w:val="000000"/>
                <w:kern w:val="0"/>
                <w:sz w:val="18"/>
                <w:szCs w:val="18"/>
                <w:vertAlign w:val="superscript"/>
                <w:lang w:eastAsia="en-GB"/>
                <w14:ligatures w14:val="none"/>
              </w:rPr>
              <w:t>21</w:t>
            </w:r>
          </w:p>
        </w:tc>
        <w:tc>
          <w:tcPr>
            <w:tcW w:w="536" w:type="pct"/>
            <w:tcBorders>
              <w:top w:val="nil"/>
              <w:left w:val="nil"/>
              <w:bottom w:val="single" w:sz="4" w:space="0" w:color="auto"/>
              <w:right w:val="single" w:sz="4" w:space="0" w:color="auto"/>
            </w:tcBorders>
            <w:shd w:val="clear" w:color="auto" w:fill="auto"/>
            <w:vAlign w:val="center"/>
            <w:hideMark/>
          </w:tcPr>
          <w:p w14:paraId="53249072"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3CC64EE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1ECE3742"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PD=30, HC=20</w:t>
            </w:r>
          </w:p>
        </w:tc>
        <w:tc>
          <w:tcPr>
            <w:tcW w:w="724" w:type="pct"/>
            <w:tcBorders>
              <w:top w:val="nil"/>
              <w:left w:val="nil"/>
              <w:bottom w:val="single" w:sz="4" w:space="0" w:color="auto"/>
              <w:right w:val="single" w:sz="4" w:space="0" w:color="auto"/>
            </w:tcBorders>
            <w:shd w:val="clear" w:color="auto" w:fill="auto"/>
            <w:vAlign w:val="center"/>
            <w:hideMark/>
          </w:tcPr>
          <w:p w14:paraId="2CDC5C4D" w14:textId="77777777" w:rsidR="00296C06"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PD=60.5 ±9.2, </w:t>
            </w:r>
          </w:p>
          <w:p w14:paraId="682AA70E" w14:textId="0A34F65F"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HC=59.6 ±8.2</w:t>
            </w:r>
          </w:p>
        </w:tc>
        <w:tc>
          <w:tcPr>
            <w:tcW w:w="673" w:type="pct"/>
            <w:tcBorders>
              <w:top w:val="nil"/>
              <w:left w:val="nil"/>
              <w:bottom w:val="single" w:sz="4" w:space="0" w:color="auto"/>
              <w:right w:val="single" w:sz="4" w:space="0" w:color="auto"/>
            </w:tcBorders>
            <w:shd w:val="clear" w:color="auto" w:fill="auto"/>
            <w:vAlign w:val="center"/>
            <w:hideMark/>
          </w:tcPr>
          <w:p w14:paraId="4757BA3F" w14:textId="02E672A7"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t xml:space="preserve"> </w:t>
            </w:r>
            <w:r w:rsidR="001878CE">
              <w:rPr>
                <w:rFonts w:asciiTheme="majorHAnsi" w:eastAsia="Times New Roman" w:hAnsiTheme="majorHAnsi" w:cs="Calibri"/>
                <w:color w:val="000000"/>
                <w:kern w:val="0"/>
                <w:sz w:val="18"/>
                <w:szCs w:val="18"/>
                <w:lang w:eastAsia="en-GB"/>
                <w14:ligatures w14:val="none"/>
              </w:rPr>
              <w:t>[18F]-FE-PE21</w:t>
            </w:r>
          </w:p>
        </w:tc>
        <w:tc>
          <w:tcPr>
            <w:tcW w:w="517" w:type="pct"/>
            <w:tcBorders>
              <w:top w:val="nil"/>
              <w:left w:val="nil"/>
              <w:bottom w:val="single" w:sz="4" w:space="0" w:color="auto"/>
              <w:right w:val="single" w:sz="4" w:space="0" w:color="auto"/>
            </w:tcBorders>
            <w:shd w:val="clear" w:color="auto" w:fill="auto"/>
            <w:noWrap/>
            <w:vAlign w:val="center"/>
            <w:hideMark/>
          </w:tcPr>
          <w:p w14:paraId="0B90EDE3"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BPND</w:t>
            </w:r>
          </w:p>
        </w:tc>
        <w:tc>
          <w:tcPr>
            <w:tcW w:w="449" w:type="pct"/>
            <w:tcBorders>
              <w:top w:val="nil"/>
              <w:left w:val="nil"/>
              <w:bottom w:val="single" w:sz="4" w:space="0" w:color="auto"/>
              <w:right w:val="single" w:sz="4" w:space="0" w:color="auto"/>
            </w:tcBorders>
            <w:shd w:val="clear" w:color="auto" w:fill="auto"/>
            <w:noWrap/>
            <w:vAlign w:val="center"/>
            <w:hideMark/>
          </w:tcPr>
          <w:p w14:paraId="5202DFA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502BF2BC" w14:textId="77777777" w:rsidTr="003B106A">
        <w:trPr>
          <w:trHeight w:val="640"/>
        </w:trPr>
        <w:tc>
          <w:tcPr>
            <w:tcW w:w="422" w:type="pct"/>
            <w:vMerge/>
            <w:tcBorders>
              <w:top w:val="nil"/>
              <w:left w:val="single" w:sz="4" w:space="0" w:color="auto"/>
              <w:bottom w:val="single" w:sz="4" w:space="0" w:color="auto"/>
              <w:right w:val="single" w:sz="4" w:space="0" w:color="auto"/>
            </w:tcBorders>
            <w:vAlign w:val="center"/>
            <w:hideMark/>
          </w:tcPr>
          <w:p w14:paraId="550499AA"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2C88000D" w14:textId="3B0131D2"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Delva (2022b)</w:t>
            </w:r>
            <w:r w:rsidR="00181D2E">
              <w:rPr>
                <w:rFonts w:asciiTheme="majorHAnsi" w:eastAsia="Times New Roman" w:hAnsiTheme="majorHAnsi" w:cs="Calibri"/>
                <w:color w:val="000000"/>
                <w:kern w:val="0"/>
                <w:sz w:val="18"/>
                <w:szCs w:val="18"/>
                <w:vertAlign w:val="superscript"/>
                <w:lang w:eastAsia="en-GB"/>
                <w14:ligatures w14:val="none"/>
              </w:rPr>
              <w:t>64</w:t>
            </w:r>
          </w:p>
        </w:tc>
        <w:tc>
          <w:tcPr>
            <w:tcW w:w="536" w:type="pct"/>
            <w:tcBorders>
              <w:top w:val="nil"/>
              <w:left w:val="nil"/>
              <w:bottom w:val="single" w:sz="4" w:space="0" w:color="auto"/>
              <w:right w:val="single" w:sz="4" w:space="0" w:color="auto"/>
            </w:tcBorders>
            <w:shd w:val="clear" w:color="auto" w:fill="auto"/>
            <w:vAlign w:val="center"/>
            <w:hideMark/>
          </w:tcPr>
          <w:p w14:paraId="7876BEC6"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 longitudinal</w:t>
            </w:r>
          </w:p>
        </w:tc>
        <w:tc>
          <w:tcPr>
            <w:tcW w:w="517" w:type="pct"/>
            <w:tcBorders>
              <w:top w:val="nil"/>
              <w:left w:val="nil"/>
              <w:bottom w:val="single" w:sz="4" w:space="0" w:color="auto"/>
              <w:right w:val="single" w:sz="4" w:space="0" w:color="auto"/>
            </w:tcBorders>
            <w:shd w:val="clear" w:color="auto" w:fill="auto"/>
            <w:vAlign w:val="center"/>
            <w:hideMark/>
          </w:tcPr>
          <w:p w14:paraId="7E8199C7" w14:textId="5E6698CC"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Delva (2020)</w:t>
            </w:r>
            <w:r w:rsidR="00181D2E">
              <w:rPr>
                <w:rFonts w:asciiTheme="majorHAnsi" w:eastAsia="Times New Roman" w:hAnsiTheme="majorHAnsi" w:cs="Calibri"/>
                <w:color w:val="000000"/>
                <w:kern w:val="0"/>
                <w:sz w:val="18"/>
                <w:szCs w:val="18"/>
                <w:vertAlign w:val="superscript"/>
                <w:lang w:eastAsia="en-GB"/>
                <w14:ligatures w14:val="none"/>
              </w:rPr>
              <w:t>21</w:t>
            </w:r>
          </w:p>
        </w:tc>
        <w:tc>
          <w:tcPr>
            <w:tcW w:w="673" w:type="pct"/>
            <w:tcBorders>
              <w:top w:val="nil"/>
              <w:left w:val="nil"/>
              <w:bottom w:val="single" w:sz="4" w:space="0" w:color="auto"/>
              <w:right w:val="single" w:sz="4" w:space="0" w:color="auto"/>
            </w:tcBorders>
            <w:shd w:val="clear" w:color="auto" w:fill="auto"/>
            <w:vAlign w:val="center"/>
            <w:hideMark/>
          </w:tcPr>
          <w:p w14:paraId="4CF55E0E"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PD=27, HC=18</w:t>
            </w:r>
          </w:p>
        </w:tc>
        <w:tc>
          <w:tcPr>
            <w:tcW w:w="724" w:type="pct"/>
            <w:tcBorders>
              <w:top w:val="nil"/>
              <w:left w:val="nil"/>
              <w:bottom w:val="single" w:sz="4" w:space="0" w:color="auto"/>
              <w:right w:val="single" w:sz="4" w:space="0" w:color="auto"/>
            </w:tcBorders>
            <w:shd w:val="clear" w:color="auto" w:fill="auto"/>
            <w:vAlign w:val="center"/>
            <w:hideMark/>
          </w:tcPr>
          <w:p w14:paraId="1BAD92A3" w14:textId="77777777" w:rsidR="00296C06"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PD=62.7 ±9.8, </w:t>
            </w:r>
          </w:p>
          <w:p w14:paraId="7C26152D" w14:textId="1CCDBBE2"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HC=61.3 ±8.6</w:t>
            </w:r>
          </w:p>
        </w:tc>
        <w:tc>
          <w:tcPr>
            <w:tcW w:w="673" w:type="pct"/>
            <w:tcBorders>
              <w:top w:val="nil"/>
              <w:left w:val="nil"/>
              <w:bottom w:val="single" w:sz="4" w:space="0" w:color="auto"/>
              <w:right w:val="single" w:sz="4" w:space="0" w:color="auto"/>
            </w:tcBorders>
            <w:shd w:val="clear" w:color="auto" w:fill="auto"/>
            <w:vAlign w:val="center"/>
            <w:hideMark/>
          </w:tcPr>
          <w:p w14:paraId="5C07543C" w14:textId="07431F37" w:rsidR="00383638" w:rsidRPr="00383638" w:rsidRDefault="001878CE"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[18F]-FE-PE21</w:t>
            </w:r>
            <w:r w:rsidR="00383638" w:rsidRPr="00383638">
              <w:rPr>
                <w:rFonts w:asciiTheme="majorHAnsi" w:eastAsia="Times New Roman" w:hAnsiTheme="majorHAnsi" w:cs="Calibri"/>
                <w:color w:val="000000"/>
                <w:kern w:val="0"/>
                <w:sz w:val="18"/>
                <w:szCs w:val="18"/>
                <w:lang w:eastAsia="en-GB"/>
                <w14:ligatures w14:val="none"/>
              </w:rPr>
              <w:t xml:space="preserve">, </w:t>
            </w:r>
            <w:r w:rsidR="00685177">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hideMark/>
          </w:tcPr>
          <w:p w14:paraId="2037696D"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SUVR-1</w:t>
            </w:r>
          </w:p>
        </w:tc>
        <w:tc>
          <w:tcPr>
            <w:tcW w:w="449" w:type="pct"/>
            <w:tcBorders>
              <w:top w:val="nil"/>
              <w:left w:val="nil"/>
              <w:bottom w:val="single" w:sz="4" w:space="0" w:color="auto"/>
              <w:right w:val="single" w:sz="4" w:space="0" w:color="auto"/>
            </w:tcBorders>
            <w:shd w:val="clear" w:color="auto" w:fill="auto"/>
            <w:noWrap/>
            <w:vAlign w:val="center"/>
            <w:hideMark/>
          </w:tcPr>
          <w:p w14:paraId="08D43618"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 Ocx</w:t>
            </w:r>
          </w:p>
        </w:tc>
      </w:tr>
      <w:tr w:rsidR="003B106A" w:rsidRPr="003B106A" w14:paraId="3386E76E" w14:textId="77777777" w:rsidTr="003B106A">
        <w:trPr>
          <w:trHeight w:val="320"/>
        </w:trPr>
        <w:tc>
          <w:tcPr>
            <w:tcW w:w="422" w:type="pct"/>
            <w:vMerge/>
            <w:tcBorders>
              <w:top w:val="nil"/>
              <w:left w:val="single" w:sz="4" w:space="0" w:color="auto"/>
              <w:bottom w:val="single" w:sz="4" w:space="0" w:color="auto"/>
              <w:right w:val="single" w:sz="4" w:space="0" w:color="auto"/>
            </w:tcBorders>
            <w:vAlign w:val="center"/>
            <w:hideMark/>
          </w:tcPr>
          <w:p w14:paraId="410C0318"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04DF7FAC" w14:textId="7B37FED5"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Matuskey (2020)</w:t>
            </w:r>
            <w:r w:rsidR="00181D2E">
              <w:rPr>
                <w:rFonts w:asciiTheme="majorHAnsi" w:eastAsia="Times New Roman" w:hAnsiTheme="majorHAnsi" w:cs="Calibri"/>
                <w:color w:val="000000"/>
                <w:kern w:val="0"/>
                <w:sz w:val="18"/>
                <w:szCs w:val="18"/>
                <w:vertAlign w:val="superscript"/>
                <w:lang w:eastAsia="en-GB"/>
                <w14:ligatures w14:val="none"/>
              </w:rPr>
              <w:t>26</w:t>
            </w:r>
          </w:p>
        </w:tc>
        <w:tc>
          <w:tcPr>
            <w:tcW w:w="536" w:type="pct"/>
            <w:tcBorders>
              <w:top w:val="nil"/>
              <w:left w:val="nil"/>
              <w:bottom w:val="single" w:sz="4" w:space="0" w:color="auto"/>
              <w:right w:val="single" w:sz="4" w:space="0" w:color="auto"/>
            </w:tcBorders>
            <w:shd w:val="clear" w:color="auto" w:fill="auto"/>
            <w:vAlign w:val="center"/>
            <w:hideMark/>
          </w:tcPr>
          <w:p w14:paraId="0D3195B2"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42488795"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738648A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PD=15, HC=15</w:t>
            </w:r>
          </w:p>
        </w:tc>
        <w:tc>
          <w:tcPr>
            <w:tcW w:w="724" w:type="pct"/>
            <w:tcBorders>
              <w:top w:val="nil"/>
              <w:left w:val="nil"/>
              <w:bottom w:val="single" w:sz="4" w:space="0" w:color="auto"/>
              <w:right w:val="single" w:sz="4" w:space="0" w:color="auto"/>
            </w:tcBorders>
            <w:shd w:val="clear" w:color="auto" w:fill="auto"/>
            <w:vAlign w:val="center"/>
            <w:hideMark/>
          </w:tcPr>
          <w:p w14:paraId="4BB174BA" w14:textId="77777777" w:rsidR="00296C06"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PD=76(7), </w:t>
            </w:r>
          </w:p>
          <w:p w14:paraId="019D18BE" w14:textId="6CDF4044"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HC=84(7)</w:t>
            </w:r>
          </w:p>
        </w:tc>
        <w:tc>
          <w:tcPr>
            <w:tcW w:w="673" w:type="pct"/>
            <w:tcBorders>
              <w:top w:val="nil"/>
              <w:left w:val="nil"/>
              <w:bottom w:val="single" w:sz="4" w:space="0" w:color="auto"/>
              <w:right w:val="single" w:sz="4" w:space="0" w:color="auto"/>
            </w:tcBorders>
            <w:shd w:val="clear" w:color="auto" w:fill="auto"/>
            <w:vAlign w:val="center"/>
            <w:hideMark/>
          </w:tcPr>
          <w:p w14:paraId="02CAD2D2" w14:textId="1C94BE70"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hideMark/>
          </w:tcPr>
          <w:p w14:paraId="3A0672B2"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BPnd</w:t>
            </w:r>
          </w:p>
        </w:tc>
        <w:tc>
          <w:tcPr>
            <w:tcW w:w="449" w:type="pct"/>
            <w:tcBorders>
              <w:top w:val="nil"/>
              <w:left w:val="nil"/>
              <w:bottom w:val="single" w:sz="4" w:space="0" w:color="auto"/>
              <w:right w:val="single" w:sz="4" w:space="0" w:color="auto"/>
            </w:tcBorders>
            <w:shd w:val="clear" w:color="auto" w:fill="auto"/>
            <w:noWrap/>
            <w:vAlign w:val="center"/>
            <w:hideMark/>
          </w:tcPr>
          <w:p w14:paraId="246AE2AE"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0A161DC8" w14:textId="77777777" w:rsidTr="003B106A">
        <w:trPr>
          <w:trHeight w:val="640"/>
        </w:trPr>
        <w:tc>
          <w:tcPr>
            <w:tcW w:w="422" w:type="pct"/>
            <w:vMerge/>
            <w:tcBorders>
              <w:top w:val="nil"/>
              <w:left w:val="single" w:sz="4" w:space="0" w:color="auto"/>
              <w:bottom w:val="single" w:sz="4" w:space="0" w:color="auto"/>
              <w:right w:val="single" w:sz="4" w:space="0" w:color="auto"/>
            </w:tcBorders>
            <w:vAlign w:val="center"/>
            <w:hideMark/>
          </w:tcPr>
          <w:p w14:paraId="596945F8"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36AE2139" w14:textId="316CAAEA"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Wilson (2020)</w:t>
            </w:r>
            <w:r w:rsidR="00181D2E">
              <w:rPr>
                <w:rFonts w:asciiTheme="majorHAnsi" w:eastAsia="Times New Roman" w:hAnsiTheme="majorHAnsi" w:cs="Calibri"/>
                <w:color w:val="000000"/>
                <w:kern w:val="0"/>
                <w:sz w:val="18"/>
                <w:szCs w:val="18"/>
                <w:vertAlign w:val="superscript"/>
                <w:lang w:eastAsia="en-GB"/>
                <w14:ligatures w14:val="none"/>
              </w:rPr>
              <w:t>65</w:t>
            </w:r>
          </w:p>
        </w:tc>
        <w:tc>
          <w:tcPr>
            <w:tcW w:w="536" w:type="pct"/>
            <w:tcBorders>
              <w:top w:val="nil"/>
              <w:left w:val="nil"/>
              <w:bottom w:val="single" w:sz="4" w:space="0" w:color="auto"/>
              <w:right w:val="single" w:sz="4" w:space="0" w:color="auto"/>
            </w:tcBorders>
            <w:shd w:val="clear" w:color="auto" w:fill="auto"/>
            <w:vAlign w:val="center"/>
            <w:hideMark/>
          </w:tcPr>
          <w:p w14:paraId="513D5149" w14:textId="51F2C765" w:rsidR="00383638" w:rsidRPr="00383638" w:rsidRDefault="00DD65FD"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 longitudinal</w:t>
            </w:r>
          </w:p>
        </w:tc>
        <w:tc>
          <w:tcPr>
            <w:tcW w:w="517" w:type="pct"/>
            <w:tcBorders>
              <w:top w:val="nil"/>
              <w:left w:val="nil"/>
              <w:bottom w:val="single" w:sz="4" w:space="0" w:color="auto"/>
              <w:right w:val="single" w:sz="4" w:space="0" w:color="auto"/>
            </w:tcBorders>
            <w:shd w:val="clear" w:color="auto" w:fill="auto"/>
            <w:vAlign w:val="center"/>
            <w:hideMark/>
          </w:tcPr>
          <w:p w14:paraId="38644599"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79CEBD85" w14:textId="531CD810"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PD=12,</w:t>
            </w:r>
            <w:r w:rsidR="00866AB8">
              <w:rPr>
                <w:rFonts w:asciiTheme="majorHAnsi" w:eastAsia="Times New Roman" w:hAnsiTheme="majorHAnsi" w:cs="Calibri"/>
                <w:color w:val="000000"/>
                <w:kern w:val="0"/>
                <w:sz w:val="18"/>
                <w:szCs w:val="18"/>
                <w:lang w:eastAsia="en-GB"/>
                <w14:ligatures w14:val="none"/>
              </w:rPr>
              <w:t xml:space="preserve"> </w:t>
            </w:r>
            <w:r w:rsidRPr="00383638">
              <w:rPr>
                <w:rFonts w:asciiTheme="majorHAnsi" w:eastAsia="Times New Roman" w:hAnsiTheme="majorHAnsi" w:cs="Calibri"/>
                <w:color w:val="000000"/>
                <w:kern w:val="0"/>
                <w:sz w:val="18"/>
                <w:szCs w:val="18"/>
                <w:lang w:eastAsia="en-GB"/>
                <w14:ligatures w14:val="none"/>
              </w:rPr>
              <w:t>HC=16</w:t>
            </w:r>
          </w:p>
        </w:tc>
        <w:tc>
          <w:tcPr>
            <w:tcW w:w="724" w:type="pct"/>
            <w:tcBorders>
              <w:top w:val="nil"/>
              <w:left w:val="nil"/>
              <w:bottom w:val="single" w:sz="4" w:space="0" w:color="auto"/>
              <w:right w:val="single" w:sz="4" w:space="0" w:color="auto"/>
            </w:tcBorders>
            <w:shd w:val="clear" w:color="auto" w:fill="auto"/>
            <w:vAlign w:val="center"/>
            <w:hideMark/>
          </w:tcPr>
          <w:p w14:paraId="01A09375" w14:textId="77777777" w:rsidR="00296C06"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PD=59.8 ±9, </w:t>
            </w:r>
          </w:p>
          <w:p w14:paraId="0B498756" w14:textId="71D7DF5B"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HC=61 ±12.5</w:t>
            </w:r>
          </w:p>
        </w:tc>
        <w:tc>
          <w:tcPr>
            <w:tcW w:w="673" w:type="pct"/>
            <w:tcBorders>
              <w:top w:val="nil"/>
              <w:left w:val="nil"/>
              <w:bottom w:val="single" w:sz="4" w:space="0" w:color="auto"/>
              <w:right w:val="single" w:sz="4" w:space="0" w:color="auto"/>
            </w:tcBorders>
            <w:shd w:val="clear" w:color="auto" w:fill="auto"/>
            <w:vAlign w:val="center"/>
            <w:hideMark/>
          </w:tcPr>
          <w:p w14:paraId="685394FD" w14:textId="77777777" w:rsidR="001878CE"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t xml:space="preserve"> </w:t>
            </w:r>
          </w:p>
          <w:p w14:paraId="12F919B0" w14:textId="77777777" w:rsidR="001878CE" w:rsidRDefault="001878CE"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w:t>
            </w:r>
            <w:r w:rsidR="00383638" w:rsidRPr="00383638">
              <w:rPr>
                <w:rFonts w:asciiTheme="majorHAnsi" w:eastAsia="Times New Roman" w:hAnsiTheme="majorHAnsi" w:cs="Calibri"/>
                <w:color w:val="000000"/>
                <w:kern w:val="0"/>
                <w:sz w:val="18"/>
                <w:szCs w:val="18"/>
                <w:lang w:eastAsia="en-GB"/>
                <w14:ligatures w14:val="none"/>
              </w:rPr>
              <w:t>18F</w:t>
            </w:r>
            <w:r>
              <w:rPr>
                <w:rFonts w:asciiTheme="majorHAnsi" w:eastAsia="Times New Roman" w:hAnsiTheme="majorHAnsi" w:cs="Calibri"/>
                <w:color w:val="000000"/>
                <w:kern w:val="0"/>
                <w:sz w:val="18"/>
                <w:szCs w:val="18"/>
                <w:lang w:eastAsia="en-GB"/>
                <w14:ligatures w14:val="none"/>
              </w:rPr>
              <w:t>]</w:t>
            </w:r>
            <w:r w:rsidR="00383638" w:rsidRPr="00383638">
              <w:rPr>
                <w:rFonts w:asciiTheme="majorHAnsi" w:eastAsia="Times New Roman" w:hAnsiTheme="majorHAnsi" w:cs="Calibri"/>
                <w:color w:val="000000"/>
                <w:kern w:val="0"/>
                <w:sz w:val="18"/>
                <w:szCs w:val="18"/>
                <w:lang w:eastAsia="en-GB"/>
                <w14:ligatures w14:val="none"/>
              </w:rPr>
              <w:t xml:space="preserve">-BCCP-EF, </w:t>
            </w:r>
          </w:p>
          <w:p w14:paraId="1ED9B700" w14:textId="31DCD528" w:rsidR="00383638" w:rsidRPr="00383638" w:rsidRDefault="001878CE"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w:t>
            </w:r>
            <w:r w:rsidR="00383638" w:rsidRPr="00383638">
              <w:rPr>
                <w:rFonts w:asciiTheme="majorHAnsi" w:eastAsia="Times New Roman" w:hAnsiTheme="majorHAnsi" w:cs="Calibri"/>
                <w:color w:val="000000"/>
                <w:kern w:val="0"/>
                <w:sz w:val="18"/>
                <w:szCs w:val="18"/>
                <w:lang w:eastAsia="en-GB"/>
                <w14:ligatures w14:val="none"/>
              </w:rPr>
              <w:t>11C</w:t>
            </w:r>
            <w:r>
              <w:rPr>
                <w:rFonts w:asciiTheme="majorHAnsi" w:eastAsia="Times New Roman" w:hAnsiTheme="majorHAnsi" w:cs="Calibri"/>
                <w:color w:val="000000"/>
                <w:kern w:val="0"/>
                <w:sz w:val="18"/>
                <w:szCs w:val="18"/>
                <w:lang w:eastAsia="en-GB"/>
                <w14:ligatures w14:val="none"/>
              </w:rPr>
              <w:t>]</w:t>
            </w:r>
            <w:r w:rsidR="00383638" w:rsidRPr="00383638">
              <w:rPr>
                <w:rFonts w:asciiTheme="majorHAnsi" w:eastAsia="Times New Roman" w:hAnsiTheme="majorHAnsi" w:cs="Calibri"/>
                <w:color w:val="000000"/>
                <w:kern w:val="0"/>
                <w:sz w:val="18"/>
                <w:szCs w:val="18"/>
                <w:lang w:eastAsia="en-GB"/>
                <w14:ligatures w14:val="none"/>
              </w:rPr>
              <w:t>-SA-4503</w:t>
            </w:r>
          </w:p>
        </w:tc>
        <w:tc>
          <w:tcPr>
            <w:tcW w:w="517" w:type="pct"/>
            <w:tcBorders>
              <w:top w:val="nil"/>
              <w:left w:val="nil"/>
              <w:bottom w:val="single" w:sz="4" w:space="0" w:color="auto"/>
              <w:right w:val="single" w:sz="4" w:space="0" w:color="auto"/>
            </w:tcBorders>
            <w:shd w:val="clear" w:color="auto" w:fill="auto"/>
            <w:noWrap/>
            <w:vAlign w:val="center"/>
            <w:hideMark/>
          </w:tcPr>
          <w:p w14:paraId="214E3CC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Vt</w:t>
            </w:r>
          </w:p>
        </w:tc>
        <w:tc>
          <w:tcPr>
            <w:tcW w:w="449" w:type="pct"/>
            <w:tcBorders>
              <w:top w:val="nil"/>
              <w:left w:val="nil"/>
              <w:bottom w:val="single" w:sz="4" w:space="0" w:color="auto"/>
              <w:right w:val="single" w:sz="4" w:space="0" w:color="auto"/>
            </w:tcBorders>
            <w:shd w:val="clear" w:color="auto" w:fill="auto"/>
            <w:noWrap/>
            <w:vAlign w:val="center"/>
            <w:hideMark/>
          </w:tcPr>
          <w:p w14:paraId="517ED74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7743E915" w14:textId="77777777" w:rsidTr="003B106A">
        <w:trPr>
          <w:trHeight w:val="128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0D814AB7"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PSP, CBS, bvFTD</w:t>
            </w:r>
          </w:p>
        </w:tc>
        <w:tc>
          <w:tcPr>
            <w:tcW w:w="488" w:type="pct"/>
            <w:tcBorders>
              <w:top w:val="nil"/>
              <w:left w:val="nil"/>
              <w:bottom w:val="single" w:sz="4" w:space="0" w:color="auto"/>
              <w:right w:val="single" w:sz="4" w:space="0" w:color="auto"/>
            </w:tcBorders>
            <w:shd w:val="clear" w:color="auto" w:fill="auto"/>
            <w:vAlign w:val="center"/>
            <w:hideMark/>
          </w:tcPr>
          <w:p w14:paraId="341C05C7" w14:textId="0602B72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Whiteside (2023)</w:t>
            </w:r>
            <w:r w:rsidR="00181D2E">
              <w:rPr>
                <w:rFonts w:asciiTheme="majorHAnsi" w:eastAsia="Times New Roman" w:hAnsiTheme="majorHAnsi" w:cs="Calibri"/>
                <w:color w:val="000000"/>
                <w:kern w:val="0"/>
                <w:sz w:val="18"/>
                <w:szCs w:val="18"/>
                <w:vertAlign w:val="superscript"/>
                <w:lang w:eastAsia="en-GB"/>
                <w14:ligatures w14:val="none"/>
              </w:rPr>
              <w:t>66</w:t>
            </w:r>
          </w:p>
        </w:tc>
        <w:tc>
          <w:tcPr>
            <w:tcW w:w="536" w:type="pct"/>
            <w:tcBorders>
              <w:top w:val="nil"/>
              <w:left w:val="nil"/>
              <w:bottom w:val="single" w:sz="4" w:space="0" w:color="auto"/>
              <w:right w:val="single" w:sz="4" w:space="0" w:color="auto"/>
            </w:tcBorders>
            <w:shd w:val="clear" w:color="auto" w:fill="auto"/>
            <w:vAlign w:val="center"/>
            <w:hideMark/>
          </w:tcPr>
          <w:p w14:paraId="32167F15"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24160FAA" w14:textId="5B5A8E81"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E059ED">
              <w:rPr>
                <w:rFonts w:asciiTheme="majorHAnsi" w:eastAsia="Times New Roman" w:hAnsiTheme="majorHAnsi" w:cs="Calibri"/>
                <w:kern w:val="0"/>
                <w:sz w:val="18"/>
                <w:szCs w:val="18"/>
                <w:lang w:eastAsia="en-GB"/>
                <w14:ligatures w14:val="none"/>
              </w:rPr>
              <w:t>Holland (2020)</w:t>
            </w:r>
            <w:r w:rsidR="00E059ED" w:rsidRPr="00E059ED">
              <w:rPr>
                <w:rFonts w:asciiTheme="majorHAnsi" w:eastAsia="Times New Roman" w:hAnsiTheme="majorHAnsi" w:cs="Calibri"/>
                <w:kern w:val="0"/>
                <w:sz w:val="18"/>
                <w:szCs w:val="18"/>
                <w:vertAlign w:val="superscript"/>
                <w:lang w:eastAsia="en-GB"/>
                <w14:ligatures w14:val="none"/>
              </w:rPr>
              <w:t>71</w:t>
            </w:r>
          </w:p>
        </w:tc>
        <w:tc>
          <w:tcPr>
            <w:tcW w:w="673" w:type="pct"/>
            <w:tcBorders>
              <w:top w:val="nil"/>
              <w:left w:val="nil"/>
              <w:bottom w:val="single" w:sz="4" w:space="0" w:color="auto"/>
              <w:right w:val="single" w:sz="4" w:space="0" w:color="auto"/>
            </w:tcBorders>
            <w:shd w:val="clear" w:color="auto" w:fill="auto"/>
            <w:vAlign w:val="center"/>
            <w:hideMark/>
          </w:tcPr>
          <w:p w14:paraId="7D63A7B9"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PSP=29, CBS=16, bvFTD=10, HC=24</w:t>
            </w:r>
          </w:p>
        </w:tc>
        <w:tc>
          <w:tcPr>
            <w:tcW w:w="724" w:type="pct"/>
            <w:tcBorders>
              <w:top w:val="nil"/>
              <w:left w:val="nil"/>
              <w:bottom w:val="single" w:sz="4" w:space="0" w:color="auto"/>
              <w:right w:val="single" w:sz="4" w:space="0" w:color="auto"/>
            </w:tcBorders>
            <w:shd w:val="clear" w:color="auto" w:fill="auto"/>
            <w:vAlign w:val="center"/>
            <w:hideMark/>
          </w:tcPr>
          <w:p w14:paraId="73266289"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PSP=70.8±8.4, CBS=67.1±5.7, bvFTD=65±9.1, HC=70±8.4</w:t>
            </w:r>
          </w:p>
        </w:tc>
        <w:tc>
          <w:tcPr>
            <w:tcW w:w="673" w:type="pct"/>
            <w:tcBorders>
              <w:top w:val="nil"/>
              <w:left w:val="nil"/>
              <w:bottom w:val="single" w:sz="4" w:space="0" w:color="auto"/>
              <w:right w:val="single" w:sz="4" w:space="0" w:color="auto"/>
            </w:tcBorders>
            <w:shd w:val="clear" w:color="auto" w:fill="auto"/>
            <w:vAlign w:val="center"/>
            <w:hideMark/>
          </w:tcPr>
          <w:p w14:paraId="229F050D" w14:textId="5C4B285F"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hideMark/>
          </w:tcPr>
          <w:p w14:paraId="4991912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BPnd</w:t>
            </w:r>
          </w:p>
        </w:tc>
        <w:tc>
          <w:tcPr>
            <w:tcW w:w="449" w:type="pct"/>
            <w:tcBorders>
              <w:top w:val="nil"/>
              <w:left w:val="nil"/>
              <w:bottom w:val="single" w:sz="4" w:space="0" w:color="auto"/>
              <w:right w:val="single" w:sz="4" w:space="0" w:color="auto"/>
            </w:tcBorders>
            <w:shd w:val="clear" w:color="auto" w:fill="auto"/>
            <w:noWrap/>
            <w:vAlign w:val="center"/>
            <w:hideMark/>
          </w:tcPr>
          <w:p w14:paraId="70794473" w14:textId="4CC38FC3"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w:t>
            </w:r>
            <w:r w:rsidR="009B06D9">
              <w:rPr>
                <w:rFonts w:asciiTheme="majorHAnsi" w:eastAsia="Times New Roman" w:hAnsiTheme="majorHAnsi" w:cs="Calibri"/>
                <w:color w:val="000000"/>
                <w:kern w:val="0"/>
                <w:sz w:val="18"/>
                <w:szCs w:val="18"/>
                <w:lang w:eastAsia="en-GB"/>
                <w14:ligatures w14:val="none"/>
              </w:rPr>
              <w:t>CS</w:t>
            </w:r>
          </w:p>
        </w:tc>
      </w:tr>
      <w:tr w:rsidR="003B106A" w:rsidRPr="003B106A" w14:paraId="72E65EC1" w14:textId="77777777" w:rsidTr="003B106A">
        <w:trPr>
          <w:trHeight w:val="960"/>
        </w:trPr>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14:paraId="0351CDD5" w14:textId="77777777" w:rsidR="00383638" w:rsidRPr="00E059ED" w:rsidRDefault="00383638" w:rsidP="00C3185A">
            <w:pPr>
              <w:rPr>
                <w:rFonts w:asciiTheme="majorHAnsi" w:eastAsia="Times New Roman" w:hAnsiTheme="majorHAnsi" w:cs="Calibri"/>
                <w:b/>
                <w:bCs/>
                <w:kern w:val="0"/>
                <w:sz w:val="18"/>
                <w:szCs w:val="18"/>
                <w:lang w:eastAsia="en-GB"/>
                <w14:ligatures w14:val="none"/>
              </w:rPr>
            </w:pPr>
            <w:r w:rsidRPr="00E059ED">
              <w:rPr>
                <w:rFonts w:asciiTheme="majorHAnsi" w:eastAsia="Times New Roman" w:hAnsiTheme="majorHAnsi" w:cs="Calibri"/>
                <w:b/>
                <w:bCs/>
                <w:kern w:val="0"/>
                <w:sz w:val="18"/>
                <w:szCs w:val="18"/>
                <w:lang w:eastAsia="en-GB"/>
                <w14:ligatures w14:val="none"/>
              </w:rPr>
              <w:t>Tauopathies (PSP, amyloid-negatve CBS)</w:t>
            </w:r>
          </w:p>
        </w:tc>
        <w:tc>
          <w:tcPr>
            <w:tcW w:w="488" w:type="pct"/>
            <w:tcBorders>
              <w:top w:val="nil"/>
              <w:left w:val="nil"/>
              <w:bottom w:val="single" w:sz="4" w:space="0" w:color="auto"/>
              <w:right w:val="single" w:sz="4" w:space="0" w:color="auto"/>
            </w:tcBorders>
            <w:shd w:val="clear" w:color="auto" w:fill="auto"/>
            <w:vAlign w:val="center"/>
            <w:hideMark/>
          </w:tcPr>
          <w:p w14:paraId="745219F3" w14:textId="3506593D" w:rsidR="00383638" w:rsidRPr="00E059ED" w:rsidRDefault="00383638" w:rsidP="00C3185A">
            <w:pPr>
              <w:rPr>
                <w:rFonts w:asciiTheme="majorHAnsi" w:eastAsia="Times New Roman" w:hAnsiTheme="majorHAnsi" w:cs="Calibri"/>
                <w:b/>
                <w:bCs/>
                <w:kern w:val="0"/>
                <w:sz w:val="18"/>
                <w:szCs w:val="18"/>
                <w:lang w:eastAsia="en-GB"/>
                <w14:ligatures w14:val="none"/>
              </w:rPr>
            </w:pPr>
            <w:r w:rsidRPr="00E059ED">
              <w:rPr>
                <w:rFonts w:asciiTheme="majorHAnsi" w:eastAsia="Times New Roman" w:hAnsiTheme="majorHAnsi" w:cs="Calibri"/>
                <w:b/>
                <w:bCs/>
                <w:kern w:val="0"/>
                <w:sz w:val="18"/>
                <w:szCs w:val="18"/>
                <w:lang w:eastAsia="en-GB"/>
                <w14:ligatures w14:val="none"/>
              </w:rPr>
              <w:t>Holland (2020)</w:t>
            </w:r>
            <w:r w:rsidR="00E059ED" w:rsidRPr="00E059ED">
              <w:rPr>
                <w:rFonts w:asciiTheme="majorHAnsi" w:eastAsia="Times New Roman" w:hAnsiTheme="majorHAnsi" w:cs="Calibri"/>
                <w:kern w:val="0"/>
                <w:sz w:val="18"/>
                <w:szCs w:val="18"/>
                <w:vertAlign w:val="superscript"/>
                <w:lang w:eastAsia="en-GB"/>
                <w14:ligatures w14:val="none"/>
              </w:rPr>
              <w:t>71</w:t>
            </w:r>
          </w:p>
        </w:tc>
        <w:tc>
          <w:tcPr>
            <w:tcW w:w="536" w:type="pct"/>
            <w:tcBorders>
              <w:top w:val="nil"/>
              <w:left w:val="nil"/>
              <w:bottom w:val="single" w:sz="4" w:space="0" w:color="auto"/>
              <w:right w:val="single" w:sz="4" w:space="0" w:color="auto"/>
            </w:tcBorders>
            <w:shd w:val="clear" w:color="auto" w:fill="auto"/>
            <w:vAlign w:val="center"/>
            <w:hideMark/>
          </w:tcPr>
          <w:p w14:paraId="0CBA7A9D"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68FEA2B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0BB428FC"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PSP=14, CBS=9, HC=15</w:t>
            </w:r>
          </w:p>
        </w:tc>
        <w:tc>
          <w:tcPr>
            <w:tcW w:w="724" w:type="pct"/>
            <w:tcBorders>
              <w:top w:val="nil"/>
              <w:left w:val="nil"/>
              <w:bottom w:val="single" w:sz="4" w:space="0" w:color="auto"/>
              <w:right w:val="single" w:sz="4" w:space="0" w:color="auto"/>
            </w:tcBorders>
            <w:shd w:val="clear" w:color="auto" w:fill="auto"/>
            <w:vAlign w:val="center"/>
            <w:hideMark/>
          </w:tcPr>
          <w:p w14:paraId="73A9BBEC" w14:textId="77777777" w:rsidR="00296C06"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PSP=72.8 ±7.7, CBD=70.6 ±8.2, </w:t>
            </w:r>
          </w:p>
          <w:p w14:paraId="1995065E" w14:textId="0845AA7A"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HC=60 ±7.45</w:t>
            </w:r>
          </w:p>
        </w:tc>
        <w:tc>
          <w:tcPr>
            <w:tcW w:w="673" w:type="pct"/>
            <w:tcBorders>
              <w:top w:val="nil"/>
              <w:left w:val="nil"/>
              <w:bottom w:val="single" w:sz="4" w:space="0" w:color="auto"/>
              <w:right w:val="single" w:sz="4" w:space="0" w:color="auto"/>
            </w:tcBorders>
            <w:shd w:val="clear" w:color="auto" w:fill="auto"/>
            <w:vAlign w:val="center"/>
            <w:hideMark/>
          </w:tcPr>
          <w:p w14:paraId="05220E2E" w14:textId="46915F6B"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hideMark/>
          </w:tcPr>
          <w:p w14:paraId="0686BFE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BPND</w:t>
            </w:r>
          </w:p>
        </w:tc>
        <w:tc>
          <w:tcPr>
            <w:tcW w:w="449" w:type="pct"/>
            <w:tcBorders>
              <w:top w:val="nil"/>
              <w:left w:val="nil"/>
              <w:bottom w:val="single" w:sz="4" w:space="0" w:color="auto"/>
              <w:right w:val="single" w:sz="4" w:space="0" w:color="auto"/>
            </w:tcBorders>
            <w:shd w:val="clear" w:color="auto" w:fill="auto"/>
            <w:noWrap/>
            <w:vAlign w:val="center"/>
            <w:hideMark/>
          </w:tcPr>
          <w:p w14:paraId="7A7B9A96"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42392D2E" w14:textId="77777777" w:rsidTr="003B106A">
        <w:trPr>
          <w:trHeight w:val="960"/>
        </w:trPr>
        <w:tc>
          <w:tcPr>
            <w:tcW w:w="422" w:type="pct"/>
            <w:vMerge/>
            <w:tcBorders>
              <w:top w:val="nil"/>
              <w:left w:val="single" w:sz="4" w:space="0" w:color="auto"/>
              <w:bottom w:val="single" w:sz="4" w:space="0" w:color="auto"/>
              <w:right w:val="single" w:sz="4" w:space="0" w:color="auto"/>
            </w:tcBorders>
            <w:vAlign w:val="center"/>
            <w:hideMark/>
          </w:tcPr>
          <w:p w14:paraId="0ACE1278"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1EA73EEB" w14:textId="242C6B6E"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Holland (2022)</w:t>
            </w:r>
            <w:r w:rsidR="00181D2E">
              <w:rPr>
                <w:rFonts w:asciiTheme="majorHAnsi" w:eastAsia="Times New Roman" w:hAnsiTheme="majorHAnsi" w:cs="Calibri"/>
                <w:color w:val="000000"/>
                <w:kern w:val="0"/>
                <w:sz w:val="18"/>
                <w:szCs w:val="18"/>
                <w:vertAlign w:val="superscript"/>
                <w:lang w:eastAsia="en-GB"/>
                <w14:ligatures w14:val="none"/>
              </w:rPr>
              <w:t>67</w:t>
            </w:r>
          </w:p>
        </w:tc>
        <w:tc>
          <w:tcPr>
            <w:tcW w:w="536" w:type="pct"/>
            <w:tcBorders>
              <w:top w:val="nil"/>
              <w:left w:val="nil"/>
              <w:bottom w:val="single" w:sz="4" w:space="0" w:color="auto"/>
              <w:right w:val="single" w:sz="4" w:space="0" w:color="auto"/>
            </w:tcBorders>
            <w:shd w:val="clear" w:color="auto" w:fill="auto"/>
            <w:vAlign w:val="center"/>
            <w:hideMark/>
          </w:tcPr>
          <w:p w14:paraId="11256F2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6424E97A" w14:textId="114418DA"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E059ED">
              <w:rPr>
                <w:rFonts w:asciiTheme="majorHAnsi" w:eastAsia="Times New Roman" w:hAnsiTheme="majorHAnsi" w:cs="Calibri"/>
                <w:kern w:val="0"/>
                <w:sz w:val="18"/>
                <w:szCs w:val="18"/>
                <w:lang w:eastAsia="en-GB"/>
                <w14:ligatures w14:val="none"/>
              </w:rPr>
              <w:t>Holland (2020)</w:t>
            </w:r>
            <w:r w:rsidR="00E059ED" w:rsidRPr="00E059ED">
              <w:rPr>
                <w:rFonts w:asciiTheme="majorHAnsi" w:eastAsia="Times New Roman" w:hAnsiTheme="majorHAnsi" w:cs="Calibri"/>
                <w:kern w:val="0"/>
                <w:sz w:val="18"/>
                <w:szCs w:val="18"/>
                <w:vertAlign w:val="superscript"/>
                <w:lang w:eastAsia="en-GB"/>
                <w14:ligatures w14:val="none"/>
              </w:rPr>
              <w:t>71</w:t>
            </w:r>
          </w:p>
        </w:tc>
        <w:tc>
          <w:tcPr>
            <w:tcW w:w="673" w:type="pct"/>
            <w:tcBorders>
              <w:top w:val="nil"/>
              <w:left w:val="nil"/>
              <w:bottom w:val="single" w:sz="4" w:space="0" w:color="auto"/>
              <w:right w:val="single" w:sz="4" w:space="0" w:color="auto"/>
            </w:tcBorders>
            <w:shd w:val="clear" w:color="auto" w:fill="auto"/>
            <w:vAlign w:val="center"/>
            <w:hideMark/>
          </w:tcPr>
          <w:p w14:paraId="771DD8C4"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PSP=23, CBS=12, HC=19</w:t>
            </w:r>
          </w:p>
        </w:tc>
        <w:tc>
          <w:tcPr>
            <w:tcW w:w="724" w:type="pct"/>
            <w:tcBorders>
              <w:top w:val="nil"/>
              <w:left w:val="nil"/>
              <w:bottom w:val="single" w:sz="4" w:space="0" w:color="auto"/>
              <w:right w:val="single" w:sz="4" w:space="0" w:color="auto"/>
            </w:tcBorders>
            <w:shd w:val="clear" w:color="auto" w:fill="auto"/>
            <w:vAlign w:val="center"/>
            <w:hideMark/>
          </w:tcPr>
          <w:p w14:paraId="4F11C32D"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PSP=71.3 ±8.6, CBD=70.9±7.9, HC=68.9±7.1</w:t>
            </w:r>
          </w:p>
        </w:tc>
        <w:tc>
          <w:tcPr>
            <w:tcW w:w="673" w:type="pct"/>
            <w:tcBorders>
              <w:top w:val="nil"/>
              <w:left w:val="nil"/>
              <w:bottom w:val="single" w:sz="4" w:space="0" w:color="auto"/>
              <w:right w:val="single" w:sz="4" w:space="0" w:color="auto"/>
            </w:tcBorders>
            <w:shd w:val="clear" w:color="auto" w:fill="auto"/>
            <w:vAlign w:val="center"/>
            <w:hideMark/>
          </w:tcPr>
          <w:p w14:paraId="14586D28" w14:textId="77777777" w:rsidR="00DC70BB"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t xml:space="preserve"> </w:t>
            </w:r>
          </w:p>
          <w:p w14:paraId="77796571" w14:textId="4583FC3E" w:rsidR="00383638" w:rsidRPr="00383638" w:rsidRDefault="00DC70BB"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w:t>
            </w:r>
            <w:r w:rsidR="00383638" w:rsidRPr="00383638">
              <w:rPr>
                <w:rFonts w:asciiTheme="majorHAnsi" w:eastAsia="Times New Roman" w:hAnsiTheme="majorHAnsi" w:cs="Calibri"/>
                <w:color w:val="000000"/>
                <w:kern w:val="0"/>
                <w:sz w:val="18"/>
                <w:szCs w:val="18"/>
                <w:lang w:eastAsia="en-GB"/>
                <w14:ligatures w14:val="none"/>
              </w:rPr>
              <w:t>18F</w:t>
            </w:r>
            <w:r>
              <w:rPr>
                <w:rFonts w:asciiTheme="majorHAnsi" w:eastAsia="Times New Roman" w:hAnsiTheme="majorHAnsi" w:cs="Calibri"/>
                <w:color w:val="000000"/>
                <w:kern w:val="0"/>
                <w:sz w:val="18"/>
                <w:szCs w:val="18"/>
                <w:lang w:eastAsia="en-GB"/>
                <w14:ligatures w14:val="none"/>
              </w:rPr>
              <w:t>]</w:t>
            </w:r>
            <w:r w:rsidR="00383638" w:rsidRPr="00383638">
              <w:rPr>
                <w:rFonts w:asciiTheme="majorHAnsi" w:eastAsia="Times New Roman" w:hAnsiTheme="majorHAnsi" w:cs="Calibri"/>
                <w:color w:val="000000"/>
                <w:kern w:val="0"/>
                <w:sz w:val="18"/>
                <w:szCs w:val="18"/>
                <w:lang w:eastAsia="en-GB"/>
                <w14:ligatures w14:val="none"/>
              </w:rPr>
              <w:t>-AV-1451</w:t>
            </w:r>
          </w:p>
        </w:tc>
        <w:tc>
          <w:tcPr>
            <w:tcW w:w="517" w:type="pct"/>
            <w:tcBorders>
              <w:top w:val="nil"/>
              <w:left w:val="nil"/>
              <w:bottom w:val="single" w:sz="4" w:space="0" w:color="auto"/>
              <w:right w:val="single" w:sz="4" w:space="0" w:color="auto"/>
            </w:tcBorders>
            <w:shd w:val="clear" w:color="auto" w:fill="auto"/>
            <w:noWrap/>
            <w:vAlign w:val="center"/>
            <w:hideMark/>
          </w:tcPr>
          <w:p w14:paraId="0735A6ED"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BPND</w:t>
            </w:r>
          </w:p>
        </w:tc>
        <w:tc>
          <w:tcPr>
            <w:tcW w:w="449" w:type="pct"/>
            <w:tcBorders>
              <w:top w:val="nil"/>
              <w:left w:val="nil"/>
              <w:bottom w:val="single" w:sz="4" w:space="0" w:color="auto"/>
              <w:right w:val="single" w:sz="4" w:space="0" w:color="auto"/>
            </w:tcBorders>
            <w:shd w:val="clear" w:color="auto" w:fill="auto"/>
            <w:noWrap/>
            <w:vAlign w:val="center"/>
            <w:hideMark/>
          </w:tcPr>
          <w:p w14:paraId="305183C7"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 Inferior CBL grey matter</w:t>
            </w:r>
          </w:p>
        </w:tc>
      </w:tr>
      <w:tr w:rsidR="003B106A" w:rsidRPr="003B106A" w14:paraId="2D443B0F" w14:textId="77777777" w:rsidTr="003B106A">
        <w:trPr>
          <w:trHeight w:val="1920"/>
        </w:trPr>
        <w:tc>
          <w:tcPr>
            <w:tcW w:w="422" w:type="pct"/>
            <w:vMerge/>
            <w:tcBorders>
              <w:top w:val="nil"/>
              <w:left w:val="single" w:sz="4" w:space="0" w:color="auto"/>
              <w:bottom w:val="single" w:sz="4" w:space="0" w:color="auto"/>
              <w:right w:val="single" w:sz="4" w:space="0" w:color="auto"/>
            </w:tcBorders>
            <w:vAlign w:val="center"/>
            <w:hideMark/>
          </w:tcPr>
          <w:p w14:paraId="268706EB"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25212A9B" w14:textId="089884CB"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Holland (2023)</w:t>
            </w:r>
            <w:r w:rsidR="00181D2E" w:rsidRPr="00181D2E">
              <w:rPr>
                <w:rFonts w:asciiTheme="majorHAnsi" w:eastAsia="Times New Roman" w:hAnsiTheme="majorHAnsi" w:cs="Calibri"/>
                <w:color w:val="000000"/>
                <w:kern w:val="0"/>
                <w:sz w:val="18"/>
                <w:szCs w:val="18"/>
                <w:vertAlign w:val="superscript"/>
                <w:lang w:eastAsia="en-GB"/>
                <w14:ligatures w14:val="none"/>
              </w:rPr>
              <w:t>68</w:t>
            </w:r>
            <w:r w:rsidR="00181D2E" w:rsidRPr="00383638">
              <w:rPr>
                <w:rFonts w:asciiTheme="majorHAnsi" w:eastAsia="Times New Roman" w:hAnsiTheme="majorHAnsi" w:cs="Calibri"/>
                <w:b/>
                <w:bCs/>
                <w:color w:val="000000"/>
                <w:kern w:val="0"/>
                <w:sz w:val="18"/>
                <w:szCs w:val="18"/>
                <w:lang w:eastAsia="en-GB"/>
                <w14:ligatures w14:val="none"/>
              </w:rPr>
              <w:t xml:space="preserve"> </w:t>
            </w:r>
          </w:p>
        </w:tc>
        <w:tc>
          <w:tcPr>
            <w:tcW w:w="536" w:type="pct"/>
            <w:tcBorders>
              <w:top w:val="nil"/>
              <w:left w:val="nil"/>
              <w:bottom w:val="single" w:sz="4" w:space="0" w:color="auto"/>
              <w:right w:val="single" w:sz="4" w:space="0" w:color="auto"/>
            </w:tcBorders>
            <w:shd w:val="clear" w:color="auto" w:fill="auto"/>
            <w:vAlign w:val="center"/>
            <w:hideMark/>
          </w:tcPr>
          <w:p w14:paraId="046C4FDC"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 longitudinal</w:t>
            </w:r>
          </w:p>
        </w:tc>
        <w:tc>
          <w:tcPr>
            <w:tcW w:w="517" w:type="pct"/>
            <w:tcBorders>
              <w:top w:val="nil"/>
              <w:left w:val="nil"/>
              <w:bottom w:val="single" w:sz="4" w:space="0" w:color="auto"/>
              <w:right w:val="single" w:sz="4" w:space="0" w:color="auto"/>
            </w:tcBorders>
            <w:shd w:val="clear" w:color="auto" w:fill="auto"/>
            <w:vAlign w:val="center"/>
            <w:hideMark/>
          </w:tcPr>
          <w:p w14:paraId="4A404C57" w14:textId="307EF0EB"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E059ED">
              <w:rPr>
                <w:rFonts w:asciiTheme="majorHAnsi" w:eastAsia="Times New Roman" w:hAnsiTheme="majorHAnsi" w:cs="Calibri"/>
                <w:kern w:val="0"/>
                <w:sz w:val="18"/>
                <w:szCs w:val="18"/>
                <w:lang w:eastAsia="en-GB"/>
                <w14:ligatures w14:val="none"/>
              </w:rPr>
              <w:t>Holland (2020)</w:t>
            </w:r>
            <w:r w:rsidR="00E059ED" w:rsidRPr="00E059ED">
              <w:rPr>
                <w:rFonts w:asciiTheme="majorHAnsi" w:eastAsia="Times New Roman" w:hAnsiTheme="majorHAnsi" w:cs="Calibri"/>
                <w:kern w:val="0"/>
                <w:sz w:val="18"/>
                <w:szCs w:val="18"/>
                <w:vertAlign w:val="superscript"/>
                <w:lang w:eastAsia="en-GB"/>
                <w14:ligatures w14:val="none"/>
              </w:rPr>
              <w:t>71</w:t>
            </w:r>
          </w:p>
        </w:tc>
        <w:tc>
          <w:tcPr>
            <w:tcW w:w="673" w:type="pct"/>
            <w:tcBorders>
              <w:top w:val="nil"/>
              <w:left w:val="nil"/>
              <w:bottom w:val="single" w:sz="4" w:space="0" w:color="auto"/>
              <w:right w:val="single" w:sz="4" w:space="0" w:color="auto"/>
            </w:tcBorders>
            <w:shd w:val="clear" w:color="auto" w:fill="auto"/>
            <w:vAlign w:val="center"/>
            <w:hideMark/>
          </w:tcPr>
          <w:p w14:paraId="1FBD7FE5"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PSP=32, CBD=16, HC=33, Followup PSP=16, Followup CBD=6, Followup HC=0</w:t>
            </w:r>
          </w:p>
        </w:tc>
        <w:tc>
          <w:tcPr>
            <w:tcW w:w="724" w:type="pct"/>
            <w:tcBorders>
              <w:top w:val="nil"/>
              <w:left w:val="nil"/>
              <w:bottom w:val="single" w:sz="4" w:space="0" w:color="auto"/>
              <w:right w:val="single" w:sz="4" w:space="0" w:color="auto"/>
            </w:tcBorders>
            <w:shd w:val="clear" w:color="auto" w:fill="auto"/>
            <w:vAlign w:val="center"/>
            <w:hideMark/>
          </w:tcPr>
          <w:p w14:paraId="43E0494F"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PSP=71.7±8.24, CBD=70.7±7.2, HC=71±8.5, Followup PSP=72.1±8.1, Followup CBD=71±10.8</w:t>
            </w:r>
          </w:p>
        </w:tc>
        <w:tc>
          <w:tcPr>
            <w:tcW w:w="673" w:type="pct"/>
            <w:tcBorders>
              <w:top w:val="nil"/>
              <w:left w:val="nil"/>
              <w:bottom w:val="single" w:sz="4" w:space="0" w:color="auto"/>
              <w:right w:val="single" w:sz="4" w:space="0" w:color="auto"/>
            </w:tcBorders>
            <w:shd w:val="clear" w:color="auto" w:fill="auto"/>
            <w:vAlign w:val="center"/>
            <w:hideMark/>
          </w:tcPr>
          <w:p w14:paraId="0E6942BB" w14:textId="58176434"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hideMark/>
          </w:tcPr>
          <w:p w14:paraId="7731AA0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BPnd</w:t>
            </w:r>
          </w:p>
        </w:tc>
        <w:tc>
          <w:tcPr>
            <w:tcW w:w="449" w:type="pct"/>
            <w:tcBorders>
              <w:top w:val="nil"/>
              <w:left w:val="nil"/>
              <w:bottom w:val="single" w:sz="4" w:space="0" w:color="auto"/>
              <w:right w:val="single" w:sz="4" w:space="0" w:color="auto"/>
            </w:tcBorders>
            <w:shd w:val="clear" w:color="auto" w:fill="auto"/>
            <w:noWrap/>
            <w:vAlign w:val="center"/>
            <w:hideMark/>
          </w:tcPr>
          <w:p w14:paraId="475544FB"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08712EB4" w14:textId="77777777" w:rsidTr="003B106A">
        <w:trPr>
          <w:trHeight w:val="960"/>
        </w:trPr>
        <w:tc>
          <w:tcPr>
            <w:tcW w:w="422" w:type="pct"/>
            <w:vMerge/>
            <w:tcBorders>
              <w:top w:val="nil"/>
              <w:left w:val="single" w:sz="4" w:space="0" w:color="auto"/>
              <w:bottom w:val="single" w:sz="4" w:space="0" w:color="auto"/>
              <w:right w:val="single" w:sz="4" w:space="0" w:color="auto"/>
            </w:tcBorders>
            <w:vAlign w:val="center"/>
            <w:hideMark/>
          </w:tcPr>
          <w:p w14:paraId="2D9A7B2D"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p>
        </w:tc>
        <w:tc>
          <w:tcPr>
            <w:tcW w:w="488" w:type="pct"/>
            <w:tcBorders>
              <w:top w:val="nil"/>
              <w:left w:val="nil"/>
              <w:bottom w:val="single" w:sz="4" w:space="0" w:color="auto"/>
              <w:right w:val="single" w:sz="4" w:space="0" w:color="auto"/>
            </w:tcBorders>
            <w:shd w:val="clear" w:color="auto" w:fill="auto"/>
            <w:vAlign w:val="center"/>
            <w:hideMark/>
          </w:tcPr>
          <w:p w14:paraId="1A744730" w14:textId="53DAA126"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Mak (2021)</w:t>
            </w:r>
            <w:r w:rsidR="00181D2E">
              <w:rPr>
                <w:rFonts w:asciiTheme="majorHAnsi" w:eastAsia="Times New Roman" w:hAnsiTheme="majorHAnsi" w:cs="Calibri"/>
                <w:color w:val="000000"/>
                <w:kern w:val="0"/>
                <w:sz w:val="18"/>
                <w:szCs w:val="18"/>
                <w:vertAlign w:val="superscript"/>
                <w:lang w:eastAsia="en-GB"/>
                <w14:ligatures w14:val="none"/>
              </w:rPr>
              <w:t>69</w:t>
            </w:r>
          </w:p>
        </w:tc>
        <w:tc>
          <w:tcPr>
            <w:tcW w:w="536" w:type="pct"/>
            <w:tcBorders>
              <w:top w:val="nil"/>
              <w:left w:val="nil"/>
              <w:bottom w:val="single" w:sz="4" w:space="0" w:color="auto"/>
              <w:right w:val="single" w:sz="4" w:space="0" w:color="auto"/>
            </w:tcBorders>
            <w:shd w:val="clear" w:color="auto" w:fill="auto"/>
            <w:vAlign w:val="center"/>
            <w:hideMark/>
          </w:tcPr>
          <w:p w14:paraId="79DBCE1B"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007EE191"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1EA01F9D"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PSP=22, CBS=14, HC=27</w:t>
            </w:r>
          </w:p>
        </w:tc>
        <w:tc>
          <w:tcPr>
            <w:tcW w:w="724" w:type="pct"/>
            <w:tcBorders>
              <w:top w:val="nil"/>
              <w:left w:val="nil"/>
              <w:bottom w:val="single" w:sz="4" w:space="0" w:color="auto"/>
              <w:right w:val="single" w:sz="4" w:space="0" w:color="auto"/>
            </w:tcBorders>
            <w:shd w:val="clear" w:color="auto" w:fill="auto"/>
            <w:vAlign w:val="center"/>
            <w:hideMark/>
          </w:tcPr>
          <w:p w14:paraId="4B4712E4" w14:textId="00AC89CD" w:rsidR="00296C06"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PSP=70.9 ±8.69, CBS=70 ±7.91, </w:t>
            </w:r>
          </w:p>
          <w:p w14:paraId="7FE99CC1" w14:textId="519B3B84"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HC=69 ±7.34</w:t>
            </w:r>
          </w:p>
        </w:tc>
        <w:tc>
          <w:tcPr>
            <w:tcW w:w="673" w:type="pct"/>
            <w:tcBorders>
              <w:top w:val="nil"/>
              <w:left w:val="nil"/>
              <w:bottom w:val="single" w:sz="4" w:space="0" w:color="auto"/>
              <w:right w:val="single" w:sz="4" w:space="0" w:color="auto"/>
            </w:tcBorders>
            <w:shd w:val="clear" w:color="auto" w:fill="auto"/>
            <w:vAlign w:val="center"/>
            <w:hideMark/>
          </w:tcPr>
          <w:p w14:paraId="402F91D6" w14:textId="1192FD2C"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hideMark/>
          </w:tcPr>
          <w:p w14:paraId="7BFA883E"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BPnd</w:t>
            </w:r>
          </w:p>
        </w:tc>
        <w:tc>
          <w:tcPr>
            <w:tcW w:w="449" w:type="pct"/>
            <w:tcBorders>
              <w:top w:val="nil"/>
              <w:left w:val="nil"/>
              <w:bottom w:val="single" w:sz="4" w:space="0" w:color="auto"/>
              <w:right w:val="single" w:sz="4" w:space="0" w:color="auto"/>
            </w:tcBorders>
            <w:shd w:val="clear" w:color="auto" w:fill="auto"/>
            <w:noWrap/>
            <w:vAlign w:val="center"/>
            <w:hideMark/>
          </w:tcPr>
          <w:p w14:paraId="5549B9FE"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0C9192EF" w14:textId="77777777" w:rsidTr="003B106A">
        <w:trPr>
          <w:trHeight w:val="64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7919524E"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TLE</w:t>
            </w:r>
          </w:p>
        </w:tc>
        <w:tc>
          <w:tcPr>
            <w:tcW w:w="488" w:type="pct"/>
            <w:tcBorders>
              <w:top w:val="nil"/>
              <w:left w:val="nil"/>
              <w:bottom w:val="single" w:sz="4" w:space="0" w:color="auto"/>
              <w:right w:val="single" w:sz="4" w:space="0" w:color="auto"/>
            </w:tcBorders>
            <w:shd w:val="clear" w:color="auto" w:fill="auto"/>
            <w:vAlign w:val="center"/>
            <w:hideMark/>
          </w:tcPr>
          <w:p w14:paraId="5B776CE6" w14:textId="029AC7F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Finnema (2020)</w:t>
            </w:r>
            <w:r w:rsidR="00181D2E">
              <w:rPr>
                <w:rFonts w:asciiTheme="majorHAnsi" w:eastAsia="Times New Roman" w:hAnsiTheme="majorHAnsi" w:cs="Calibri"/>
                <w:color w:val="000000"/>
                <w:kern w:val="0"/>
                <w:sz w:val="18"/>
                <w:szCs w:val="18"/>
                <w:vertAlign w:val="superscript"/>
                <w:lang w:eastAsia="en-GB"/>
                <w14:ligatures w14:val="none"/>
              </w:rPr>
              <w:t>25</w:t>
            </w:r>
          </w:p>
        </w:tc>
        <w:tc>
          <w:tcPr>
            <w:tcW w:w="536" w:type="pct"/>
            <w:tcBorders>
              <w:top w:val="nil"/>
              <w:left w:val="nil"/>
              <w:bottom w:val="single" w:sz="4" w:space="0" w:color="auto"/>
              <w:right w:val="single" w:sz="4" w:space="0" w:color="auto"/>
            </w:tcBorders>
            <w:shd w:val="clear" w:color="auto" w:fill="auto"/>
            <w:vAlign w:val="center"/>
            <w:hideMark/>
          </w:tcPr>
          <w:p w14:paraId="0F99A96C"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15053D0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N</w:t>
            </w:r>
          </w:p>
        </w:tc>
        <w:tc>
          <w:tcPr>
            <w:tcW w:w="673" w:type="pct"/>
            <w:tcBorders>
              <w:top w:val="nil"/>
              <w:left w:val="nil"/>
              <w:bottom w:val="single" w:sz="4" w:space="0" w:color="auto"/>
              <w:right w:val="single" w:sz="4" w:space="0" w:color="auto"/>
            </w:tcBorders>
            <w:shd w:val="clear" w:color="auto" w:fill="auto"/>
            <w:vAlign w:val="center"/>
            <w:hideMark/>
          </w:tcPr>
          <w:p w14:paraId="0501D549"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TLE=12, HC=12</w:t>
            </w:r>
          </w:p>
        </w:tc>
        <w:tc>
          <w:tcPr>
            <w:tcW w:w="724" w:type="pct"/>
            <w:tcBorders>
              <w:top w:val="nil"/>
              <w:left w:val="nil"/>
              <w:bottom w:val="single" w:sz="4" w:space="0" w:color="auto"/>
              <w:right w:val="single" w:sz="4" w:space="0" w:color="auto"/>
            </w:tcBorders>
            <w:shd w:val="clear" w:color="auto" w:fill="auto"/>
            <w:vAlign w:val="center"/>
            <w:hideMark/>
          </w:tcPr>
          <w:p w14:paraId="0B58ED3F" w14:textId="77777777" w:rsidR="00296C06"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 xml:space="preserve">TLE=39.4 ±10.7, </w:t>
            </w:r>
          </w:p>
          <w:p w14:paraId="32601269" w14:textId="762F3032"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HD=40 ±12</w:t>
            </w:r>
          </w:p>
        </w:tc>
        <w:tc>
          <w:tcPr>
            <w:tcW w:w="673" w:type="pct"/>
            <w:tcBorders>
              <w:top w:val="nil"/>
              <w:left w:val="nil"/>
              <w:bottom w:val="single" w:sz="4" w:space="0" w:color="auto"/>
              <w:right w:val="single" w:sz="4" w:space="0" w:color="auto"/>
            </w:tcBorders>
            <w:shd w:val="clear" w:color="auto" w:fill="auto"/>
            <w:vAlign w:val="center"/>
            <w:hideMark/>
          </w:tcPr>
          <w:p w14:paraId="78CEDCF3" w14:textId="77777777" w:rsidR="003A0B29"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r w:rsidR="00383638" w:rsidRPr="00383638">
              <w:rPr>
                <w:rFonts w:asciiTheme="majorHAnsi" w:eastAsia="Times New Roman" w:hAnsiTheme="majorHAnsi" w:cs="Calibri"/>
                <w:color w:val="000000"/>
                <w:kern w:val="0"/>
                <w:sz w:val="18"/>
                <w:szCs w:val="18"/>
                <w:lang w:eastAsia="en-GB"/>
                <w14:ligatures w14:val="none"/>
              </w:rPr>
              <w:t xml:space="preserve"> </w:t>
            </w:r>
          </w:p>
          <w:p w14:paraId="2AAF0529" w14:textId="660F6CD4" w:rsidR="00383638" w:rsidRPr="00383638" w:rsidRDefault="001878CE"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[18F]-FDG</w:t>
            </w:r>
          </w:p>
        </w:tc>
        <w:tc>
          <w:tcPr>
            <w:tcW w:w="517" w:type="pct"/>
            <w:tcBorders>
              <w:top w:val="nil"/>
              <w:left w:val="nil"/>
              <w:bottom w:val="single" w:sz="4" w:space="0" w:color="auto"/>
              <w:right w:val="single" w:sz="4" w:space="0" w:color="auto"/>
            </w:tcBorders>
            <w:shd w:val="clear" w:color="auto" w:fill="auto"/>
            <w:noWrap/>
            <w:vAlign w:val="center"/>
            <w:hideMark/>
          </w:tcPr>
          <w:p w14:paraId="1765C685"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BPND</w:t>
            </w:r>
          </w:p>
        </w:tc>
        <w:tc>
          <w:tcPr>
            <w:tcW w:w="449" w:type="pct"/>
            <w:tcBorders>
              <w:top w:val="nil"/>
              <w:left w:val="nil"/>
              <w:bottom w:val="single" w:sz="4" w:space="0" w:color="auto"/>
              <w:right w:val="single" w:sz="4" w:space="0" w:color="auto"/>
            </w:tcBorders>
            <w:shd w:val="clear" w:color="auto" w:fill="auto"/>
            <w:noWrap/>
            <w:vAlign w:val="center"/>
            <w:hideMark/>
          </w:tcPr>
          <w:p w14:paraId="367DA0E0"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r w:rsidR="003B106A" w:rsidRPr="003B106A" w14:paraId="2E466C17" w14:textId="77777777" w:rsidTr="003B106A">
        <w:trPr>
          <w:trHeight w:val="64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7BEA155" w14:textId="77777777"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MMS</w:t>
            </w:r>
          </w:p>
        </w:tc>
        <w:tc>
          <w:tcPr>
            <w:tcW w:w="488" w:type="pct"/>
            <w:tcBorders>
              <w:top w:val="nil"/>
              <w:left w:val="nil"/>
              <w:bottom w:val="single" w:sz="4" w:space="0" w:color="auto"/>
              <w:right w:val="single" w:sz="4" w:space="0" w:color="auto"/>
            </w:tcBorders>
            <w:shd w:val="clear" w:color="auto" w:fill="auto"/>
            <w:vAlign w:val="center"/>
            <w:hideMark/>
          </w:tcPr>
          <w:p w14:paraId="774010CB" w14:textId="2A7EBE1A" w:rsidR="00383638" w:rsidRPr="00383638" w:rsidRDefault="00383638" w:rsidP="00C3185A">
            <w:pPr>
              <w:rPr>
                <w:rFonts w:asciiTheme="majorHAnsi" w:eastAsia="Times New Roman" w:hAnsiTheme="majorHAnsi" w:cs="Calibri"/>
                <w:b/>
                <w:bCs/>
                <w:color w:val="000000"/>
                <w:kern w:val="0"/>
                <w:sz w:val="18"/>
                <w:szCs w:val="18"/>
                <w:lang w:eastAsia="en-GB"/>
                <w14:ligatures w14:val="none"/>
              </w:rPr>
            </w:pPr>
            <w:r w:rsidRPr="00383638">
              <w:rPr>
                <w:rFonts w:asciiTheme="majorHAnsi" w:eastAsia="Times New Roman" w:hAnsiTheme="majorHAnsi" w:cs="Calibri"/>
                <w:b/>
                <w:bCs/>
                <w:color w:val="000000"/>
                <w:kern w:val="0"/>
                <w:sz w:val="18"/>
                <w:szCs w:val="18"/>
                <w:lang w:eastAsia="en-GB"/>
                <w14:ligatures w14:val="none"/>
              </w:rPr>
              <w:t>Van Cauwenberge (2023)</w:t>
            </w:r>
            <w:r w:rsidR="00181D2E">
              <w:rPr>
                <w:rFonts w:asciiTheme="majorHAnsi" w:eastAsia="Times New Roman" w:hAnsiTheme="majorHAnsi" w:cs="Calibri"/>
                <w:color w:val="000000"/>
                <w:kern w:val="0"/>
                <w:sz w:val="18"/>
                <w:szCs w:val="18"/>
                <w:vertAlign w:val="superscript"/>
                <w:lang w:eastAsia="en-GB"/>
                <w14:ligatures w14:val="none"/>
              </w:rPr>
              <w:t>70</w:t>
            </w:r>
          </w:p>
        </w:tc>
        <w:tc>
          <w:tcPr>
            <w:tcW w:w="536" w:type="pct"/>
            <w:tcBorders>
              <w:top w:val="nil"/>
              <w:left w:val="nil"/>
              <w:bottom w:val="single" w:sz="4" w:space="0" w:color="auto"/>
              <w:right w:val="single" w:sz="4" w:space="0" w:color="auto"/>
            </w:tcBorders>
            <w:shd w:val="clear" w:color="auto" w:fill="auto"/>
            <w:vAlign w:val="center"/>
            <w:hideMark/>
          </w:tcPr>
          <w:p w14:paraId="6FD1308F"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cross-sectional</w:t>
            </w:r>
          </w:p>
        </w:tc>
        <w:tc>
          <w:tcPr>
            <w:tcW w:w="517" w:type="pct"/>
            <w:tcBorders>
              <w:top w:val="nil"/>
              <w:left w:val="nil"/>
              <w:bottom w:val="single" w:sz="4" w:space="0" w:color="auto"/>
              <w:right w:val="single" w:sz="4" w:space="0" w:color="auto"/>
            </w:tcBorders>
            <w:shd w:val="clear" w:color="auto" w:fill="auto"/>
            <w:vAlign w:val="center"/>
            <w:hideMark/>
          </w:tcPr>
          <w:p w14:paraId="4740BEAE" w14:textId="30B8A5A2"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Delva (2020)</w:t>
            </w:r>
            <w:r w:rsidR="00181D2E">
              <w:rPr>
                <w:rFonts w:asciiTheme="majorHAnsi" w:eastAsia="Times New Roman" w:hAnsiTheme="majorHAnsi" w:cs="Calibri"/>
                <w:color w:val="000000"/>
                <w:kern w:val="0"/>
                <w:sz w:val="18"/>
                <w:szCs w:val="18"/>
                <w:vertAlign w:val="superscript"/>
                <w:lang w:eastAsia="en-GB"/>
                <w14:ligatures w14:val="none"/>
              </w:rPr>
              <w:t>21</w:t>
            </w:r>
          </w:p>
        </w:tc>
        <w:tc>
          <w:tcPr>
            <w:tcW w:w="673" w:type="pct"/>
            <w:tcBorders>
              <w:top w:val="nil"/>
              <w:left w:val="nil"/>
              <w:bottom w:val="single" w:sz="4" w:space="0" w:color="auto"/>
              <w:right w:val="single" w:sz="4" w:space="0" w:color="auto"/>
            </w:tcBorders>
            <w:shd w:val="clear" w:color="auto" w:fill="auto"/>
            <w:vAlign w:val="center"/>
            <w:hideMark/>
          </w:tcPr>
          <w:p w14:paraId="19E0063C"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HC=58</w:t>
            </w:r>
          </w:p>
        </w:tc>
        <w:tc>
          <w:tcPr>
            <w:tcW w:w="724" w:type="pct"/>
            <w:tcBorders>
              <w:top w:val="nil"/>
              <w:left w:val="nil"/>
              <w:bottom w:val="single" w:sz="4" w:space="0" w:color="auto"/>
              <w:right w:val="single" w:sz="4" w:space="0" w:color="auto"/>
            </w:tcBorders>
            <w:shd w:val="clear" w:color="auto" w:fill="auto"/>
            <w:vAlign w:val="center"/>
            <w:hideMark/>
          </w:tcPr>
          <w:p w14:paraId="425BEA4A"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HC=68.5 ±7.5</w:t>
            </w:r>
          </w:p>
        </w:tc>
        <w:tc>
          <w:tcPr>
            <w:tcW w:w="673" w:type="pct"/>
            <w:tcBorders>
              <w:top w:val="nil"/>
              <w:left w:val="nil"/>
              <w:bottom w:val="single" w:sz="4" w:space="0" w:color="auto"/>
              <w:right w:val="single" w:sz="4" w:space="0" w:color="auto"/>
            </w:tcBorders>
            <w:shd w:val="clear" w:color="auto" w:fill="auto"/>
            <w:vAlign w:val="center"/>
            <w:hideMark/>
          </w:tcPr>
          <w:p w14:paraId="5B37DF17" w14:textId="62FE5E54" w:rsidR="00383638" w:rsidRPr="00383638" w:rsidRDefault="00685177" w:rsidP="00C3185A">
            <w:pPr>
              <w:rPr>
                <w:rFonts w:asciiTheme="majorHAnsi" w:eastAsia="Times New Roman" w:hAnsiTheme="majorHAnsi" w:cs="Calibri"/>
                <w:color w:val="000000"/>
                <w:kern w:val="0"/>
                <w:sz w:val="18"/>
                <w:szCs w:val="18"/>
                <w:lang w:eastAsia="en-GB"/>
                <w14:ligatures w14:val="none"/>
              </w:rPr>
            </w:pPr>
            <w:r>
              <w:rPr>
                <w:rFonts w:asciiTheme="majorHAnsi" w:eastAsia="Times New Roman" w:hAnsiTheme="majorHAnsi" w:cs="Calibri"/>
                <w:color w:val="000000"/>
                <w:kern w:val="0"/>
                <w:sz w:val="18"/>
                <w:szCs w:val="18"/>
                <w:lang w:eastAsia="en-GB"/>
                <w14:ligatures w14:val="none"/>
              </w:rPr>
              <w:t>[11C]-UCB-J</w:t>
            </w:r>
          </w:p>
        </w:tc>
        <w:tc>
          <w:tcPr>
            <w:tcW w:w="517" w:type="pct"/>
            <w:tcBorders>
              <w:top w:val="nil"/>
              <w:left w:val="nil"/>
              <w:bottom w:val="single" w:sz="4" w:space="0" w:color="auto"/>
              <w:right w:val="single" w:sz="4" w:space="0" w:color="auto"/>
            </w:tcBorders>
            <w:shd w:val="clear" w:color="auto" w:fill="auto"/>
            <w:noWrap/>
            <w:vAlign w:val="center"/>
            <w:hideMark/>
          </w:tcPr>
          <w:p w14:paraId="097656C4"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SUVR</w:t>
            </w:r>
          </w:p>
        </w:tc>
        <w:tc>
          <w:tcPr>
            <w:tcW w:w="449" w:type="pct"/>
            <w:tcBorders>
              <w:top w:val="nil"/>
              <w:left w:val="nil"/>
              <w:bottom w:val="single" w:sz="4" w:space="0" w:color="auto"/>
              <w:right w:val="single" w:sz="4" w:space="0" w:color="auto"/>
            </w:tcBorders>
            <w:shd w:val="clear" w:color="auto" w:fill="auto"/>
            <w:noWrap/>
            <w:vAlign w:val="center"/>
            <w:hideMark/>
          </w:tcPr>
          <w:p w14:paraId="1BEB55C7" w14:textId="77777777" w:rsidR="00383638" w:rsidRPr="00383638" w:rsidRDefault="00383638" w:rsidP="00C3185A">
            <w:pPr>
              <w:rPr>
                <w:rFonts w:asciiTheme="majorHAnsi" w:eastAsia="Times New Roman" w:hAnsiTheme="majorHAnsi" w:cs="Calibri"/>
                <w:color w:val="000000"/>
                <w:kern w:val="0"/>
                <w:sz w:val="18"/>
                <w:szCs w:val="18"/>
                <w:lang w:eastAsia="en-GB"/>
                <w14:ligatures w14:val="none"/>
              </w:rPr>
            </w:pPr>
            <w:r w:rsidRPr="00383638">
              <w:rPr>
                <w:rFonts w:asciiTheme="majorHAnsi" w:eastAsia="Times New Roman" w:hAnsiTheme="majorHAnsi" w:cs="Calibri"/>
                <w:color w:val="000000"/>
                <w:kern w:val="0"/>
                <w:sz w:val="18"/>
                <w:szCs w:val="18"/>
                <w:lang w:eastAsia="en-GB"/>
                <w14:ligatures w14:val="none"/>
              </w:rPr>
              <w:t>CS</w:t>
            </w:r>
          </w:p>
        </w:tc>
      </w:tr>
    </w:tbl>
    <w:p w14:paraId="70CC57C4" w14:textId="353EC265" w:rsidR="00383638" w:rsidRDefault="003E0472" w:rsidP="00C3185A">
      <w:pPr>
        <w:pStyle w:val="Caption"/>
      </w:pPr>
      <w:r w:rsidRPr="009237CF">
        <w:rPr>
          <w:b/>
          <w:bCs/>
        </w:rPr>
        <w:t>Table S</w:t>
      </w:r>
      <w:r w:rsidR="00FB02DA">
        <w:rPr>
          <w:b/>
          <w:bCs/>
        </w:rPr>
        <w:t>4</w:t>
      </w:r>
      <w:r>
        <w:t xml:space="preserve"> </w:t>
      </w:r>
      <w:r w:rsidR="000F5BB5">
        <w:rPr>
          <w:lang w:val="en-US"/>
        </w:rPr>
        <w:t>Summary of studies in neurodegenerative illnesses.</w:t>
      </w:r>
      <w:r w:rsidR="00765573">
        <w:t xml:space="preserve"> </w:t>
      </w:r>
      <w:r w:rsidR="009237CF">
        <w:t xml:space="preserve">If the same sample or a subset of the same sample was used across multiple studies, this is indicated in the ‘Overlapping samples’ column, where citation indicates the first study published (chronologically) where this sample was included; otherwise ‘N’ indicates no overlap in data with previous studies. </w:t>
      </w:r>
      <w:r w:rsidR="00866AB8" w:rsidRPr="00866AB8">
        <w:rPr>
          <w:b/>
          <w:bCs/>
        </w:rPr>
        <w:t>Abbreviations</w:t>
      </w:r>
      <w:r w:rsidR="00866AB8">
        <w:t xml:space="preserve">: </w:t>
      </w:r>
      <w:r w:rsidR="008A3D37">
        <w:rPr>
          <w:lang w:val="en-US"/>
        </w:rPr>
        <w:t>Aβ = beta-amyloid, AD = Alzheimer’s dementia, AIF = arterial input function, BP</w:t>
      </w:r>
      <w:r w:rsidR="008A3D37">
        <w:rPr>
          <w:vertAlign w:val="subscript"/>
          <w:lang w:val="en-US"/>
        </w:rPr>
        <w:t>ND</w:t>
      </w:r>
      <w:r w:rsidR="008A3D37">
        <w:rPr>
          <w:lang w:val="en-US"/>
        </w:rPr>
        <w:t xml:space="preserve"> = nondisplaceable binding potential, (bv)FTD = (behavioural variant) frontotemporal dementia, CBD = corticobasal degeneration, CBL = cerebellum, CS = centrum semiovale, Cx = cortex, DVR = distribution volume ratio, GM = grey matter, HC = healthy controls, LBD = Lewy body dementia, MCI = mild cognitive impairment, MMS = mild motor signs, N = no, NA = not applicable, OCx = occipital cortex, PD = Parkinson’s disease, (pm)HD = (premanifest) Huntington’s disease, PSP = progressive supranuclear palsy, SUVR = standardised uptake value ratio, TLE = temporal lobe epilepsy, V</w:t>
      </w:r>
      <w:r w:rsidR="008A3D37">
        <w:rPr>
          <w:vertAlign w:val="subscript"/>
          <w:lang w:val="en-US"/>
        </w:rPr>
        <w:t>T</w:t>
      </w:r>
      <w:r w:rsidR="008A3D37">
        <w:rPr>
          <w:lang w:val="en-US"/>
        </w:rPr>
        <w:t xml:space="preserve"> = volume of distribution, WM = white matter.</w:t>
      </w:r>
    </w:p>
    <w:p w14:paraId="42CE5E99" w14:textId="77777777" w:rsidR="00950213" w:rsidRDefault="00950213" w:rsidP="00C3185A">
      <w:pPr>
        <w:sectPr w:rsidR="00950213" w:rsidSect="007056A1">
          <w:pgSz w:w="16817" w:h="11901" w:orient="landscape"/>
          <w:pgMar w:top="1440" w:right="1440" w:bottom="1440" w:left="1440" w:header="709" w:footer="709" w:gutter="0"/>
          <w:cols w:space="708"/>
          <w:docGrid w:linePitch="360"/>
        </w:sectPr>
      </w:pPr>
    </w:p>
    <w:p w14:paraId="3C3DF9C3" w14:textId="77777777" w:rsidR="00950213" w:rsidRDefault="00950213" w:rsidP="00C3185A">
      <w:pPr>
        <w:pStyle w:val="Heading1"/>
        <w:spacing w:line="360" w:lineRule="auto"/>
        <w:contextualSpacing/>
      </w:pPr>
      <w:r>
        <w:lastRenderedPageBreak/>
        <w:t>References</w:t>
      </w:r>
    </w:p>
    <w:p w14:paraId="55FA830E" w14:textId="77777777" w:rsidR="009060B6" w:rsidRPr="009060B6" w:rsidRDefault="00181D2E" w:rsidP="009060B6">
      <w:pPr>
        <w:pStyle w:val="EndNoteBibliography"/>
        <w:spacing w:after="0"/>
      </w:pPr>
      <w:r w:rsidRPr="00E059ED">
        <w:rPr>
          <w:rFonts w:asciiTheme="minorHAnsi" w:hAnsiTheme="minorHAnsi"/>
        </w:rPr>
        <w:fldChar w:fldCharType="begin"/>
      </w:r>
      <w:r w:rsidRPr="00E059ED">
        <w:rPr>
          <w:rFonts w:asciiTheme="minorHAnsi" w:hAnsiTheme="minorHAnsi"/>
        </w:rPr>
        <w:instrText xml:space="preserve"> ADDIN EN.REFLIST </w:instrText>
      </w:r>
      <w:r w:rsidRPr="00E059ED">
        <w:rPr>
          <w:rFonts w:asciiTheme="minorHAnsi" w:hAnsiTheme="minorHAnsi"/>
        </w:rPr>
        <w:fldChar w:fldCharType="separate"/>
      </w:r>
      <w:r w:rsidR="009060B6" w:rsidRPr="009060B6">
        <w:t>1.</w:t>
      </w:r>
      <w:r w:rsidR="009060B6" w:rsidRPr="009060B6">
        <w:tab/>
        <w:t xml:space="preserve">Miller PW, Long NJ, Vilar R, Gee AD. Synthesis of 11C, 18F, 15O, and 13N radiolabels for positron emission tomography. </w:t>
      </w:r>
      <w:r w:rsidR="009060B6" w:rsidRPr="009060B6">
        <w:rPr>
          <w:i/>
        </w:rPr>
        <w:t>Angewandte Chemie International Edition</w:t>
      </w:r>
      <w:r w:rsidR="009060B6" w:rsidRPr="009060B6">
        <w:t xml:space="preserve">. 2008;47(47):8998-9033. </w:t>
      </w:r>
    </w:p>
    <w:p w14:paraId="3B354FC2" w14:textId="77777777" w:rsidR="009060B6" w:rsidRPr="009060B6" w:rsidRDefault="009060B6" w:rsidP="009060B6">
      <w:pPr>
        <w:pStyle w:val="EndNoteBibliography"/>
        <w:spacing w:after="0"/>
      </w:pPr>
      <w:r w:rsidRPr="009060B6">
        <w:t>2.</w:t>
      </w:r>
      <w:r w:rsidRPr="009060B6">
        <w:tab/>
        <w:t xml:space="preserve">Turkington TG. Introduction to PET instrumentation. </w:t>
      </w:r>
      <w:r w:rsidRPr="009060B6">
        <w:rPr>
          <w:i/>
        </w:rPr>
        <w:t>Journal of nuclear medicine technology</w:t>
      </w:r>
      <w:r w:rsidRPr="009060B6">
        <w:t xml:space="preserve">. 2001;29(1):4-11. </w:t>
      </w:r>
    </w:p>
    <w:p w14:paraId="7D1C0568" w14:textId="77777777" w:rsidR="009060B6" w:rsidRPr="009060B6" w:rsidRDefault="009060B6" w:rsidP="009060B6">
      <w:pPr>
        <w:pStyle w:val="EndNoteBibliography"/>
        <w:spacing w:after="0"/>
      </w:pPr>
      <w:r w:rsidRPr="009060B6">
        <w:t>3.</w:t>
      </w:r>
      <w:r w:rsidRPr="009060B6">
        <w:tab/>
        <w:t xml:space="preserve">McCluskey SP, Plisson C, Rabiner EA, Howes O. Advances in CNS PET: the state-of-the-art for new imaging targets for pathophysiology and drug development. </w:t>
      </w:r>
      <w:r w:rsidRPr="009060B6">
        <w:rPr>
          <w:i/>
        </w:rPr>
        <w:t>European journal of nuclear medicine and molecular imaging</w:t>
      </w:r>
      <w:r w:rsidRPr="009060B6">
        <w:t xml:space="preserve">. 2020;47:451-489. </w:t>
      </w:r>
    </w:p>
    <w:p w14:paraId="583B651A" w14:textId="77777777" w:rsidR="009060B6" w:rsidRPr="009060B6" w:rsidRDefault="009060B6" w:rsidP="009060B6">
      <w:pPr>
        <w:pStyle w:val="EndNoteBibliography"/>
        <w:spacing w:after="0"/>
      </w:pPr>
      <w:r w:rsidRPr="009060B6">
        <w:t>4.</w:t>
      </w:r>
      <w:r w:rsidRPr="009060B6">
        <w:tab/>
        <w:t xml:space="preserve">Rogeau A, Nordio G, Veronese M, et al. The relationship between glutamate, dopamine, and cortical gray matter: a simultaneous PET-MR study. </w:t>
      </w:r>
      <w:r w:rsidRPr="009060B6">
        <w:rPr>
          <w:i/>
        </w:rPr>
        <w:t>Molecular Psychiatry</w:t>
      </w:r>
      <w:r w:rsidRPr="009060B6">
        <w:t xml:space="preserve">. 2022;27(8):3493-3500. </w:t>
      </w:r>
    </w:p>
    <w:p w14:paraId="13A04F8C" w14:textId="77777777" w:rsidR="009060B6" w:rsidRPr="009060B6" w:rsidRDefault="009060B6" w:rsidP="009060B6">
      <w:pPr>
        <w:pStyle w:val="EndNoteBibliography"/>
        <w:spacing w:after="0"/>
      </w:pPr>
      <w:r w:rsidRPr="009060B6">
        <w:t>5.</w:t>
      </w:r>
      <w:r w:rsidRPr="009060B6">
        <w:tab/>
        <w:t xml:space="preserve">Abi-Dargham A, Kegeles LS, Zea-Ponce Y, et al. Striatal amphetamine-induced dopamine release in patients with schizotypal personality disorder studied with single photon emission computed tomography and [123I] iodobenzamide. </w:t>
      </w:r>
      <w:r w:rsidRPr="009060B6">
        <w:rPr>
          <w:i/>
        </w:rPr>
        <w:t>Biological psychiatry</w:t>
      </w:r>
      <w:r w:rsidRPr="009060B6">
        <w:t xml:space="preserve">. 2004;55(10):1001-1006. </w:t>
      </w:r>
    </w:p>
    <w:p w14:paraId="21346968" w14:textId="77777777" w:rsidR="009060B6" w:rsidRPr="009060B6" w:rsidRDefault="009060B6" w:rsidP="009060B6">
      <w:pPr>
        <w:pStyle w:val="EndNoteBibliography"/>
        <w:spacing w:after="0"/>
      </w:pPr>
      <w:r w:rsidRPr="009060B6">
        <w:t>6.</w:t>
      </w:r>
      <w:r w:rsidRPr="009060B6">
        <w:tab/>
        <w:t xml:space="preserve">Howes OD, Bose SK, Turkheimer F, et al. Dopamine synthesis capacity before onset of psychosis: a prospective [18F]-DOPA PET imaging study. </w:t>
      </w:r>
      <w:r w:rsidRPr="009060B6">
        <w:rPr>
          <w:i/>
        </w:rPr>
        <w:t>American Journal of Psychiatry</w:t>
      </w:r>
      <w:r w:rsidRPr="009060B6">
        <w:t xml:space="preserve">. 2011;168(12):1311-1317. </w:t>
      </w:r>
    </w:p>
    <w:p w14:paraId="74FEADB8" w14:textId="77777777" w:rsidR="009060B6" w:rsidRPr="009060B6" w:rsidRDefault="009060B6" w:rsidP="009060B6">
      <w:pPr>
        <w:pStyle w:val="EndNoteBibliography"/>
        <w:spacing w:after="0"/>
      </w:pPr>
      <w:r w:rsidRPr="009060B6">
        <w:t>7.</w:t>
      </w:r>
      <w:r w:rsidRPr="009060B6">
        <w:tab/>
        <w:t xml:space="preserve">Schöll M, Damián A, Engler H. Fluorodeoxyglucose PET in neurology and psychiatry. </w:t>
      </w:r>
      <w:r w:rsidRPr="009060B6">
        <w:rPr>
          <w:i/>
        </w:rPr>
        <w:t>PET clinics</w:t>
      </w:r>
      <w:r w:rsidRPr="009060B6">
        <w:t xml:space="preserve">. 2014;9(4):371-390. </w:t>
      </w:r>
    </w:p>
    <w:p w14:paraId="0A2B8194" w14:textId="77777777" w:rsidR="009060B6" w:rsidRPr="009060B6" w:rsidRDefault="009060B6" w:rsidP="009060B6">
      <w:pPr>
        <w:pStyle w:val="EndNoteBibliography"/>
        <w:spacing w:after="0"/>
      </w:pPr>
      <w:r w:rsidRPr="009060B6">
        <w:t>8.</w:t>
      </w:r>
      <w:r w:rsidRPr="009060B6">
        <w:tab/>
        <w:t xml:space="preserve">Laruelle M, Slifstein M, Huang Y. Relationships between radiotracer properties and image quality in molecular imaging of the brain with positron emission tomography. </w:t>
      </w:r>
      <w:r w:rsidRPr="009060B6">
        <w:rPr>
          <w:i/>
        </w:rPr>
        <w:t>Molecular Imaging &amp; Biology</w:t>
      </w:r>
      <w:r w:rsidRPr="009060B6">
        <w:t xml:space="preserve">. 2003;5(6):363-375. </w:t>
      </w:r>
    </w:p>
    <w:p w14:paraId="00C8FCF4" w14:textId="77777777" w:rsidR="009060B6" w:rsidRPr="009060B6" w:rsidRDefault="009060B6" w:rsidP="009060B6">
      <w:pPr>
        <w:pStyle w:val="EndNoteBibliography"/>
        <w:spacing w:after="0"/>
      </w:pPr>
      <w:r w:rsidRPr="009060B6">
        <w:t>9.</w:t>
      </w:r>
      <w:r w:rsidRPr="009060B6">
        <w:tab/>
        <w:t xml:space="preserve">Morris EE, Christopher J; Schmidt, Kathleen C; Christian, Bradley T; Muzic, Raymond F; Fisher, Ronald E. Kinetic Modeling in Positron Emission Tomography. </w:t>
      </w:r>
      <w:r w:rsidRPr="009060B6">
        <w:rPr>
          <w:i/>
        </w:rPr>
        <w:t>Emission Tomography</w:t>
      </w:r>
      <w:r w:rsidRPr="009060B6">
        <w:t>. Elsevier; 2004:499-540:chap 23.</w:t>
      </w:r>
    </w:p>
    <w:p w14:paraId="6722E70C" w14:textId="77777777" w:rsidR="009060B6" w:rsidRPr="009060B6" w:rsidRDefault="009060B6" w:rsidP="009060B6">
      <w:pPr>
        <w:pStyle w:val="EndNoteBibliography"/>
        <w:spacing w:after="0"/>
      </w:pPr>
      <w:r w:rsidRPr="009060B6">
        <w:t>10.</w:t>
      </w:r>
      <w:r w:rsidRPr="009060B6">
        <w:tab/>
        <w:t xml:space="preserve">Bentourkia Mh. Determination of the input function at the entry of the tissue of interest and its impact on PET kinetic modeling parameters. </w:t>
      </w:r>
      <w:r w:rsidRPr="009060B6">
        <w:rPr>
          <w:i/>
        </w:rPr>
        <w:t>Molecular Imaging and Biology</w:t>
      </w:r>
      <w:r w:rsidRPr="009060B6">
        <w:t xml:space="preserve">. 2015;17:748-756. </w:t>
      </w:r>
    </w:p>
    <w:p w14:paraId="41C1635E" w14:textId="77777777" w:rsidR="009060B6" w:rsidRPr="009060B6" w:rsidRDefault="009060B6" w:rsidP="009060B6">
      <w:pPr>
        <w:pStyle w:val="EndNoteBibliography"/>
        <w:spacing w:after="0"/>
      </w:pPr>
      <w:r w:rsidRPr="009060B6">
        <w:t>11.</w:t>
      </w:r>
      <w:r w:rsidRPr="009060B6">
        <w:tab/>
        <w:t xml:space="preserve">Wong K-P, Feng D, Meikle SR, Fulham MJ. Simultaneous estimation of physiological parameters and the input function-in vivo PET data. </w:t>
      </w:r>
      <w:r w:rsidRPr="009060B6">
        <w:rPr>
          <w:i/>
        </w:rPr>
        <w:t>Ieee transactions on information technology in biomedicine</w:t>
      </w:r>
      <w:r w:rsidRPr="009060B6">
        <w:t xml:space="preserve">. 2001;5(1):67-76. </w:t>
      </w:r>
    </w:p>
    <w:p w14:paraId="7E8725AA" w14:textId="77777777" w:rsidR="009060B6" w:rsidRPr="009060B6" w:rsidRDefault="009060B6" w:rsidP="009060B6">
      <w:pPr>
        <w:pStyle w:val="EndNoteBibliography"/>
        <w:spacing w:after="0"/>
      </w:pPr>
      <w:r w:rsidRPr="009060B6">
        <w:t>12.</w:t>
      </w:r>
      <w:r w:rsidRPr="009060B6">
        <w:tab/>
        <w:t xml:space="preserve">Gunn RN, Lammertsma AA, Hume SP, Cunningham VJ. Parametric imaging of ligand-receptor binding in PET using a simplified reference region model. </w:t>
      </w:r>
      <w:r w:rsidRPr="009060B6">
        <w:rPr>
          <w:i/>
        </w:rPr>
        <w:t>Neuroimage</w:t>
      </w:r>
      <w:r w:rsidRPr="009060B6">
        <w:t xml:space="preserve">. 1997;6(4):279-287. </w:t>
      </w:r>
    </w:p>
    <w:p w14:paraId="660D8271" w14:textId="77777777" w:rsidR="009060B6" w:rsidRPr="009060B6" w:rsidRDefault="009060B6" w:rsidP="009060B6">
      <w:pPr>
        <w:pStyle w:val="EndNoteBibliography"/>
        <w:spacing w:after="0"/>
      </w:pPr>
      <w:r w:rsidRPr="009060B6">
        <w:t>13.</w:t>
      </w:r>
      <w:r w:rsidRPr="009060B6">
        <w:tab/>
        <w:t xml:space="preserve">Zanderigo F, Ogden RT, Parsey RV. Reference region approaches in PET: a comparative study on multiple radioligands. </w:t>
      </w:r>
      <w:r w:rsidRPr="009060B6">
        <w:rPr>
          <w:i/>
        </w:rPr>
        <w:t>Journal of Cerebral Blood Flow &amp; Metabolism</w:t>
      </w:r>
      <w:r w:rsidRPr="009060B6">
        <w:t xml:space="preserve">. 2013;33(6):888-897. </w:t>
      </w:r>
    </w:p>
    <w:p w14:paraId="22F4B04B" w14:textId="77777777" w:rsidR="009060B6" w:rsidRPr="009060B6" w:rsidRDefault="009060B6" w:rsidP="009060B6">
      <w:pPr>
        <w:pStyle w:val="EndNoteBibliography"/>
        <w:spacing w:after="0"/>
      </w:pPr>
      <w:r w:rsidRPr="009060B6">
        <w:t>14.</w:t>
      </w:r>
      <w:r w:rsidRPr="009060B6">
        <w:tab/>
        <w:t xml:space="preserve">Rossano S, Toyonaga T, Finnema SJ, et al. Assessment of a white matter reference region for 11C-UCB-J PET quantification. </w:t>
      </w:r>
      <w:r w:rsidRPr="009060B6">
        <w:rPr>
          <w:i/>
        </w:rPr>
        <w:t>Journal of Cerebral Blood Flow &amp; Metabolism</w:t>
      </w:r>
      <w:r w:rsidRPr="009060B6">
        <w:t xml:space="preserve">. 2020;40(9):1890-1901. </w:t>
      </w:r>
    </w:p>
    <w:p w14:paraId="595E6DD3" w14:textId="77777777" w:rsidR="009060B6" w:rsidRPr="009060B6" w:rsidRDefault="009060B6" w:rsidP="009060B6">
      <w:pPr>
        <w:pStyle w:val="EndNoteBibliography"/>
        <w:spacing w:after="0"/>
      </w:pPr>
      <w:r w:rsidRPr="009060B6">
        <w:t>15.</w:t>
      </w:r>
      <w:r w:rsidRPr="009060B6">
        <w:tab/>
        <w:t xml:space="preserve">Mecca AP, Chen MK, O'Dell RS, et al. In vivo measurement of widespread synaptic loss in Alzheimer's disease with SV2A PET. </w:t>
      </w:r>
      <w:r w:rsidRPr="009060B6">
        <w:rPr>
          <w:i/>
        </w:rPr>
        <w:t>Alzheimer's &amp; Dementia</w:t>
      </w:r>
      <w:r w:rsidRPr="009060B6">
        <w:t xml:space="preserve">. 2020;16(7):974-982. </w:t>
      </w:r>
    </w:p>
    <w:p w14:paraId="00455118" w14:textId="77777777" w:rsidR="009060B6" w:rsidRPr="009060B6" w:rsidRDefault="009060B6" w:rsidP="009060B6">
      <w:pPr>
        <w:pStyle w:val="EndNoteBibliography"/>
        <w:spacing w:after="0"/>
      </w:pPr>
      <w:r w:rsidRPr="009060B6">
        <w:t>16.</w:t>
      </w:r>
      <w:r w:rsidRPr="009060B6">
        <w:tab/>
        <w:t xml:space="preserve">Silva-Rudberg JA, Salardini E, O'Dell RS, et al. Assessment of Gray Matter Microstructure and Synaptic Density in Alzheimer's Disease: A Multimodal Imaging Study With DTI and SV2A PET. </w:t>
      </w:r>
      <w:r w:rsidRPr="009060B6">
        <w:rPr>
          <w:i/>
        </w:rPr>
        <w:t>The American Journal of Geriatric Psychiatry</w:t>
      </w:r>
      <w:r w:rsidRPr="009060B6">
        <w:t>. 2023;</w:t>
      </w:r>
    </w:p>
    <w:p w14:paraId="762713F4" w14:textId="77777777" w:rsidR="009060B6" w:rsidRPr="009060B6" w:rsidRDefault="009060B6" w:rsidP="009060B6">
      <w:pPr>
        <w:pStyle w:val="EndNoteBibliography"/>
        <w:spacing w:after="0"/>
      </w:pPr>
      <w:r w:rsidRPr="009060B6">
        <w:lastRenderedPageBreak/>
        <w:t>17.</w:t>
      </w:r>
      <w:r w:rsidRPr="009060B6">
        <w:tab/>
        <w:t xml:space="preserve">Mintun MA, Raichle ME, Kilbourn MR, Wooten GF, Welch MJ. A quantitative model for the in vivo assessment of drug binding sites with positron emission tomography. </w:t>
      </w:r>
      <w:r w:rsidRPr="009060B6">
        <w:rPr>
          <w:i/>
        </w:rPr>
        <w:t>Annals of Neurology: Official Journal of the American Neurological Association and the Child Neurology Society</w:t>
      </w:r>
      <w:r w:rsidRPr="009060B6">
        <w:t xml:space="preserve">. 1984;15(3):217-227. </w:t>
      </w:r>
    </w:p>
    <w:p w14:paraId="3A9FF70D" w14:textId="77777777" w:rsidR="009060B6" w:rsidRPr="009060B6" w:rsidRDefault="009060B6" w:rsidP="009060B6">
      <w:pPr>
        <w:pStyle w:val="EndNoteBibliography"/>
        <w:spacing w:after="0"/>
      </w:pPr>
      <w:r w:rsidRPr="009060B6">
        <w:t>18.</w:t>
      </w:r>
      <w:r w:rsidRPr="009060B6">
        <w:tab/>
        <w:t xml:space="preserve">Innis RB, Cunningham VJ, Delforge J, et al. Consensus nomenclature for in vivo imaging of reversibly binding radioligands. </w:t>
      </w:r>
      <w:r w:rsidRPr="009060B6">
        <w:rPr>
          <w:i/>
        </w:rPr>
        <w:t>Journal of Cerebral Blood Flow &amp; Metabolism</w:t>
      </w:r>
      <w:r w:rsidRPr="009060B6">
        <w:t xml:space="preserve">. 2007;27(9):1533-1539. </w:t>
      </w:r>
    </w:p>
    <w:p w14:paraId="0893D575" w14:textId="77777777" w:rsidR="009060B6" w:rsidRPr="009060B6" w:rsidRDefault="009060B6" w:rsidP="009060B6">
      <w:pPr>
        <w:pStyle w:val="EndNoteBibliography"/>
        <w:spacing w:after="0"/>
      </w:pPr>
      <w:r w:rsidRPr="009060B6">
        <w:t>19.</w:t>
      </w:r>
      <w:r w:rsidRPr="009060B6">
        <w:tab/>
        <w:t xml:space="preserve">Lammertsma AA, Hume SP. Simplified reference tissue model for PET receptor studies. </w:t>
      </w:r>
      <w:r w:rsidRPr="009060B6">
        <w:rPr>
          <w:i/>
        </w:rPr>
        <w:t>Neuroimage</w:t>
      </w:r>
      <w:r w:rsidRPr="009060B6">
        <w:t xml:space="preserve">. 1996;4(3):153-158. </w:t>
      </w:r>
    </w:p>
    <w:p w14:paraId="5A05AD34" w14:textId="77777777" w:rsidR="009060B6" w:rsidRPr="009060B6" w:rsidRDefault="009060B6" w:rsidP="009060B6">
      <w:pPr>
        <w:pStyle w:val="EndNoteBibliography"/>
      </w:pPr>
      <w:r w:rsidRPr="009060B6">
        <w:t>20.</w:t>
      </w:r>
      <w:r w:rsidRPr="009060B6">
        <w:tab/>
        <w:t xml:space="preserve">Tuncel H, Boellaard R, Coomans EM, et al. Kinetics and 28-day test–retest repeatability and reproducibility of [11C] UCB-J PET brain imaging. </w:t>
      </w:r>
      <w:r w:rsidRPr="009060B6">
        <w:rPr>
          <w:i/>
        </w:rPr>
        <w:t>Journal of Cerebral Blood Flow &amp; Metabolism</w:t>
      </w:r>
      <w:r w:rsidRPr="009060B6">
        <w:t xml:space="preserve">. 2021;41(6):1338-1350. </w:t>
      </w:r>
    </w:p>
    <w:p w14:paraId="063B539F" w14:textId="3EE1083C" w:rsidR="00181D2E" w:rsidRPr="00E059ED" w:rsidRDefault="00181D2E" w:rsidP="00C3185A">
      <w:pPr>
        <w:pStyle w:val="Bibliography"/>
        <w:rPr>
          <w:sz w:val="22"/>
          <w:szCs w:val="22"/>
        </w:rPr>
      </w:pPr>
      <w:r w:rsidRPr="00E059ED">
        <w:rPr>
          <w:sz w:val="22"/>
          <w:szCs w:val="22"/>
        </w:rPr>
        <w:fldChar w:fldCharType="end"/>
      </w:r>
    </w:p>
    <w:p w14:paraId="2C876616" w14:textId="070281D4" w:rsidR="00971887" w:rsidRPr="00E059ED" w:rsidRDefault="004B6544" w:rsidP="00C3185A">
      <w:pPr>
        <w:pStyle w:val="Bibliography"/>
        <w:spacing w:line="240" w:lineRule="auto"/>
        <w:rPr>
          <w:sz w:val="22"/>
          <w:szCs w:val="22"/>
        </w:rPr>
      </w:pPr>
      <w:r w:rsidRPr="00E059ED">
        <w:rPr>
          <w:sz w:val="22"/>
          <w:szCs w:val="22"/>
        </w:rPr>
        <w:fldChar w:fldCharType="begin"/>
      </w:r>
      <w:r w:rsidRPr="00E059ED">
        <w:rPr>
          <w:sz w:val="22"/>
          <w:szCs w:val="22"/>
        </w:rPr>
        <w:instrText xml:space="preserve"> ADDIN ZOTERO_BIBL {"uncited":[],"omitted":[],"custom":[]} CSL_BIBLIOGRAPHY </w:instrText>
      </w:r>
      <w:r w:rsidRPr="00E059ED">
        <w:rPr>
          <w:sz w:val="22"/>
          <w:szCs w:val="22"/>
        </w:rPr>
        <w:fldChar w:fldCharType="separate"/>
      </w:r>
      <w:r w:rsidR="00971887" w:rsidRPr="00E059ED">
        <w:rPr>
          <w:sz w:val="22"/>
          <w:szCs w:val="22"/>
        </w:rPr>
        <w:t>1</w:t>
      </w:r>
      <w:r w:rsidR="00017FF8" w:rsidRPr="00E059ED">
        <w:rPr>
          <w:sz w:val="22"/>
          <w:szCs w:val="22"/>
        </w:rPr>
        <w:t>7</w:t>
      </w:r>
      <w:r w:rsidR="00971887" w:rsidRPr="00E059ED">
        <w:rPr>
          <w:sz w:val="22"/>
          <w:szCs w:val="22"/>
        </w:rPr>
        <w:t>.</w:t>
      </w:r>
      <w:r w:rsidR="00971887" w:rsidRPr="00E059ED">
        <w:rPr>
          <w:sz w:val="22"/>
          <w:szCs w:val="22"/>
        </w:rPr>
        <w:tab/>
        <w:t xml:space="preserve">Andersen, K. B. </w:t>
      </w:r>
      <w:r w:rsidR="00971887" w:rsidRPr="00E059ED">
        <w:rPr>
          <w:i/>
          <w:iCs/>
          <w:sz w:val="22"/>
          <w:szCs w:val="22"/>
        </w:rPr>
        <w:t>et al.</w:t>
      </w:r>
      <w:r w:rsidR="00971887" w:rsidRPr="00E059ED">
        <w:rPr>
          <w:sz w:val="22"/>
          <w:szCs w:val="22"/>
        </w:rPr>
        <w:t xml:space="preserve"> Healthy brain aging assessed with [18F]FDG and [11C]UCB-J PET. </w:t>
      </w:r>
      <w:r w:rsidR="00971887" w:rsidRPr="00E059ED">
        <w:rPr>
          <w:i/>
          <w:iCs/>
          <w:sz w:val="22"/>
          <w:szCs w:val="22"/>
        </w:rPr>
        <w:t>Nucl. Med. Biol.</w:t>
      </w:r>
      <w:r w:rsidR="00971887" w:rsidRPr="00E059ED">
        <w:rPr>
          <w:sz w:val="22"/>
          <w:szCs w:val="22"/>
        </w:rPr>
        <w:t xml:space="preserve"> </w:t>
      </w:r>
      <w:r w:rsidR="00971887" w:rsidRPr="00E059ED">
        <w:rPr>
          <w:b/>
          <w:bCs/>
          <w:sz w:val="22"/>
          <w:szCs w:val="22"/>
        </w:rPr>
        <w:t>112–113</w:t>
      </w:r>
      <w:r w:rsidR="00971887" w:rsidRPr="00E059ED">
        <w:rPr>
          <w:sz w:val="22"/>
          <w:szCs w:val="22"/>
        </w:rPr>
        <w:t>, 52–58 (2022).</w:t>
      </w:r>
    </w:p>
    <w:p w14:paraId="6164339B" w14:textId="109FAA3C" w:rsidR="00971887" w:rsidRPr="00E059ED" w:rsidRDefault="00017FF8" w:rsidP="00C3185A">
      <w:pPr>
        <w:pStyle w:val="Bibliography"/>
        <w:spacing w:line="240" w:lineRule="auto"/>
        <w:rPr>
          <w:sz w:val="22"/>
          <w:szCs w:val="22"/>
        </w:rPr>
      </w:pPr>
      <w:r w:rsidRPr="00E059ED">
        <w:rPr>
          <w:sz w:val="22"/>
          <w:szCs w:val="22"/>
        </w:rPr>
        <w:t>18</w:t>
      </w:r>
      <w:r w:rsidR="00971887" w:rsidRPr="00E059ED">
        <w:rPr>
          <w:sz w:val="22"/>
          <w:szCs w:val="22"/>
        </w:rPr>
        <w:t>.</w:t>
      </w:r>
      <w:r w:rsidR="00971887" w:rsidRPr="00E059ED">
        <w:rPr>
          <w:sz w:val="22"/>
          <w:szCs w:val="22"/>
        </w:rPr>
        <w:tab/>
        <w:t xml:space="preserve">Johansen, A. </w:t>
      </w:r>
      <w:r w:rsidR="00971887" w:rsidRPr="00E059ED">
        <w:rPr>
          <w:i/>
          <w:iCs/>
          <w:sz w:val="22"/>
          <w:szCs w:val="22"/>
        </w:rPr>
        <w:t>et al.</w:t>
      </w:r>
      <w:r w:rsidR="00971887" w:rsidRPr="00E059ED">
        <w:rPr>
          <w:sz w:val="22"/>
          <w:szCs w:val="22"/>
        </w:rPr>
        <w:t xml:space="preserve"> Effects of escitalopram on synaptic density in the healthy human brain: a randomized controlled trial. </w:t>
      </w:r>
      <w:r w:rsidR="00971887" w:rsidRPr="00E059ED">
        <w:rPr>
          <w:i/>
          <w:iCs/>
          <w:sz w:val="22"/>
          <w:szCs w:val="22"/>
        </w:rPr>
        <w:t>Mol. Psychiatry</w:t>
      </w:r>
      <w:r w:rsidR="00971887" w:rsidRPr="00E059ED">
        <w:rPr>
          <w:sz w:val="22"/>
          <w:szCs w:val="22"/>
        </w:rPr>
        <w:t xml:space="preserve"> (2023) doi:10.1038/s41380-023-02285-8.</w:t>
      </w:r>
    </w:p>
    <w:p w14:paraId="5C1CA470" w14:textId="431040DD" w:rsidR="00971887" w:rsidRPr="00E059ED" w:rsidRDefault="00017FF8" w:rsidP="00C3185A">
      <w:pPr>
        <w:pStyle w:val="Bibliography"/>
        <w:spacing w:line="240" w:lineRule="auto"/>
        <w:rPr>
          <w:sz w:val="22"/>
          <w:szCs w:val="22"/>
        </w:rPr>
      </w:pPr>
      <w:r w:rsidRPr="00E059ED">
        <w:rPr>
          <w:sz w:val="22"/>
          <w:szCs w:val="22"/>
        </w:rPr>
        <w:t>19</w:t>
      </w:r>
      <w:r w:rsidR="00971887" w:rsidRPr="00E059ED">
        <w:rPr>
          <w:sz w:val="22"/>
          <w:szCs w:val="22"/>
        </w:rPr>
        <w:t>.</w:t>
      </w:r>
      <w:r w:rsidR="00971887" w:rsidRPr="00E059ED">
        <w:rPr>
          <w:sz w:val="22"/>
          <w:szCs w:val="22"/>
        </w:rPr>
        <w:tab/>
        <w:t xml:space="preserve">Langley, C. </w:t>
      </w:r>
      <w:r w:rsidR="00971887" w:rsidRPr="00E059ED">
        <w:rPr>
          <w:i/>
          <w:iCs/>
          <w:sz w:val="22"/>
          <w:szCs w:val="22"/>
        </w:rPr>
        <w:t>et al.</w:t>
      </w:r>
      <w:r w:rsidR="00971887" w:rsidRPr="00E059ED">
        <w:rPr>
          <w:sz w:val="22"/>
          <w:szCs w:val="22"/>
        </w:rPr>
        <w:t xml:space="preserve"> Chronic escitalopram in healthy volunteers has specific effects on reinforcement sensitivity: a double-blind, placebo-controlled semi-randomised study. </w:t>
      </w:r>
      <w:r w:rsidR="00971887" w:rsidRPr="00E059ED">
        <w:rPr>
          <w:i/>
          <w:iCs/>
          <w:sz w:val="22"/>
          <w:szCs w:val="22"/>
        </w:rPr>
        <w:t>Neuropsychopharmacology</w:t>
      </w:r>
      <w:r w:rsidR="00971887" w:rsidRPr="00E059ED">
        <w:rPr>
          <w:sz w:val="22"/>
          <w:szCs w:val="22"/>
        </w:rPr>
        <w:t xml:space="preserve"> </w:t>
      </w:r>
      <w:r w:rsidR="00971887" w:rsidRPr="00E059ED">
        <w:rPr>
          <w:b/>
          <w:bCs/>
          <w:sz w:val="22"/>
          <w:szCs w:val="22"/>
        </w:rPr>
        <w:t>48</w:t>
      </w:r>
      <w:r w:rsidR="00971887" w:rsidRPr="00E059ED">
        <w:rPr>
          <w:sz w:val="22"/>
          <w:szCs w:val="22"/>
        </w:rPr>
        <w:t>, 664–670 (2023).</w:t>
      </w:r>
    </w:p>
    <w:p w14:paraId="51DD4270" w14:textId="5CB05681" w:rsidR="00971887" w:rsidRPr="00E059ED" w:rsidRDefault="00017FF8" w:rsidP="00C3185A">
      <w:pPr>
        <w:pStyle w:val="Bibliography"/>
        <w:spacing w:line="240" w:lineRule="auto"/>
        <w:rPr>
          <w:sz w:val="22"/>
          <w:szCs w:val="22"/>
        </w:rPr>
      </w:pPr>
      <w:r w:rsidRPr="00E059ED">
        <w:rPr>
          <w:sz w:val="22"/>
          <w:szCs w:val="22"/>
        </w:rPr>
        <w:t>20</w:t>
      </w:r>
      <w:r w:rsidR="00971887" w:rsidRPr="00E059ED">
        <w:rPr>
          <w:sz w:val="22"/>
          <w:szCs w:val="22"/>
        </w:rPr>
        <w:t>.</w:t>
      </w:r>
      <w:r w:rsidR="00971887" w:rsidRPr="00E059ED">
        <w:rPr>
          <w:sz w:val="22"/>
          <w:szCs w:val="22"/>
        </w:rPr>
        <w:tab/>
        <w:t xml:space="preserve">Michiels, L. </w:t>
      </w:r>
      <w:r w:rsidR="00971887" w:rsidRPr="00E059ED">
        <w:rPr>
          <w:i/>
          <w:iCs/>
          <w:sz w:val="22"/>
          <w:szCs w:val="22"/>
        </w:rPr>
        <w:t>et al.</w:t>
      </w:r>
      <w:r w:rsidR="00971887" w:rsidRPr="00E059ED">
        <w:rPr>
          <w:sz w:val="22"/>
          <w:szCs w:val="22"/>
        </w:rPr>
        <w:t xml:space="preserve"> Synaptic density in healthy human aging is not influenced by age or sex: a 11C-UCB-J PET study. </w:t>
      </w:r>
      <w:r w:rsidR="00971887" w:rsidRPr="00E059ED">
        <w:rPr>
          <w:i/>
          <w:iCs/>
          <w:sz w:val="22"/>
          <w:szCs w:val="22"/>
        </w:rPr>
        <w:t>NeuroImage</w:t>
      </w:r>
      <w:r w:rsidR="00971887" w:rsidRPr="00E059ED">
        <w:rPr>
          <w:sz w:val="22"/>
          <w:szCs w:val="22"/>
        </w:rPr>
        <w:t xml:space="preserve"> </w:t>
      </w:r>
      <w:r w:rsidR="00971887" w:rsidRPr="00E059ED">
        <w:rPr>
          <w:b/>
          <w:bCs/>
          <w:sz w:val="22"/>
          <w:szCs w:val="22"/>
        </w:rPr>
        <w:t>232</w:t>
      </w:r>
      <w:r w:rsidR="00971887" w:rsidRPr="00E059ED">
        <w:rPr>
          <w:sz w:val="22"/>
          <w:szCs w:val="22"/>
        </w:rPr>
        <w:t>, 117877 (2021).</w:t>
      </w:r>
    </w:p>
    <w:p w14:paraId="304AB627" w14:textId="16A98A18" w:rsidR="00971887" w:rsidRPr="00E059ED" w:rsidRDefault="00017FF8" w:rsidP="00C3185A">
      <w:pPr>
        <w:pStyle w:val="Bibliography"/>
        <w:spacing w:line="240" w:lineRule="auto"/>
        <w:rPr>
          <w:sz w:val="22"/>
          <w:szCs w:val="22"/>
        </w:rPr>
      </w:pPr>
      <w:r w:rsidRPr="00E059ED">
        <w:rPr>
          <w:sz w:val="22"/>
          <w:szCs w:val="22"/>
        </w:rPr>
        <w:t>21</w:t>
      </w:r>
      <w:r w:rsidR="00971887" w:rsidRPr="00E059ED">
        <w:rPr>
          <w:sz w:val="22"/>
          <w:szCs w:val="22"/>
        </w:rPr>
        <w:t>.</w:t>
      </w:r>
      <w:r w:rsidR="00971887" w:rsidRPr="00E059ED">
        <w:rPr>
          <w:sz w:val="22"/>
          <w:szCs w:val="22"/>
        </w:rPr>
        <w:tab/>
        <w:t xml:space="preserve">Delva, A., Van Weehaeghe, D., Koole, M., Van Laere, K. &amp; Vandenberghe, W. Loss of Presynaptic Terminal Integrity in the Substantia Nigra in Early Parkinson’s Disease. </w:t>
      </w:r>
      <w:r w:rsidR="00971887" w:rsidRPr="00E059ED">
        <w:rPr>
          <w:i/>
          <w:iCs/>
          <w:sz w:val="22"/>
          <w:szCs w:val="22"/>
        </w:rPr>
        <w:t>Mov. Disord.</w:t>
      </w:r>
      <w:r w:rsidR="00971887" w:rsidRPr="00E059ED">
        <w:rPr>
          <w:sz w:val="22"/>
          <w:szCs w:val="22"/>
        </w:rPr>
        <w:t xml:space="preserve"> </w:t>
      </w:r>
      <w:r w:rsidR="00971887" w:rsidRPr="00E059ED">
        <w:rPr>
          <w:b/>
          <w:bCs/>
          <w:sz w:val="22"/>
          <w:szCs w:val="22"/>
        </w:rPr>
        <w:t>35</w:t>
      </w:r>
      <w:r w:rsidR="00971887" w:rsidRPr="00E059ED">
        <w:rPr>
          <w:sz w:val="22"/>
          <w:szCs w:val="22"/>
        </w:rPr>
        <w:t>, 1977–1986 (2020).</w:t>
      </w:r>
    </w:p>
    <w:p w14:paraId="3D3ACC7C" w14:textId="0BF9ACBD" w:rsidR="00971887" w:rsidRPr="00E059ED" w:rsidRDefault="00017FF8" w:rsidP="00C3185A">
      <w:pPr>
        <w:pStyle w:val="Bibliography"/>
        <w:spacing w:line="240" w:lineRule="auto"/>
        <w:rPr>
          <w:sz w:val="22"/>
          <w:szCs w:val="22"/>
        </w:rPr>
      </w:pPr>
      <w:r w:rsidRPr="00E059ED">
        <w:rPr>
          <w:sz w:val="22"/>
          <w:szCs w:val="22"/>
        </w:rPr>
        <w:t>22</w:t>
      </w:r>
      <w:r w:rsidR="00971887" w:rsidRPr="00E059ED">
        <w:rPr>
          <w:sz w:val="22"/>
          <w:szCs w:val="22"/>
        </w:rPr>
        <w:t>.</w:t>
      </w:r>
      <w:r w:rsidR="00971887" w:rsidRPr="00E059ED">
        <w:rPr>
          <w:sz w:val="22"/>
          <w:szCs w:val="22"/>
        </w:rPr>
        <w:tab/>
        <w:t xml:space="preserve">Toyonaga, T. </w:t>
      </w:r>
      <w:r w:rsidR="00971887" w:rsidRPr="00E059ED">
        <w:rPr>
          <w:i/>
          <w:iCs/>
          <w:sz w:val="22"/>
          <w:szCs w:val="22"/>
        </w:rPr>
        <w:t>et al.</w:t>
      </w:r>
      <w:r w:rsidR="00971887" w:rsidRPr="00E059ED">
        <w:rPr>
          <w:sz w:val="22"/>
          <w:szCs w:val="22"/>
        </w:rPr>
        <w:t xml:space="preserve"> The regional pattern of age-related synaptic loss in the human brain differs from gray matter volume loss: in vivo PET measurement with [11C]UCB-J. </w:t>
      </w:r>
      <w:r w:rsidR="00971887" w:rsidRPr="00E059ED">
        <w:rPr>
          <w:i/>
          <w:iCs/>
          <w:sz w:val="22"/>
          <w:szCs w:val="22"/>
        </w:rPr>
        <w:t>Eur. J. Nucl. Med. Mol. Imaging</w:t>
      </w:r>
      <w:r w:rsidR="00971887" w:rsidRPr="00E059ED">
        <w:rPr>
          <w:sz w:val="22"/>
          <w:szCs w:val="22"/>
        </w:rPr>
        <w:t xml:space="preserve"> (2023) doi:10.1007/s00259-023-06487-8.</w:t>
      </w:r>
    </w:p>
    <w:p w14:paraId="13C3947B" w14:textId="1E475398" w:rsidR="00971887" w:rsidRPr="00E059ED" w:rsidRDefault="00017FF8" w:rsidP="00C3185A">
      <w:pPr>
        <w:pStyle w:val="Bibliography"/>
        <w:spacing w:line="240" w:lineRule="auto"/>
        <w:rPr>
          <w:sz w:val="22"/>
          <w:szCs w:val="22"/>
        </w:rPr>
      </w:pPr>
      <w:r w:rsidRPr="00E059ED">
        <w:rPr>
          <w:sz w:val="22"/>
          <w:szCs w:val="22"/>
        </w:rPr>
        <w:t>23</w:t>
      </w:r>
      <w:r w:rsidR="00971887" w:rsidRPr="00E059ED">
        <w:rPr>
          <w:sz w:val="22"/>
          <w:szCs w:val="22"/>
        </w:rPr>
        <w:t>.</w:t>
      </w:r>
      <w:r w:rsidR="00971887" w:rsidRPr="00E059ED">
        <w:rPr>
          <w:sz w:val="22"/>
          <w:szCs w:val="22"/>
        </w:rPr>
        <w:tab/>
        <w:t xml:space="preserve">Chen, M.-K. </w:t>
      </w:r>
      <w:r w:rsidR="00971887" w:rsidRPr="00E059ED">
        <w:rPr>
          <w:i/>
          <w:iCs/>
          <w:sz w:val="22"/>
          <w:szCs w:val="22"/>
        </w:rPr>
        <w:t>et al.</w:t>
      </w:r>
      <w:r w:rsidR="00971887" w:rsidRPr="00E059ED">
        <w:rPr>
          <w:sz w:val="22"/>
          <w:szCs w:val="22"/>
        </w:rPr>
        <w:t xml:space="preserve"> Assessing Synaptic Density in Alzheimer Disease With Synaptic Vesicle Glycoprotein 2A Positron Emission Tomographic Imaging. </w:t>
      </w:r>
      <w:r w:rsidR="00971887" w:rsidRPr="00E059ED">
        <w:rPr>
          <w:i/>
          <w:iCs/>
          <w:sz w:val="22"/>
          <w:szCs w:val="22"/>
        </w:rPr>
        <w:t>JAMA Neurol.</w:t>
      </w:r>
      <w:r w:rsidR="00971887" w:rsidRPr="00E059ED">
        <w:rPr>
          <w:sz w:val="22"/>
          <w:szCs w:val="22"/>
        </w:rPr>
        <w:t xml:space="preserve"> </w:t>
      </w:r>
      <w:r w:rsidR="00971887" w:rsidRPr="00E059ED">
        <w:rPr>
          <w:b/>
          <w:bCs/>
          <w:sz w:val="22"/>
          <w:szCs w:val="22"/>
        </w:rPr>
        <w:t>75</w:t>
      </w:r>
      <w:r w:rsidR="00971887" w:rsidRPr="00E059ED">
        <w:rPr>
          <w:sz w:val="22"/>
          <w:szCs w:val="22"/>
        </w:rPr>
        <w:t>, 1215 (2018).</w:t>
      </w:r>
    </w:p>
    <w:p w14:paraId="5123E795" w14:textId="21E1FB12" w:rsidR="00971887" w:rsidRPr="00E059ED" w:rsidRDefault="00017FF8" w:rsidP="00C3185A">
      <w:pPr>
        <w:pStyle w:val="Bibliography"/>
        <w:spacing w:line="240" w:lineRule="auto"/>
        <w:rPr>
          <w:sz w:val="22"/>
          <w:szCs w:val="22"/>
        </w:rPr>
      </w:pPr>
      <w:r w:rsidRPr="00E059ED">
        <w:rPr>
          <w:sz w:val="22"/>
          <w:szCs w:val="22"/>
        </w:rPr>
        <w:t>24</w:t>
      </w:r>
      <w:r w:rsidR="00971887" w:rsidRPr="00E059ED">
        <w:rPr>
          <w:sz w:val="22"/>
          <w:szCs w:val="22"/>
        </w:rPr>
        <w:t>.</w:t>
      </w:r>
      <w:r w:rsidR="00971887" w:rsidRPr="00E059ED">
        <w:rPr>
          <w:sz w:val="22"/>
          <w:szCs w:val="22"/>
        </w:rPr>
        <w:tab/>
        <w:t xml:space="preserve">Holmes, S. E. </w:t>
      </w:r>
      <w:r w:rsidR="00971887" w:rsidRPr="00E059ED">
        <w:rPr>
          <w:i/>
          <w:iCs/>
          <w:sz w:val="22"/>
          <w:szCs w:val="22"/>
        </w:rPr>
        <w:t>et al.</w:t>
      </w:r>
      <w:r w:rsidR="00971887" w:rsidRPr="00E059ED">
        <w:rPr>
          <w:sz w:val="22"/>
          <w:szCs w:val="22"/>
        </w:rPr>
        <w:t xml:space="preserve"> Lower synaptic density is associated with depression severity and network alterations. </w:t>
      </w:r>
      <w:r w:rsidR="00971887" w:rsidRPr="00E059ED">
        <w:rPr>
          <w:i/>
          <w:iCs/>
          <w:sz w:val="22"/>
          <w:szCs w:val="22"/>
        </w:rPr>
        <w:t>Nat. Commun.</w:t>
      </w:r>
      <w:r w:rsidR="00971887" w:rsidRPr="00E059ED">
        <w:rPr>
          <w:sz w:val="22"/>
          <w:szCs w:val="22"/>
        </w:rPr>
        <w:t xml:space="preserve"> </w:t>
      </w:r>
      <w:r w:rsidR="00971887" w:rsidRPr="00E059ED">
        <w:rPr>
          <w:b/>
          <w:bCs/>
          <w:sz w:val="22"/>
          <w:szCs w:val="22"/>
        </w:rPr>
        <w:t>10</w:t>
      </w:r>
      <w:r w:rsidR="00971887" w:rsidRPr="00E059ED">
        <w:rPr>
          <w:sz w:val="22"/>
          <w:szCs w:val="22"/>
        </w:rPr>
        <w:t>, 1529 (2019).</w:t>
      </w:r>
    </w:p>
    <w:p w14:paraId="6978221B" w14:textId="5EC2FA2C" w:rsidR="00971887" w:rsidRPr="00E059ED" w:rsidRDefault="00017FF8" w:rsidP="00C3185A">
      <w:pPr>
        <w:pStyle w:val="Bibliography"/>
        <w:spacing w:line="240" w:lineRule="auto"/>
        <w:rPr>
          <w:sz w:val="22"/>
          <w:szCs w:val="22"/>
        </w:rPr>
      </w:pPr>
      <w:r w:rsidRPr="00E059ED">
        <w:rPr>
          <w:sz w:val="22"/>
          <w:szCs w:val="22"/>
        </w:rPr>
        <w:t>25</w:t>
      </w:r>
      <w:r w:rsidR="00971887" w:rsidRPr="00E059ED">
        <w:rPr>
          <w:sz w:val="22"/>
          <w:szCs w:val="22"/>
        </w:rPr>
        <w:t>.</w:t>
      </w:r>
      <w:r w:rsidR="00971887" w:rsidRPr="00E059ED">
        <w:rPr>
          <w:sz w:val="22"/>
          <w:szCs w:val="22"/>
        </w:rPr>
        <w:tab/>
        <w:t xml:space="preserve">Finnema, S. J. </w:t>
      </w:r>
      <w:r w:rsidR="00971887" w:rsidRPr="00E059ED">
        <w:rPr>
          <w:i/>
          <w:iCs/>
          <w:sz w:val="22"/>
          <w:szCs w:val="22"/>
        </w:rPr>
        <w:t>et al.</w:t>
      </w:r>
      <w:r w:rsidR="00971887" w:rsidRPr="00E059ED">
        <w:rPr>
          <w:sz w:val="22"/>
          <w:szCs w:val="22"/>
        </w:rPr>
        <w:t xml:space="preserve"> Reduced synaptic vesicle protein 2A binding in temporal lobe epilepsy: A [ 11C]UCB</w:t>
      </w:r>
      <w:r w:rsidR="00971887" w:rsidRPr="00E059ED">
        <w:rPr>
          <w:rFonts w:ascii="Cambria Math" w:hAnsi="Cambria Math" w:cs="Cambria Math"/>
          <w:sz w:val="22"/>
          <w:szCs w:val="22"/>
        </w:rPr>
        <w:t>‐</w:t>
      </w:r>
      <w:r w:rsidR="00971887" w:rsidRPr="00E059ED">
        <w:rPr>
          <w:sz w:val="22"/>
          <w:szCs w:val="22"/>
        </w:rPr>
        <w:t xml:space="preserve">J positron emission tomography study. </w:t>
      </w:r>
      <w:r w:rsidR="00971887" w:rsidRPr="00E059ED">
        <w:rPr>
          <w:i/>
          <w:iCs/>
          <w:sz w:val="22"/>
          <w:szCs w:val="22"/>
        </w:rPr>
        <w:t>Epilepsia</w:t>
      </w:r>
      <w:r w:rsidR="00971887" w:rsidRPr="00E059ED">
        <w:rPr>
          <w:sz w:val="22"/>
          <w:szCs w:val="22"/>
        </w:rPr>
        <w:t xml:space="preserve"> </w:t>
      </w:r>
      <w:r w:rsidR="00971887" w:rsidRPr="00E059ED">
        <w:rPr>
          <w:b/>
          <w:bCs/>
          <w:sz w:val="22"/>
          <w:szCs w:val="22"/>
        </w:rPr>
        <w:t>61</w:t>
      </w:r>
      <w:r w:rsidR="00971887" w:rsidRPr="00E059ED">
        <w:rPr>
          <w:sz w:val="22"/>
          <w:szCs w:val="22"/>
        </w:rPr>
        <w:t>, 2183–2193 (2020).</w:t>
      </w:r>
    </w:p>
    <w:p w14:paraId="40C163FD" w14:textId="259ED701" w:rsidR="00971887" w:rsidRPr="00E059ED" w:rsidRDefault="00017FF8" w:rsidP="00C3185A">
      <w:pPr>
        <w:pStyle w:val="Bibliography"/>
        <w:spacing w:line="240" w:lineRule="auto"/>
        <w:rPr>
          <w:sz w:val="22"/>
          <w:szCs w:val="22"/>
        </w:rPr>
      </w:pPr>
      <w:r w:rsidRPr="00E059ED">
        <w:rPr>
          <w:sz w:val="22"/>
          <w:szCs w:val="22"/>
        </w:rPr>
        <w:t>26</w:t>
      </w:r>
      <w:r w:rsidR="00971887" w:rsidRPr="00E059ED">
        <w:rPr>
          <w:sz w:val="22"/>
          <w:szCs w:val="22"/>
        </w:rPr>
        <w:t>.</w:t>
      </w:r>
      <w:r w:rsidR="00971887" w:rsidRPr="00E059ED">
        <w:rPr>
          <w:sz w:val="22"/>
          <w:szCs w:val="22"/>
        </w:rPr>
        <w:tab/>
        <w:t xml:space="preserve">Matuskey, D. </w:t>
      </w:r>
      <w:r w:rsidR="00971887" w:rsidRPr="00E059ED">
        <w:rPr>
          <w:i/>
          <w:iCs/>
          <w:sz w:val="22"/>
          <w:szCs w:val="22"/>
        </w:rPr>
        <w:t>et al.</w:t>
      </w:r>
      <w:r w:rsidR="00971887" w:rsidRPr="00E059ED">
        <w:rPr>
          <w:sz w:val="22"/>
          <w:szCs w:val="22"/>
        </w:rPr>
        <w:t xml:space="preserve"> Synaptic Changes in Parkinson Disease Assessed with in vivo Imaging. </w:t>
      </w:r>
      <w:r w:rsidR="00971887" w:rsidRPr="00E059ED">
        <w:rPr>
          <w:i/>
          <w:iCs/>
          <w:sz w:val="22"/>
          <w:szCs w:val="22"/>
        </w:rPr>
        <w:t>Ann. Neurol.</w:t>
      </w:r>
      <w:r w:rsidR="00971887" w:rsidRPr="00E059ED">
        <w:rPr>
          <w:sz w:val="22"/>
          <w:szCs w:val="22"/>
        </w:rPr>
        <w:t xml:space="preserve"> </w:t>
      </w:r>
      <w:r w:rsidR="00971887" w:rsidRPr="00E059ED">
        <w:rPr>
          <w:b/>
          <w:bCs/>
          <w:sz w:val="22"/>
          <w:szCs w:val="22"/>
        </w:rPr>
        <w:t>87</w:t>
      </w:r>
      <w:r w:rsidR="00971887" w:rsidRPr="00E059ED">
        <w:rPr>
          <w:sz w:val="22"/>
          <w:szCs w:val="22"/>
        </w:rPr>
        <w:t>, 329–338 (2020).</w:t>
      </w:r>
    </w:p>
    <w:p w14:paraId="5625B641" w14:textId="4767F98F" w:rsidR="00971887" w:rsidRPr="00E059ED" w:rsidRDefault="00017FF8" w:rsidP="00C3185A">
      <w:pPr>
        <w:pStyle w:val="Bibliography"/>
        <w:spacing w:line="240" w:lineRule="auto"/>
        <w:rPr>
          <w:sz w:val="22"/>
          <w:szCs w:val="22"/>
        </w:rPr>
      </w:pPr>
      <w:r w:rsidRPr="00E059ED">
        <w:rPr>
          <w:sz w:val="22"/>
          <w:szCs w:val="22"/>
        </w:rPr>
        <w:t>27</w:t>
      </w:r>
      <w:r w:rsidR="00971887" w:rsidRPr="00E059ED">
        <w:rPr>
          <w:sz w:val="22"/>
          <w:szCs w:val="22"/>
        </w:rPr>
        <w:t>.</w:t>
      </w:r>
      <w:r w:rsidR="00971887" w:rsidRPr="00E059ED">
        <w:rPr>
          <w:sz w:val="22"/>
          <w:szCs w:val="22"/>
        </w:rPr>
        <w:tab/>
        <w:t xml:space="preserve">Mecca, A. P. </w:t>
      </w:r>
      <w:r w:rsidR="00971887" w:rsidRPr="00E059ED">
        <w:rPr>
          <w:i/>
          <w:iCs/>
          <w:sz w:val="22"/>
          <w:szCs w:val="22"/>
        </w:rPr>
        <w:t>et al.</w:t>
      </w:r>
      <w:r w:rsidR="00971887" w:rsidRPr="00E059ED">
        <w:rPr>
          <w:sz w:val="22"/>
          <w:szCs w:val="22"/>
        </w:rPr>
        <w:t xml:space="preserve"> In vivo measurement of widespread synaptic loss in Alzheimer’s disease with SV2A PET. </w:t>
      </w:r>
      <w:r w:rsidR="00971887" w:rsidRPr="00E059ED">
        <w:rPr>
          <w:i/>
          <w:iCs/>
          <w:sz w:val="22"/>
          <w:szCs w:val="22"/>
        </w:rPr>
        <w:t>Alzheimers Dement.</w:t>
      </w:r>
      <w:r w:rsidR="00971887" w:rsidRPr="00E059ED">
        <w:rPr>
          <w:sz w:val="22"/>
          <w:szCs w:val="22"/>
        </w:rPr>
        <w:t xml:space="preserve"> </w:t>
      </w:r>
      <w:r w:rsidR="00971887" w:rsidRPr="00E059ED">
        <w:rPr>
          <w:b/>
          <w:bCs/>
          <w:sz w:val="22"/>
          <w:szCs w:val="22"/>
        </w:rPr>
        <w:t>16</w:t>
      </w:r>
      <w:r w:rsidR="00971887" w:rsidRPr="00E059ED">
        <w:rPr>
          <w:sz w:val="22"/>
          <w:szCs w:val="22"/>
        </w:rPr>
        <w:t>, 974–982 (2020).</w:t>
      </w:r>
    </w:p>
    <w:p w14:paraId="7FCDB12E" w14:textId="35E1ECAE" w:rsidR="00971887" w:rsidRPr="00E059ED" w:rsidRDefault="00017FF8" w:rsidP="00C3185A">
      <w:pPr>
        <w:pStyle w:val="Bibliography"/>
        <w:spacing w:line="240" w:lineRule="auto"/>
        <w:rPr>
          <w:sz w:val="22"/>
          <w:szCs w:val="22"/>
        </w:rPr>
      </w:pPr>
      <w:r w:rsidRPr="00E059ED">
        <w:rPr>
          <w:sz w:val="22"/>
          <w:szCs w:val="22"/>
        </w:rPr>
        <w:t>28</w:t>
      </w:r>
      <w:r w:rsidR="00971887" w:rsidRPr="00E059ED">
        <w:rPr>
          <w:sz w:val="22"/>
          <w:szCs w:val="22"/>
        </w:rPr>
        <w:t>.</w:t>
      </w:r>
      <w:r w:rsidR="00971887" w:rsidRPr="00E059ED">
        <w:rPr>
          <w:sz w:val="22"/>
          <w:szCs w:val="22"/>
        </w:rPr>
        <w:tab/>
        <w:t xml:space="preserve">D’Souza, D. C. </w:t>
      </w:r>
      <w:r w:rsidR="00971887" w:rsidRPr="00E059ED">
        <w:rPr>
          <w:i/>
          <w:iCs/>
          <w:sz w:val="22"/>
          <w:szCs w:val="22"/>
        </w:rPr>
        <w:t>et al.</w:t>
      </w:r>
      <w:r w:rsidR="00971887" w:rsidRPr="00E059ED">
        <w:rPr>
          <w:sz w:val="22"/>
          <w:szCs w:val="22"/>
        </w:rPr>
        <w:t xml:space="preserve"> Preliminary in vivo evidence of lower hippocampal synaptic density in cannabis use disorder. </w:t>
      </w:r>
      <w:r w:rsidR="00971887" w:rsidRPr="00E059ED">
        <w:rPr>
          <w:i/>
          <w:iCs/>
          <w:sz w:val="22"/>
          <w:szCs w:val="22"/>
        </w:rPr>
        <w:t>Mol. Psychiatry</w:t>
      </w:r>
      <w:r w:rsidR="00971887" w:rsidRPr="00E059ED">
        <w:rPr>
          <w:sz w:val="22"/>
          <w:szCs w:val="22"/>
        </w:rPr>
        <w:t xml:space="preserve"> </w:t>
      </w:r>
      <w:r w:rsidR="00971887" w:rsidRPr="00E059ED">
        <w:rPr>
          <w:b/>
          <w:bCs/>
          <w:sz w:val="22"/>
          <w:szCs w:val="22"/>
        </w:rPr>
        <w:t>26</w:t>
      </w:r>
      <w:r w:rsidR="00971887" w:rsidRPr="00E059ED">
        <w:rPr>
          <w:sz w:val="22"/>
          <w:szCs w:val="22"/>
        </w:rPr>
        <w:t>, 3192–3200 (2021).</w:t>
      </w:r>
    </w:p>
    <w:p w14:paraId="11131C30" w14:textId="493E72E5" w:rsidR="00971887" w:rsidRPr="00E059ED" w:rsidRDefault="00017FF8" w:rsidP="00C3185A">
      <w:pPr>
        <w:pStyle w:val="Bibliography"/>
        <w:spacing w:line="240" w:lineRule="auto"/>
        <w:rPr>
          <w:sz w:val="22"/>
          <w:szCs w:val="22"/>
        </w:rPr>
      </w:pPr>
      <w:r w:rsidRPr="00E059ED">
        <w:rPr>
          <w:sz w:val="22"/>
          <w:szCs w:val="22"/>
        </w:rPr>
        <w:t>29</w:t>
      </w:r>
      <w:r w:rsidR="00971887" w:rsidRPr="00E059ED">
        <w:rPr>
          <w:sz w:val="22"/>
          <w:szCs w:val="22"/>
        </w:rPr>
        <w:t>.</w:t>
      </w:r>
      <w:r w:rsidR="00971887" w:rsidRPr="00E059ED">
        <w:rPr>
          <w:sz w:val="22"/>
          <w:szCs w:val="22"/>
        </w:rPr>
        <w:tab/>
        <w:t xml:space="preserve">Van Aalst, J. </w:t>
      </w:r>
      <w:r w:rsidR="00971887" w:rsidRPr="00E059ED">
        <w:rPr>
          <w:i/>
          <w:iCs/>
          <w:sz w:val="22"/>
          <w:szCs w:val="22"/>
        </w:rPr>
        <w:t>et al.</w:t>
      </w:r>
      <w:r w:rsidR="00971887" w:rsidRPr="00E059ED">
        <w:rPr>
          <w:sz w:val="22"/>
          <w:szCs w:val="22"/>
        </w:rPr>
        <w:t xml:space="preserve"> In vivo synaptic density relates to glucose metabolism at rest in healthy subjects, but is strongly modulated by regional differences. </w:t>
      </w:r>
      <w:r w:rsidR="00971887" w:rsidRPr="00E059ED">
        <w:rPr>
          <w:i/>
          <w:iCs/>
          <w:sz w:val="22"/>
          <w:szCs w:val="22"/>
        </w:rPr>
        <w:t>J. Cereb. Blood Flow Metab.</w:t>
      </w:r>
      <w:r w:rsidR="00971887" w:rsidRPr="00E059ED">
        <w:rPr>
          <w:sz w:val="22"/>
          <w:szCs w:val="22"/>
        </w:rPr>
        <w:t xml:space="preserve"> </w:t>
      </w:r>
      <w:r w:rsidR="00971887" w:rsidRPr="00E059ED">
        <w:rPr>
          <w:b/>
          <w:bCs/>
          <w:sz w:val="22"/>
          <w:szCs w:val="22"/>
        </w:rPr>
        <w:t>41</w:t>
      </w:r>
      <w:r w:rsidR="00971887" w:rsidRPr="00E059ED">
        <w:rPr>
          <w:sz w:val="22"/>
          <w:szCs w:val="22"/>
        </w:rPr>
        <w:t>, 1978–1987 (2021).</w:t>
      </w:r>
    </w:p>
    <w:p w14:paraId="252D1543" w14:textId="20E69510" w:rsidR="00971887" w:rsidRPr="00E059ED" w:rsidRDefault="00017FF8" w:rsidP="00C3185A">
      <w:pPr>
        <w:pStyle w:val="Bibliography"/>
        <w:spacing w:line="240" w:lineRule="auto"/>
        <w:rPr>
          <w:sz w:val="22"/>
          <w:szCs w:val="22"/>
        </w:rPr>
      </w:pPr>
      <w:r w:rsidRPr="00E059ED">
        <w:rPr>
          <w:sz w:val="22"/>
          <w:szCs w:val="22"/>
        </w:rPr>
        <w:t>30</w:t>
      </w:r>
      <w:r w:rsidR="00971887" w:rsidRPr="00E059ED">
        <w:rPr>
          <w:sz w:val="22"/>
          <w:szCs w:val="22"/>
        </w:rPr>
        <w:t>.</w:t>
      </w:r>
      <w:r w:rsidR="00971887" w:rsidRPr="00E059ED">
        <w:rPr>
          <w:sz w:val="22"/>
          <w:szCs w:val="22"/>
        </w:rPr>
        <w:tab/>
        <w:t xml:space="preserve">Angarita, G. A. </w:t>
      </w:r>
      <w:r w:rsidR="00971887" w:rsidRPr="00E059ED">
        <w:rPr>
          <w:i/>
          <w:iCs/>
          <w:sz w:val="22"/>
          <w:szCs w:val="22"/>
        </w:rPr>
        <w:t>et al.</w:t>
      </w:r>
      <w:r w:rsidR="00971887" w:rsidRPr="00E059ED">
        <w:rPr>
          <w:sz w:val="22"/>
          <w:szCs w:val="22"/>
        </w:rPr>
        <w:t xml:space="preserve"> Lower prefrontal cortical synaptic vesicle binding in cocaine use disorder: An exploratory 11C</w:t>
      </w:r>
      <w:r w:rsidR="00971887" w:rsidRPr="00E059ED">
        <w:rPr>
          <w:rFonts w:ascii="Cambria Math" w:hAnsi="Cambria Math" w:cs="Cambria Math"/>
          <w:sz w:val="22"/>
          <w:szCs w:val="22"/>
        </w:rPr>
        <w:t>‐</w:t>
      </w:r>
      <w:r w:rsidR="00971887" w:rsidRPr="00E059ED">
        <w:rPr>
          <w:sz w:val="22"/>
          <w:szCs w:val="22"/>
        </w:rPr>
        <w:t>UCB</w:t>
      </w:r>
      <w:r w:rsidR="00971887" w:rsidRPr="00E059ED">
        <w:rPr>
          <w:rFonts w:ascii="Cambria Math" w:hAnsi="Cambria Math" w:cs="Cambria Math"/>
          <w:sz w:val="22"/>
          <w:szCs w:val="22"/>
        </w:rPr>
        <w:t>‐</w:t>
      </w:r>
      <w:r w:rsidR="00971887" w:rsidRPr="00E059ED">
        <w:rPr>
          <w:sz w:val="22"/>
          <w:szCs w:val="22"/>
        </w:rPr>
        <w:t xml:space="preserve">J positron emission tomography study in humans. </w:t>
      </w:r>
      <w:r w:rsidR="00971887" w:rsidRPr="00E059ED">
        <w:rPr>
          <w:i/>
          <w:iCs/>
          <w:sz w:val="22"/>
          <w:szCs w:val="22"/>
        </w:rPr>
        <w:t>Addict. Biol.</w:t>
      </w:r>
      <w:r w:rsidR="00971887" w:rsidRPr="00E059ED">
        <w:rPr>
          <w:sz w:val="22"/>
          <w:szCs w:val="22"/>
        </w:rPr>
        <w:t xml:space="preserve"> </w:t>
      </w:r>
      <w:r w:rsidR="00971887" w:rsidRPr="00E059ED">
        <w:rPr>
          <w:b/>
          <w:bCs/>
          <w:sz w:val="22"/>
          <w:szCs w:val="22"/>
        </w:rPr>
        <w:t>27</w:t>
      </w:r>
      <w:r w:rsidR="00971887" w:rsidRPr="00E059ED">
        <w:rPr>
          <w:sz w:val="22"/>
          <w:szCs w:val="22"/>
        </w:rPr>
        <w:t>, e13123 (2022).</w:t>
      </w:r>
    </w:p>
    <w:p w14:paraId="4D956B2E" w14:textId="53879FEA" w:rsidR="00971887" w:rsidRPr="00E059ED" w:rsidRDefault="00017FF8" w:rsidP="00C3185A">
      <w:pPr>
        <w:pStyle w:val="Bibliography"/>
        <w:spacing w:line="240" w:lineRule="auto"/>
        <w:rPr>
          <w:sz w:val="22"/>
          <w:szCs w:val="22"/>
        </w:rPr>
      </w:pPr>
      <w:r w:rsidRPr="00E059ED">
        <w:rPr>
          <w:sz w:val="22"/>
          <w:szCs w:val="22"/>
        </w:rPr>
        <w:t>31</w:t>
      </w:r>
      <w:r w:rsidR="00971887" w:rsidRPr="00E059ED">
        <w:rPr>
          <w:sz w:val="22"/>
          <w:szCs w:val="22"/>
        </w:rPr>
        <w:t>.</w:t>
      </w:r>
      <w:r w:rsidR="00971887" w:rsidRPr="00E059ED">
        <w:rPr>
          <w:sz w:val="22"/>
          <w:szCs w:val="22"/>
        </w:rPr>
        <w:tab/>
        <w:t xml:space="preserve">Finnema, S. J. </w:t>
      </w:r>
      <w:r w:rsidR="00971887" w:rsidRPr="00E059ED">
        <w:rPr>
          <w:i/>
          <w:iCs/>
          <w:sz w:val="22"/>
          <w:szCs w:val="22"/>
        </w:rPr>
        <w:t>et al.</w:t>
      </w:r>
      <w:r w:rsidR="00971887" w:rsidRPr="00E059ED">
        <w:rPr>
          <w:sz w:val="22"/>
          <w:szCs w:val="22"/>
        </w:rPr>
        <w:t xml:space="preserve"> A single</w:t>
      </w:r>
      <w:r w:rsidR="00971887" w:rsidRPr="00E059ED">
        <w:rPr>
          <w:rFonts w:ascii="Cambria Math" w:hAnsi="Cambria Math" w:cs="Cambria Math"/>
          <w:sz w:val="22"/>
          <w:szCs w:val="22"/>
        </w:rPr>
        <w:t>‐</w:t>
      </w:r>
      <w:r w:rsidR="00971887" w:rsidRPr="00E059ED">
        <w:rPr>
          <w:sz w:val="22"/>
          <w:szCs w:val="22"/>
        </w:rPr>
        <w:t>center, open</w:t>
      </w:r>
      <w:r w:rsidR="00971887" w:rsidRPr="00E059ED">
        <w:rPr>
          <w:rFonts w:ascii="Cambria Math" w:hAnsi="Cambria Math" w:cs="Cambria Math"/>
          <w:sz w:val="22"/>
          <w:szCs w:val="22"/>
        </w:rPr>
        <w:t>‐</w:t>
      </w:r>
      <w:r w:rsidR="00971887" w:rsidRPr="00E059ED">
        <w:rPr>
          <w:sz w:val="22"/>
          <w:szCs w:val="22"/>
        </w:rPr>
        <w:t xml:space="preserve">label positron emission tomography study to evaluate brivaracetam and levetiracetam synaptic vesicle glycoprotein 2A binding in healthy volunteers. </w:t>
      </w:r>
      <w:r w:rsidR="00971887" w:rsidRPr="00E059ED">
        <w:rPr>
          <w:i/>
          <w:iCs/>
          <w:sz w:val="22"/>
          <w:szCs w:val="22"/>
        </w:rPr>
        <w:t>Epilepsia</w:t>
      </w:r>
      <w:r w:rsidR="00971887" w:rsidRPr="00E059ED">
        <w:rPr>
          <w:sz w:val="22"/>
          <w:szCs w:val="22"/>
        </w:rPr>
        <w:t xml:space="preserve"> </w:t>
      </w:r>
      <w:r w:rsidR="00971887" w:rsidRPr="00E059ED">
        <w:rPr>
          <w:b/>
          <w:bCs/>
          <w:sz w:val="22"/>
          <w:szCs w:val="22"/>
        </w:rPr>
        <w:t>60</w:t>
      </w:r>
      <w:r w:rsidR="00971887" w:rsidRPr="00E059ED">
        <w:rPr>
          <w:sz w:val="22"/>
          <w:szCs w:val="22"/>
        </w:rPr>
        <w:t>, 958–967 (2019).</w:t>
      </w:r>
    </w:p>
    <w:p w14:paraId="783D9441" w14:textId="291890EA" w:rsidR="00971887" w:rsidRPr="00E059ED" w:rsidRDefault="00017FF8" w:rsidP="00C3185A">
      <w:pPr>
        <w:pStyle w:val="Bibliography"/>
        <w:spacing w:line="240" w:lineRule="auto"/>
        <w:rPr>
          <w:sz w:val="22"/>
          <w:szCs w:val="22"/>
        </w:rPr>
      </w:pPr>
      <w:r w:rsidRPr="00E059ED">
        <w:rPr>
          <w:sz w:val="22"/>
          <w:szCs w:val="22"/>
        </w:rPr>
        <w:lastRenderedPageBreak/>
        <w:t>32</w:t>
      </w:r>
      <w:r w:rsidR="00971887" w:rsidRPr="00E059ED">
        <w:rPr>
          <w:sz w:val="22"/>
          <w:szCs w:val="22"/>
        </w:rPr>
        <w:t>.</w:t>
      </w:r>
      <w:r w:rsidR="00971887" w:rsidRPr="00E059ED">
        <w:rPr>
          <w:sz w:val="22"/>
          <w:szCs w:val="22"/>
        </w:rPr>
        <w:tab/>
        <w:t xml:space="preserve">Rossano, S. </w:t>
      </w:r>
      <w:r w:rsidR="00971887" w:rsidRPr="00E059ED">
        <w:rPr>
          <w:i/>
          <w:iCs/>
          <w:sz w:val="22"/>
          <w:szCs w:val="22"/>
        </w:rPr>
        <w:t>et al.</w:t>
      </w:r>
      <w:r w:rsidR="00971887" w:rsidRPr="00E059ED">
        <w:rPr>
          <w:sz w:val="22"/>
          <w:szCs w:val="22"/>
        </w:rPr>
        <w:t xml:space="preserve"> Assessment of a white matter reference region for </w:t>
      </w:r>
      <w:r w:rsidR="00971887" w:rsidRPr="00E059ED">
        <w:rPr>
          <w:sz w:val="22"/>
          <w:szCs w:val="22"/>
          <w:vertAlign w:val="superscript"/>
        </w:rPr>
        <w:t>11</w:t>
      </w:r>
      <w:r w:rsidR="00971887" w:rsidRPr="00E059ED">
        <w:rPr>
          <w:sz w:val="22"/>
          <w:szCs w:val="22"/>
        </w:rPr>
        <w:t xml:space="preserve"> C-UCB-J PET quantification. </w:t>
      </w:r>
      <w:r w:rsidR="00971887" w:rsidRPr="00E059ED">
        <w:rPr>
          <w:i/>
          <w:iCs/>
          <w:sz w:val="22"/>
          <w:szCs w:val="22"/>
        </w:rPr>
        <w:t>J. Cereb. Blood Flow Metab.</w:t>
      </w:r>
      <w:r w:rsidR="00971887" w:rsidRPr="00E059ED">
        <w:rPr>
          <w:sz w:val="22"/>
          <w:szCs w:val="22"/>
        </w:rPr>
        <w:t xml:space="preserve"> </w:t>
      </w:r>
      <w:r w:rsidR="00971887" w:rsidRPr="00E059ED">
        <w:rPr>
          <w:b/>
          <w:bCs/>
          <w:sz w:val="22"/>
          <w:szCs w:val="22"/>
        </w:rPr>
        <w:t>40</w:t>
      </w:r>
      <w:r w:rsidR="00971887" w:rsidRPr="00E059ED">
        <w:rPr>
          <w:sz w:val="22"/>
          <w:szCs w:val="22"/>
        </w:rPr>
        <w:t>, 1890–1901 (2020).</w:t>
      </w:r>
    </w:p>
    <w:p w14:paraId="6D6D8BEE" w14:textId="2B010CC6" w:rsidR="00971887" w:rsidRPr="00E059ED" w:rsidRDefault="00017FF8" w:rsidP="00C3185A">
      <w:pPr>
        <w:pStyle w:val="Bibliography"/>
        <w:spacing w:line="240" w:lineRule="auto"/>
        <w:rPr>
          <w:sz w:val="22"/>
          <w:szCs w:val="22"/>
        </w:rPr>
      </w:pPr>
      <w:r w:rsidRPr="00E059ED">
        <w:rPr>
          <w:sz w:val="22"/>
          <w:szCs w:val="22"/>
        </w:rPr>
        <w:t>33</w:t>
      </w:r>
      <w:r w:rsidR="00971887" w:rsidRPr="00E059ED">
        <w:rPr>
          <w:sz w:val="22"/>
          <w:szCs w:val="22"/>
        </w:rPr>
        <w:t>.</w:t>
      </w:r>
      <w:r w:rsidR="00971887" w:rsidRPr="00E059ED">
        <w:rPr>
          <w:sz w:val="22"/>
          <w:szCs w:val="22"/>
        </w:rPr>
        <w:tab/>
        <w:t xml:space="preserve">Hou, J. </w:t>
      </w:r>
      <w:r w:rsidR="00971887" w:rsidRPr="00E059ED">
        <w:rPr>
          <w:i/>
          <w:iCs/>
          <w:sz w:val="22"/>
          <w:szCs w:val="22"/>
        </w:rPr>
        <w:t>et al.</w:t>
      </w:r>
      <w:r w:rsidR="00971887" w:rsidRPr="00E059ED">
        <w:rPr>
          <w:sz w:val="22"/>
          <w:szCs w:val="22"/>
        </w:rPr>
        <w:t xml:space="preserve"> Lower synaptic density associated with gaming disorder: an </w:t>
      </w:r>
      <w:r w:rsidR="00971887" w:rsidRPr="00E059ED">
        <w:rPr>
          <w:sz w:val="22"/>
          <w:szCs w:val="22"/>
          <w:vertAlign w:val="superscript"/>
        </w:rPr>
        <w:t>18</w:t>
      </w:r>
      <w:r w:rsidR="00971887" w:rsidRPr="00E059ED">
        <w:rPr>
          <w:sz w:val="22"/>
          <w:szCs w:val="22"/>
        </w:rPr>
        <w:t xml:space="preserve"> F-SynVesT-1 PET imaging study. </w:t>
      </w:r>
      <w:r w:rsidR="00971887" w:rsidRPr="00E059ED">
        <w:rPr>
          <w:i/>
          <w:iCs/>
          <w:sz w:val="22"/>
          <w:szCs w:val="22"/>
        </w:rPr>
        <w:t>Gen. Psychiatry</w:t>
      </w:r>
      <w:r w:rsidR="00971887" w:rsidRPr="00E059ED">
        <w:rPr>
          <w:sz w:val="22"/>
          <w:szCs w:val="22"/>
        </w:rPr>
        <w:t xml:space="preserve"> </w:t>
      </w:r>
      <w:r w:rsidR="00971887" w:rsidRPr="00E059ED">
        <w:rPr>
          <w:b/>
          <w:bCs/>
          <w:sz w:val="22"/>
          <w:szCs w:val="22"/>
        </w:rPr>
        <w:t>36</w:t>
      </w:r>
      <w:r w:rsidR="00971887" w:rsidRPr="00E059ED">
        <w:rPr>
          <w:sz w:val="22"/>
          <w:szCs w:val="22"/>
        </w:rPr>
        <w:t>, e101112 (2023).</w:t>
      </w:r>
    </w:p>
    <w:p w14:paraId="1E9E0F24" w14:textId="36460DA3" w:rsidR="00971887" w:rsidRPr="00E059ED" w:rsidRDefault="00017FF8" w:rsidP="00C3185A">
      <w:pPr>
        <w:pStyle w:val="Bibliography"/>
        <w:spacing w:line="240" w:lineRule="auto"/>
        <w:rPr>
          <w:sz w:val="22"/>
          <w:szCs w:val="22"/>
        </w:rPr>
      </w:pPr>
      <w:r w:rsidRPr="00E059ED">
        <w:rPr>
          <w:sz w:val="22"/>
          <w:szCs w:val="22"/>
        </w:rPr>
        <w:t>34</w:t>
      </w:r>
      <w:r w:rsidR="00971887" w:rsidRPr="00E059ED">
        <w:rPr>
          <w:sz w:val="22"/>
          <w:szCs w:val="22"/>
        </w:rPr>
        <w:t>.</w:t>
      </w:r>
      <w:r w:rsidR="00971887" w:rsidRPr="00E059ED">
        <w:rPr>
          <w:sz w:val="22"/>
          <w:szCs w:val="22"/>
        </w:rPr>
        <w:tab/>
        <w:t xml:space="preserve">Asch, R. H. </w:t>
      </w:r>
      <w:r w:rsidR="00971887" w:rsidRPr="00E059ED">
        <w:rPr>
          <w:i/>
          <w:iCs/>
          <w:sz w:val="22"/>
          <w:szCs w:val="22"/>
        </w:rPr>
        <w:t>et al.</w:t>
      </w:r>
      <w:r w:rsidR="00971887" w:rsidRPr="00E059ED">
        <w:rPr>
          <w:sz w:val="22"/>
          <w:szCs w:val="22"/>
        </w:rPr>
        <w:t xml:space="preserve"> Lower synaptic density is associated with psychiatric and cognitive alterations in obesity. </w:t>
      </w:r>
      <w:r w:rsidR="00971887" w:rsidRPr="00E059ED">
        <w:rPr>
          <w:i/>
          <w:iCs/>
          <w:sz w:val="22"/>
          <w:szCs w:val="22"/>
        </w:rPr>
        <w:t>Neuropsychopharmacology</w:t>
      </w:r>
      <w:r w:rsidR="00971887" w:rsidRPr="00E059ED">
        <w:rPr>
          <w:sz w:val="22"/>
          <w:szCs w:val="22"/>
        </w:rPr>
        <w:t xml:space="preserve"> </w:t>
      </w:r>
      <w:r w:rsidR="00971887" w:rsidRPr="00E059ED">
        <w:rPr>
          <w:b/>
          <w:bCs/>
          <w:sz w:val="22"/>
          <w:szCs w:val="22"/>
        </w:rPr>
        <w:t>47</w:t>
      </w:r>
      <w:r w:rsidR="00971887" w:rsidRPr="00E059ED">
        <w:rPr>
          <w:sz w:val="22"/>
          <w:szCs w:val="22"/>
        </w:rPr>
        <w:t>, 543–552 (2022).</w:t>
      </w:r>
    </w:p>
    <w:p w14:paraId="30B79E4A" w14:textId="6AB7D30A" w:rsidR="00971887" w:rsidRPr="00E059ED" w:rsidRDefault="00017FF8" w:rsidP="00C3185A">
      <w:pPr>
        <w:pStyle w:val="Bibliography"/>
        <w:spacing w:line="240" w:lineRule="auto"/>
        <w:rPr>
          <w:sz w:val="22"/>
          <w:szCs w:val="22"/>
        </w:rPr>
      </w:pPr>
      <w:r w:rsidRPr="00E059ED">
        <w:rPr>
          <w:sz w:val="22"/>
          <w:szCs w:val="22"/>
        </w:rPr>
        <w:t>35</w:t>
      </w:r>
      <w:r w:rsidR="00971887" w:rsidRPr="00E059ED">
        <w:rPr>
          <w:sz w:val="22"/>
          <w:szCs w:val="22"/>
        </w:rPr>
        <w:t>.</w:t>
      </w:r>
      <w:r w:rsidR="00971887" w:rsidRPr="00E059ED">
        <w:rPr>
          <w:sz w:val="22"/>
          <w:szCs w:val="22"/>
        </w:rPr>
        <w:tab/>
        <w:t xml:space="preserve">Casteele, T. V. </w:t>
      </w:r>
      <w:r w:rsidR="00971887" w:rsidRPr="00E059ED">
        <w:rPr>
          <w:i/>
          <w:iCs/>
          <w:sz w:val="22"/>
          <w:szCs w:val="22"/>
        </w:rPr>
        <w:t>et al.</w:t>
      </w:r>
      <w:r w:rsidR="00971887" w:rsidRPr="00E059ED">
        <w:rPr>
          <w:sz w:val="22"/>
          <w:szCs w:val="22"/>
        </w:rPr>
        <w:t xml:space="preserve"> 69. Lower Grey Matter Volume is not Related to Synaptic Density in Late Life Depression. </w:t>
      </w:r>
      <w:r w:rsidR="00971887" w:rsidRPr="00E059ED">
        <w:rPr>
          <w:i/>
          <w:iCs/>
          <w:sz w:val="22"/>
          <w:szCs w:val="22"/>
        </w:rPr>
        <w:t>Biol. Psychiatry</w:t>
      </w:r>
      <w:r w:rsidR="00971887" w:rsidRPr="00E059ED">
        <w:rPr>
          <w:sz w:val="22"/>
          <w:szCs w:val="22"/>
        </w:rPr>
        <w:t xml:space="preserve"> </w:t>
      </w:r>
      <w:r w:rsidR="00971887" w:rsidRPr="00E059ED">
        <w:rPr>
          <w:b/>
          <w:bCs/>
          <w:sz w:val="22"/>
          <w:szCs w:val="22"/>
        </w:rPr>
        <w:t>93</w:t>
      </w:r>
      <w:r w:rsidR="00971887" w:rsidRPr="00E059ED">
        <w:rPr>
          <w:sz w:val="22"/>
          <w:szCs w:val="22"/>
        </w:rPr>
        <w:t>, S121–S122 (2023).</w:t>
      </w:r>
    </w:p>
    <w:p w14:paraId="0F4037EE" w14:textId="50F3C699" w:rsidR="00971887" w:rsidRPr="00E059ED" w:rsidRDefault="00017FF8" w:rsidP="00C3185A">
      <w:pPr>
        <w:pStyle w:val="Bibliography"/>
        <w:spacing w:line="240" w:lineRule="auto"/>
        <w:rPr>
          <w:sz w:val="22"/>
          <w:szCs w:val="22"/>
        </w:rPr>
      </w:pPr>
      <w:r w:rsidRPr="00E059ED">
        <w:rPr>
          <w:sz w:val="22"/>
          <w:szCs w:val="22"/>
        </w:rPr>
        <w:t>36</w:t>
      </w:r>
      <w:r w:rsidR="00971887" w:rsidRPr="00E059ED">
        <w:rPr>
          <w:sz w:val="22"/>
          <w:szCs w:val="22"/>
        </w:rPr>
        <w:t>.</w:t>
      </w:r>
      <w:r w:rsidR="00971887" w:rsidRPr="00E059ED">
        <w:rPr>
          <w:sz w:val="22"/>
          <w:szCs w:val="22"/>
        </w:rPr>
        <w:tab/>
        <w:t xml:space="preserve">Holmes, S. E. </w:t>
      </w:r>
      <w:r w:rsidR="00971887" w:rsidRPr="00E059ED">
        <w:rPr>
          <w:i/>
          <w:iCs/>
          <w:sz w:val="22"/>
          <w:szCs w:val="22"/>
        </w:rPr>
        <w:t>et al.</w:t>
      </w:r>
      <w:r w:rsidR="00971887" w:rsidRPr="00E059ED">
        <w:rPr>
          <w:sz w:val="22"/>
          <w:szCs w:val="22"/>
        </w:rPr>
        <w:t xml:space="preserve"> Imaging the effect of ketamine on synaptic density (SV2A) in the living brain. </w:t>
      </w:r>
      <w:r w:rsidR="00971887" w:rsidRPr="00E059ED">
        <w:rPr>
          <w:i/>
          <w:iCs/>
          <w:sz w:val="22"/>
          <w:szCs w:val="22"/>
        </w:rPr>
        <w:t>Mol. Psychiatry</w:t>
      </w:r>
      <w:r w:rsidR="00971887" w:rsidRPr="00E059ED">
        <w:rPr>
          <w:sz w:val="22"/>
          <w:szCs w:val="22"/>
        </w:rPr>
        <w:t xml:space="preserve"> </w:t>
      </w:r>
      <w:r w:rsidR="00971887" w:rsidRPr="00E059ED">
        <w:rPr>
          <w:b/>
          <w:bCs/>
          <w:sz w:val="22"/>
          <w:szCs w:val="22"/>
        </w:rPr>
        <w:t>27</w:t>
      </w:r>
      <w:r w:rsidR="00971887" w:rsidRPr="00E059ED">
        <w:rPr>
          <w:sz w:val="22"/>
          <w:szCs w:val="22"/>
        </w:rPr>
        <w:t>, 2273–2281 (2022).</w:t>
      </w:r>
    </w:p>
    <w:p w14:paraId="2DAE5E09" w14:textId="0C1C8021" w:rsidR="00971887" w:rsidRPr="00E059ED" w:rsidRDefault="00017FF8" w:rsidP="00C3185A">
      <w:pPr>
        <w:pStyle w:val="Bibliography"/>
        <w:spacing w:line="240" w:lineRule="auto"/>
        <w:rPr>
          <w:sz w:val="22"/>
          <w:szCs w:val="22"/>
        </w:rPr>
      </w:pPr>
      <w:r w:rsidRPr="00E059ED">
        <w:rPr>
          <w:sz w:val="22"/>
          <w:szCs w:val="22"/>
        </w:rPr>
        <w:t>37</w:t>
      </w:r>
      <w:r w:rsidR="00971887" w:rsidRPr="00E059ED">
        <w:rPr>
          <w:sz w:val="22"/>
          <w:szCs w:val="22"/>
        </w:rPr>
        <w:t>.</w:t>
      </w:r>
      <w:r w:rsidR="00971887" w:rsidRPr="00E059ED">
        <w:rPr>
          <w:sz w:val="22"/>
          <w:szCs w:val="22"/>
        </w:rPr>
        <w:tab/>
        <w:t xml:space="preserve">Onwordi, E. C. </w:t>
      </w:r>
      <w:r w:rsidR="00971887" w:rsidRPr="00E059ED">
        <w:rPr>
          <w:i/>
          <w:iCs/>
          <w:sz w:val="22"/>
          <w:szCs w:val="22"/>
        </w:rPr>
        <w:t>et al.</w:t>
      </w:r>
      <w:r w:rsidR="00971887" w:rsidRPr="00E059ED">
        <w:rPr>
          <w:sz w:val="22"/>
          <w:szCs w:val="22"/>
        </w:rPr>
        <w:t xml:space="preserve"> Synaptic density marker SV2A is reduced in schizophrenia patients and unaffected by antipsychotics in rats. </w:t>
      </w:r>
      <w:r w:rsidR="00971887" w:rsidRPr="00E059ED">
        <w:rPr>
          <w:i/>
          <w:iCs/>
          <w:sz w:val="22"/>
          <w:szCs w:val="22"/>
        </w:rPr>
        <w:t>Nat. Commun.</w:t>
      </w:r>
      <w:r w:rsidR="00971887" w:rsidRPr="00E059ED">
        <w:rPr>
          <w:sz w:val="22"/>
          <w:szCs w:val="22"/>
        </w:rPr>
        <w:t xml:space="preserve"> </w:t>
      </w:r>
      <w:r w:rsidR="00971887" w:rsidRPr="00E059ED">
        <w:rPr>
          <w:b/>
          <w:bCs/>
          <w:sz w:val="22"/>
          <w:szCs w:val="22"/>
        </w:rPr>
        <w:t>11</w:t>
      </w:r>
      <w:r w:rsidR="00971887" w:rsidRPr="00E059ED">
        <w:rPr>
          <w:sz w:val="22"/>
          <w:szCs w:val="22"/>
        </w:rPr>
        <w:t>, 246 (2020).</w:t>
      </w:r>
    </w:p>
    <w:p w14:paraId="155A3811" w14:textId="11B7DE0A" w:rsidR="00971887" w:rsidRPr="00E059ED" w:rsidRDefault="00017FF8" w:rsidP="00C3185A">
      <w:pPr>
        <w:pStyle w:val="Bibliography"/>
        <w:spacing w:line="240" w:lineRule="auto"/>
        <w:rPr>
          <w:sz w:val="22"/>
          <w:szCs w:val="22"/>
        </w:rPr>
      </w:pPr>
      <w:r w:rsidRPr="00E059ED">
        <w:rPr>
          <w:sz w:val="22"/>
          <w:szCs w:val="22"/>
        </w:rPr>
        <w:t>38</w:t>
      </w:r>
      <w:r w:rsidR="00971887" w:rsidRPr="00E059ED">
        <w:rPr>
          <w:sz w:val="22"/>
          <w:szCs w:val="22"/>
        </w:rPr>
        <w:t>.</w:t>
      </w:r>
      <w:r w:rsidR="00971887" w:rsidRPr="00E059ED">
        <w:rPr>
          <w:sz w:val="22"/>
          <w:szCs w:val="22"/>
        </w:rPr>
        <w:tab/>
        <w:t xml:space="preserve">Onwordi, E. C. </w:t>
      </w:r>
      <w:r w:rsidR="00971887" w:rsidRPr="00E059ED">
        <w:rPr>
          <w:i/>
          <w:iCs/>
          <w:sz w:val="22"/>
          <w:szCs w:val="22"/>
        </w:rPr>
        <w:t>et al.</w:t>
      </w:r>
      <w:r w:rsidR="00971887" w:rsidRPr="00E059ED">
        <w:rPr>
          <w:sz w:val="22"/>
          <w:szCs w:val="22"/>
        </w:rPr>
        <w:t xml:space="preserve"> The relationship between synaptic density marker SV2A, glutamate and N-acetyl aspartate levels in healthy volunteers and schizophrenia: a multimodal PET and magnetic resonance spectroscopy brain imaging study. </w:t>
      </w:r>
      <w:r w:rsidR="00971887" w:rsidRPr="00E059ED">
        <w:rPr>
          <w:i/>
          <w:iCs/>
          <w:sz w:val="22"/>
          <w:szCs w:val="22"/>
        </w:rPr>
        <w:t>Transl. Psychiatry</w:t>
      </w:r>
      <w:r w:rsidR="00971887" w:rsidRPr="00E059ED">
        <w:rPr>
          <w:sz w:val="22"/>
          <w:szCs w:val="22"/>
        </w:rPr>
        <w:t xml:space="preserve"> </w:t>
      </w:r>
      <w:r w:rsidR="00971887" w:rsidRPr="00E059ED">
        <w:rPr>
          <w:b/>
          <w:bCs/>
          <w:sz w:val="22"/>
          <w:szCs w:val="22"/>
        </w:rPr>
        <w:t>11</w:t>
      </w:r>
      <w:r w:rsidR="00971887" w:rsidRPr="00E059ED">
        <w:rPr>
          <w:sz w:val="22"/>
          <w:szCs w:val="22"/>
        </w:rPr>
        <w:t>, 393 (2021).</w:t>
      </w:r>
    </w:p>
    <w:p w14:paraId="4125B1E0" w14:textId="3739A3DC" w:rsidR="00971887" w:rsidRPr="00E059ED" w:rsidRDefault="00017FF8" w:rsidP="00C3185A">
      <w:pPr>
        <w:pStyle w:val="Bibliography"/>
        <w:spacing w:line="240" w:lineRule="auto"/>
        <w:rPr>
          <w:sz w:val="22"/>
          <w:szCs w:val="22"/>
        </w:rPr>
      </w:pPr>
      <w:r w:rsidRPr="00E059ED">
        <w:rPr>
          <w:sz w:val="22"/>
          <w:szCs w:val="22"/>
        </w:rPr>
        <w:t>39</w:t>
      </w:r>
      <w:r w:rsidR="00971887" w:rsidRPr="00E059ED">
        <w:rPr>
          <w:sz w:val="22"/>
          <w:szCs w:val="22"/>
        </w:rPr>
        <w:t>.</w:t>
      </w:r>
      <w:r w:rsidR="00971887" w:rsidRPr="00E059ED">
        <w:rPr>
          <w:sz w:val="22"/>
          <w:szCs w:val="22"/>
        </w:rPr>
        <w:tab/>
        <w:t xml:space="preserve">Onwordi, E. C. </w:t>
      </w:r>
      <w:r w:rsidR="00971887" w:rsidRPr="00E059ED">
        <w:rPr>
          <w:i/>
          <w:iCs/>
          <w:sz w:val="22"/>
          <w:szCs w:val="22"/>
        </w:rPr>
        <w:t>et al.</w:t>
      </w:r>
      <w:r w:rsidR="00971887" w:rsidRPr="00E059ED">
        <w:rPr>
          <w:sz w:val="22"/>
          <w:szCs w:val="22"/>
        </w:rPr>
        <w:t xml:space="preserve"> Synaptic Terminal Density Early in the Course of Schizophrenia: An In Vivo UCB-J Positron Emission Tomographic Imaging Study of Synaptic Vesicle Glycoprotein 2A. </w:t>
      </w:r>
      <w:r w:rsidR="00971887" w:rsidRPr="00E059ED">
        <w:rPr>
          <w:i/>
          <w:iCs/>
          <w:sz w:val="22"/>
          <w:szCs w:val="22"/>
        </w:rPr>
        <w:t>Biol. Psychiatry</w:t>
      </w:r>
      <w:r w:rsidR="00971887" w:rsidRPr="00E059ED">
        <w:rPr>
          <w:sz w:val="22"/>
          <w:szCs w:val="22"/>
        </w:rPr>
        <w:t xml:space="preserve"> S0006322323013537 (2023) doi:10.1016/j.biopsych.2023.05.022.</w:t>
      </w:r>
    </w:p>
    <w:p w14:paraId="5E25C613" w14:textId="1716E878" w:rsidR="00971887" w:rsidRPr="00E059ED" w:rsidRDefault="00017FF8" w:rsidP="00C3185A">
      <w:pPr>
        <w:pStyle w:val="Bibliography"/>
        <w:spacing w:line="240" w:lineRule="auto"/>
        <w:rPr>
          <w:sz w:val="22"/>
          <w:szCs w:val="22"/>
        </w:rPr>
      </w:pPr>
      <w:r w:rsidRPr="00E059ED">
        <w:rPr>
          <w:sz w:val="22"/>
          <w:szCs w:val="22"/>
        </w:rPr>
        <w:t>40</w:t>
      </w:r>
      <w:r w:rsidR="00971887" w:rsidRPr="00E059ED">
        <w:rPr>
          <w:sz w:val="22"/>
          <w:szCs w:val="22"/>
        </w:rPr>
        <w:t>.</w:t>
      </w:r>
      <w:r w:rsidR="00971887" w:rsidRPr="00E059ED">
        <w:rPr>
          <w:sz w:val="22"/>
          <w:szCs w:val="22"/>
        </w:rPr>
        <w:tab/>
        <w:t xml:space="preserve">Radhakrishnan, R. </w:t>
      </w:r>
      <w:r w:rsidR="00971887" w:rsidRPr="00E059ED">
        <w:rPr>
          <w:i/>
          <w:iCs/>
          <w:sz w:val="22"/>
          <w:szCs w:val="22"/>
        </w:rPr>
        <w:t>et al.</w:t>
      </w:r>
      <w:r w:rsidR="00971887" w:rsidRPr="00E059ED">
        <w:rPr>
          <w:sz w:val="22"/>
          <w:szCs w:val="22"/>
        </w:rPr>
        <w:t xml:space="preserve"> In vivo evidence of lower synaptic vesicle density in schizophrenia. </w:t>
      </w:r>
      <w:r w:rsidR="00971887" w:rsidRPr="00E059ED">
        <w:rPr>
          <w:i/>
          <w:iCs/>
          <w:sz w:val="22"/>
          <w:szCs w:val="22"/>
        </w:rPr>
        <w:t>Mol. Psychiatry</w:t>
      </w:r>
      <w:r w:rsidR="00971887" w:rsidRPr="00E059ED">
        <w:rPr>
          <w:sz w:val="22"/>
          <w:szCs w:val="22"/>
        </w:rPr>
        <w:t xml:space="preserve"> </w:t>
      </w:r>
      <w:r w:rsidR="00971887" w:rsidRPr="00E059ED">
        <w:rPr>
          <w:b/>
          <w:bCs/>
          <w:sz w:val="22"/>
          <w:szCs w:val="22"/>
        </w:rPr>
        <w:t>26</w:t>
      </w:r>
      <w:r w:rsidR="00971887" w:rsidRPr="00E059ED">
        <w:rPr>
          <w:sz w:val="22"/>
          <w:szCs w:val="22"/>
        </w:rPr>
        <w:t>, 7690–7698 (2021).</w:t>
      </w:r>
    </w:p>
    <w:p w14:paraId="6A2CAFBA" w14:textId="4D81D9F8" w:rsidR="00971887" w:rsidRPr="00E059ED" w:rsidRDefault="00017FF8" w:rsidP="00C3185A">
      <w:pPr>
        <w:pStyle w:val="Bibliography"/>
        <w:spacing w:line="240" w:lineRule="auto"/>
        <w:rPr>
          <w:sz w:val="22"/>
          <w:szCs w:val="22"/>
        </w:rPr>
      </w:pPr>
      <w:r w:rsidRPr="00E059ED">
        <w:rPr>
          <w:sz w:val="22"/>
          <w:szCs w:val="22"/>
        </w:rPr>
        <w:t>41</w:t>
      </w:r>
      <w:r w:rsidR="00971887" w:rsidRPr="00E059ED">
        <w:rPr>
          <w:sz w:val="22"/>
          <w:szCs w:val="22"/>
        </w:rPr>
        <w:t>.</w:t>
      </w:r>
      <w:r w:rsidR="00971887" w:rsidRPr="00E059ED">
        <w:rPr>
          <w:sz w:val="22"/>
          <w:szCs w:val="22"/>
        </w:rPr>
        <w:tab/>
        <w:t xml:space="preserve">Yoon, J. H. </w:t>
      </w:r>
      <w:r w:rsidR="00971887" w:rsidRPr="00E059ED">
        <w:rPr>
          <w:i/>
          <w:iCs/>
          <w:sz w:val="22"/>
          <w:szCs w:val="22"/>
        </w:rPr>
        <w:t>et al.</w:t>
      </w:r>
      <w:r w:rsidR="00971887" w:rsidRPr="00E059ED">
        <w:rPr>
          <w:sz w:val="22"/>
          <w:szCs w:val="22"/>
        </w:rPr>
        <w:t xml:space="preserve"> Reductions in synaptic marker SV2A in early-course Schizophrenia. </w:t>
      </w:r>
      <w:r w:rsidR="00971887" w:rsidRPr="00E059ED">
        <w:rPr>
          <w:i/>
          <w:iCs/>
          <w:sz w:val="22"/>
          <w:szCs w:val="22"/>
        </w:rPr>
        <w:t>J. Psychiatr. Res.</w:t>
      </w:r>
      <w:r w:rsidR="00971887" w:rsidRPr="00E059ED">
        <w:rPr>
          <w:sz w:val="22"/>
          <w:szCs w:val="22"/>
        </w:rPr>
        <w:t xml:space="preserve"> </w:t>
      </w:r>
      <w:r w:rsidR="00971887" w:rsidRPr="00E059ED">
        <w:rPr>
          <w:b/>
          <w:bCs/>
          <w:sz w:val="22"/>
          <w:szCs w:val="22"/>
        </w:rPr>
        <w:t>161</w:t>
      </w:r>
      <w:r w:rsidR="00971887" w:rsidRPr="00E059ED">
        <w:rPr>
          <w:sz w:val="22"/>
          <w:szCs w:val="22"/>
        </w:rPr>
        <w:t>, 213–217 (2023).</w:t>
      </w:r>
    </w:p>
    <w:p w14:paraId="4F5E50D4" w14:textId="73A2975D" w:rsidR="00971887" w:rsidRPr="00E059ED" w:rsidRDefault="00017FF8" w:rsidP="00C3185A">
      <w:pPr>
        <w:pStyle w:val="Bibliography"/>
        <w:spacing w:line="240" w:lineRule="auto"/>
        <w:rPr>
          <w:sz w:val="22"/>
          <w:szCs w:val="22"/>
        </w:rPr>
      </w:pPr>
      <w:r w:rsidRPr="00E059ED">
        <w:rPr>
          <w:sz w:val="22"/>
          <w:szCs w:val="22"/>
        </w:rPr>
        <w:t>42</w:t>
      </w:r>
      <w:r w:rsidR="00971887" w:rsidRPr="00E059ED">
        <w:rPr>
          <w:sz w:val="22"/>
          <w:szCs w:val="22"/>
        </w:rPr>
        <w:t>.</w:t>
      </w:r>
      <w:r w:rsidR="00971887" w:rsidRPr="00E059ED">
        <w:rPr>
          <w:sz w:val="22"/>
          <w:szCs w:val="22"/>
        </w:rPr>
        <w:tab/>
        <w:t xml:space="preserve">Bastin, C. </w:t>
      </w:r>
      <w:r w:rsidR="00971887" w:rsidRPr="00E059ED">
        <w:rPr>
          <w:i/>
          <w:iCs/>
          <w:sz w:val="22"/>
          <w:szCs w:val="22"/>
        </w:rPr>
        <w:t>et al.</w:t>
      </w:r>
      <w:r w:rsidR="00971887" w:rsidRPr="00E059ED">
        <w:rPr>
          <w:sz w:val="22"/>
          <w:szCs w:val="22"/>
        </w:rPr>
        <w:t xml:space="preserve"> In vivo imaging of synaptic loss in Alzheimer’s disease with [18F]UCB-H positron emission tomography. </w:t>
      </w:r>
      <w:r w:rsidR="00971887" w:rsidRPr="00E059ED">
        <w:rPr>
          <w:i/>
          <w:iCs/>
          <w:sz w:val="22"/>
          <w:szCs w:val="22"/>
        </w:rPr>
        <w:t>Eur. J. Nucl. Med. Mol. Imaging</w:t>
      </w:r>
      <w:r w:rsidR="00971887" w:rsidRPr="00E059ED">
        <w:rPr>
          <w:sz w:val="22"/>
          <w:szCs w:val="22"/>
        </w:rPr>
        <w:t xml:space="preserve"> </w:t>
      </w:r>
      <w:r w:rsidR="00971887" w:rsidRPr="00E059ED">
        <w:rPr>
          <w:b/>
          <w:bCs/>
          <w:sz w:val="22"/>
          <w:szCs w:val="22"/>
        </w:rPr>
        <w:t>47</w:t>
      </w:r>
      <w:r w:rsidR="00971887" w:rsidRPr="00E059ED">
        <w:rPr>
          <w:sz w:val="22"/>
          <w:szCs w:val="22"/>
        </w:rPr>
        <w:t>, 390–402 (2020).</w:t>
      </w:r>
    </w:p>
    <w:p w14:paraId="704FC22F" w14:textId="72FC4122" w:rsidR="00971887" w:rsidRPr="00E059ED" w:rsidRDefault="00017FF8" w:rsidP="00C3185A">
      <w:pPr>
        <w:pStyle w:val="Bibliography"/>
        <w:spacing w:line="240" w:lineRule="auto"/>
        <w:rPr>
          <w:sz w:val="22"/>
          <w:szCs w:val="22"/>
        </w:rPr>
      </w:pPr>
      <w:r w:rsidRPr="00E059ED">
        <w:rPr>
          <w:sz w:val="22"/>
          <w:szCs w:val="22"/>
        </w:rPr>
        <w:t>43</w:t>
      </w:r>
      <w:r w:rsidR="00971887" w:rsidRPr="00E059ED">
        <w:rPr>
          <w:sz w:val="22"/>
          <w:szCs w:val="22"/>
        </w:rPr>
        <w:t>.</w:t>
      </w:r>
      <w:r w:rsidR="00971887" w:rsidRPr="00E059ED">
        <w:rPr>
          <w:sz w:val="22"/>
          <w:szCs w:val="22"/>
        </w:rPr>
        <w:tab/>
        <w:t xml:space="preserve">Chen, M.-K. </w:t>
      </w:r>
      <w:r w:rsidR="00971887" w:rsidRPr="00E059ED">
        <w:rPr>
          <w:i/>
          <w:iCs/>
          <w:sz w:val="22"/>
          <w:szCs w:val="22"/>
        </w:rPr>
        <w:t>et al.</w:t>
      </w:r>
      <w:r w:rsidR="00971887" w:rsidRPr="00E059ED">
        <w:rPr>
          <w:sz w:val="22"/>
          <w:szCs w:val="22"/>
        </w:rPr>
        <w:t xml:space="preserve"> Comparison of [11C]UCB-J and [18F]FDG PET in Alzheimer’s disease: A tracer kinetic modeling study. </w:t>
      </w:r>
      <w:r w:rsidR="00971887" w:rsidRPr="00E059ED">
        <w:rPr>
          <w:i/>
          <w:iCs/>
          <w:sz w:val="22"/>
          <w:szCs w:val="22"/>
        </w:rPr>
        <w:t>J. Cereb. Blood Flow Metab.</w:t>
      </w:r>
      <w:r w:rsidR="00971887" w:rsidRPr="00E059ED">
        <w:rPr>
          <w:sz w:val="22"/>
          <w:szCs w:val="22"/>
        </w:rPr>
        <w:t xml:space="preserve"> </w:t>
      </w:r>
      <w:r w:rsidR="00971887" w:rsidRPr="00E059ED">
        <w:rPr>
          <w:b/>
          <w:bCs/>
          <w:sz w:val="22"/>
          <w:szCs w:val="22"/>
        </w:rPr>
        <w:t>41</w:t>
      </w:r>
      <w:r w:rsidR="00971887" w:rsidRPr="00E059ED">
        <w:rPr>
          <w:sz w:val="22"/>
          <w:szCs w:val="22"/>
        </w:rPr>
        <w:t>, 2395–2409 (2021).</w:t>
      </w:r>
    </w:p>
    <w:p w14:paraId="3ED977DD" w14:textId="787CC7B5" w:rsidR="00971887" w:rsidRPr="00E059ED" w:rsidRDefault="00017FF8" w:rsidP="00C3185A">
      <w:pPr>
        <w:pStyle w:val="Bibliography"/>
        <w:spacing w:line="240" w:lineRule="auto"/>
        <w:rPr>
          <w:sz w:val="22"/>
          <w:szCs w:val="22"/>
        </w:rPr>
      </w:pPr>
      <w:r w:rsidRPr="00E059ED">
        <w:rPr>
          <w:sz w:val="22"/>
          <w:szCs w:val="22"/>
        </w:rPr>
        <w:t>44</w:t>
      </w:r>
      <w:r w:rsidR="00971887" w:rsidRPr="00E059ED">
        <w:rPr>
          <w:sz w:val="22"/>
          <w:szCs w:val="22"/>
        </w:rPr>
        <w:t>.</w:t>
      </w:r>
      <w:r w:rsidR="00971887" w:rsidRPr="00E059ED">
        <w:rPr>
          <w:sz w:val="22"/>
          <w:szCs w:val="22"/>
        </w:rPr>
        <w:tab/>
        <w:t xml:space="preserve">Coomans, E. M. </w:t>
      </w:r>
      <w:r w:rsidR="00971887" w:rsidRPr="00E059ED">
        <w:rPr>
          <w:i/>
          <w:iCs/>
          <w:sz w:val="22"/>
          <w:szCs w:val="22"/>
        </w:rPr>
        <w:t>et al.</w:t>
      </w:r>
      <w:r w:rsidR="00971887" w:rsidRPr="00E059ED">
        <w:rPr>
          <w:sz w:val="22"/>
          <w:szCs w:val="22"/>
        </w:rPr>
        <w:t xml:space="preserve"> In vivo tau pathology is associated with synaptic loss and altered synaptic function. </w:t>
      </w:r>
      <w:r w:rsidR="00971887" w:rsidRPr="00E059ED">
        <w:rPr>
          <w:i/>
          <w:iCs/>
          <w:sz w:val="22"/>
          <w:szCs w:val="22"/>
        </w:rPr>
        <w:t>Alzheimers Res. Ther.</w:t>
      </w:r>
      <w:r w:rsidR="00971887" w:rsidRPr="00E059ED">
        <w:rPr>
          <w:sz w:val="22"/>
          <w:szCs w:val="22"/>
        </w:rPr>
        <w:t xml:space="preserve"> </w:t>
      </w:r>
      <w:r w:rsidR="00971887" w:rsidRPr="00E059ED">
        <w:rPr>
          <w:b/>
          <w:bCs/>
          <w:sz w:val="22"/>
          <w:szCs w:val="22"/>
        </w:rPr>
        <w:t>13</w:t>
      </w:r>
      <w:r w:rsidR="00971887" w:rsidRPr="00E059ED">
        <w:rPr>
          <w:sz w:val="22"/>
          <w:szCs w:val="22"/>
        </w:rPr>
        <w:t>, 35 (2021).</w:t>
      </w:r>
    </w:p>
    <w:p w14:paraId="37D83D9D" w14:textId="603CBF1E" w:rsidR="00971887" w:rsidRPr="00E059ED" w:rsidRDefault="00017FF8" w:rsidP="00C3185A">
      <w:pPr>
        <w:pStyle w:val="Bibliography"/>
        <w:spacing w:line="240" w:lineRule="auto"/>
        <w:rPr>
          <w:sz w:val="22"/>
          <w:szCs w:val="22"/>
        </w:rPr>
      </w:pPr>
      <w:r w:rsidRPr="00E059ED">
        <w:rPr>
          <w:sz w:val="22"/>
          <w:szCs w:val="22"/>
        </w:rPr>
        <w:t>45</w:t>
      </w:r>
      <w:r w:rsidR="00971887" w:rsidRPr="00E059ED">
        <w:rPr>
          <w:sz w:val="22"/>
          <w:szCs w:val="22"/>
        </w:rPr>
        <w:t>.</w:t>
      </w:r>
      <w:r w:rsidR="00971887" w:rsidRPr="00E059ED">
        <w:rPr>
          <w:sz w:val="22"/>
          <w:szCs w:val="22"/>
        </w:rPr>
        <w:tab/>
        <w:t xml:space="preserve">Lu, Y. </w:t>
      </w:r>
      <w:r w:rsidR="00971887" w:rsidRPr="00E059ED">
        <w:rPr>
          <w:i/>
          <w:iCs/>
          <w:sz w:val="22"/>
          <w:szCs w:val="22"/>
        </w:rPr>
        <w:t>et al.</w:t>
      </w:r>
      <w:r w:rsidR="00971887" w:rsidRPr="00E059ED">
        <w:rPr>
          <w:sz w:val="22"/>
          <w:szCs w:val="22"/>
        </w:rPr>
        <w:t xml:space="preserve"> Partial volume correction analysis for 11C-UCB-J PET studies of Alzheimer’s disease. </w:t>
      </w:r>
      <w:r w:rsidR="00971887" w:rsidRPr="00E059ED">
        <w:rPr>
          <w:i/>
          <w:iCs/>
          <w:sz w:val="22"/>
          <w:szCs w:val="22"/>
        </w:rPr>
        <w:t>NeuroImage</w:t>
      </w:r>
      <w:r w:rsidR="00971887" w:rsidRPr="00E059ED">
        <w:rPr>
          <w:sz w:val="22"/>
          <w:szCs w:val="22"/>
        </w:rPr>
        <w:t xml:space="preserve"> </w:t>
      </w:r>
      <w:r w:rsidR="00971887" w:rsidRPr="00E059ED">
        <w:rPr>
          <w:b/>
          <w:bCs/>
          <w:sz w:val="22"/>
          <w:szCs w:val="22"/>
        </w:rPr>
        <w:t>238</w:t>
      </w:r>
      <w:r w:rsidR="00971887" w:rsidRPr="00E059ED">
        <w:rPr>
          <w:sz w:val="22"/>
          <w:szCs w:val="22"/>
        </w:rPr>
        <w:t>, 118248 (2021).</w:t>
      </w:r>
    </w:p>
    <w:p w14:paraId="7DC09230" w14:textId="0F2438D3" w:rsidR="00971887" w:rsidRPr="00E059ED" w:rsidRDefault="00017FF8" w:rsidP="00C3185A">
      <w:pPr>
        <w:pStyle w:val="Bibliography"/>
        <w:spacing w:line="240" w:lineRule="auto"/>
        <w:rPr>
          <w:sz w:val="22"/>
          <w:szCs w:val="22"/>
        </w:rPr>
      </w:pPr>
      <w:r w:rsidRPr="00E059ED">
        <w:rPr>
          <w:sz w:val="22"/>
          <w:szCs w:val="22"/>
        </w:rPr>
        <w:t>46</w:t>
      </w:r>
      <w:r w:rsidR="00971887" w:rsidRPr="00E059ED">
        <w:rPr>
          <w:sz w:val="22"/>
          <w:szCs w:val="22"/>
        </w:rPr>
        <w:t>.</w:t>
      </w:r>
      <w:r w:rsidR="00971887" w:rsidRPr="00E059ED">
        <w:rPr>
          <w:sz w:val="22"/>
          <w:szCs w:val="22"/>
        </w:rPr>
        <w:tab/>
        <w:t xml:space="preserve">Mecca, A. P. </w:t>
      </w:r>
      <w:r w:rsidR="00971887" w:rsidRPr="00E059ED">
        <w:rPr>
          <w:i/>
          <w:iCs/>
          <w:sz w:val="22"/>
          <w:szCs w:val="22"/>
        </w:rPr>
        <w:t>et al.</w:t>
      </w:r>
      <w:r w:rsidR="00971887" w:rsidRPr="00E059ED">
        <w:rPr>
          <w:sz w:val="22"/>
          <w:szCs w:val="22"/>
        </w:rPr>
        <w:t xml:space="preserve"> Association of entorhinal cortical tau deposition and hippocampal synaptic density in older individuals with normal cognition and early Alzheimer’s disease. </w:t>
      </w:r>
      <w:r w:rsidR="00971887" w:rsidRPr="00E059ED">
        <w:rPr>
          <w:i/>
          <w:iCs/>
          <w:sz w:val="22"/>
          <w:szCs w:val="22"/>
        </w:rPr>
        <w:t>Neurobiol. Aging</w:t>
      </w:r>
      <w:r w:rsidR="00971887" w:rsidRPr="00E059ED">
        <w:rPr>
          <w:sz w:val="22"/>
          <w:szCs w:val="22"/>
        </w:rPr>
        <w:t xml:space="preserve"> </w:t>
      </w:r>
      <w:r w:rsidR="00971887" w:rsidRPr="00E059ED">
        <w:rPr>
          <w:b/>
          <w:bCs/>
          <w:sz w:val="22"/>
          <w:szCs w:val="22"/>
        </w:rPr>
        <w:t>111</w:t>
      </w:r>
      <w:r w:rsidR="00971887" w:rsidRPr="00E059ED">
        <w:rPr>
          <w:sz w:val="22"/>
          <w:szCs w:val="22"/>
        </w:rPr>
        <w:t>, 44–53 (2022).</w:t>
      </w:r>
    </w:p>
    <w:p w14:paraId="5FB539B1" w14:textId="4DAEE0EF" w:rsidR="00971887" w:rsidRPr="00E059ED" w:rsidRDefault="00017FF8" w:rsidP="00C3185A">
      <w:pPr>
        <w:pStyle w:val="Bibliography"/>
        <w:spacing w:line="240" w:lineRule="auto"/>
        <w:rPr>
          <w:sz w:val="22"/>
          <w:szCs w:val="22"/>
        </w:rPr>
      </w:pPr>
      <w:r w:rsidRPr="00E059ED">
        <w:rPr>
          <w:sz w:val="22"/>
          <w:szCs w:val="22"/>
        </w:rPr>
        <w:t>47</w:t>
      </w:r>
      <w:r w:rsidR="00971887" w:rsidRPr="00E059ED">
        <w:rPr>
          <w:sz w:val="22"/>
          <w:szCs w:val="22"/>
        </w:rPr>
        <w:t>.</w:t>
      </w:r>
      <w:r w:rsidR="00971887" w:rsidRPr="00E059ED">
        <w:rPr>
          <w:sz w:val="22"/>
          <w:szCs w:val="22"/>
        </w:rPr>
        <w:tab/>
        <w:t xml:space="preserve">Mecca, A. P. </w:t>
      </w:r>
      <w:r w:rsidR="00971887" w:rsidRPr="00E059ED">
        <w:rPr>
          <w:i/>
          <w:iCs/>
          <w:sz w:val="22"/>
          <w:szCs w:val="22"/>
        </w:rPr>
        <w:t>et al.</w:t>
      </w:r>
      <w:r w:rsidR="00971887" w:rsidRPr="00E059ED">
        <w:rPr>
          <w:sz w:val="22"/>
          <w:szCs w:val="22"/>
        </w:rPr>
        <w:t xml:space="preserve"> Synaptic density and cognitive performance in Alzheimer’s disease: A PET imaging study with [11C]UCB</w:t>
      </w:r>
      <w:r w:rsidR="00971887" w:rsidRPr="00E059ED">
        <w:rPr>
          <w:rFonts w:ascii="Cambria Math" w:hAnsi="Cambria Math" w:cs="Cambria Math"/>
          <w:sz w:val="22"/>
          <w:szCs w:val="22"/>
        </w:rPr>
        <w:t>‐</w:t>
      </w:r>
      <w:r w:rsidR="00971887" w:rsidRPr="00E059ED">
        <w:rPr>
          <w:sz w:val="22"/>
          <w:szCs w:val="22"/>
        </w:rPr>
        <w:t xml:space="preserve">J. </w:t>
      </w:r>
      <w:r w:rsidR="00971887" w:rsidRPr="00E059ED">
        <w:rPr>
          <w:i/>
          <w:iCs/>
          <w:sz w:val="22"/>
          <w:szCs w:val="22"/>
        </w:rPr>
        <w:t>Alzheimers Dement.</w:t>
      </w:r>
      <w:r w:rsidR="00971887" w:rsidRPr="00E059ED">
        <w:rPr>
          <w:sz w:val="22"/>
          <w:szCs w:val="22"/>
        </w:rPr>
        <w:t xml:space="preserve"> </w:t>
      </w:r>
      <w:r w:rsidR="00971887" w:rsidRPr="00E059ED">
        <w:rPr>
          <w:b/>
          <w:bCs/>
          <w:sz w:val="22"/>
          <w:szCs w:val="22"/>
        </w:rPr>
        <w:t>18</w:t>
      </w:r>
      <w:r w:rsidR="00971887" w:rsidRPr="00E059ED">
        <w:rPr>
          <w:sz w:val="22"/>
          <w:szCs w:val="22"/>
        </w:rPr>
        <w:t>, 2527–2536 (2022).</w:t>
      </w:r>
    </w:p>
    <w:p w14:paraId="467317B0" w14:textId="59E16BB5" w:rsidR="00971887" w:rsidRPr="00E059ED" w:rsidRDefault="00017FF8" w:rsidP="00C3185A">
      <w:pPr>
        <w:pStyle w:val="Bibliography"/>
        <w:spacing w:line="240" w:lineRule="auto"/>
        <w:rPr>
          <w:sz w:val="22"/>
          <w:szCs w:val="22"/>
        </w:rPr>
      </w:pPr>
      <w:r w:rsidRPr="00E059ED">
        <w:rPr>
          <w:sz w:val="22"/>
          <w:szCs w:val="22"/>
        </w:rPr>
        <w:t>48</w:t>
      </w:r>
      <w:r w:rsidR="00971887" w:rsidRPr="00E059ED">
        <w:rPr>
          <w:sz w:val="22"/>
          <w:szCs w:val="22"/>
        </w:rPr>
        <w:t>.</w:t>
      </w:r>
      <w:r w:rsidR="00971887" w:rsidRPr="00E059ED">
        <w:rPr>
          <w:sz w:val="22"/>
          <w:szCs w:val="22"/>
        </w:rPr>
        <w:tab/>
        <w:t xml:space="preserve">Moallemian, S. </w:t>
      </w:r>
      <w:r w:rsidR="00971887" w:rsidRPr="00E059ED">
        <w:rPr>
          <w:i/>
          <w:iCs/>
          <w:sz w:val="22"/>
          <w:szCs w:val="22"/>
        </w:rPr>
        <w:t>et al.</w:t>
      </w:r>
      <w:r w:rsidR="00971887" w:rsidRPr="00E059ED">
        <w:rPr>
          <w:sz w:val="22"/>
          <w:szCs w:val="22"/>
        </w:rPr>
        <w:t xml:space="preserve"> Multimodal imaging of microstructural cerebral alterations and loss of synaptic density in Alzheimer’s disease. </w:t>
      </w:r>
      <w:r w:rsidR="00971887" w:rsidRPr="00E059ED">
        <w:rPr>
          <w:i/>
          <w:iCs/>
          <w:sz w:val="22"/>
          <w:szCs w:val="22"/>
        </w:rPr>
        <w:t>Neurobiol. Aging</w:t>
      </w:r>
      <w:r w:rsidR="00971887" w:rsidRPr="00E059ED">
        <w:rPr>
          <w:sz w:val="22"/>
          <w:szCs w:val="22"/>
        </w:rPr>
        <w:t xml:space="preserve"> </w:t>
      </w:r>
      <w:r w:rsidR="00971887" w:rsidRPr="00E059ED">
        <w:rPr>
          <w:b/>
          <w:bCs/>
          <w:sz w:val="22"/>
          <w:szCs w:val="22"/>
        </w:rPr>
        <w:t>132</w:t>
      </w:r>
      <w:r w:rsidR="00971887" w:rsidRPr="00E059ED">
        <w:rPr>
          <w:sz w:val="22"/>
          <w:szCs w:val="22"/>
        </w:rPr>
        <w:t>, 24–35 (2023).</w:t>
      </w:r>
    </w:p>
    <w:p w14:paraId="4860935A" w14:textId="0B21343E" w:rsidR="00971887" w:rsidRPr="00E059ED" w:rsidRDefault="00017FF8" w:rsidP="00C3185A">
      <w:pPr>
        <w:pStyle w:val="Bibliography"/>
        <w:spacing w:line="240" w:lineRule="auto"/>
        <w:rPr>
          <w:sz w:val="22"/>
          <w:szCs w:val="22"/>
        </w:rPr>
      </w:pPr>
      <w:r w:rsidRPr="00E059ED">
        <w:rPr>
          <w:sz w:val="22"/>
          <w:szCs w:val="22"/>
        </w:rPr>
        <w:t>49</w:t>
      </w:r>
      <w:r w:rsidR="00971887" w:rsidRPr="00E059ED">
        <w:rPr>
          <w:sz w:val="22"/>
          <w:szCs w:val="22"/>
        </w:rPr>
        <w:t>.</w:t>
      </w:r>
      <w:r w:rsidR="00971887" w:rsidRPr="00E059ED">
        <w:rPr>
          <w:sz w:val="22"/>
          <w:szCs w:val="22"/>
        </w:rPr>
        <w:tab/>
        <w:t xml:space="preserve">O’Dell, R. S. </w:t>
      </w:r>
      <w:r w:rsidR="00971887" w:rsidRPr="00E059ED">
        <w:rPr>
          <w:i/>
          <w:iCs/>
          <w:sz w:val="22"/>
          <w:szCs w:val="22"/>
        </w:rPr>
        <w:t>et al.</w:t>
      </w:r>
      <w:r w:rsidR="00971887" w:rsidRPr="00E059ED">
        <w:rPr>
          <w:sz w:val="22"/>
          <w:szCs w:val="22"/>
        </w:rPr>
        <w:t xml:space="preserve"> Association of Aβ deposition and regional synaptic density in early Alzheimer’s disease: a PET imaging study with [11C]UCB-J. </w:t>
      </w:r>
      <w:r w:rsidR="00971887" w:rsidRPr="00E059ED">
        <w:rPr>
          <w:i/>
          <w:iCs/>
          <w:sz w:val="22"/>
          <w:szCs w:val="22"/>
        </w:rPr>
        <w:t>Alzheimers Res. Ther.</w:t>
      </w:r>
      <w:r w:rsidR="00971887" w:rsidRPr="00E059ED">
        <w:rPr>
          <w:sz w:val="22"/>
          <w:szCs w:val="22"/>
        </w:rPr>
        <w:t xml:space="preserve"> </w:t>
      </w:r>
      <w:r w:rsidR="00971887" w:rsidRPr="00E059ED">
        <w:rPr>
          <w:b/>
          <w:bCs/>
          <w:sz w:val="22"/>
          <w:szCs w:val="22"/>
        </w:rPr>
        <w:t>13</w:t>
      </w:r>
      <w:r w:rsidR="00971887" w:rsidRPr="00E059ED">
        <w:rPr>
          <w:sz w:val="22"/>
          <w:szCs w:val="22"/>
        </w:rPr>
        <w:t>, 11 (2021).</w:t>
      </w:r>
    </w:p>
    <w:p w14:paraId="3C01CA6C" w14:textId="12412ACA" w:rsidR="00971887" w:rsidRPr="00E059ED" w:rsidRDefault="00017FF8" w:rsidP="00C3185A">
      <w:pPr>
        <w:pStyle w:val="Bibliography"/>
        <w:spacing w:line="240" w:lineRule="auto"/>
        <w:rPr>
          <w:sz w:val="22"/>
          <w:szCs w:val="22"/>
        </w:rPr>
      </w:pPr>
      <w:r w:rsidRPr="00E059ED">
        <w:rPr>
          <w:sz w:val="22"/>
          <w:szCs w:val="22"/>
        </w:rPr>
        <w:t>50</w:t>
      </w:r>
      <w:r w:rsidR="00971887" w:rsidRPr="00E059ED">
        <w:rPr>
          <w:sz w:val="22"/>
          <w:szCs w:val="22"/>
        </w:rPr>
        <w:t>.</w:t>
      </w:r>
      <w:r w:rsidR="00971887" w:rsidRPr="00E059ED">
        <w:rPr>
          <w:sz w:val="22"/>
          <w:szCs w:val="22"/>
        </w:rPr>
        <w:tab/>
        <w:t xml:space="preserve">O’Dell, R. S. </w:t>
      </w:r>
      <w:r w:rsidR="00971887" w:rsidRPr="00E059ED">
        <w:rPr>
          <w:i/>
          <w:iCs/>
          <w:sz w:val="22"/>
          <w:szCs w:val="22"/>
        </w:rPr>
        <w:t>et al.</w:t>
      </w:r>
      <w:r w:rsidR="00971887" w:rsidRPr="00E059ED">
        <w:rPr>
          <w:sz w:val="22"/>
          <w:szCs w:val="22"/>
        </w:rPr>
        <w:t xml:space="preserve"> Principal component analysis of synaptic density measured with [11C]UCB-J PET in early Alzheimer’s disease. </w:t>
      </w:r>
      <w:r w:rsidR="00971887" w:rsidRPr="00E059ED">
        <w:rPr>
          <w:i/>
          <w:iCs/>
          <w:sz w:val="22"/>
          <w:szCs w:val="22"/>
        </w:rPr>
        <w:t>NeuroImage Clin.</w:t>
      </w:r>
      <w:r w:rsidR="00971887" w:rsidRPr="00E059ED">
        <w:rPr>
          <w:sz w:val="22"/>
          <w:szCs w:val="22"/>
        </w:rPr>
        <w:t xml:space="preserve"> </w:t>
      </w:r>
      <w:r w:rsidR="00971887" w:rsidRPr="00E059ED">
        <w:rPr>
          <w:b/>
          <w:bCs/>
          <w:sz w:val="22"/>
          <w:szCs w:val="22"/>
        </w:rPr>
        <w:t>39</w:t>
      </w:r>
      <w:r w:rsidR="00971887" w:rsidRPr="00E059ED">
        <w:rPr>
          <w:sz w:val="22"/>
          <w:szCs w:val="22"/>
        </w:rPr>
        <w:t>, 103457 (2023).</w:t>
      </w:r>
    </w:p>
    <w:p w14:paraId="2BBF6C33" w14:textId="21A306E0" w:rsidR="00971887" w:rsidRPr="00E059ED" w:rsidRDefault="00017FF8" w:rsidP="00C3185A">
      <w:pPr>
        <w:pStyle w:val="Bibliography"/>
        <w:spacing w:line="240" w:lineRule="auto"/>
        <w:rPr>
          <w:sz w:val="22"/>
          <w:szCs w:val="22"/>
        </w:rPr>
      </w:pPr>
      <w:r w:rsidRPr="00E059ED">
        <w:rPr>
          <w:sz w:val="22"/>
          <w:szCs w:val="22"/>
        </w:rPr>
        <w:t>51.</w:t>
      </w:r>
      <w:r w:rsidR="00971887" w:rsidRPr="00E059ED">
        <w:rPr>
          <w:sz w:val="22"/>
          <w:szCs w:val="22"/>
        </w:rPr>
        <w:tab/>
        <w:t xml:space="preserve">Silva-Rudberg, J. A. </w:t>
      </w:r>
      <w:r w:rsidR="00971887" w:rsidRPr="00E059ED">
        <w:rPr>
          <w:i/>
          <w:iCs/>
          <w:sz w:val="22"/>
          <w:szCs w:val="22"/>
        </w:rPr>
        <w:t>et al.</w:t>
      </w:r>
      <w:r w:rsidR="00971887" w:rsidRPr="00E059ED">
        <w:rPr>
          <w:sz w:val="22"/>
          <w:szCs w:val="22"/>
        </w:rPr>
        <w:t xml:space="preserve"> Assessment of Gray Matter Microstructure and Synaptic Density in Alzheimer’s Disease: A Multimodal Imaging Study With DTI and SV2A PET. </w:t>
      </w:r>
      <w:r w:rsidR="00971887" w:rsidRPr="00E059ED">
        <w:rPr>
          <w:i/>
          <w:iCs/>
          <w:sz w:val="22"/>
          <w:szCs w:val="22"/>
        </w:rPr>
        <w:t>Am. J. Geriatr. Psychiatry</w:t>
      </w:r>
      <w:r w:rsidR="00971887" w:rsidRPr="00E059ED">
        <w:rPr>
          <w:sz w:val="22"/>
          <w:szCs w:val="22"/>
        </w:rPr>
        <w:t xml:space="preserve"> </w:t>
      </w:r>
      <w:r w:rsidR="00971887" w:rsidRPr="00E059ED">
        <w:rPr>
          <w:b/>
          <w:bCs/>
          <w:sz w:val="22"/>
          <w:szCs w:val="22"/>
        </w:rPr>
        <w:t>32</w:t>
      </w:r>
      <w:r w:rsidR="00971887" w:rsidRPr="00E059ED">
        <w:rPr>
          <w:sz w:val="22"/>
          <w:szCs w:val="22"/>
        </w:rPr>
        <w:t>, 17–28 (2024).</w:t>
      </w:r>
    </w:p>
    <w:p w14:paraId="69A6A7A2" w14:textId="16BE9875" w:rsidR="00971887" w:rsidRPr="00E059ED" w:rsidRDefault="00017FF8" w:rsidP="00C3185A">
      <w:pPr>
        <w:pStyle w:val="Bibliography"/>
        <w:spacing w:line="240" w:lineRule="auto"/>
        <w:rPr>
          <w:sz w:val="22"/>
          <w:szCs w:val="22"/>
        </w:rPr>
      </w:pPr>
      <w:r w:rsidRPr="00E059ED">
        <w:rPr>
          <w:sz w:val="22"/>
          <w:szCs w:val="22"/>
        </w:rPr>
        <w:t>52</w:t>
      </w:r>
      <w:r w:rsidR="00971887" w:rsidRPr="00E059ED">
        <w:rPr>
          <w:sz w:val="22"/>
          <w:szCs w:val="22"/>
        </w:rPr>
        <w:t>.</w:t>
      </w:r>
      <w:r w:rsidR="00971887" w:rsidRPr="00E059ED">
        <w:rPr>
          <w:sz w:val="22"/>
          <w:szCs w:val="22"/>
        </w:rPr>
        <w:tab/>
        <w:t xml:space="preserve">Venkataraman, A. V. </w:t>
      </w:r>
      <w:r w:rsidR="00971887" w:rsidRPr="00E059ED">
        <w:rPr>
          <w:i/>
          <w:iCs/>
          <w:sz w:val="22"/>
          <w:szCs w:val="22"/>
        </w:rPr>
        <w:t>et al.</w:t>
      </w:r>
      <w:r w:rsidR="00971887" w:rsidRPr="00E059ED">
        <w:rPr>
          <w:sz w:val="22"/>
          <w:szCs w:val="22"/>
        </w:rPr>
        <w:t xml:space="preserve"> Widespread cell stress and mitochondrial dysfunction occur in patients with early Alzheimer’s disease. </w:t>
      </w:r>
      <w:r w:rsidR="00971887" w:rsidRPr="00E059ED">
        <w:rPr>
          <w:i/>
          <w:iCs/>
          <w:sz w:val="22"/>
          <w:szCs w:val="22"/>
        </w:rPr>
        <w:t>Sci. Transl. Med.</w:t>
      </w:r>
      <w:r w:rsidR="00971887" w:rsidRPr="00E059ED">
        <w:rPr>
          <w:sz w:val="22"/>
          <w:szCs w:val="22"/>
        </w:rPr>
        <w:t xml:space="preserve"> </w:t>
      </w:r>
      <w:r w:rsidR="00971887" w:rsidRPr="00E059ED">
        <w:rPr>
          <w:b/>
          <w:bCs/>
          <w:sz w:val="22"/>
          <w:szCs w:val="22"/>
        </w:rPr>
        <w:t>14</w:t>
      </w:r>
      <w:r w:rsidR="00971887" w:rsidRPr="00E059ED">
        <w:rPr>
          <w:sz w:val="22"/>
          <w:szCs w:val="22"/>
        </w:rPr>
        <w:t>, eabk1051 (2022).</w:t>
      </w:r>
    </w:p>
    <w:p w14:paraId="3979DA27" w14:textId="0DD2E920" w:rsidR="00971887" w:rsidRPr="00E059ED" w:rsidRDefault="00017FF8" w:rsidP="00C3185A">
      <w:pPr>
        <w:pStyle w:val="Bibliography"/>
        <w:spacing w:line="240" w:lineRule="auto"/>
        <w:rPr>
          <w:sz w:val="22"/>
          <w:szCs w:val="22"/>
        </w:rPr>
      </w:pPr>
      <w:r w:rsidRPr="00E059ED">
        <w:rPr>
          <w:sz w:val="22"/>
          <w:szCs w:val="22"/>
        </w:rPr>
        <w:t>53</w:t>
      </w:r>
      <w:r w:rsidR="00971887" w:rsidRPr="00E059ED">
        <w:rPr>
          <w:sz w:val="22"/>
          <w:szCs w:val="22"/>
        </w:rPr>
        <w:t>.</w:t>
      </w:r>
      <w:r w:rsidR="00971887" w:rsidRPr="00E059ED">
        <w:rPr>
          <w:sz w:val="22"/>
          <w:szCs w:val="22"/>
        </w:rPr>
        <w:tab/>
        <w:t xml:space="preserve">Venkataraman, A. V. </w:t>
      </w:r>
      <w:r w:rsidR="00971887" w:rsidRPr="00E059ED">
        <w:rPr>
          <w:i/>
          <w:iCs/>
          <w:sz w:val="22"/>
          <w:szCs w:val="22"/>
        </w:rPr>
        <w:t>et al.</w:t>
      </w:r>
      <w:r w:rsidR="00971887" w:rsidRPr="00E059ED">
        <w:rPr>
          <w:sz w:val="22"/>
          <w:szCs w:val="22"/>
        </w:rPr>
        <w:t xml:space="preserve"> </w:t>
      </w:r>
      <w:r w:rsidR="00971887" w:rsidRPr="00E059ED">
        <w:rPr>
          <w:i/>
          <w:iCs/>
          <w:sz w:val="22"/>
          <w:szCs w:val="22"/>
        </w:rPr>
        <w:t xml:space="preserve">Imaging Synaptic Microstructure and Synaptic Loss </w:t>
      </w:r>
      <w:r w:rsidR="00971887" w:rsidRPr="00E059ED">
        <w:rPr>
          <w:sz w:val="22"/>
          <w:szCs w:val="22"/>
        </w:rPr>
        <w:t>in Vivo</w:t>
      </w:r>
      <w:r w:rsidR="00971887" w:rsidRPr="00E059ED">
        <w:rPr>
          <w:i/>
          <w:iCs/>
          <w:sz w:val="22"/>
          <w:szCs w:val="22"/>
        </w:rPr>
        <w:t xml:space="preserve"> in Early Alzheimer’s Disease</w:t>
      </w:r>
      <w:r w:rsidR="00971887" w:rsidRPr="00E059ED">
        <w:rPr>
          <w:sz w:val="22"/>
          <w:szCs w:val="22"/>
        </w:rPr>
        <w:t>. http://medrxiv.org/lookup/doi/10.1101/2021.11.23.21266746 (2021) doi:10.1101/2021.11.23.21266746.</w:t>
      </w:r>
    </w:p>
    <w:p w14:paraId="12B2DE04" w14:textId="4F2797F6" w:rsidR="00971887" w:rsidRPr="00E059ED" w:rsidRDefault="00017FF8" w:rsidP="00C3185A">
      <w:pPr>
        <w:pStyle w:val="Bibliography"/>
        <w:spacing w:line="240" w:lineRule="auto"/>
        <w:rPr>
          <w:sz w:val="22"/>
          <w:szCs w:val="22"/>
        </w:rPr>
      </w:pPr>
      <w:r w:rsidRPr="00E059ED">
        <w:rPr>
          <w:sz w:val="22"/>
          <w:szCs w:val="22"/>
        </w:rPr>
        <w:lastRenderedPageBreak/>
        <w:t>54</w:t>
      </w:r>
      <w:r w:rsidR="00971887" w:rsidRPr="00E059ED">
        <w:rPr>
          <w:sz w:val="22"/>
          <w:szCs w:val="22"/>
        </w:rPr>
        <w:t>.</w:t>
      </w:r>
      <w:r w:rsidR="00971887" w:rsidRPr="00E059ED">
        <w:rPr>
          <w:sz w:val="22"/>
          <w:szCs w:val="22"/>
        </w:rPr>
        <w:tab/>
        <w:t xml:space="preserve">Zhang, J. </w:t>
      </w:r>
      <w:r w:rsidR="00971887" w:rsidRPr="00E059ED">
        <w:rPr>
          <w:i/>
          <w:iCs/>
          <w:sz w:val="22"/>
          <w:szCs w:val="22"/>
        </w:rPr>
        <w:t>et al.</w:t>
      </w:r>
      <w:r w:rsidR="00971887" w:rsidRPr="00E059ED">
        <w:rPr>
          <w:sz w:val="22"/>
          <w:szCs w:val="22"/>
        </w:rPr>
        <w:t xml:space="preserve"> In vivo synaptic density loss correlates with impaired functional and related structural connectivity in Alzheimer’s disease. </w:t>
      </w:r>
      <w:r w:rsidR="00971887" w:rsidRPr="00E059ED">
        <w:rPr>
          <w:i/>
          <w:iCs/>
          <w:sz w:val="22"/>
          <w:szCs w:val="22"/>
        </w:rPr>
        <w:t>J. Cereb. Blood Flow Metab.</w:t>
      </w:r>
      <w:r w:rsidR="00971887" w:rsidRPr="00E059ED">
        <w:rPr>
          <w:sz w:val="22"/>
          <w:szCs w:val="22"/>
        </w:rPr>
        <w:t xml:space="preserve"> </w:t>
      </w:r>
      <w:r w:rsidR="00971887" w:rsidRPr="00E059ED">
        <w:rPr>
          <w:b/>
          <w:bCs/>
          <w:sz w:val="22"/>
          <w:szCs w:val="22"/>
        </w:rPr>
        <w:t>43</w:t>
      </w:r>
      <w:r w:rsidR="00971887" w:rsidRPr="00E059ED">
        <w:rPr>
          <w:sz w:val="22"/>
          <w:szCs w:val="22"/>
        </w:rPr>
        <w:t>, 977–988 (2023).</w:t>
      </w:r>
    </w:p>
    <w:p w14:paraId="72FBFCBE" w14:textId="28C491B6" w:rsidR="00971887" w:rsidRPr="00E059ED" w:rsidRDefault="00017FF8" w:rsidP="00C3185A">
      <w:pPr>
        <w:pStyle w:val="Bibliography"/>
        <w:spacing w:line="240" w:lineRule="auto"/>
        <w:rPr>
          <w:sz w:val="22"/>
          <w:szCs w:val="22"/>
        </w:rPr>
      </w:pPr>
      <w:r w:rsidRPr="00E059ED">
        <w:rPr>
          <w:sz w:val="22"/>
          <w:szCs w:val="22"/>
        </w:rPr>
        <w:t>55</w:t>
      </w:r>
      <w:r w:rsidR="00971887" w:rsidRPr="00E059ED">
        <w:rPr>
          <w:sz w:val="22"/>
          <w:szCs w:val="22"/>
        </w:rPr>
        <w:t>.</w:t>
      </w:r>
      <w:r w:rsidR="00971887" w:rsidRPr="00E059ED">
        <w:rPr>
          <w:sz w:val="22"/>
          <w:szCs w:val="22"/>
        </w:rPr>
        <w:tab/>
        <w:t xml:space="preserve">Vanderlinden, G. </w:t>
      </w:r>
      <w:r w:rsidR="00971887" w:rsidRPr="00E059ED">
        <w:rPr>
          <w:i/>
          <w:iCs/>
          <w:sz w:val="22"/>
          <w:szCs w:val="22"/>
        </w:rPr>
        <w:t>et al.</w:t>
      </w:r>
      <w:r w:rsidR="00971887" w:rsidRPr="00E059ED">
        <w:rPr>
          <w:sz w:val="22"/>
          <w:szCs w:val="22"/>
        </w:rPr>
        <w:t xml:space="preserve"> Spatial decrease of synaptic density in amnestic mild cognitive impairment follows the tau build-up pattern. </w:t>
      </w:r>
      <w:r w:rsidR="00971887" w:rsidRPr="00E059ED">
        <w:rPr>
          <w:i/>
          <w:iCs/>
          <w:sz w:val="22"/>
          <w:szCs w:val="22"/>
        </w:rPr>
        <w:t>Mol. Psychiatry</w:t>
      </w:r>
      <w:r w:rsidR="00971887" w:rsidRPr="00E059ED">
        <w:rPr>
          <w:sz w:val="22"/>
          <w:szCs w:val="22"/>
        </w:rPr>
        <w:t xml:space="preserve"> </w:t>
      </w:r>
      <w:r w:rsidR="00971887" w:rsidRPr="00E059ED">
        <w:rPr>
          <w:b/>
          <w:bCs/>
          <w:sz w:val="22"/>
          <w:szCs w:val="22"/>
        </w:rPr>
        <w:t>27</w:t>
      </w:r>
      <w:r w:rsidR="00971887" w:rsidRPr="00E059ED">
        <w:rPr>
          <w:sz w:val="22"/>
          <w:szCs w:val="22"/>
        </w:rPr>
        <w:t>, 4244–4251 (2022).</w:t>
      </w:r>
    </w:p>
    <w:p w14:paraId="481BF531" w14:textId="2A3FAAC7" w:rsidR="00971887" w:rsidRPr="00E059ED" w:rsidRDefault="00017FF8" w:rsidP="00C3185A">
      <w:pPr>
        <w:pStyle w:val="Bibliography"/>
        <w:spacing w:line="240" w:lineRule="auto"/>
        <w:rPr>
          <w:sz w:val="22"/>
          <w:szCs w:val="22"/>
        </w:rPr>
      </w:pPr>
      <w:r w:rsidRPr="00E059ED">
        <w:rPr>
          <w:sz w:val="22"/>
          <w:szCs w:val="22"/>
        </w:rPr>
        <w:t>56</w:t>
      </w:r>
      <w:r w:rsidR="00971887" w:rsidRPr="00E059ED">
        <w:rPr>
          <w:sz w:val="22"/>
          <w:szCs w:val="22"/>
        </w:rPr>
        <w:t>.</w:t>
      </w:r>
      <w:r w:rsidR="00971887" w:rsidRPr="00E059ED">
        <w:rPr>
          <w:sz w:val="22"/>
          <w:szCs w:val="22"/>
        </w:rPr>
        <w:tab/>
        <w:t xml:space="preserve">Vanhaute, H. </w:t>
      </w:r>
      <w:r w:rsidR="00971887" w:rsidRPr="00E059ED">
        <w:rPr>
          <w:i/>
          <w:iCs/>
          <w:sz w:val="22"/>
          <w:szCs w:val="22"/>
        </w:rPr>
        <w:t>et al.</w:t>
      </w:r>
      <w:r w:rsidR="00971887" w:rsidRPr="00E059ED">
        <w:rPr>
          <w:sz w:val="22"/>
          <w:szCs w:val="22"/>
        </w:rPr>
        <w:t xml:space="preserve"> In vivo synaptic density loss is related to tau deposition in amnestic mild cognitive impairment. </w:t>
      </w:r>
      <w:r w:rsidR="00971887" w:rsidRPr="00E059ED">
        <w:rPr>
          <w:i/>
          <w:iCs/>
          <w:sz w:val="22"/>
          <w:szCs w:val="22"/>
        </w:rPr>
        <w:t>Neurology</w:t>
      </w:r>
      <w:r w:rsidR="00971887" w:rsidRPr="00E059ED">
        <w:rPr>
          <w:sz w:val="22"/>
          <w:szCs w:val="22"/>
        </w:rPr>
        <w:t xml:space="preserve"> </w:t>
      </w:r>
      <w:r w:rsidR="00971887" w:rsidRPr="00E059ED">
        <w:rPr>
          <w:b/>
          <w:bCs/>
          <w:sz w:val="22"/>
          <w:szCs w:val="22"/>
        </w:rPr>
        <w:t>95</w:t>
      </w:r>
      <w:r w:rsidR="00971887" w:rsidRPr="00E059ED">
        <w:rPr>
          <w:sz w:val="22"/>
          <w:szCs w:val="22"/>
        </w:rPr>
        <w:t>, (2020).</w:t>
      </w:r>
    </w:p>
    <w:p w14:paraId="739A2F7D" w14:textId="74508A38" w:rsidR="00971887" w:rsidRPr="00E059ED" w:rsidRDefault="00017FF8" w:rsidP="00C3185A">
      <w:pPr>
        <w:pStyle w:val="Bibliography"/>
        <w:spacing w:line="240" w:lineRule="auto"/>
        <w:rPr>
          <w:sz w:val="22"/>
          <w:szCs w:val="22"/>
        </w:rPr>
      </w:pPr>
      <w:r w:rsidRPr="00E059ED">
        <w:rPr>
          <w:sz w:val="22"/>
          <w:szCs w:val="22"/>
        </w:rPr>
        <w:t>57</w:t>
      </w:r>
      <w:r w:rsidR="00971887" w:rsidRPr="00E059ED">
        <w:rPr>
          <w:sz w:val="22"/>
          <w:szCs w:val="22"/>
        </w:rPr>
        <w:t>.</w:t>
      </w:r>
      <w:r w:rsidR="00971887" w:rsidRPr="00E059ED">
        <w:rPr>
          <w:sz w:val="22"/>
          <w:szCs w:val="22"/>
        </w:rPr>
        <w:tab/>
        <w:t xml:space="preserve">Malpetti, M. </w:t>
      </w:r>
      <w:r w:rsidR="00971887" w:rsidRPr="00E059ED">
        <w:rPr>
          <w:i/>
          <w:iCs/>
          <w:sz w:val="22"/>
          <w:szCs w:val="22"/>
        </w:rPr>
        <w:t>et al.</w:t>
      </w:r>
      <w:r w:rsidR="00971887" w:rsidRPr="00E059ED">
        <w:rPr>
          <w:sz w:val="22"/>
          <w:szCs w:val="22"/>
        </w:rPr>
        <w:t xml:space="preserve"> Synaptic Loss in Frontotemporal Dementia Revealed by [11C]UCB</w:t>
      </w:r>
      <w:r w:rsidR="00971887" w:rsidRPr="00E059ED">
        <w:rPr>
          <w:rFonts w:ascii="Cambria Math" w:hAnsi="Cambria Math" w:cs="Cambria Math"/>
          <w:sz w:val="22"/>
          <w:szCs w:val="22"/>
        </w:rPr>
        <w:t>‐</w:t>
      </w:r>
      <w:r w:rsidR="00971887" w:rsidRPr="00E059ED">
        <w:rPr>
          <w:sz w:val="22"/>
          <w:szCs w:val="22"/>
        </w:rPr>
        <w:t xml:space="preserve">J Positron Emission Tomography. </w:t>
      </w:r>
      <w:r w:rsidR="00971887" w:rsidRPr="00E059ED">
        <w:rPr>
          <w:i/>
          <w:iCs/>
          <w:sz w:val="22"/>
          <w:szCs w:val="22"/>
        </w:rPr>
        <w:t>Ann. Neurol.</w:t>
      </w:r>
      <w:r w:rsidR="00971887" w:rsidRPr="00E059ED">
        <w:rPr>
          <w:sz w:val="22"/>
          <w:szCs w:val="22"/>
        </w:rPr>
        <w:t xml:space="preserve"> </w:t>
      </w:r>
      <w:r w:rsidR="00971887" w:rsidRPr="00E059ED">
        <w:rPr>
          <w:b/>
          <w:bCs/>
          <w:sz w:val="22"/>
          <w:szCs w:val="22"/>
        </w:rPr>
        <w:t>93</w:t>
      </w:r>
      <w:r w:rsidR="00971887" w:rsidRPr="00E059ED">
        <w:rPr>
          <w:sz w:val="22"/>
          <w:szCs w:val="22"/>
        </w:rPr>
        <w:t>, 142–154 (2022).</w:t>
      </w:r>
    </w:p>
    <w:p w14:paraId="7D1CD4AE" w14:textId="2CC1F661" w:rsidR="00971887" w:rsidRPr="00E059ED" w:rsidRDefault="00017FF8" w:rsidP="00C3185A">
      <w:pPr>
        <w:pStyle w:val="Bibliography"/>
        <w:spacing w:line="240" w:lineRule="auto"/>
        <w:rPr>
          <w:sz w:val="22"/>
          <w:szCs w:val="22"/>
        </w:rPr>
      </w:pPr>
      <w:r w:rsidRPr="00E059ED">
        <w:rPr>
          <w:sz w:val="22"/>
          <w:szCs w:val="22"/>
        </w:rPr>
        <w:t>58</w:t>
      </w:r>
      <w:r w:rsidR="00971887" w:rsidRPr="00E059ED">
        <w:rPr>
          <w:sz w:val="22"/>
          <w:szCs w:val="22"/>
        </w:rPr>
        <w:t>.</w:t>
      </w:r>
      <w:r w:rsidR="00971887" w:rsidRPr="00E059ED">
        <w:rPr>
          <w:sz w:val="22"/>
          <w:szCs w:val="22"/>
        </w:rPr>
        <w:tab/>
        <w:t xml:space="preserve">Salmon, E. </w:t>
      </w:r>
      <w:r w:rsidR="00971887" w:rsidRPr="00E059ED">
        <w:rPr>
          <w:i/>
          <w:iCs/>
          <w:sz w:val="22"/>
          <w:szCs w:val="22"/>
        </w:rPr>
        <w:t>et al.</w:t>
      </w:r>
      <w:r w:rsidR="00971887" w:rsidRPr="00E059ED">
        <w:rPr>
          <w:sz w:val="22"/>
          <w:szCs w:val="22"/>
        </w:rPr>
        <w:t xml:space="preserve"> In vivo exploration of synaptic projections in frontotemporal dementia. </w:t>
      </w:r>
      <w:r w:rsidR="00971887" w:rsidRPr="00E059ED">
        <w:rPr>
          <w:i/>
          <w:iCs/>
          <w:sz w:val="22"/>
          <w:szCs w:val="22"/>
        </w:rPr>
        <w:t>Sci. Rep.</w:t>
      </w:r>
      <w:r w:rsidR="00971887" w:rsidRPr="00E059ED">
        <w:rPr>
          <w:sz w:val="22"/>
          <w:szCs w:val="22"/>
        </w:rPr>
        <w:t xml:space="preserve"> </w:t>
      </w:r>
      <w:r w:rsidR="00971887" w:rsidRPr="00E059ED">
        <w:rPr>
          <w:b/>
          <w:bCs/>
          <w:sz w:val="22"/>
          <w:szCs w:val="22"/>
        </w:rPr>
        <w:t>11</w:t>
      </w:r>
      <w:r w:rsidR="00971887" w:rsidRPr="00E059ED">
        <w:rPr>
          <w:sz w:val="22"/>
          <w:szCs w:val="22"/>
        </w:rPr>
        <w:t>, 16092 (2021).</w:t>
      </w:r>
    </w:p>
    <w:p w14:paraId="5618043B" w14:textId="3DCB6BE9" w:rsidR="00971887" w:rsidRPr="00E059ED" w:rsidRDefault="00017FF8" w:rsidP="00C3185A">
      <w:pPr>
        <w:pStyle w:val="Bibliography"/>
        <w:spacing w:line="240" w:lineRule="auto"/>
        <w:rPr>
          <w:sz w:val="22"/>
          <w:szCs w:val="22"/>
        </w:rPr>
      </w:pPr>
      <w:r w:rsidRPr="00E059ED">
        <w:rPr>
          <w:sz w:val="22"/>
          <w:szCs w:val="22"/>
        </w:rPr>
        <w:t>59</w:t>
      </w:r>
      <w:r w:rsidR="00971887" w:rsidRPr="00E059ED">
        <w:rPr>
          <w:sz w:val="22"/>
          <w:szCs w:val="22"/>
        </w:rPr>
        <w:t>.</w:t>
      </w:r>
      <w:r w:rsidR="00971887" w:rsidRPr="00E059ED">
        <w:rPr>
          <w:sz w:val="22"/>
          <w:szCs w:val="22"/>
        </w:rPr>
        <w:tab/>
        <w:t xml:space="preserve">Delva, A., Michiels, L., Koole, M., Van Laere, K. &amp; Vandenberghe, W. Synaptic Damage and Its Clinical Correlates in People With Early Huntington Disease: A PET Study. </w:t>
      </w:r>
      <w:r w:rsidR="00971887" w:rsidRPr="00E059ED">
        <w:rPr>
          <w:i/>
          <w:iCs/>
          <w:sz w:val="22"/>
          <w:szCs w:val="22"/>
        </w:rPr>
        <w:t>Neurology</w:t>
      </w:r>
      <w:r w:rsidR="00971887" w:rsidRPr="00E059ED">
        <w:rPr>
          <w:sz w:val="22"/>
          <w:szCs w:val="22"/>
        </w:rPr>
        <w:t xml:space="preserve"> </w:t>
      </w:r>
      <w:r w:rsidR="00971887" w:rsidRPr="00E059ED">
        <w:rPr>
          <w:b/>
          <w:bCs/>
          <w:sz w:val="22"/>
          <w:szCs w:val="22"/>
        </w:rPr>
        <w:t>98</w:t>
      </w:r>
      <w:r w:rsidR="00971887" w:rsidRPr="00E059ED">
        <w:rPr>
          <w:sz w:val="22"/>
          <w:szCs w:val="22"/>
        </w:rPr>
        <w:t>, (2022).</w:t>
      </w:r>
    </w:p>
    <w:p w14:paraId="7267305C" w14:textId="11F0B929" w:rsidR="00971887" w:rsidRPr="00E059ED" w:rsidRDefault="00017FF8" w:rsidP="00C3185A">
      <w:pPr>
        <w:pStyle w:val="Bibliography"/>
        <w:spacing w:line="240" w:lineRule="auto"/>
        <w:rPr>
          <w:sz w:val="22"/>
          <w:szCs w:val="22"/>
        </w:rPr>
      </w:pPr>
      <w:r w:rsidRPr="00E059ED">
        <w:rPr>
          <w:sz w:val="22"/>
          <w:szCs w:val="22"/>
        </w:rPr>
        <w:t>60</w:t>
      </w:r>
      <w:r w:rsidR="00971887" w:rsidRPr="00E059ED">
        <w:rPr>
          <w:sz w:val="22"/>
          <w:szCs w:val="22"/>
        </w:rPr>
        <w:t>.</w:t>
      </w:r>
      <w:r w:rsidR="00971887" w:rsidRPr="00E059ED">
        <w:rPr>
          <w:sz w:val="22"/>
          <w:szCs w:val="22"/>
        </w:rPr>
        <w:tab/>
        <w:t xml:space="preserve">Delva, A., Van Laere, K. &amp; Vandenberghe, W. Longitudinal Imaging of Regional Brain Volumes, SV2A, and Glucose Metabolism In Huntington’s Disease. </w:t>
      </w:r>
      <w:r w:rsidR="00971887" w:rsidRPr="00E059ED">
        <w:rPr>
          <w:i/>
          <w:iCs/>
          <w:sz w:val="22"/>
          <w:szCs w:val="22"/>
        </w:rPr>
        <w:t>Mov. Disord.</w:t>
      </w:r>
      <w:r w:rsidR="00971887" w:rsidRPr="00E059ED">
        <w:rPr>
          <w:sz w:val="22"/>
          <w:szCs w:val="22"/>
        </w:rPr>
        <w:t xml:space="preserve"> </w:t>
      </w:r>
      <w:r w:rsidR="00971887" w:rsidRPr="00E059ED">
        <w:rPr>
          <w:b/>
          <w:bCs/>
          <w:sz w:val="22"/>
          <w:szCs w:val="22"/>
        </w:rPr>
        <w:t>38</w:t>
      </w:r>
      <w:r w:rsidR="00971887" w:rsidRPr="00E059ED">
        <w:rPr>
          <w:sz w:val="22"/>
          <w:szCs w:val="22"/>
        </w:rPr>
        <w:t>, 1515–1526 (2023).</w:t>
      </w:r>
    </w:p>
    <w:p w14:paraId="7BB72CF5" w14:textId="285BBA32" w:rsidR="00971887" w:rsidRPr="00E059ED" w:rsidRDefault="00017FF8" w:rsidP="00C3185A">
      <w:pPr>
        <w:pStyle w:val="Bibliography"/>
        <w:spacing w:line="240" w:lineRule="auto"/>
        <w:rPr>
          <w:sz w:val="22"/>
          <w:szCs w:val="22"/>
        </w:rPr>
      </w:pPr>
      <w:r w:rsidRPr="00E059ED">
        <w:rPr>
          <w:sz w:val="22"/>
          <w:szCs w:val="22"/>
        </w:rPr>
        <w:t>61</w:t>
      </w:r>
      <w:r w:rsidR="00971887" w:rsidRPr="00E059ED">
        <w:rPr>
          <w:sz w:val="22"/>
          <w:szCs w:val="22"/>
        </w:rPr>
        <w:t>.</w:t>
      </w:r>
      <w:r w:rsidR="00971887" w:rsidRPr="00E059ED">
        <w:rPr>
          <w:sz w:val="22"/>
          <w:szCs w:val="22"/>
        </w:rPr>
        <w:tab/>
        <w:t xml:space="preserve">Nicastro, N. </w:t>
      </w:r>
      <w:r w:rsidR="00971887" w:rsidRPr="00E059ED">
        <w:rPr>
          <w:i/>
          <w:iCs/>
          <w:sz w:val="22"/>
          <w:szCs w:val="22"/>
        </w:rPr>
        <w:t>et al.</w:t>
      </w:r>
      <w:r w:rsidR="00971887" w:rsidRPr="00E059ED">
        <w:rPr>
          <w:sz w:val="22"/>
          <w:szCs w:val="22"/>
        </w:rPr>
        <w:t xml:space="preserve"> 11C-UCB-J synaptic PET and multimodal imaging in dementia with Lewy bodies. </w:t>
      </w:r>
      <w:r w:rsidR="00971887" w:rsidRPr="00E059ED">
        <w:rPr>
          <w:i/>
          <w:iCs/>
          <w:sz w:val="22"/>
          <w:szCs w:val="22"/>
        </w:rPr>
        <w:t>Eur. J. Hybrid Imaging</w:t>
      </w:r>
      <w:r w:rsidR="00971887" w:rsidRPr="00E059ED">
        <w:rPr>
          <w:sz w:val="22"/>
          <w:szCs w:val="22"/>
        </w:rPr>
        <w:t xml:space="preserve"> </w:t>
      </w:r>
      <w:r w:rsidR="00971887" w:rsidRPr="00E059ED">
        <w:rPr>
          <w:b/>
          <w:bCs/>
          <w:sz w:val="22"/>
          <w:szCs w:val="22"/>
        </w:rPr>
        <w:t>4</w:t>
      </w:r>
      <w:r w:rsidR="00971887" w:rsidRPr="00E059ED">
        <w:rPr>
          <w:sz w:val="22"/>
          <w:szCs w:val="22"/>
        </w:rPr>
        <w:t>, 25 (2020).</w:t>
      </w:r>
    </w:p>
    <w:p w14:paraId="3D44B6A7" w14:textId="64DCA8E7" w:rsidR="00971887" w:rsidRPr="00E059ED" w:rsidRDefault="00017FF8" w:rsidP="00C3185A">
      <w:pPr>
        <w:pStyle w:val="Bibliography"/>
        <w:spacing w:line="240" w:lineRule="auto"/>
        <w:rPr>
          <w:sz w:val="22"/>
          <w:szCs w:val="22"/>
        </w:rPr>
      </w:pPr>
      <w:r w:rsidRPr="00E059ED">
        <w:rPr>
          <w:sz w:val="22"/>
          <w:szCs w:val="22"/>
        </w:rPr>
        <w:t>62</w:t>
      </w:r>
      <w:r w:rsidR="00971887" w:rsidRPr="00E059ED">
        <w:rPr>
          <w:sz w:val="22"/>
          <w:szCs w:val="22"/>
        </w:rPr>
        <w:t>.</w:t>
      </w:r>
      <w:r w:rsidR="00971887" w:rsidRPr="00E059ED">
        <w:rPr>
          <w:sz w:val="22"/>
          <w:szCs w:val="22"/>
        </w:rPr>
        <w:tab/>
        <w:t xml:space="preserve">Andersen, K. B. </w:t>
      </w:r>
      <w:r w:rsidR="00971887" w:rsidRPr="00E059ED">
        <w:rPr>
          <w:i/>
          <w:iCs/>
          <w:sz w:val="22"/>
          <w:szCs w:val="22"/>
        </w:rPr>
        <w:t>et al.</w:t>
      </w:r>
      <w:r w:rsidR="00971887" w:rsidRPr="00E059ED">
        <w:rPr>
          <w:sz w:val="22"/>
          <w:szCs w:val="22"/>
        </w:rPr>
        <w:t xml:space="preserve"> Reduced Synaptic Density in Patients with Lewy Body Dementia: An [11C]UCB</w:t>
      </w:r>
      <w:r w:rsidR="00971887" w:rsidRPr="00E059ED">
        <w:rPr>
          <w:rFonts w:ascii="Cambria Math" w:hAnsi="Cambria Math" w:cs="Cambria Math"/>
          <w:sz w:val="22"/>
          <w:szCs w:val="22"/>
        </w:rPr>
        <w:t>‐</w:t>
      </w:r>
      <w:r w:rsidR="00971887" w:rsidRPr="00E059ED">
        <w:rPr>
          <w:sz w:val="22"/>
          <w:szCs w:val="22"/>
        </w:rPr>
        <w:t xml:space="preserve">J PET Imaging Study. </w:t>
      </w:r>
      <w:r w:rsidR="00971887" w:rsidRPr="00E059ED">
        <w:rPr>
          <w:i/>
          <w:iCs/>
          <w:sz w:val="22"/>
          <w:szCs w:val="22"/>
        </w:rPr>
        <w:t>Mov. Disord.</w:t>
      </w:r>
      <w:r w:rsidR="00971887" w:rsidRPr="00E059ED">
        <w:rPr>
          <w:sz w:val="22"/>
          <w:szCs w:val="22"/>
        </w:rPr>
        <w:t xml:space="preserve"> </w:t>
      </w:r>
      <w:r w:rsidR="00971887" w:rsidRPr="00E059ED">
        <w:rPr>
          <w:b/>
          <w:bCs/>
          <w:sz w:val="22"/>
          <w:szCs w:val="22"/>
        </w:rPr>
        <w:t>36</w:t>
      </w:r>
      <w:r w:rsidR="00971887" w:rsidRPr="00E059ED">
        <w:rPr>
          <w:sz w:val="22"/>
          <w:szCs w:val="22"/>
        </w:rPr>
        <w:t>, 2057–2065 (2021).</w:t>
      </w:r>
    </w:p>
    <w:p w14:paraId="1020040E" w14:textId="4519790A" w:rsidR="00971887" w:rsidRPr="00E059ED" w:rsidRDefault="00017FF8" w:rsidP="00C3185A">
      <w:pPr>
        <w:pStyle w:val="Bibliography"/>
        <w:spacing w:line="240" w:lineRule="auto"/>
        <w:rPr>
          <w:sz w:val="22"/>
          <w:szCs w:val="22"/>
        </w:rPr>
      </w:pPr>
      <w:r w:rsidRPr="00E059ED">
        <w:rPr>
          <w:sz w:val="22"/>
          <w:szCs w:val="22"/>
        </w:rPr>
        <w:t>63</w:t>
      </w:r>
      <w:r w:rsidR="00971887" w:rsidRPr="00E059ED">
        <w:rPr>
          <w:sz w:val="22"/>
          <w:szCs w:val="22"/>
        </w:rPr>
        <w:t>.</w:t>
      </w:r>
      <w:r w:rsidR="00971887" w:rsidRPr="00E059ED">
        <w:rPr>
          <w:sz w:val="22"/>
          <w:szCs w:val="22"/>
        </w:rPr>
        <w:tab/>
        <w:t xml:space="preserve">Andersen, K. B. </w:t>
      </w:r>
      <w:r w:rsidR="00971887" w:rsidRPr="00E059ED">
        <w:rPr>
          <w:i/>
          <w:iCs/>
          <w:sz w:val="22"/>
          <w:szCs w:val="22"/>
        </w:rPr>
        <w:t>et al.</w:t>
      </w:r>
      <w:r w:rsidR="00971887" w:rsidRPr="00E059ED">
        <w:rPr>
          <w:sz w:val="22"/>
          <w:szCs w:val="22"/>
        </w:rPr>
        <w:t xml:space="preserve"> Synaptic Density and Glucose Consumption in Patients with Lewy Body Diseases: An [11C]UCB-J and [18F]FDG PET Study. </w:t>
      </w:r>
      <w:r w:rsidR="00971887" w:rsidRPr="00E059ED">
        <w:rPr>
          <w:i/>
          <w:iCs/>
          <w:sz w:val="22"/>
          <w:szCs w:val="22"/>
        </w:rPr>
        <w:t>Mov. Disord.</w:t>
      </w:r>
      <w:r w:rsidR="00971887" w:rsidRPr="00E059ED">
        <w:rPr>
          <w:sz w:val="22"/>
          <w:szCs w:val="22"/>
        </w:rPr>
        <w:t xml:space="preserve"> </w:t>
      </w:r>
      <w:r w:rsidR="00971887" w:rsidRPr="00E059ED">
        <w:rPr>
          <w:b/>
          <w:bCs/>
          <w:sz w:val="22"/>
          <w:szCs w:val="22"/>
        </w:rPr>
        <w:t>38</w:t>
      </w:r>
      <w:r w:rsidR="00971887" w:rsidRPr="00E059ED">
        <w:rPr>
          <w:sz w:val="22"/>
          <w:szCs w:val="22"/>
        </w:rPr>
        <w:t>, 796–805 (2023).</w:t>
      </w:r>
    </w:p>
    <w:p w14:paraId="37484954" w14:textId="129E4A7A" w:rsidR="00971887" w:rsidRPr="00E059ED" w:rsidRDefault="00017FF8" w:rsidP="00C3185A">
      <w:pPr>
        <w:pStyle w:val="Bibliography"/>
        <w:spacing w:line="240" w:lineRule="auto"/>
        <w:rPr>
          <w:sz w:val="22"/>
          <w:szCs w:val="22"/>
        </w:rPr>
      </w:pPr>
      <w:r w:rsidRPr="00E059ED">
        <w:rPr>
          <w:sz w:val="22"/>
          <w:szCs w:val="22"/>
        </w:rPr>
        <w:t>64</w:t>
      </w:r>
      <w:r w:rsidR="00971887" w:rsidRPr="00E059ED">
        <w:rPr>
          <w:sz w:val="22"/>
          <w:szCs w:val="22"/>
        </w:rPr>
        <w:t>.</w:t>
      </w:r>
      <w:r w:rsidR="00971887" w:rsidRPr="00E059ED">
        <w:rPr>
          <w:sz w:val="22"/>
          <w:szCs w:val="22"/>
        </w:rPr>
        <w:tab/>
        <w:t xml:space="preserve">Delva, A., Van Laere, K. &amp; Vandenberghe, W. Longitudinal Positron Emission Tomography Imaging of Presynaptic Terminals in Early Parkinson’s Disease. </w:t>
      </w:r>
      <w:r w:rsidR="00971887" w:rsidRPr="00E059ED">
        <w:rPr>
          <w:i/>
          <w:iCs/>
          <w:sz w:val="22"/>
          <w:szCs w:val="22"/>
        </w:rPr>
        <w:t>Mov. Disord.</w:t>
      </w:r>
      <w:r w:rsidR="00971887" w:rsidRPr="00E059ED">
        <w:rPr>
          <w:sz w:val="22"/>
          <w:szCs w:val="22"/>
        </w:rPr>
        <w:t xml:space="preserve"> </w:t>
      </w:r>
      <w:r w:rsidR="00971887" w:rsidRPr="00E059ED">
        <w:rPr>
          <w:b/>
          <w:bCs/>
          <w:sz w:val="22"/>
          <w:szCs w:val="22"/>
        </w:rPr>
        <w:t>37</w:t>
      </w:r>
      <w:r w:rsidR="00971887" w:rsidRPr="00E059ED">
        <w:rPr>
          <w:sz w:val="22"/>
          <w:szCs w:val="22"/>
        </w:rPr>
        <w:t>, 1883–1892 (2022).</w:t>
      </w:r>
    </w:p>
    <w:p w14:paraId="6B31F6DA" w14:textId="7BF970B3" w:rsidR="00971887" w:rsidRPr="00E059ED" w:rsidRDefault="00017FF8" w:rsidP="00C3185A">
      <w:pPr>
        <w:pStyle w:val="Bibliography"/>
        <w:spacing w:line="240" w:lineRule="auto"/>
        <w:rPr>
          <w:sz w:val="22"/>
          <w:szCs w:val="22"/>
        </w:rPr>
      </w:pPr>
      <w:r w:rsidRPr="00E059ED">
        <w:rPr>
          <w:sz w:val="22"/>
          <w:szCs w:val="22"/>
        </w:rPr>
        <w:t>65</w:t>
      </w:r>
      <w:r w:rsidR="00971887" w:rsidRPr="00E059ED">
        <w:rPr>
          <w:sz w:val="22"/>
          <w:szCs w:val="22"/>
        </w:rPr>
        <w:t>.</w:t>
      </w:r>
      <w:r w:rsidR="00971887" w:rsidRPr="00E059ED">
        <w:rPr>
          <w:sz w:val="22"/>
          <w:szCs w:val="22"/>
        </w:rPr>
        <w:tab/>
        <w:t xml:space="preserve">Wilson, H. </w:t>
      </w:r>
      <w:r w:rsidR="00971887" w:rsidRPr="00E059ED">
        <w:rPr>
          <w:i/>
          <w:iCs/>
          <w:sz w:val="22"/>
          <w:szCs w:val="22"/>
        </w:rPr>
        <w:t>et al.</w:t>
      </w:r>
      <w:r w:rsidR="00971887" w:rsidRPr="00E059ED">
        <w:rPr>
          <w:sz w:val="22"/>
          <w:szCs w:val="22"/>
        </w:rPr>
        <w:t xml:space="preserve"> Mitochondrial Complex 1, Sigma 1, and Synaptic Vesicle 2A in Early Drug-Naive Parkinson’s Disease. </w:t>
      </w:r>
      <w:r w:rsidR="00971887" w:rsidRPr="00E059ED">
        <w:rPr>
          <w:i/>
          <w:iCs/>
          <w:sz w:val="22"/>
          <w:szCs w:val="22"/>
        </w:rPr>
        <w:t>Mov. Disord.</w:t>
      </w:r>
      <w:r w:rsidR="00971887" w:rsidRPr="00E059ED">
        <w:rPr>
          <w:sz w:val="22"/>
          <w:szCs w:val="22"/>
        </w:rPr>
        <w:t xml:space="preserve"> </w:t>
      </w:r>
      <w:r w:rsidR="00971887" w:rsidRPr="00E059ED">
        <w:rPr>
          <w:b/>
          <w:bCs/>
          <w:sz w:val="22"/>
          <w:szCs w:val="22"/>
        </w:rPr>
        <w:t>35</w:t>
      </w:r>
      <w:r w:rsidR="00971887" w:rsidRPr="00E059ED">
        <w:rPr>
          <w:sz w:val="22"/>
          <w:szCs w:val="22"/>
        </w:rPr>
        <w:t>, 1416–1427 (2020).</w:t>
      </w:r>
    </w:p>
    <w:p w14:paraId="76D7F324" w14:textId="63965F61" w:rsidR="00971887" w:rsidRPr="00E059ED" w:rsidRDefault="00017FF8" w:rsidP="00C3185A">
      <w:pPr>
        <w:pStyle w:val="Bibliography"/>
        <w:spacing w:line="240" w:lineRule="auto"/>
        <w:rPr>
          <w:sz w:val="22"/>
          <w:szCs w:val="22"/>
        </w:rPr>
      </w:pPr>
      <w:r w:rsidRPr="00E059ED">
        <w:rPr>
          <w:sz w:val="22"/>
          <w:szCs w:val="22"/>
        </w:rPr>
        <w:t>66</w:t>
      </w:r>
      <w:r w:rsidR="00971887" w:rsidRPr="00E059ED">
        <w:rPr>
          <w:sz w:val="22"/>
          <w:szCs w:val="22"/>
        </w:rPr>
        <w:t>.</w:t>
      </w:r>
      <w:r w:rsidR="00971887" w:rsidRPr="00E059ED">
        <w:rPr>
          <w:sz w:val="22"/>
          <w:szCs w:val="22"/>
        </w:rPr>
        <w:tab/>
        <w:t xml:space="preserve">Whiteside, D. J. </w:t>
      </w:r>
      <w:r w:rsidR="00971887" w:rsidRPr="00E059ED">
        <w:rPr>
          <w:i/>
          <w:iCs/>
          <w:sz w:val="22"/>
          <w:szCs w:val="22"/>
        </w:rPr>
        <w:t>et al.</w:t>
      </w:r>
      <w:r w:rsidR="00971887" w:rsidRPr="00E059ED">
        <w:rPr>
          <w:sz w:val="22"/>
          <w:szCs w:val="22"/>
        </w:rPr>
        <w:t xml:space="preserve"> Synaptic density affects clinical severity via network dysfunction in syndromes associated with frontotemporal lobar degeneration. </w:t>
      </w:r>
      <w:r w:rsidR="00971887" w:rsidRPr="00E059ED">
        <w:rPr>
          <w:i/>
          <w:iCs/>
          <w:sz w:val="22"/>
          <w:szCs w:val="22"/>
        </w:rPr>
        <w:t>Nat. Commun.</w:t>
      </w:r>
      <w:r w:rsidR="00971887" w:rsidRPr="00E059ED">
        <w:rPr>
          <w:sz w:val="22"/>
          <w:szCs w:val="22"/>
        </w:rPr>
        <w:t xml:space="preserve"> </w:t>
      </w:r>
      <w:r w:rsidR="00971887" w:rsidRPr="00E059ED">
        <w:rPr>
          <w:b/>
          <w:bCs/>
          <w:sz w:val="22"/>
          <w:szCs w:val="22"/>
        </w:rPr>
        <w:t>14</w:t>
      </w:r>
      <w:r w:rsidR="00971887" w:rsidRPr="00E059ED">
        <w:rPr>
          <w:sz w:val="22"/>
          <w:szCs w:val="22"/>
        </w:rPr>
        <w:t>, 8458 (2023).</w:t>
      </w:r>
    </w:p>
    <w:p w14:paraId="5597A623" w14:textId="080CABE8" w:rsidR="00971887" w:rsidRPr="00E059ED" w:rsidRDefault="00017FF8" w:rsidP="00C3185A">
      <w:pPr>
        <w:pStyle w:val="Bibliography"/>
        <w:spacing w:line="240" w:lineRule="auto"/>
        <w:rPr>
          <w:sz w:val="22"/>
          <w:szCs w:val="22"/>
        </w:rPr>
      </w:pPr>
      <w:r w:rsidRPr="00E059ED">
        <w:rPr>
          <w:sz w:val="22"/>
          <w:szCs w:val="22"/>
        </w:rPr>
        <w:t>67</w:t>
      </w:r>
      <w:r w:rsidR="00971887" w:rsidRPr="00E059ED">
        <w:rPr>
          <w:sz w:val="22"/>
          <w:szCs w:val="22"/>
        </w:rPr>
        <w:t>.</w:t>
      </w:r>
      <w:r w:rsidR="00971887" w:rsidRPr="00E059ED">
        <w:rPr>
          <w:sz w:val="22"/>
          <w:szCs w:val="22"/>
        </w:rPr>
        <w:tab/>
        <w:t xml:space="preserve">Holland, N. </w:t>
      </w:r>
      <w:r w:rsidR="00971887" w:rsidRPr="00E059ED">
        <w:rPr>
          <w:i/>
          <w:iCs/>
          <w:sz w:val="22"/>
          <w:szCs w:val="22"/>
        </w:rPr>
        <w:t>et al.</w:t>
      </w:r>
      <w:r w:rsidR="00971887" w:rsidRPr="00E059ED">
        <w:rPr>
          <w:sz w:val="22"/>
          <w:szCs w:val="22"/>
        </w:rPr>
        <w:t xml:space="preserve"> Molecular pathology and synaptic loss in primary tauopathies: an 18F-AV-1451 and 11C-UCB-J PET study. </w:t>
      </w:r>
      <w:r w:rsidR="00971887" w:rsidRPr="00E059ED">
        <w:rPr>
          <w:i/>
          <w:iCs/>
          <w:sz w:val="22"/>
          <w:szCs w:val="22"/>
        </w:rPr>
        <w:t>Brain</w:t>
      </w:r>
      <w:r w:rsidR="00971887" w:rsidRPr="00E059ED">
        <w:rPr>
          <w:sz w:val="22"/>
          <w:szCs w:val="22"/>
        </w:rPr>
        <w:t xml:space="preserve"> </w:t>
      </w:r>
      <w:r w:rsidR="00971887" w:rsidRPr="00E059ED">
        <w:rPr>
          <w:b/>
          <w:bCs/>
          <w:sz w:val="22"/>
          <w:szCs w:val="22"/>
        </w:rPr>
        <w:t>145</w:t>
      </w:r>
      <w:r w:rsidR="00971887" w:rsidRPr="00E059ED">
        <w:rPr>
          <w:sz w:val="22"/>
          <w:szCs w:val="22"/>
        </w:rPr>
        <w:t>, 340–348 (2022).</w:t>
      </w:r>
    </w:p>
    <w:p w14:paraId="35CD6282" w14:textId="3D7586A9" w:rsidR="00971887" w:rsidRPr="00E059ED" w:rsidRDefault="00017FF8" w:rsidP="00C3185A">
      <w:pPr>
        <w:pStyle w:val="Bibliography"/>
        <w:spacing w:line="240" w:lineRule="auto"/>
        <w:rPr>
          <w:sz w:val="22"/>
          <w:szCs w:val="22"/>
        </w:rPr>
      </w:pPr>
      <w:r w:rsidRPr="00E059ED">
        <w:rPr>
          <w:sz w:val="22"/>
          <w:szCs w:val="22"/>
        </w:rPr>
        <w:t>68</w:t>
      </w:r>
      <w:r w:rsidR="00971887" w:rsidRPr="00E059ED">
        <w:rPr>
          <w:sz w:val="22"/>
          <w:szCs w:val="22"/>
        </w:rPr>
        <w:t>.</w:t>
      </w:r>
      <w:r w:rsidR="00971887" w:rsidRPr="00E059ED">
        <w:rPr>
          <w:sz w:val="22"/>
          <w:szCs w:val="22"/>
        </w:rPr>
        <w:tab/>
        <w:t xml:space="preserve">Holland, N. </w:t>
      </w:r>
      <w:r w:rsidR="00971887" w:rsidRPr="00E059ED">
        <w:rPr>
          <w:i/>
          <w:iCs/>
          <w:sz w:val="22"/>
          <w:szCs w:val="22"/>
        </w:rPr>
        <w:t>et al.</w:t>
      </w:r>
      <w:r w:rsidR="00971887" w:rsidRPr="00E059ED">
        <w:rPr>
          <w:sz w:val="22"/>
          <w:szCs w:val="22"/>
        </w:rPr>
        <w:t xml:space="preserve"> Longitudinal Synaptic Loss in Primary Tauopathies: An In Vivo [ </w:t>
      </w:r>
      <w:r w:rsidR="00971887" w:rsidRPr="00E059ED">
        <w:rPr>
          <w:smallCaps/>
          <w:sz w:val="22"/>
          <w:szCs w:val="22"/>
        </w:rPr>
        <w:t xml:space="preserve"> </w:t>
      </w:r>
      <w:r w:rsidR="00971887" w:rsidRPr="00E059ED">
        <w:rPr>
          <w:smallCaps/>
          <w:sz w:val="22"/>
          <w:szCs w:val="22"/>
          <w:vertAlign w:val="superscript"/>
        </w:rPr>
        <w:t>11</w:t>
      </w:r>
      <w:r w:rsidR="00971887" w:rsidRPr="00E059ED">
        <w:rPr>
          <w:smallCaps/>
          <w:sz w:val="22"/>
          <w:szCs w:val="22"/>
        </w:rPr>
        <w:t xml:space="preserve"> C </w:t>
      </w:r>
      <w:r w:rsidR="00971887" w:rsidRPr="00E059ED">
        <w:rPr>
          <w:sz w:val="22"/>
          <w:szCs w:val="22"/>
        </w:rPr>
        <w:t xml:space="preserve"> ] </w:t>
      </w:r>
      <w:r w:rsidR="00971887" w:rsidRPr="00E059ED">
        <w:rPr>
          <w:smallCaps/>
          <w:sz w:val="22"/>
          <w:szCs w:val="22"/>
        </w:rPr>
        <w:t>UCB</w:t>
      </w:r>
      <w:r w:rsidR="00971887" w:rsidRPr="00E059ED">
        <w:rPr>
          <w:rFonts w:ascii="Cambria Math" w:hAnsi="Cambria Math" w:cs="Cambria Math"/>
          <w:smallCaps/>
          <w:sz w:val="22"/>
          <w:szCs w:val="22"/>
        </w:rPr>
        <w:t>‐</w:t>
      </w:r>
      <w:r w:rsidR="00971887" w:rsidRPr="00E059ED">
        <w:rPr>
          <w:smallCaps/>
          <w:sz w:val="22"/>
          <w:szCs w:val="22"/>
        </w:rPr>
        <w:t>J</w:t>
      </w:r>
      <w:r w:rsidR="00971887" w:rsidRPr="00E059ED">
        <w:rPr>
          <w:sz w:val="22"/>
          <w:szCs w:val="22"/>
        </w:rPr>
        <w:t xml:space="preserve"> Positron Emission Tomography Study. </w:t>
      </w:r>
      <w:r w:rsidR="00971887" w:rsidRPr="00E059ED">
        <w:rPr>
          <w:i/>
          <w:iCs/>
          <w:sz w:val="22"/>
          <w:szCs w:val="22"/>
        </w:rPr>
        <w:t>Mov. Disord.</w:t>
      </w:r>
      <w:r w:rsidR="00971887" w:rsidRPr="00E059ED">
        <w:rPr>
          <w:sz w:val="22"/>
          <w:szCs w:val="22"/>
        </w:rPr>
        <w:t xml:space="preserve"> </w:t>
      </w:r>
      <w:r w:rsidR="00971887" w:rsidRPr="00E059ED">
        <w:rPr>
          <w:b/>
          <w:bCs/>
          <w:sz w:val="22"/>
          <w:szCs w:val="22"/>
        </w:rPr>
        <w:t>38</w:t>
      </w:r>
      <w:r w:rsidR="00971887" w:rsidRPr="00E059ED">
        <w:rPr>
          <w:sz w:val="22"/>
          <w:szCs w:val="22"/>
        </w:rPr>
        <w:t>, 1316–1326 (2023).</w:t>
      </w:r>
    </w:p>
    <w:p w14:paraId="2348EE3E" w14:textId="0C8C844C" w:rsidR="00971887" w:rsidRPr="00E059ED" w:rsidRDefault="00017FF8" w:rsidP="00C3185A">
      <w:pPr>
        <w:pStyle w:val="Bibliography"/>
        <w:spacing w:line="240" w:lineRule="auto"/>
        <w:rPr>
          <w:sz w:val="22"/>
          <w:szCs w:val="22"/>
        </w:rPr>
      </w:pPr>
      <w:r w:rsidRPr="00E059ED">
        <w:rPr>
          <w:sz w:val="22"/>
          <w:szCs w:val="22"/>
        </w:rPr>
        <w:t>69</w:t>
      </w:r>
      <w:r w:rsidR="00971887" w:rsidRPr="00E059ED">
        <w:rPr>
          <w:sz w:val="22"/>
          <w:szCs w:val="22"/>
        </w:rPr>
        <w:t>.</w:t>
      </w:r>
      <w:r w:rsidR="00971887" w:rsidRPr="00E059ED">
        <w:rPr>
          <w:sz w:val="22"/>
          <w:szCs w:val="22"/>
        </w:rPr>
        <w:tab/>
        <w:t xml:space="preserve">Mak, E. </w:t>
      </w:r>
      <w:r w:rsidR="00971887" w:rsidRPr="00E059ED">
        <w:rPr>
          <w:i/>
          <w:iCs/>
          <w:sz w:val="22"/>
          <w:szCs w:val="22"/>
        </w:rPr>
        <w:t>et al.</w:t>
      </w:r>
      <w:r w:rsidR="00971887" w:rsidRPr="00E059ED">
        <w:rPr>
          <w:sz w:val="22"/>
          <w:szCs w:val="22"/>
        </w:rPr>
        <w:t xml:space="preserve"> In vivo coupling of dendritic complexity with presynaptic density in primary tauopathies. </w:t>
      </w:r>
      <w:r w:rsidR="00971887" w:rsidRPr="00E059ED">
        <w:rPr>
          <w:i/>
          <w:iCs/>
          <w:sz w:val="22"/>
          <w:szCs w:val="22"/>
        </w:rPr>
        <w:t>Neurobiol. Aging</w:t>
      </w:r>
      <w:r w:rsidR="00971887" w:rsidRPr="00E059ED">
        <w:rPr>
          <w:sz w:val="22"/>
          <w:szCs w:val="22"/>
        </w:rPr>
        <w:t xml:space="preserve"> </w:t>
      </w:r>
      <w:r w:rsidR="00971887" w:rsidRPr="00E059ED">
        <w:rPr>
          <w:b/>
          <w:bCs/>
          <w:sz w:val="22"/>
          <w:szCs w:val="22"/>
        </w:rPr>
        <w:t>101</w:t>
      </w:r>
      <w:r w:rsidR="00971887" w:rsidRPr="00E059ED">
        <w:rPr>
          <w:sz w:val="22"/>
          <w:szCs w:val="22"/>
        </w:rPr>
        <w:t>, 187–198 (2021).</w:t>
      </w:r>
    </w:p>
    <w:p w14:paraId="3FE89245" w14:textId="46BE27C2" w:rsidR="00971887" w:rsidRDefault="00017FF8" w:rsidP="00C3185A">
      <w:pPr>
        <w:pStyle w:val="Bibliography"/>
        <w:spacing w:line="240" w:lineRule="auto"/>
        <w:rPr>
          <w:sz w:val="22"/>
          <w:szCs w:val="22"/>
        </w:rPr>
      </w:pPr>
      <w:r w:rsidRPr="00E059ED">
        <w:rPr>
          <w:sz w:val="22"/>
          <w:szCs w:val="22"/>
        </w:rPr>
        <w:t>70</w:t>
      </w:r>
      <w:r w:rsidR="00971887" w:rsidRPr="00E059ED">
        <w:rPr>
          <w:sz w:val="22"/>
          <w:szCs w:val="22"/>
        </w:rPr>
        <w:t>.</w:t>
      </w:r>
      <w:r w:rsidR="00971887" w:rsidRPr="00E059ED">
        <w:rPr>
          <w:sz w:val="22"/>
          <w:szCs w:val="22"/>
        </w:rPr>
        <w:tab/>
        <w:t xml:space="preserve">Van Cauwenberge, M. G. A. </w:t>
      </w:r>
      <w:r w:rsidR="00971887" w:rsidRPr="00E059ED">
        <w:rPr>
          <w:i/>
          <w:iCs/>
          <w:sz w:val="22"/>
          <w:szCs w:val="22"/>
        </w:rPr>
        <w:t>et al.</w:t>
      </w:r>
      <w:r w:rsidR="00971887" w:rsidRPr="00E059ED">
        <w:rPr>
          <w:sz w:val="22"/>
          <w:szCs w:val="22"/>
        </w:rPr>
        <w:t xml:space="preserve"> Mild Motor Signs in Healthy Aging Are Associated with Lower Synaptic Density in the Brain. </w:t>
      </w:r>
      <w:r w:rsidR="00971887" w:rsidRPr="00E059ED">
        <w:rPr>
          <w:i/>
          <w:iCs/>
          <w:sz w:val="22"/>
          <w:szCs w:val="22"/>
        </w:rPr>
        <w:t>Mov. Disord.</w:t>
      </w:r>
      <w:r w:rsidR="00971887" w:rsidRPr="00E059ED">
        <w:rPr>
          <w:sz w:val="22"/>
          <w:szCs w:val="22"/>
        </w:rPr>
        <w:t xml:space="preserve"> </w:t>
      </w:r>
      <w:r w:rsidR="00971887" w:rsidRPr="00E059ED">
        <w:rPr>
          <w:b/>
          <w:bCs/>
          <w:sz w:val="22"/>
          <w:szCs w:val="22"/>
        </w:rPr>
        <w:t>38</w:t>
      </w:r>
      <w:r w:rsidR="00971887" w:rsidRPr="00E059ED">
        <w:rPr>
          <w:sz w:val="22"/>
          <w:szCs w:val="22"/>
        </w:rPr>
        <w:t>, 1786–1794 (2023).</w:t>
      </w:r>
    </w:p>
    <w:p w14:paraId="19799BC8" w14:textId="43959BF3" w:rsidR="00E059ED" w:rsidRPr="00E059ED" w:rsidRDefault="00E059ED" w:rsidP="00C3185A">
      <w:pPr>
        <w:pStyle w:val="Bibliography"/>
        <w:spacing w:line="240" w:lineRule="auto"/>
        <w:rPr>
          <w:sz w:val="22"/>
          <w:szCs w:val="22"/>
        </w:rPr>
      </w:pPr>
      <w:r w:rsidRPr="00E059ED">
        <w:rPr>
          <w:sz w:val="22"/>
          <w:szCs w:val="22"/>
        </w:rPr>
        <w:t>7</w:t>
      </w:r>
      <w:r>
        <w:rPr>
          <w:sz w:val="22"/>
          <w:szCs w:val="22"/>
        </w:rPr>
        <w:t>1</w:t>
      </w:r>
      <w:r w:rsidRPr="00E059ED">
        <w:rPr>
          <w:sz w:val="22"/>
          <w:szCs w:val="22"/>
        </w:rPr>
        <w:t>.</w:t>
      </w:r>
      <w:r w:rsidRPr="00E059ED">
        <w:rPr>
          <w:sz w:val="22"/>
          <w:szCs w:val="22"/>
        </w:rPr>
        <w:tab/>
      </w:r>
      <w:r>
        <w:rPr>
          <w:sz w:val="22"/>
          <w:szCs w:val="22"/>
        </w:rPr>
        <w:t xml:space="preserve">Holland, N. P. </w:t>
      </w:r>
      <w:r>
        <w:rPr>
          <w:i/>
          <w:iCs/>
          <w:sz w:val="22"/>
          <w:szCs w:val="22"/>
        </w:rPr>
        <w:t>et al.</w:t>
      </w:r>
      <w:r>
        <w:rPr>
          <w:sz w:val="22"/>
          <w:szCs w:val="22"/>
        </w:rPr>
        <w:t xml:space="preserve"> Synaptic loss in primary tauopathies revealed by [11C] UCB-J positron emission tomography</w:t>
      </w:r>
      <w:r w:rsidRPr="00E059ED">
        <w:rPr>
          <w:sz w:val="22"/>
          <w:szCs w:val="22"/>
        </w:rPr>
        <w:t xml:space="preserve">. </w:t>
      </w:r>
      <w:r w:rsidRPr="00E059ED">
        <w:rPr>
          <w:i/>
          <w:iCs/>
          <w:sz w:val="22"/>
          <w:szCs w:val="22"/>
        </w:rPr>
        <w:t>Mov. Disord.</w:t>
      </w:r>
      <w:r>
        <w:rPr>
          <w:b/>
          <w:bCs/>
          <w:sz w:val="22"/>
          <w:szCs w:val="22"/>
        </w:rPr>
        <w:t xml:space="preserve"> 35</w:t>
      </w:r>
      <w:r>
        <w:rPr>
          <w:sz w:val="22"/>
          <w:szCs w:val="22"/>
        </w:rPr>
        <w:t>, 1834-1842 (2020).</w:t>
      </w:r>
    </w:p>
    <w:p w14:paraId="2DD9D97F" w14:textId="77777777" w:rsidR="00E059ED" w:rsidRPr="00E059ED" w:rsidRDefault="00E059ED" w:rsidP="00C3185A"/>
    <w:p w14:paraId="2C305E19" w14:textId="5D8C9450" w:rsidR="00866AB8" w:rsidRPr="00E059ED" w:rsidRDefault="004B6544" w:rsidP="00C3185A">
      <w:pPr>
        <w:contextualSpacing/>
        <w:rPr>
          <w:sz w:val="22"/>
          <w:szCs w:val="22"/>
        </w:rPr>
      </w:pPr>
      <w:r w:rsidRPr="00E059ED">
        <w:rPr>
          <w:sz w:val="22"/>
          <w:szCs w:val="22"/>
        </w:rPr>
        <w:fldChar w:fldCharType="end"/>
      </w:r>
      <w:r w:rsidR="00E059ED">
        <w:rPr>
          <w:sz w:val="22"/>
          <w:szCs w:val="22"/>
        </w:rPr>
        <w:t xml:space="preserve"> </w:t>
      </w:r>
    </w:p>
    <w:sectPr w:rsidR="00866AB8" w:rsidRPr="00E059ED" w:rsidSect="007056A1">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6E515" w14:textId="77777777" w:rsidR="00B7782C" w:rsidRDefault="00B7782C" w:rsidP="002D2D0E">
      <w:r>
        <w:separator/>
      </w:r>
    </w:p>
  </w:endnote>
  <w:endnote w:type="continuationSeparator" w:id="0">
    <w:p w14:paraId="784C3E4C" w14:textId="77777777" w:rsidR="00B7782C" w:rsidRDefault="00B7782C" w:rsidP="002D2D0E">
      <w:r>
        <w:continuationSeparator/>
      </w:r>
    </w:p>
  </w:endnote>
  <w:endnote w:type="continuationNotice" w:id="1">
    <w:p w14:paraId="107C6C66" w14:textId="77777777" w:rsidR="00B81B3D" w:rsidRDefault="00B81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9D705" w14:textId="4DD81E3B" w:rsidR="002D2D0E" w:rsidRDefault="002D2D0E" w:rsidP="002D2D0E">
    <w:pPr>
      <w:pStyle w:val="Foote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12A98" w14:textId="77777777" w:rsidR="00B7782C" w:rsidRDefault="00B7782C" w:rsidP="002D2D0E">
      <w:r>
        <w:separator/>
      </w:r>
    </w:p>
  </w:footnote>
  <w:footnote w:type="continuationSeparator" w:id="0">
    <w:p w14:paraId="5AE37053" w14:textId="77777777" w:rsidR="00B7782C" w:rsidRDefault="00B7782C" w:rsidP="002D2D0E">
      <w:r>
        <w:continuationSeparator/>
      </w:r>
    </w:p>
  </w:footnote>
  <w:footnote w:type="continuationNotice" w:id="1">
    <w:p w14:paraId="0BC8C7F2" w14:textId="77777777" w:rsidR="00B81B3D" w:rsidRDefault="00B81B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07322"/>
    <w:multiLevelType w:val="hybridMultilevel"/>
    <w:tmpl w:val="A44C6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75460F2"/>
    <w:multiLevelType w:val="hybridMultilevel"/>
    <w:tmpl w:val="73D8A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8004156">
    <w:abstractNumId w:val="1"/>
  </w:num>
  <w:num w:numId="2" w16cid:durableId="170624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5fwsazdrf2xhettpov2rpn02vew2dwwr0t&quot;&gt;SV2a_export&lt;record-ids&gt;&lt;item&gt;71&lt;/item&gt;&lt;item&gt;75&lt;/item&gt;&lt;item&gt;76&lt;/item&gt;&lt;item&gt;77&lt;/item&gt;&lt;item&gt;78&lt;/item&gt;&lt;item&gt;79&lt;/item&gt;&lt;item&gt;80&lt;/item&gt;&lt;item&gt;83&lt;/item&gt;&lt;item&gt;84&lt;/item&gt;&lt;item&gt;218&lt;/item&gt;&lt;item&gt;232&lt;/item&gt;&lt;item&gt;233&lt;/item&gt;&lt;item&gt;234&lt;/item&gt;&lt;item&gt;236&lt;/item&gt;&lt;item&gt;238&lt;/item&gt;&lt;item&gt;239&lt;/item&gt;&lt;item&gt;240&lt;/item&gt;&lt;item&gt;252&lt;/item&gt;&lt;item&gt;254&lt;/item&gt;&lt;item&gt;451&lt;/item&gt;&lt;/record-ids&gt;&lt;/item&gt;&lt;/Libraries&gt;"/>
  </w:docVars>
  <w:rsids>
    <w:rsidRoot w:val="00181221"/>
    <w:rsid w:val="00011589"/>
    <w:rsid w:val="00017FF8"/>
    <w:rsid w:val="000550D4"/>
    <w:rsid w:val="000666AA"/>
    <w:rsid w:val="0007162A"/>
    <w:rsid w:val="00072B77"/>
    <w:rsid w:val="00073366"/>
    <w:rsid w:val="0008408F"/>
    <w:rsid w:val="00094E60"/>
    <w:rsid w:val="000A5852"/>
    <w:rsid w:val="000C1B39"/>
    <w:rsid w:val="000C2CFC"/>
    <w:rsid w:val="000D2D6A"/>
    <w:rsid w:val="000E5E27"/>
    <w:rsid w:val="000F28FD"/>
    <w:rsid w:val="000F4E1C"/>
    <w:rsid w:val="000F5BB5"/>
    <w:rsid w:val="00110F85"/>
    <w:rsid w:val="00114B33"/>
    <w:rsid w:val="00123818"/>
    <w:rsid w:val="00130119"/>
    <w:rsid w:val="00154386"/>
    <w:rsid w:val="00180CE1"/>
    <w:rsid w:val="00180FB4"/>
    <w:rsid w:val="00181221"/>
    <w:rsid w:val="00181D2E"/>
    <w:rsid w:val="001878CE"/>
    <w:rsid w:val="00197612"/>
    <w:rsid w:val="001B7F65"/>
    <w:rsid w:val="001D2BCE"/>
    <w:rsid w:val="001F3340"/>
    <w:rsid w:val="0020095F"/>
    <w:rsid w:val="00231764"/>
    <w:rsid w:val="00231DE6"/>
    <w:rsid w:val="00263284"/>
    <w:rsid w:val="00287B49"/>
    <w:rsid w:val="00296C06"/>
    <w:rsid w:val="002A32A5"/>
    <w:rsid w:val="002B3DE9"/>
    <w:rsid w:val="002C1584"/>
    <w:rsid w:val="002D2D0E"/>
    <w:rsid w:val="002E1730"/>
    <w:rsid w:val="002E3AEC"/>
    <w:rsid w:val="002F78DC"/>
    <w:rsid w:val="00303443"/>
    <w:rsid w:val="00304B5F"/>
    <w:rsid w:val="0034746E"/>
    <w:rsid w:val="00353C3E"/>
    <w:rsid w:val="00383638"/>
    <w:rsid w:val="00396DD4"/>
    <w:rsid w:val="003A0B29"/>
    <w:rsid w:val="003B106A"/>
    <w:rsid w:val="003B14D8"/>
    <w:rsid w:val="003E0472"/>
    <w:rsid w:val="003E1518"/>
    <w:rsid w:val="003F3FA3"/>
    <w:rsid w:val="003F479F"/>
    <w:rsid w:val="00431DEB"/>
    <w:rsid w:val="004716C9"/>
    <w:rsid w:val="00480AC8"/>
    <w:rsid w:val="004A37E8"/>
    <w:rsid w:val="004B6544"/>
    <w:rsid w:val="0051102D"/>
    <w:rsid w:val="00524DA0"/>
    <w:rsid w:val="00525C3D"/>
    <w:rsid w:val="0052648A"/>
    <w:rsid w:val="00576CFD"/>
    <w:rsid w:val="00591A11"/>
    <w:rsid w:val="005935D4"/>
    <w:rsid w:val="0059468F"/>
    <w:rsid w:val="005B4801"/>
    <w:rsid w:val="005D2C01"/>
    <w:rsid w:val="005D4F34"/>
    <w:rsid w:val="0060057E"/>
    <w:rsid w:val="0060608B"/>
    <w:rsid w:val="00641F51"/>
    <w:rsid w:val="00651F91"/>
    <w:rsid w:val="00660176"/>
    <w:rsid w:val="00670DA8"/>
    <w:rsid w:val="00685177"/>
    <w:rsid w:val="00691B3F"/>
    <w:rsid w:val="006C715D"/>
    <w:rsid w:val="007056A1"/>
    <w:rsid w:val="00757249"/>
    <w:rsid w:val="007654EE"/>
    <w:rsid w:val="00765573"/>
    <w:rsid w:val="007872AD"/>
    <w:rsid w:val="0079502B"/>
    <w:rsid w:val="007B3876"/>
    <w:rsid w:val="007C7320"/>
    <w:rsid w:val="007D28F2"/>
    <w:rsid w:val="007E3DB2"/>
    <w:rsid w:val="007F6686"/>
    <w:rsid w:val="0080559D"/>
    <w:rsid w:val="00816D23"/>
    <w:rsid w:val="00823C5D"/>
    <w:rsid w:val="00826C05"/>
    <w:rsid w:val="0083139B"/>
    <w:rsid w:val="008368CB"/>
    <w:rsid w:val="0084341A"/>
    <w:rsid w:val="00843BEA"/>
    <w:rsid w:val="00866AB8"/>
    <w:rsid w:val="00875021"/>
    <w:rsid w:val="008A019C"/>
    <w:rsid w:val="008A3D37"/>
    <w:rsid w:val="008B1003"/>
    <w:rsid w:val="008C50DA"/>
    <w:rsid w:val="009060B6"/>
    <w:rsid w:val="00921EEC"/>
    <w:rsid w:val="009223CA"/>
    <w:rsid w:val="009237CF"/>
    <w:rsid w:val="00950213"/>
    <w:rsid w:val="00952478"/>
    <w:rsid w:val="0096002B"/>
    <w:rsid w:val="00971887"/>
    <w:rsid w:val="0099170E"/>
    <w:rsid w:val="009B06D9"/>
    <w:rsid w:val="009B7681"/>
    <w:rsid w:val="009C056C"/>
    <w:rsid w:val="009D0E9D"/>
    <w:rsid w:val="009D5D05"/>
    <w:rsid w:val="009F35F9"/>
    <w:rsid w:val="009F3A04"/>
    <w:rsid w:val="009F7F9D"/>
    <w:rsid w:val="00A107C3"/>
    <w:rsid w:val="00A12845"/>
    <w:rsid w:val="00A12BD2"/>
    <w:rsid w:val="00A33318"/>
    <w:rsid w:val="00A64BFA"/>
    <w:rsid w:val="00A777DD"/>
    <w:rsid w:val="00A87715"/>
    <w:rsid w:val="00A95F05"/>
    <w:rsid w:val="00AA2C72"/>
    <w:rsid w:val="00AE416A"/>
    <w:rsid w:val="00AF6E93"/>
    <w:rsid w:val="00B1673E"/>
    <w:rsid w:val="00B553F5"/>
    <w:rsid w:val="00B7774B"/>
    <w:rsid w:val="00B7782C"/>
    <w:rsid w:val="00B81B3D"/>
    <w:rsid w:val="00BB493A"/>
    <w:rsid w:val="00BF05FE"/>
    <w:rsid w:val="00BF5C54"/>
    <w:rsid w:val="00BF6638"/>
    <w:rsid w:val="00BF686C"/>
    <w:rsid w:val="00C07E90"/>
    <w:rsid w:val="00C168E9"/>
    <w:rsid w:val="00C170BC"/>
    <w:rsid w:val="00C25E3B"/>
    <w:rsid w:val="00C3185A"/>
    <w:rsid w:val="00C505EC"/>
    <w:rsid w:val="00C56F8C"/>
    <w:rsid w:val="00C5739D"/>
    <w:rsid w:val="00CA038A"/>
    <w:rsid w:val="00CB6B42"/>
    <w:rsid w:val="00CB71EF"/>
    <w:rsid w:val="00CE7A13"/>
    <w:rsid w:val="00D03208"/>
    <w:rsid w:val="00D12EA3"/>
    <w:rsid w:val="00D60B6B"/>
    <w:rsid w:val="00D617F4"/>
    <w:rsid w:val="00DB7C9D"/>
    <w:rsid w:val="00DC70BB"/>
    <w:rsid w:val="00DD408F"/>
    <w:rsid w:val="00DD65FD"/>
    <w:rsid w:val="00DE0884"/>
    <w:rsid w:val="00DE4D89"/>
    <w:rsid w:val="00DF29DB"/>
    <w:rsid w:val="00DF6C4D"/>
    <w:rsid w:val="00E059ED"/>
    <w:rsid w:val="00E8538B"/>
    <w:rsid w:val="00E87714"/>
    <w:rsid w:val="00EB57AD"/>
    <w:rsid w:val="00EB7B43"/>
    <w:rsid w:val="00ED3ACB"/>
    <w:rsid w:val="00ED73D9"/>
    <w:rsid w:val="00EF38E3"/>
    <w:rsid w:val="00F42AE3"/>
    <w:rsid w:val="00F73428"/>
    <w:rsid w:val="00F74334"/>
    <w:rsid w:val="00F80281"/>
    <w:rsid w:val="00FB02DA"/>
    <w:rsid w:val="00FB387A"/>
    <w:rsid w:val="00FE2E4D"/>
    <w:rsid w:val="00FF20F8"/>
    <w:rsid w:val="00FF7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E279D"/>
  <w15:docId w15:val="{26B7A851-CB55-574B-B2F4-CEE40130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2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2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2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2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221"/>
    <w:rPr>
      <w:rFonts w:eastAsiaTheme="majorEastAsia" w:cstheme="majorBidi"/>
      <w:color w:val="272727" w:themeColor="text1" w:themeTint="D8"/>
    </w:rPr>
  </w:style>
  <w:style w:type="paragraph" w:styleId="Title">
    <w:name w:val="Title"/>
    <w:basedOn w:val="Normal"/>
    <w:next w:val="Normal"/>
    <w:link w:val="TitleChar"/>
    <w:uiPriority w:val="10"/>
    <w:qFormat/>
    <w:rsid w:val="001812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2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2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1221"/>
    <w:rPr>
      <w:i/>
      <w:iCs/>
      <w:color w:val="404040" w:themeColor="text1" w:themeTint="BF"/>
    </w:rPr>
  </w:style>
  <w:style w:type="paragraph" w:styleId="ListParagraph">
    <w:name w:val="List Paragraph"/>
    <w:basedOn w:val="Normal"/>
    <w:uiPriority w:val="34"/>
    <w:qFormat/>
    <w:rsid w:val="00181221"/>
    <w:pPr>
      <w:ind w:left="720"/>
      <w:contextualSpacing/>
    </w:pPr>
  </w:style>
  <w:style w:type="character" w:styleId="IntenseEmphasis">
    <w:name w:val="Intense Emphasis"/>
    <w:basedOn w:val="DefaultParagraphFont"/>
    <w:uiPriority w:val="21"/>
    <w:qFormat/>
    <w:rsid w:val="00181221"/>
    <w:rPr>
      <w:i/>
      <w:iCs/>
      <w:color w:val="0F4761" w:themeColor="accent1" w:themeShade="BF"/>
    </w:rPr>
  </w:style>
  <w:style w:type="paragraph" w:styleId="IntenseQuote">
    <w:name w:val="Intense Quote"/>
    <w:basedOn w:val="Normal"/>
    <w:next w:val="Normal"/>
    <w:link w:val="IntenseQuoteChar"/>
    <w:uiPriority w:val="30"/>
    <w:qFormat/>
    <w:rsid w:val="00181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221"/>
    <w:rPr>
      <w:i/>
      <w:iCs/>
      <w:color w:val="0F4761" w:themeColor="accent1" w:themeShade="BF"/>
    </w:rPr>
  </w:style>
  <w:style w:type="character" w:styleId="IntenseReference">
    <w:name w:val="Intense Reference"/>
    <w:basedOn w:val="DefaultParagraphFont"/>
    <w:uiPriority w:val="32"/>
    <w:qFormat/>
    <w:rsid w:val="00181221"/>
    <w:rPr>
      <w:b/>
      <w:bCs/>
      <w:smallCaps/>
      <w:color w:val="0F4761" w:themeColor="accent1" w:themeShade="BF"/>
      <w:spacing w:val="5"/>
    </w:rPr>
  </w:style>
  <w:style w:type="paragraph" w:styleId="Caption">
    <w:name w:val="caption"/>
    <w:basedOn w:val="Normal"/>
    <w:next w:val="Normal"/>
    <w:uiPriority w:val="35"/>
    <w:unhideWhenUsed/>
    <w:qFormat/>
    <w:rsid w:val="005D4F34"/>
    <w:pPr>
      <w:spacing w:after="200"/>
    </w:pPr>
    <w:rPr>
      <w:i/>
      <w:iCs/>
      <w:color w:val="0E2841" w:themeColor="text2"/>
      <w:sz w:val="18"/>
      <w:szCs w:val="18"/>
    </w:rPr>
  </w:style>
  <w:style w:type="paragraph" w:styleId="Bibliography">
    <w:name w:val="Bibliography"/>
    <w:basedOn w:val="Normal"/>
    <w:next w:val="Normal"/>
    <w:uiPriority w:val="37"/>
    <w:unhideWhenUsed/>
    <w:rsid w:val="004B6544"/>
    <w:pPr>
      <w:tabs>
        <w:tab w:val="left" w:pos="380"/>
      </w:tabs>
      <w:spacing w:line="480" w:lineRule="auto"/>
      <w:ind w:left="384" w:hanging="384"/>
    </w:pPr>
  </w:style>
  <w:style w:type="paragraph" w:styleId="Header">
    <w:name w:val="header"/>
    <w:basedOn w:val="Normal"/>
    <w:link w:val="HeaderChar"/>
    <w:uiPriority w:val="99"/>
    <w:unhideWhenUsed/>
    <w:rsid w:val="002D2D0E"/>
    <w:pPr>
      <w:tabs>
        <w:tab w:val="center" w:pos="4513"/>
        <w:tab w:val="right" w:pos="9026"/>
      </w:tabs>
    </w:pPr>
  </w:style>
  <w:style w:type="character" w:customStyle="1" w:styleId="HeaderChar">
    <w:name w:val="Header Char"/>
    <w:basedOn w:val="DefaultParagraphFont"/>
    <w:link w:val="Header"/>
    <w:uiPriority w:val="99"/>
    <w:rsid w:val="002D2D0E"/>
  </w:style>
  <w:style w:type="paragraph" w:styleId="Footer">
    <w:name w:val="footer"/>
    <w:basedOn w:val="Normal"/>
    <w:link w:val="FooterChar"/>
    <w:uiPriority w:val="99"/>
    <w:unhideWhenUsed/>
    <w:rsid w:val="002D2D0E"/>
    <w:pPr>
      <w:tabs>
        <w:tab w:val="center" w:pos="4513"/>
        <w:tab w:val="right" w:pos="9026"/>
      </w:tabs>
    </w:pPr>
  </w:style>
  <w:style w:type="character" w:customStyle="1" w:styleId="FooterChar">
    <w:name w:val="Footer Char"/>
    <w:basedOn w:val="DefaultParagraphFont"/>
    <w:link w:val="Footer"/>
    <w:uiPriority w:val="99"/>
    <w:rsid w:val="002D2D0E"/>
  </w:style>
  <w:style w:type="table" w:styleId="TableGrid">
    <w:name w:val="Table Grid"/>
    <w:basedOn w:val="TableNormal"/>
    <w:uiPriority w:val="39"/>
    <w:rsid w:val="00304B5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1D2E"/>
    <w:rPr>
      <w:sz w:val="16"/>
      <w:szCs w:val="16"/>
    </w:rPr>
  </w:style>
  <w:style w:type="paragraph" w:customStyle="1" w:styleId="EndNoteBibliography">
    <w:name w:val="EndNote Bibliography"/>
    <w:basedOn w:val="Normal"/>
    <w:link w:val="EndNoteBibliographyChar"/>
    <w:rsid w:val="00181D2E"/>
    <w:pPr>
      <w:spacing w:after="160"/>
    </w:pPr>
    <w:rPr>
      <w:rFonts w:ascii="Aptos" w:hAnsi="Aptos"/>
      <w:noProof/>
      <w:kern w:val="0"/>
      <w:sz w:val="22"/>
      <w:szCs w:val="22"/>
      <w:lang w:val="en-US"/>
      <w14:ligatures w14:val="none"/>
    </w:rPr>
  </w:style>
  <w:style w:type="character" w:customStyle="1" w:styleId="EndNoteBibliographyChar">
    <w:name w:val="EndNote Bibliography Char"/>
    <w:basedOn w:val="DefaultParagraphFont"/>
    <w:link w:val="EndNoteBibliography"/>
    <w:rsid w:val="00181D2E"/>
    <w:rPr>
      <w:rFonts w:ascii="Aptos" w:hAnsi="Aptos"/>
      <w:noProof/>
      <w:kern w:val="0"/>
      <w:sz w:val="22"/>
      <w:szCs w:val="22"/>
      <w:lang w:val="en-US"/>
      <w14:ligatures w14:val="none"/>
    </w:rPr>
  </w:style>
  <w:style w:type="paragraph" w:customStyle="1" w:styleId="EndNoteBibliographyTitle">
    <w:name w:val="EndNote Bibliography Title"/>
    <w:basedOn w:val="Normal"/>
    <w:link w:val="EndNoteBibliographyTitleChar"/>
    <w:rsid w:val="009D5D05"/>
    <w:pPr>
      <w:jc w:val="center"/>
    </w:pPr>
    <w:rPr>
      <w:rFonts w:ascii="Aptos" w:hAnsi="Aptos"/>
      <w:noProof/>
      <w:sz w:val="22"/>
      <w:lang w:val="en-US"/>
    </w:rPr>
  </w:style>
  <w:style w:type="character" w:customStyle="1" w:styleId="EndNoteBibliographyTitleChar">
    <w:name w:val="EndNote Bibliography Title Char"/>
    <w:basedOn w:val="DefaultParagraphFont"/>
    <w:link w:val="EndNoteBibliographyTitle"/>
    <w:rsid w:val="009D5D05"/>
    <w:rPr>
      <w:rFonts w:ascii="Aptos" w:hAnsi="Aptos"/>
      <w:noProof/>
      <w:sz w:val="22"/>
      <w:lang w:val="en-US"/>
    </w:rPr>
  </w:style>
  <w:style w:type="paragraph" w:styleId="Revision">
    <w:name w:val="Revision"/>
    <w:hidden/>
    <w:uiPriority w:val="99"/>
    <w:semiHidden/>
    <w:rsid w:val="00CB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28011">
      <w:bodyDiv w:val="1"/>
      <w:marLeft w:val="0"/>
      <w:marRight w:val="0"/>
      <w:marTop w:val="0"/>
      <w:marBottom w:val="0"/>
      <w:divBdr>
        <w:top w:val="none" w:sz="0" w:space="0" w:color="auto"/>
        <w:left w:val="none" w:sz="0" w:space="0" w:color="auto"/>
        <w:bottom w:val="none" w:sz="0" w:space="0" w:color="auto"/>
        <w:right w:val="none" w:sz="0" w:space="0" w:color="auto"/>
      </w:divBdr>
    </w:div>
    <w:div w:id="718942188">
      <w:bodyDiv w:val="1"/>
      <w:marLeft w:val="0"/>
      <w:marRight w:val="0"/>
      <w:marTop w:val="0"/>
      <w:marBottom w:val="0"/>
      <w:divBdr>
        <w:top w:val="none" w:sz="0" w:space="0" w:color="auto"/>
        <w:left w:val="none" w:sz="0" w:space="0" w:color="auto"/>
        <w:bottom w:val="none" w:sz="0" w:space="0" w:color="auto"/>
        <w:right w:val="none" w:sz="0" w:space="0" w:color="auto"/>
      </w:divBdr>
    </w:div>
    <w:div w:id="824249170">
      <w:bodyDiv w:val="1"/>
      <w:marLeft w:val="0"/>
      <w:marRight w:val="0"/>
      <w:marTop w:val="0"/>
      <w:marBottom w:val="0"/>
      <w:divBdr>
        <w:top w:val="none" w:sz="0" w:space="0" w:color="auto"/>
        <w:left w:val="none" w:sz="0" w:space="0" w:color="auto"/>
        <w:bottom w:val="none" w:sz="0" w:space="0" w:color="auto"/>
        <w:right w:val="none" w:sz="0" w:space="0" w:color="auto"/>
      </w:divBdr>
    </w:div>
    <w:div w:id="935553209">
      <w:bodyDiv w:val="1"/>
      <w:marLeft w:val="0"/>
      <w:marRight w:val="0"/>
      <w:marTop w:val="0"/>
      <w:marBottom w:val="0"/>
      <w:divBdr>
        <w:top w:val="none" w:sz="0" w:space="0" w:color="auto"/>
        <w:left w:val="none" w:sz="0" w:space="0" w:color="auto"/>
        <w:bottom w:val="none" w:sz="0" w:space="0" w:color="auto"/>
        <w:right w:val="none" w:sz="0" w:space="0" w:color="auto"/>
      </w:divBdr>
    </w:div>
    <w:div w:id="1166553713">
      <w:bodyDiv w:val="1"/>
      <w:marLeft w:val="0"/>
      <w:marRight w:val="0"/>
      <w:marTop w:val="0"/>
      <w:marBottom w:val="0"/>
      <w:divBdr>
        <w:top w:val="none" w:sz="0" w:space="0" w:color="auto"/>
        <w:left w:val="none" w:sz="0" w:space="0" w:color="auto"/>
        <w:bottom w:val="none" w:sz="0" w:space="0" w:color="auto"/>
        <w:right w:val="none" w:sz="0" w:space="0" w:color="auto"/>
      </w:divBdr>
    </w:div>
    <w:div w:id="1649431649">
      <w:bodyDiv w:val="1"/>
      <w:marLeft w:val="0"/>
      <w:marRight w:val="0"/>
      <w:marTop w:val="0"/>
      <w:marBottom w:val="0"/>
      <w:divBdr>
        <w:top w:val="none" w:sz="0" w:space="0" w:color="auto"/>
        <w:left w:val="none" w:sz="0" w:space="0" w:color="auto"/>
        <w:bottom w:val="none" w:sz="0" w:space="0" w:color="auto"/>
        <w:right w:val="none" w:sz="0" w:space="0" w:color="auto"/>
      </w:divBdr>
    </w:div>
    <w:div w:id="1736315057">
      <w:bodyDiv w:val="1"/>
      <w:marLeft w:val="0"/>
      <w:marRight w:val="0"/>
      <w:marTop w:val="0"/>
      <w:marBottom w:val="0"/>
      <w:divBdr>
        <w:top w:val="none" w:sz="0" w:space="0" w:color="auto"/>
        <w:left w:val="none" w:sz="0" w:space="0" w:color="auto"/>
        <w:bottom w:val="none" w:sz="0" w:space="0" w:color="auto"/>
        <w:right w:val="none" w:sz="0" w:space="0" w:color="auto"/>
      </w:divBdr>
    </w:div>
    <w:div w:id="1977026787">
      <w:bodyDiv w:val="1"/>
      <w:marLeft w:val="0"/>
      <w:marRight w:val="0"/>
      <w:marTop w:val="0"/>
      <w:marBottom w:val="0"/>
      <w:divBdr>
        <w:top w:val="none" w:sz="0" w:space="0" w:color="auto"/>
        <w:left w:val="none" w:sz="0" w:space="0" w:color="auto"/>
        <w:bottom w:val="none" w:sz="0" w:space="0" w:color="auto"/>
        <w:right w:val="none" w:sz="0" w:space="0" w:color="auto"/>
      </w:divBdr>
    </w:div>
    <w:div w:id="2103337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5B2EE-2866-0B44-8331-3F013C2CD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8048</Words>
  <Characters>45874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Marcinkowska</dc:creator>
  <cp:keywords/>
  <dc:description/>
  <cp:lastModifiedBy>Richard Carr</cp:lastModifiedBy>
  <cp:revision>28</cp:revision>
  <dcterms:created xsi:type="dcterms:W3CDTF">2024-05-21T09:02:00Z</dcterms:created>
  <dcterms:modified xsi:type="dcterms:W3CDTF">2024-05-27T22:55:00Z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zotero-version="6.0.35"&gt;&lt;session id="PPBLz2vC"/&gt;&lt;style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 name="dontAskDelayCitationUpdates" value="true"/&gt;&lt;/prefs&gt;&lt;/data&gt;</vt:lpwstr>
  </property>
</Properties>
</file>