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25530" w14:textId="77777777" w:rsidR="00FF0074" w:rsidRPr="00EF24D8" w:rsidRDefault="00000000">
      <w:pPr>
        <w:spacing w:line="480" w:lineRule="auto"/>
        <w:jc w:val="center"/>
        <w:rPr>
          <w:rFonts w:ascii="Times New Roman" w:eastAsia="Times New Roman" w:hAnsi="Times New Roman" w:cs="Times New Roman"/>
          <w:b/>
          <w:color w:val="000000"/>
        </w:rPr>
      </w:pPr>
      <w:r w:rsidRPr="00EF24D8">
        <w:rPr>
          <w:rFonts w:ascii="Times New Roman" w:eastAsia="Times New Roman" w:hAnsi="Times New Roman" w:cs="Times New Roman"/>
          <w:b/>
          <w:color w:val="000000"/>
        </w:rPr>
        <w:t>Online-only Supplemental Materials</w:t>
      </w:r>
    </w:p>
    <w:p w14:paraId="76D65E10" w14:textId="536ACD2D" w:rsidR="00FF0074" w:rsidRPr="0091613C" w:rsidRDefault="000F744B" w:rsidP="006650DE">
      <w:pPr>
        <w:spacing w:line="480" w:lineRule="auto"/>
        <w:rPr>
          <w:rFonts w:ascii="Times New Roman" w:eastAsia="Times New Roman" w:hAnsi="Times New Roman" w:cs="Times New Roman"/>
          <w:b/>
        </w:rPr>
      </w:pPr>
      <w:r>
        <w:rPr>
          <w:rFonts w:ascii="Times New Roman" w:eastAsia="Times New Roman" w:hAnsi="Times New Roman" w:cs="Times New Roman"/>
          <w:b/>
        </w:rPr>
        <w:t>Table of Contents</w:t>
      </w:r>
    </w:p>
    <w:p w14:paraId="70373A4A" w14:textId="2CAF23E5" w:rsidR="0091613C" w:rsidRPr="00EF24D8" w:rsidRDefault="0091613C">
      <w:pPr>
        <w:numPr>
          <w:ilvl w:val="0"/>
          <w:numId w:val="1"/>
        </w:numPr>
        <w:rPr>
          <w:rFonts w:ascii="Times New Roman" w:eastAsia="Times New Roman" w:hAnsi="Times New Roman" w:cs="Times New Roman"/>
          <w:b/>
        </w:rPr>
      </w:pPr>
      <w:proofErr w:type="spellStart"/>
      <w:r>
        <w:rPr>
          <w:rFonts w:ascii="Times New Roman" w:eastAsia="Times New Roman" w:hAnsi="Times New Roman" w:cs="Times New Roman"/>
          <w:b/>
          <w:sz w:val="20"/>
          <w:szCs w:val="20"/>
        </w:rPr>
        <w:t>eMethods</w:t>
      </w:r>
      <w:proofErr w:type="spellEnd"/>
    </w:p>
    <w:p w14:paraId="18E38739" w14:textId="09A30C89" w:rsidR="00FF0074" w:rsidRPr="00EF24D8" w:rsidRDefault="00000000">
      <w:pPr>
        <w:numPr>
          <w:ilvl w:val="0"/>
          <w:numId w:val="1"/>
        </w:numPr>
        <w:rPr>
          <w:rFonts w:ascii="Times New Roman" w:eastAsia="Times New Roman" w:hAnsi="Times New Roman" w:cs="Times New Roman"/>
          <w:b/>
        </w:rPr>
      </w:pPr>
      <w:proofErr w:type="spellStart"/>
      <w:r w:rsidRPr="00EF24D8">
        <w:rPr>
          <w:rFonts w:ascii="Times New Roman" w:eastAsia="Times New Roman" w:hAnsi="Times New Roman" w:cs="Times New Roman"/>
          <w:b/>
          <w:sz w:val="20"/>
          <w:szCs w:val="20"/>
        </w:rPr>
        <w:t>eTable</w:t>
      </w:r>
      <w:proofErr w:type="spellEnd"/>
      <w:r w:rsidRPr="00EF24D8">
        <w:rPr>
          <w:rFonts w:ascii="Times New Roman" w:eastAsia="Times New Roman" w:hAnsi="Times New Roman" w:cs="Times New Roman"/>
          <w:b/>
          <w:sz w:val="20"/>
          <w:szCs w:val="20"/>
        </w:rPr>
        <w:t xml:space="preserve"> </w:t>
      </w:r>
      <w:r w:rsidR="00DC5BA3">
        <w:rPr>
          <w:rFonts w:ascii="Times New Roman" w:eastAsia="Times New Roman" w:hAnsi="Times New Roman" w:cs="Times New Roman"/>
          <w:b/>
          <w:sz w:val="20"/>
          <w:szCs w:val="20"/>
        </w:rPr>
        <w:t>1</w:t>
      </w:r>
      <w:r w:rsidRPr="00EF24D8">
        <w:rPr>
          <w:rFonts w:ascii="Times New Roman" w:eastAsia="Times New Roman" w:hAnsi="Times New Roman" w:cs="Times New Roman"/>
          <w:b/>
          <w:sz w:val="20"/>
          <w:szCs w:val="20"/>
        </w:rPr>
        <w:t xml:space="preserve">. Search Strategies </w:t>
      </w:r>
    </w:p>
    <w:p w14:paraId="6BC76667" w14:textId="4F24949F" w:rsidR="00FF0074" w:rsidRDefault="00000000">
      <w:pPr>
        <w:numPr>
          <w:ilvl w:val="0"/>
          <w:numId w:val="1"/>
        </w:numPr>
        <w:rPr>
          <w:rFonts w:ascii="Times New Roman" w:eastAsia="Times New Roman" w:hAnsi="Times New Roman" w:cs="Times New Roman"/>
          <w:b/>
          <w:sz w:val="20"/>
          <w:szCs w:val="20"/>
        </w:rPr>
      </w:pPr>
      <w:proofErr w:type="spellStart"/>
      <w:r w:rsidRPr="00EF24D8">
        <w:rPr>
          <w:rFonts w:ascii="Times New Roman" w:eastAsia="Times New Roman" w:hAnsi="Times New Roman" w:cs="Times New Roman"/>
          <w:b/>
          <w:sz w:val="20"/>
          <w:szCs w:val="20"/>
        </w:rPr>
        <w:t>eTable</w:t>
      </w:r>
      <w:proofErr w:type="spellEnd"/>
      <w:r w:rsidRPr="00EF24D8">
        <w:rPr>
          <w:rFonts w:ascii="Times New Roman" w:eastAsia="Times New Roman" w:hAnsi="Times New Roman" w:cs="Times New Roman"/>
          <w:b/>
          <w:sz w:val="20"/>
          <w:szCs w:val="20"/>
        </w:rPr>
        <w:t xml:space="preserve"> </w:t>
      </w:r>
      <w:r w:rsidR="003E2D35">
        <w:rPr>
          <w:rFonts w:ascii="Times New Roman" w:eastAsia="Times New Roman" w:hAnsi="Times New Roman" w:cs="Times New Roman"/>
          <w:b/>
          <w:sz w:val="20"/>
          <w:szCs w:val="20"/>
        </w:rPr>
        <w:t>2</w:t>
      </w:r>
      <w:r w:rsidRPr="00EF24D8">
        <w:rPr>
          <w:rFonts w:ascii="Times New Roman" w:eastAsia="Times New Roman" w:hAnsi="Times New Roman" w:cs="Times New Roman"/>
          <w:b/>
          <w:sz w:val="20"/>
          <w:szCs w:val="20"/>
        </w:rPr>
        <w:t>. PICOS statement</w:t>
      </w:r>
    </w:p>
    <w:p w14:paraId="4D045368" w14:textId="1DEF0FD7" w:rsidR="00E17031" w:rsidRPr="00EF24D8" w:rsidRDefault="00E17031">
      <w:pPr>
        <w:numPr>
          <w:ilvl w:val="0"/>
          <w:numId w:val="1"/>
        </w:num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eResults</w:t>
      </w:r>
      <w:proofErr w:type="spellEnd"/>
    </w:p>
    <w:p w14:paraId="5BB06F4F" w14:textId="7C995629" w:rsidR="00FF0074" w:rsidRDefault="00000000">
      <w:pPr>
        <w:numPr>
          <w:ilvl w:val="0"/>
          <w:numId w:val="1"/>
        </w:numPr>
        <w:rPr>
          <w:rFonts w:ascii="Times New Roman" w:eastAsia="Times New Roman" w:hAnsi="Times New Roman" w:cs="Times New Roman"/>
          <w:b/>
          <w:sz w:val="20"/>
          <w:szCs w:val="20"/>
        </w:rPr>
      </w:pPr>
      <w:proofErr w:type="spellStart"/>
      <w:r w:rsidRPr="00EF24D8">
        <w:rPr>
          <w:rFonts w:ascii="Times New Roman" w:eastAsia="Times New Roman" w:hAnsi="Times New Roman" w:cs="Times New Roman"/>
          <w:b/>
          <w:sz w:val="20"/>
          <w:szCs w:val="20"/>
        </w:rPr>
        <w:t>eTable</w:t>
      </w:r>
      <w:proofErr w:type="spellEnd"/>
      <w:r w:rsidRPr="00EF24D8">
        <w:rPr>
          <w:rFonts w:ascii="Times New Roman" w:eastAsia="Times New Roman" w:hAnsi="Times New Roman" w:cs="Times New Roman"/>
          <w:b/>
          <w:sz w:val="20"/>
          <w:szCs w:val="20"/>
        </w:rPr>
        <w:t xml:space="preserve"> </w:t>
      </w:r>
      <w:r w:rsidR="003E2D35">
        <w:rPr>
          <w:rFonts w:ascii="Times New Roman" w:eastAsia="Times New Roman" w:hAnsi="Times New Roman" w:cs="Times New Roman"/>
          <w:b/>
          <w:sz w:val="20"/>
          <w:szCs w:val="20"/>
        </w:rPr>
        <w:t>3</w:t>
      </w:r>
      <w:r w:rsidRPr="00EF24D8">
        <w:rPr>
          <w:rFonts w:ascii="Times New Roman" w:eastAsia="Times New Roman" w:hAnsi="Times New Roman" w:cs="Times New Roman"/>
          <w:b/>
          <w:sz w:val="20"/>
          <w:szCs w:val="20"/>
        </w:rPr>
        <w:t>. Key characteristics of all included trials</w:t>
      </w:r>
    </w:p>
    <w:p w14:paraId="464C9787" w14:textId="37A1273E" w:rsidR="003E2D35" w:rsidRPr="00EF24D8" w:rsidRDefault="003E2D35">
      <w:pPr>
        <w:numPr>
          <w:ilvl w:val="0"/>
          <w:numId w:val="1"/>
        </w:num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eTable</w:t>
      </w:r>
      <w:proofErr w:type="spellEnd"/>
      <w:r>
        <w:rPr>
          <w:rFonts w:ascii="Times New Roman" w:eastAsia="Times New Roman" w:hAnsi="Times New Roman" w:cs="Times New Roman"/>
          <w:b/>
          <w:sz w:val="20"/>
          <w:szCs w:val="20"/>
        </w:rPr>
        <w:t xml:space="preserve"> 4. </w:t>
      </w:r>
      <w:r w:rsidRPr="003E2D35">
        <w:rPr>
          <w:rFonts w:ascii="Times New Roman" w:eastAsia="Times New Roman" w:hAnsi="Times New Roman" w:cs="Times New Roman"/>
          <w:b/>
          <w:sz w:val="20"/>
          <w:szCs w:val="20"/>
        </w:rPr>
        <w:t xml:space="preserve">Studies by outcome measure included in the quantitative </w:t>
      </w:r>
      <w:proofErr w:type="gramStart"/>
      <w:r w:rsidRPr="003E2D35">
        <w:rPr>
          <w:rFonts w:ascii="Times New Roman" w:eastAsia="Times New Roman" w:hAnsi="Times New Roman" w:cs="Times New Roman"/>
          <w:b/>
          <w:sz w:val="20"/>
          <w:szCs w:val="20"/>
        </w:rPr>
        <w:t>synthesis</w:t>
      </w:r>
      <w:proofErr w:type="gramEnd"/>
    </w:p>
    <w:p w14:paraId="1AAB0723" w14:textId="77777777" w:rsidR="00FF0074" w:rsidRPr="00EF24D8" w:rsidRDefault="00000000">
      <w:pPr>
        <w:numPr>
          <w:ilvl w:val="0"/>
          <w:numId w:val="1"/>
        </w:numPr>
        <w:rPr>
          <w:rFonts w:ascii="Times New Roman" w:eastAsia="Times New Roman" w:hAnsi="Times New Roman" w:cs="Times New Roman"/>
          <w:b/>
          <w:sz w:val="20"/>
          <w:szCs w:val="20"/>
        </w:rPr>
      </w:pPr>
      <w:proofErr w:type="spellStart"/>
      <w:r w:rsidRPr="00EF24D8">
        <w:rPr>
          <w:rFonts w:ascii="Times New Roman" w:eastAsia="Times New Roman" w:hAnsi="Times New Roman" w:cs="Times New Roman"/>
          <w:b/>
          <w:sz w:val="20"/>
          <w:szCs w:val="20"/>
        </w:rPr>
        <w:t>eFigure</w:t>
      </w:r>
      <w:proofErr w:type="spellEnd"/>
      <w:r w:rsidRPr="00EF24D8">
        <w:rPr>
          <w:rFonts w:ascii="Times New Roman" w:eastAsia="Times New Roman" w:hAnsi="Times New Roman" w:cs="Times New Roman"/>
          <w:b/>
          <w:sz w:val="20"/>
          <w:szCs w:val="20"/>
        </w:rPr>
        <w:t xml:space="preserve"> 1. Risk of Bias assessment</w:t>
      </w:r>
    </w:p>
    <w:p w14:paraId="29401F59" w14:textId="415C71DC" w:rsidR="00FF0074" w:rsidRPr="006650DE" w:rsidRDefault="00000000" w:rsidP="006650DE">
      <w:pPr>
        <w:numPr>
          <w:ilvl w:val="0"/>
          <w:numId w:val="1"/>
        </w:numPr>
        <w:rPr>
          <w:rFonts w:ascii="Times New Roman" w:eastAsia="Times New Roman" w:hAnsi="Times New Roman" w:cs="Times New Roman"/>
          <w:b/>
          <w:sz w:val="20"/>
          <w:szCs w:val="20"/>
        </w:rPr>
      </w:pPr>
      <w:proofErr w:type="spellStart"/>
      <w:r w:rsidRPr="00EF24D8">
        <w:rPr>
          <w:rFonts w:ascii="Times New Roman" w:eastAsia="Times New Roman" w:hAnsi="Times New Roman" w:cs="Times New Roman"/>
          <w:b/>
          <w:sz w:val="20"/>
          <w:szCs w:val="20"/>
        </w:rPr>
        <w:t>eFigure</w:t>
      </w:r>
      <w:proofErr w:type="spellEnd"/>
      <w:r w:rsidRPr="00EF24D8">
        <w:rPr>
          <w:rFonts w:ascii="Times New Roman" w:eastAsia="Times New Roman" w:hAnsi="Times New Roman" w:cs="Times New Roman"/>
          <w:b/>
          <w:sz w:val="20"/>
          <w:szCs w:val="20"/>
        </w:rPr>
        <w:t xml:space="preserve"> 2. Funnel </w:t>
      </w:r>
      <w:proofErr w:type="gramStart"/>
      <w:r w:rsidRPr="00EF24D8">
        <w:rPr>
          <w:rFonts w:ascii="Times New Roman" w:eastAsia="Times New Roman" w:hAnsi="Times New Roman" w:cs="Times New Roman"/>
          <w:b/>
          <w:sz w:val="20"/>
          <w:szCs w:val="20"/>
        </w:rPr>
        <w:t>plot</w:t>
      </w:r>
      <w:proofErr w:type="gramEnd"/>
    </w:p>
    <w:p w14:paraId="48E15FD6" w14:textId="77777777" w:rsidR="00441748" w:rsidRDefault="00441748">
      <w:pPr>
        <w:pBdr>
          <w:top w:val="nil"/>
          <w:left w:val="nil"/>
          <w:bottom w:val="nil"/>
          <w:right w:val="nil"/>
          <w:between w:val="nil"/>
        </w:pBdr>
        <w:ind w:left="720"/>
        <w:rPr>
          <w:rFonts w:ascii="Times New Roman" w:eastAsia="Times New Roman" w:hAnsi="Times New Roman" w:cs="Times New Roman"/>
          <w:b/>
          <w:sz w:val="20"/>
          <w:szCs w:val="20"/>
        </w:rPr>
      </w:pPr>
    </w:p>
    <w:p w14:paraId="20E62D64" w14:textId="77777777" w:rsidR="00441748" w:rsidRPr="00EF24D8" w:rsidRDefault="00441748">
      <w:pPr>
        <w:pBdr>
          <w:top w:val="nil"/>
          <w:left w:val="nil"/>
          <w:bottom w:val="nil"/>
          <w:right w:val="nil"/>
          <w:between w:val="nil"/>
        </w:pBdr>
        <w:ind w:left="720"/>
        <w:rPr>
          <w:rFonts w:ascii="Times New Roman" w:eastAsia="Times New Roman" w:hAnsi="Times New Roman" w:cs="Times New Roman"/>
          <w:b/>
          <w:sz w:val="20"/>
          <w:szCs w:val="20"/>
        </w:rPr>
      </w:pPr>
    </w:p>
    <w:p w14:paraId="1BFF6802" w14:textId="77777777" w:rsidR="00FF0074" w:rsidRPr="00EF24D8" w:rsidRDefault="00FF0074">
      <w:pPr>
        <w:pBdr>
          <w:top w:val="nil"/>
          <w:left w:val="nil"/>
          <w:bottom w:val="nil"/>
          <w:right w:val="nil"/>
          <w:between w:val="nil"/>
        </w:pBdr>
        <w:ind w:left="720"/>
        <w:rPr>
          <w:rFonts w:ascii="Times New Roman" w:eastAsia="Times New Roman" w:hAnsi="Times New Roman" w:cs="Times New Roman"/>
          <w:b/>
          <w:sz w:val="20"/>
          <w:szCs w:val="20"/>
        </w:rPr>
      </w:pPr>
    </w:p>
    <w:p w14:paraId="7814DF4B" w14:textId="26E940DD" w:rsidR="0091613C" w:rsidRDefault="0091613C">
      <w:pPr>
        <w:numPr>
          <w:ilvl w:val="0"/>
          <w:numId w:val="2"/>
        </w:num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eMethods</w:t>
      </w:r>
      <w:proofErr w:type="spellEnd"/>
    </w:p>
    <w:p w14:paraId="4CB90F29" w14:textId="77777777" w:rsidR="0091613C" w:rsidRDefault="0091613C" w:rsidP="0091613C">
      <w:pPr>
        <w:pBdr>
          <w:top w:val="nil"/>
          <w:left w:val="nil"/>
          <w:bottom w:val="nil"/>
          <w:right w:val="nil"/>
          <w:between w:val="nil"/>
        </w:pBdr>
        <w:ind w:left="360"/>
        <w:rPr>
          <w:rFonts w:ascii="Times New Roman" w:eastAsia="Times New Roman" w:hAnsi="Times New Roman" w:cs="Times New Roman"/>
          <w:b/>
          <w:color w:val="000000"/>
        </w:rPr>
      </w:pPr>
    </w:p>
    <w:p w14:paraId="0FBAEAB9" w14:textId="1F8C460E" w:rsidR="0091613C" w:rsidRDefault="0091613C" w:rsidP="0091613C">
      <w:pPr>
        <w:pBdr>
          <w:top w:val="nil"/>
          <w:left w:val="nil"/>
          <w:bottom w:val="nil"/>
          <w:right w:val="nil"/>
          <w:between w:val="nil"/>
        </w:pBdr>
        <w:ind w:left="36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Search </w:t>
      </w:r>
      <w:proofErr w:type="gramStart"/>
      <w:r>
        <w:rPr>
          <w:rFonts w:ascii="Times New Roman" w:eastAsia="Times New Roman" w:hAnsi="Times New Roman" w:cs="Times New Roman"/>
          <w:b/>
          <w:color w:val="000000"/>
          <w:sz w:val="20"/>
          <w:szCs w:val="20"/>
        </w:rPr>
        <w:t>strategy</w:t>
      </w:r>
      <w:proofErr w:type="gramEnd"/>
    </w:p>
    <w:p w14:paraId="059E1BF3" w14:textId="77777777" w:rsidR="00B703E8" w:rsidRDefault="00F37674" w:rsidP="0091613C">
      <w:pPr>
        <w:pBdr>
          <w:top w:val="nil"/>
          <w:left w:val="nil"/>
          <w:bottom w:val="nil"/>
          <w:right w:val="nil"/>
          <w:between w:val="nil"/>
        </w:pBdr>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Given the</w:t>
      </w:r>
      <w:r w:rsidRPr="00F37674">
        <w:rPr>
          <w:rFonts w:ascii="Times New Roman" w:eastAsia="Times New Roman" w:hAnsi="Times New Roman" w:cs="Times New Roman"/>
          <w:color w:val="000000"/>
          <w:sz w:val="20"/>
          <w:szCs w:val="20"/>
        </w:rPr>
        <w:t xml:space="preserve"> limited literature on acute CBD impairment, </w:t>
      </w:r>
      <w:r>
        <w:rPr>
          <w:rFonts w:ascii="Times New Roman" w:eastAsia="Times New Roman" w:hAnsi="Times New Roman" w:cs="Times New Roman"/>
          <w:color w:val="000000"/>
          <w:sz w:val="20"/>
          <w:szCs w:val="20"/>
        </w:rPr>
        <w:t>a</w:t>
      </w:r>
      <w:r w:rsidRPr="00F37674">
        <w:rPr>
          <w:rFonts w:ascii="Times New Roman" w:eastAsia="Times New Roman" w:hAnsi="Times New Roman" w:cs="Times New Roman"/>
          <w:color w:val="000000"/>
          <w:sz w:val="20"/>
          <w:szCs w:val="20"/>
        </w:rPr>
        <w:t xml:space="preserve"> very broad strategy</w:t>
      </w:r>
      <w:r>
        <w:rPr>
          <w:rFonts w:ascii="Times New Roman" w:eastAsia="Times New Roman" w:hAnsi="Times New Roman" w:cs="Times New Roman"/>
          <w:color w:val="000000"/>
          <w:sz w:val="20"/>
          <w:szCs w:val="20"/>
        </w:rPr>
        <w:t xml:space="preserve"> was adopted</w:t>
      </w:r>
      <w:r w:rsidRPr="00F37674">
        <w:rPr>
          <w:rFonts w:ascii="Times New Roman" w:eastAsia="Times New Roman" w:hAnsi="Times New Roman" w:cs="Times New Roman"/>
          <w:color w:val="000000"/>
          <w:sz w:val="20"/>
          <w:szCs w:val="20"/>
        </w:rPr>
        <w:t xml:space="preserve"> to try and capture all possible studies. </w:t>
      </w:r>
      <w:r>
        <w:rPr>
          <w:rFonts w:ascii="Times New Roman" w:eastAsia="Times New Roman" w:hAnsi="Times New Roman" w:cs="Times New Roman"/>
          <w:color w:val="000000"/>
          <w:sz w:val="20"/>
          <w:szCs w:val="20"/>
        </w:rPr>
        <w:t>M</w:t>
      </w:r>
      <w:r w:rsidRPr="00F37674">
        <w:rPr>
          <w:rFonts w:ascii="Times New Roman" w:eastAsia="Times New Roman" w:hAnsi="Times New Roman" w:cs="Times New Roman"/>
          <w:color w:val="000000"/>
          <w:sz w:val="20"/>
          <w:szCs w:val="20"/>
        </w:rPr>
        <w:t xml:space="preserve">inimal restrictions </w:t>
      </w:r>
      <w:r>
        <w:rPr>
          <w:rFonts w:ascii="Times New Roman" w:eastAsia="Times New Roman" w:hAnsi="Times New Roman" w:cs="Times New Roman"/>
          <w:color w:val="000000"/>
          <w:sz w:val="20"/>
          <w:szCs w:val="20"/>
        </w:rPr>
        <w:t>were used as to</w:t>
      </w:r>
      <w:r w:rsidRPr="00F37674">
        <w:rPr>
          <w:rFonts w:ascii="Times New Roman" w:eastAsia="Times New Roman" w:hAnsi="Times New Roman" w:cs="Times New Roman"/>
          <w:color w:val="000000"/>
          <w:sz w:val="20"/>
          <w:szCs w:val="20"/>
        </w:rPr>
        <w:t xml:space="preserve"> not miss studies that were not indexed in databases by certain </w:t>
      </w:r>
      <w:proofErr w:type="spellStart"/>
      <w:r>
        <w:rPr>
          <w:rFonts w:ascii="Times New Roman" w:eastAsia="Times New Roman" w:hAnsi="Times New Roman" w:cs="Times New Roman"/>
          <w:color w:val="000000"/>
          <w:sz w:val="20"/>
          <w:szCs w:val="20"/>
        </w:rPr>
        <w:t>M</w:t>
      </w:r>
      <w:r w:rsidRPr="00F37674">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z w:val="20"/>
          <w:szCs w:val="20"/>
        </w:rPr>
        <w:t>SH</w:t>
      </w:r>
      <w:proofErr w:type="spellEnd"/>
      <w:r w:rsidRPr="00F37674">
        <w:rPr>
          <w:rFonts w:ascii="Times New Roman" w:eastAsia="Times New Roman" w:hAnsi="Times New Roman" w:cs="Times New Roman"/>
          <w:color w:val="000000"/>
          <w:sz w:val="20"/>
          <w:szCs w:val="20"/>
        </w:rPr>
        <w:t xml:space="preserve"> terms/criteria. For example, </w:t>
      </w:r>
      <w:r>
        <w:rPr>
          <w:rFonts w:ascii="Times New Roman" w:eastAsia="Times New Roman" w:hAnsi="Times New Roman" w:cs="Times New Roman"/>
          <w:color w:val="000000"/>
          <w:sz w:val="20"/>
          <w:szCs w:val="20"/>
        </w:rPr>
        <w:t>the search was not</w:t>
      </w:r>
      <w:r w:rsidRPr="00F37674">
        <w:rPr>
          <w:rFonts w:ascii="Times New Roman" w:eastAsia="Times New Roman" w:hAnsi="Times New Roman" w:cs="Times New Roman"/>
          <w:color w:val="000000"/>
          <w:sz w:val="20"/>
          <w:szCs w:val="20"/>
        </w:rPr>
        <w:t xml:space="preserve"> constrain</w:t>
      </w:r>
      <w:r>
        <w:rPr>
          <w:rFonts w:ascii="Times New Roman" w:eastAsia="Times New Roman" w:hAnsi="Times New Roman" w:cs="Times New Roman"/>
          <w:color w:val="000000"/>
          <w:sz w:val="20"/>
          <w:szCs w:val="20"/>
        </w:rPr>
        <w:t>ed</w:t>
      </w:r>
      <w:r w:rsidRPr="00F37674">
        <w:rPr>
          <w:rFonts w:ascii="Times New Roman" w:eastAsia="Times New Roman" w:hAnsi="Times New Roman" w:cs="Times New Roman"/>
          <w:color w:val="000000"/>
          <w:sz w:val="20"/>
          <w:szCs w:val="20"/>
        </w:rPr>
        <w:t xml:space="preserve"> to “humans only” as not all human trials are indexed as human, </w:t>
      </w:r>
      <w:r>
        <w:rPr>
          <w:rFonts w:ascii="Times New Roman" w:eastAsia="Times New Roman" w:hAnsi="Times New Roman" w:cs="Times New Roman"/>
          <w:color w:val="000000"/>
          <w:sz w:val="20"/>
          <w:szCs w:val="20"/>
        </w:rPr>
        <w:t>lending to</w:t>
      </w:r>
      <w:r w:rsidRPr="00F37674">
        <w:rPr>
          <w:rFonts w:ascii="Times New Roman" w:eastAsia="Times New Roman" w:hAnsi="Times New Roman" w:cs="Times New Roman"/>
          <w:color w:val="000000"/>
          <w:sz w:val="20"/>
          <w:szCs w:val="20"/>
        </w:rPr>
        <w:t xml:space="preserve"> a very large number of animal studies</w:t>
      </w:r>
      <w:r>
        <w:rPr>
          <w:rFonts w:ascii="Times New Roman" w:eastAsia="Times New Roman" w:hAnsi="Times New Roman" w:cs="Times New Roman"/>
          <w:color w:val="000000"/>
          <w:sz w:val="20"/>
          <w:szCs w:val="20"/>
        </w:rPr>
        <w:t xml:space="preserve"> that were excluded early on</w:t>
      </w:r>
      <w:r w:rsidRPr="00F37674">
        <w:rPr>
          <w:rFonts w:ascii="Times New Roman" w:eastAsia="Times New Roman" w:hAnsi="Times New Roman" w:cs="Times New Roman"/>
          <w:color w:val="000000"/>
          <w:sz w:val="20"/>
          <w:szCs w:val="20"/>
        </w:rPr>
        <w:t>.</w:t>
      </w:r>
      <w:r w:rsidR="00B703E8">
        <w:rPr>
          <w:rFonts w:ascii="Times New Roman" w:eastAsia="Times New Roman" w:hAnsi="Times New Roman" w:cs="Times New Roman"/>
          <w:color w:val="000000"/>
          <w:sz w:val="20"/>
          <w:szCs w:val="20"/>
        </w:rPr>
        <w:t xml:space="preserve"> </w:t>
      </w:r>
      <w:r w:rsidRPr="00F37674">
        <w:rPr>
          <w:rFonts w:ascii="Times New Roman" w:eastAsia="Times New Roman" w:hAnsi="Times New Roman" w:cs="Times New Roman"/>
          <w:color w:val="000000"/>
          <w:sz w:val="20"/>
          <w:szCs w:val="20"/>
        </w:rPr>
        <w:t xml:space="preserve">These strategies were adopted in collaboration with a medical librarian to make sure we captured all possible trials within our search. As a result, this inclusive strategy resulted in many records that were not eligible, but we believe this was a preferred approach to ensure a more thorough search of a limited literature base. </w:t>
      </w:r>
    </w:p>
    <w:p w14:paraId="6A2D48D8" w14:textId="77777777" w:rsidR="00B703E8" w:rsidRDefault="00B703E8" w:rsidP="0091613C">
      <w:pPr>
        <w:pBdr>
          <w:top w:val="nil"/>
          <w:left w:val="nil"/>
          <w:bottom w:val="nil"/>
          <w:right w:val="nil"/>
          <w:between w:val="nil"/>
        </w:pBdr>
        <w:ind w:left="360"/>
        <w:rPr>
          <w:rFonts w:ascii="Times New Roman" w:eastAsia="Times New Roman" w:hAnsi="Times New Roman" w:cs="Times New Roman"/>
          <w:color w:val="000000"/>
          <w:sz w:val="20"/>
          <w:szCs w:val="20"/>
        </w:rPr>
      </w:pPr>
    </w:p>
    <w:p w14:paraId="3230C5C0" w14:textId="218B70BC" w:rsidR="0091613C" w:rsidRDefault="00B703E8" w:rsidP="0091613C">
      <w:pPr>
        <w:pBdr>
          <w:top w:val="nil"/>
          <w:left w:val="nil"/>
          <w:bottom w:val="nil"/>
          <w:right w:val="nil"/>
          <w:between w:val="nil"/>
        </w:pBdr>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Further, t</w:t>
      </w:r>
      <w:r w:rsidR="0091613C" w:rsidRPr="0091613C">
        <w:rPr>
          <w:rFonts w:ascii="Times New Roman" w:eastAsia="Times New Roman" w:hAnsi="Times New Roman" w:cs="Times New Roman"/>
          <w:color w:val="000000"/>
          <w:sz w:val="20"/>
          <w:szCs w:val="20"/>
        </w:rPr>
        <w:t>he original search included Δ9-THC impairment studies w</w:t>
      </w:r>
      <w:r w:rsidR="0091613C" w:rsidRPr="0091613C">
        <w:rPr>
          <w:rFonts w:ascii="Times New Roman" w:eastAsia="Times New Roman" w:hAnsi="Times New Roman" w:cs="Times New Roman"/>
          <w:sz w:val="20"/>
          <w:szCs w:val="20"/>
        </w:rPr>
        <w:t xml:space="preserve">ithout a CBD arm for the secondary positive control analysis. However, this was then limited to only include studies with both a CBD and Δ9-THC arm to reduce heterogeneity in comparing CBD and Δ9-THC-related impairment. </w:t>
      </w:r>
      <w:r w:rsidR="00F60B99" w:rsidRPr="00F60B99">
        <w:rPr>
          <w:rFonts w:ascii="Times New Roman" w:eastAsia="Times New Roman" w:hAnsi="Times New Roman" w:cs="Times New Roman"/>
          <w:sz w:val="20"/>
          <w:szCs w:val="20"/>
        </w:rPr>
        <w:t xml:space="preserve">This decision was made after full text screening during preliminary data extraction, prior to any results being extracted or analyses being run.  </w:t>
      </w:r>
      <w:r w:rsidR="0091613C" w:rsidRPr="0091613C">
        <w:rPr>
          <w:rFonts w:ascii="Times New Roman" w:eastAsia="Times New Roman" w:hAnsi="Times New Roman" w:cs="Times New Roman"/>
          <w:sz w:val="20"/>
          <w:szCs w:val="20"/>
        </w:rPr>
        <w:t xml:space="preserve"> </w:t>
      </w:r>
      <w:r w:rsidR="0091613C" w:rsidRPr="0091613C">
        <w:rPr>
          <w:rFonts w:ascii="Times New Roman" w:eastAsia="Times New Roman" w:hAnsi="Times New Roman" w:cs="Times New Roman"/>
          <w:color w:val="000000"/>
          <w:sz w:val="20"/>
          <w:szCs w:val="20"/>
        </w:rPr>
        <w:t xml:space="preserve"> </w:t>
      </w:r>
    </w:p>
    <w:p w14:paraId="46BEABC3" w14:textId="77777777" w:rsidR="00021FFF" w:rsidRDefault="00021FFF" w:rsidP="0091613C">
      <w:pPr>
        <w:pBdr>
          <w:top w:val="nil"/>
          <w:left w:val="nil"/>
          <w:bottom w:val="nil"/>
          <w:right w:val="nil"/>
          <w:between w:val="nil"/>
        </w:pBdr>
        <w:ind w:left="360"/>
        <w:rPr>
          <w:rFonts w:ascii="Times New Roman" w:eastAsia="Times New Roman" w:hAnsi="Times New Roman" w:cs="Times New Roman"/>
          <w:color w:val="000000"/>
          <w:sz w:val="20"/>
          <w:szCs w:val="20"/>
        </w:rPr>
      </w:pPr>
    </w:p>
    <w:p w14:paraId="6401D8E6" w14:textId="64C46996" w:rsidR="00021FFF" w:rsidRDefault="00021FFF" w:rsidP="0091613C">
      <w:pPr>
        <w:pBdr>
          <w:top w:val="nil"/>
          <w:left w:val="nil"/>
          <w:bottom w:val="nil"/>
          <w:right w:val="nil"/>
          <w:between w:val="nil"/>
        </w:pBdr>
        <w:ind w:left="36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Data extraction </w:t>
      </w:r>
    </w:p>
    <w:p w14:paraId="2CF45A1D" w14:textId="5254A925" w:rsidR="00021FFF" w:rsidRDefault="00021FFF" w:rsidP="0091613C">
      <w:pPr>
        <w:pBdr>
          <w:top w:val="nil"/>
          <w:left w:val="nil"/>
          <w:bottom w:val="nil"/>
          <w:right w:val="nil"/>
          <w:between w:val="nil"/>
        </w:pBdr>
        <w:ind w:left="360"/>
        <w:rPr>
          <w:rFonts w:ascii="Times New Roman" w:eastAsia="Times New Roman" w:hAnsi="Times New Roman" w:cs="Times New Roman"/>
          <w:sz w:val="20"/>
          <w:szCs w:val="20"/>
        </w:rPr>
      </w:pPr>
      <w:r w:rsidRPr="00021FFF">
        <w:rPr>
          <w:rFonts w:ascii="Times New Roman" w:eastAsia="Times New Roman" w:hAnsi="Times New Roman" w:cs="Times New Roman"/>
          <w:b/>
          <w:bCs/>
          <w:color w:val="000000"/>
          <w:sz w:val="20"/>
          <w:szCs w:val="20"/>
        </w:rPr>
        <w:t xml:space="preserve"> </w:t>
      </w:r>
      <w:r w:rsidRPr="00021FFF">
        <w:rPr>
          <w:rFonts w:ascii="Times New Roman" w:eastAsia="Times New Roman" w:hAnsi="Times New Roman" w:cs="Times New Roman"/>
          <w:sz w:val="20"/>
          <w:szCs w:val="20"/>
        </w:rPr>
        <w:t xml:space="preserve">Eligible effect estimates for the peak mean difference in studies with multiple time points were constrained to 0-120 minutes post-inhaled cannabis and 30-240 minutes post-oral cannabis consumption given the pharmacokinetics of each route of administration </w:t>
      </w:r>
      <w:r w:rsidRPr="00021FFF">
        <w:rPr>
          <w:rFonts w:ascii="Times New Roman" w:eastAsia="Times New Roman" w:hAnsi="Times New Roman" w:cs="Times New Roman"/>
          <w:sz w:val="20"/>
          <w:szCs w:val="20"/>
        </w:rPr>
        <w:fldChar w:fldCharType="begin"/>
      </w:r>
      <w:r w:rsidR="006C0D02">
        <w:rPr>
          <w:rFonts w:ascii="Times New Roman" w:eastAsia="Times New Roman" w:hAnsi="Times New Roman" w:cs="Times New Roman"/>
          <w:sz w:val="20"/>
          <w:szCs w:val="20"/>
        </w:rPr>
        <w:instrText xml:space="preserve"> ADDIN ZOTERO_ITEM CSL_CITATION {"citationID":"E4M0ukCZ","properties":{"formattedCitation":"[1\\uc0\\u8211{}3]","plainCitation":"[1–3]","noteIndex":0},"citationItems":[{"id":3206,"uris":["http://zotero.org/users/local/cIxipA5o/items/ZL6MGVFC"],"itemData":{"id":3206,"type":"article-journal","abstract":"Introduction: The use and availability of oral and inhalable products containing cannabidiol (CBD) as the principal constituent has increased with expanded cannabis/hemp legalization. However, few controlled clinical laboratory studies have evaluated the pharmacodynamic effects of oral or vaporized CBD or CBD-dominant cannabis.\nMethods: Eighteen healthy adults (9 men; 9 women) completed four, double-blind, double-dummy, drug administration sessions. Sessions were separated by ≥1 week and included self-administration of 100 mg oral CBD, 100 mg vaporized CBD, vaporized CBD-dominant cannabis (100 mg CBD; 3.7 mg THC), and placebo. Study outcomes included: subjective drug effects, vital signs, cognitive/psychomotor performance, and whole blood THC and CBD concentrations.\nResults: Vaporized CBD and CBD-dominant cannabis increased ratings on several subjective items (e.g., Like Drug Effect) relative to placebo. Subjective effects did not differ between oral CBD and placebo and were generally higher for CBD-dominant cannabis compared to vaporized CBD. CBD did not increase ratings for several items typically associated with acute cannabis/THC exposure (e.g., Paranoid). Women reported qualitatively higher ratings for Pleasant Drug Effect than men after vaporized CBD and CBD-dominant cannabis use. CBD-dominant cannabis increased heart rate compared to placebo. Cognitive/psychomotor impairment was not observed in any drug condition.\nConclusions: Vaporized CBD and CBD-dominant cannabis produced discriminable subjective drug effects, which were sometimes stronger in women, but did not produce cognitive/psychomotor impairment. Subjective effects of oral CBD did not differ from placebo. Future research should further elucidate the subjective effects of various types of CBD products (e.g., inhaled, oral, topical), which appear to be distinct from THC-dominant products.","container-title":"Drug and Alcohol Dependence","DOI":"10.1016/j.drugalcdep.2020.107937","ISSN":"03768716","journalAbbreviation":"Drug and Alcohol Dependence","language":"en","page":"107937","source":"DOI.org (Crossref)","title":"Pharmacodynamic effects of vaporized and oral cannabidiol (CBD) and vaporized CBD-dominant cannabis in infrequent cannabis users","volume":"211","author":[{"family":"Spindle","given":"Tory R."},{"family":"Cone","given":"Edward J."},{"family":"Goffi","given":"Elia"},{"family":"Weerts","given":"Elise M."},{"family":"Mitchell","given":"John M."},{"family":"Winecker","given":"Ruth E."},{"family":"Bigelow","given":"George E."},{"family":"Flegel","given":"Ronald R."},{"family":"Vandrey","given":"Ryan"}],"issued":{"date-parts":[["2020",6]]}}},{"id":4770,"uris":["http://zotero.org/users/local/cIxipA5o/items/FZJKVMP5"],"itemData":{"id":4770,"type":"article-journal","container-title":"Journal of Analytical Toxicology","DOI":"10.1093/jat/bkx012","ISSN":"0146-4760, 1945-2403","issue":"2","language":"en","page":"83-99","source":"DOI.org (Crossref)","title":"Pharmacokinetic Profile of Oral Cannabis in Humans: Blood and Oral Fluid Disposition and Relation to Pharmacodynamic Outcomes","title-short":"Pharmacokinetic Profile of Oral Cannabis in Humans","volume":"41","author":[{"family":"Vandrey","given":"Ryan"},{"family":"Herrmann","given":"Evan S."},{"family":"Mitchell","given":"John M."},{"family":"Bigelow","given":"George E."},{"family":"Flegel","given":"Ronald"},{"family":"LoDico","given":"Charles"},{"family":"Cone","given":"Edward J."}],"issued":{"date-parts":[["2017",3,1]]}}},{"id":6374,"uris":["http://zotero.org/users/local/cIxipA5o/items/7GB53K6E"],"itemData":{"id":6374,"type":"article-journal","abstract":"With cannabis legalization expanding throughout the world, an unprecedented number of people now have access to legal cannabis. This expanded legalization has also created an extensive retail market that includes a litany of cannabis products, which vary on factors such as chemical profile (i.e., chemotype), formulation, and intended route of administration. Despite increases in cannabis access and product variety, research on the effects of product and user characteristics on drug effect profiles is limited.","container-title":"Current Addiction Reports","DOI":"10.1007/s40429-022-00429-4","ISSN":"2196-2952","issue":"4","journalAbbreviation":"Curr Addict Rep","language":"en","page":"608-621","source":"Springer Link","title":"Factors that Impact the Pharmacokinetic and Pharmacodynamic Effects of Cannabis: a Review of Human Laboratory Studies","title-short":"Factors that Impact the Pharmacokinetic and Pharmacodynamic Effects of Cannabis","volume":"9","author":[{"family":"Zamarripa","given":"C. Austin"},{"family":"Vandrey","given":"Ryan"},{"family":"Spindle","given":"Tory R."}],"issued":{"date-parts":[["2022",12,1]]}}}],"schema":"https://github.com/citation-style-language/schema/raw/master/csl-citation.json"} </w:instrText>
      </w:r>
      <w:r w:rsidRPr="00021FFF">
        <w:rPr>
          <w:rFonts w:ascii="Times New Roman" w:eastAsia="Times New Roman" w:hAnsi="Times New Roman" w:cs="Times New Roman"/>
          <w:sz w:val="20"/>
          <w:szCs w:val="20"/>
        </w:rPr>
        <w:fldChar w:fldCharType="separate"/>
      </w:r>
      <w:r w:rsidR="006C0D02" w:rsidRPr="006C0D02">
        <w:rPr>
          <w:rFonts w:ascii="Times New Roman" w:hAnsi="Times New Roman" w:cs="Times New Roman"/>
          <w:sz w:val="20"/>
          <w:lang w:val="en-US"/>
        </w:rPr>
        <w:t>[1–3]</w:t>
      </w:r>
      <w:r w:rsidRPr="00021FFF">
        <w:rPr>
          <w:rFonts w:ascii="Times New Roman" w:eastAsia="Times New Roman" w:hAnsi="Times New Roman" w:cs="Times New Roman"/>
          <w:sz w:val="20"/>
          <w:szCs w:val="20"/>
        </w:rPr>
        <w:fldChar w:fldCharType="end"/>
      </w:r>
      <w:r w:rsidRPr="00021FFF">
        <w:rPr>
          <w:rFonts w:ascii="Times New Roman" w:eastAsia="Times New Roman" w:hAnsi="Times New Roman" w:cs="Times New Roman"/>
          <w:sz w:val="20"/>
          <w:szCs w:val="20"/>
        </w:rPr>
        <w:t>.</w:t>
      </w:r>
    </w:p>
    <w:p w14:paraId="16F91C66" w14:textId="77777777" w:rsidR="00021FFF" w:rsidRDefault="00021FFF" w:rsidP="0091613C">
      <w:pPr>
        <w:pBdr>
          <w:top w:val="nil"/>
          <w:left w:val="nil"/>
          <w:bottom w:val="nil"/>
          <w:right w:val="nil"/>
          <w:between w:val="nil"/>
        </w:pBdr>
        <w:ind w:left="360"/>
        <w:rPr>
          <w:rFonts w:ascii="Times New Roman" w:eastAsia="Times New Roman" w:hAnsi="Times New Roman" w:cs="Times New Roman"/>
          <w:sz w:val="20"/>
          <w:szCs w:val="20"/>
        </w:rPr>
      </w:pPr>
    </w:p>
    <w:p w14:paraId="7671D2FC" w14:textId="24A5B77F" w:rsidR="00021FFF" w:rsidRPr="00021FFF" w:rsidRDefault="00021FFF" w:rsidP="0091613C">
      <w:pPr>
        <w:pBdr>
          <w:top w:val="nil"/>
          <w:left w:val="nil"/>
          <w:bottom w:val="nil"/>
          <w:right w:val="nil"/>
          <w:between w:val="nil"/>
        </w:pBdr>
        <w:ind w:left="360"/>
        <w:rPr>
          <w:rFonts w:ascii="Times New Roman" w:eastAsia="Times New Roman" w:hAnsi="Times New Roman" w:cs="Times New Roman"/>
          <w:b/>
          <w:bCs/>
          <w:color w:val="000000"/>
          <w:sz w:val="20"/>
          <w:szCs w:val="20"/>
        </w:rPr>
      </w:pPr>
      <w:r w:rsidRPr="00021FFF">
        <w:rPr>
          <w:rFonts w:ascii="Times New Roman" w:eastAsia="Times New Roman" w:hAnsi="Times New Roman" w:cs="Times New Roman"/>
          <w:b/>
          <w:bCs/>
          <w:sz w:val="20"/>
          <w:szCs w:val="20"/>
        </w:rPr>
        <w:t>Moderator variables</w:t>
      </w:r>
    </w:p>
    <w:p w14:paraId="749D6718" w14:textId="77777777" w:rsidR="00021FFF" w:rsidRDefault="00021FFF" w:rsidP="00021FFF">
      <w:pPr>
        <w:ind w:left="360"/>
        <w:rPr>
          <w:rFonts w:ascii="Times New Roman" w:eastAsia="Times New Roman" w:hAnsi="Times New Roman" w:cs="Times New Roman"/>
          <w:sz w:val="20"/>
          <w:szCs w:val="20"/>
        </w:rPr>
      </w:pPr>
      <w:r w:rsidRPr="00021FFF">
        <w:rPr>
          <w:rFonts w:ascii="Times New Roman" w:eastAsia="Times New Roman" w:hAnsi="Times New Roman" w:cs="Times New Roman"/>
          <w:i/>
          <w:sz w:val="20"/>
          <w:szCs w:val="20"/>
        </w:rPr>
        <w:t>Measure type</w:t>
      </w:r>
      <w:r w:rsidRPr="00021FFF">
        <w:rPr>
          <w:rFonts w:ascii="Times New Roman" w:eastAsia="Times New Roman" w:hAnsi="Times New Roman" w:cs="Times New Roman"/>
          <w:sz w:val="20"/>
          <w:szCs w:val="20"/>
        </w:rPr>
        <w:t xml:space="preserve">. Measure type was coded as a dichotomous variable representing subjective (k  = 33) versus objective (k  = 122) measures of impairment. </w:t>
      </w:r>
    </w:p>
    <w:p w14:paraId="6DDD24B8" w14:textId="77777777" w:rsidR="00021FFF" w:rsidRPr="00021FFF" w:rsidRDefault="00021FFF" w:rsidP="00021FFF">
      <w:pPr>
        <w:ind w:left="360"/>
        <w:rPr>
          <w:rFonts w:ascii="Times New Roman" w:eastAsia="Times New Roman" w:hAnsi="Times New Roman" w:cs="Times New Roman"/>
          <w:sz w:val="20"/>
          <w:szCs w:val="20"/>
        </w:rPr>
      </w:pPr>
    </w:p>
    <w:p w14:paraId="5588FA54" w14:textId="06BCFC9E" w:rsidR="00021FFF" w:rsidRDefault="00021FFF" w:rsidP="00021FFF">
      <w:pPr>
        <w:ind w:left="360"/>
        <w:rPr>
          <w:rFonts w:ascii="Times New Roman" w:eastAsia="Times New Roman" w:hAnsi="Times New Roman" w:cs="Times New Roman"/>
          <w:sz w:val="20"/>
          <w:szCs w:val="20"/>
        </w:rPr>
      </w:pPr>
      <w:r w:rsidRPr="00021FFF">
        <w:rPr>
          <w:rFonts w:ascii="Times New Roman" w:eastAsia="Times New Roman" w:hAnsi="Times New Roman" w:cs="Times New Roman"/>
          <w:i/>
          <w:sz w:val="20"/>
          <w:szCs w:val="20"/>
        </w:rPr>
        <w:t>Cognitive function</w:t>
      </w:r>
      <w:r w:rsidRPr="00021FFF">
        <w:rPr>
          <w:rFonts w:ascii="Times New Roman" w:eastAsia="Times New Roman" w:hAnsi="Times New Roman" w:cs="Times New Roman"/>
          <w:sz w:val="20"/>
          <w:szCs w:val="20"/>
        </w:rPr>
        <w:t xml:space="preserve">. Cognitive function was coded as a categorical variable based on the cognitive function/domain being assessed by the study measure </w:t>
      </w:r>
      <w:r w:rsidRPr="00021FFF">
        <w:rPr>
          <w:rFonts w:ascii="Times New Roman" w:eastAsia="Times New Roman" w:hAnsi="Times New Roman" w:cs="Times New Roman"/>
          <w:color w:val="000000" w:themeColor="text1"/>
          <w:sz w:val="20"/>
          <w:szCs w:val="20"/>
        </w:rPr>
        <w:t>(Table 1</w:t>
      </w:r>
      <w:r w:rsidRPr="00021FFF">
        <w:rPr>
          <w:rFonts w:ascii="Times New Roman" w:eastAsia="Times New Roman" w:hAnsi="Times New Roman" w:cs="Times New Roman"/>
          <w:sz w:val="20"/>
          <w:szCs w:val="20"/>
        </w:rPr>
        <w:t xml:space="preserve">). Categorizations of measures by cognitive function/domain were based on previous meta-analyses </w:t>
      </w:r>
      <w:r w:rsidRPr="00021FFF">
        <w:rPr>
          <w:rFonts w:ascii="Times New Roman" w:eastAsia="Times New Roman" w:hAnsi="Times New Roman" w:cs="Times New Roman"/>
          <w:sz w:val="20"/>
          <w:szCs w:val="20"/>
        </w:rPr>
        <w:fldChar w:fldCharType="begin"/>
      </w:r>
      <w:r w:rsidR="006C0D02">
        <w:rPr>
          <w:rFonts w:ascii="Times New Roman" w:eastAsia="Times New Roman" w:hAnsi="Times New Roman" w:cs="Times New Roman"/>
          <w:sz w:val="20"/>
          <w:szCs w:val="20"/>
        </w:rPr>
        <w:instrText xml:space="preserve"> ADDIN ZOTERO_ITEM CSL_CITATION {"citationID":"TEk2SuC1","properties":{"formattedCitation":"[4,5]","plainCitation":"[4,5]","noteIndex":0},"citationItems":[{"id":2655,"uris":["http://zotero.org/users/local/cIxipA5o/items/8XCGLWYU"],"itemData":{"id":2655,"type":"article-journal","container-title":"Neuroscience &amp; Biobehavioral Reviews","DOI":"10.1016/j.neubiorev.2021.01.003","ISSN":"01497634","journalAbbreviation":"Neuroscience &amp; Biobehavioral Reviews","language":"en","page":"S0149763421000178","source":"DOI.org (Crossref)","title":"Determining the magnitude and duration of acute Δ9-tetrahydrocannabinol (Δ9-THC)-induced driving and cognitive impairment: A systematic and meta-analytic review","title-short":"Determining the magnitude and duration of acute Δ9-tetrahydrocannabinol (Δ9-THC)-induced driving and cognitive impairment","author":[{"family":"McCartney","given":"Danielle"},{"family":"Arkell","given":"Thomas R."},{"family":"Irwin","given":"Christopher"},{"family":"McGregor","given":"Iain S."}],"issued":{"date-parts":[["2021",1]]}}},{"id":6491,"uris":["http://zotero.org/users/local/cIxipA5o/items/FYGNMLDU"],"itemData":{"id":6491,"type":"article-journal","abstract":"Background\nMethamphetamine has long been considered as a neurotoxic substance causing cognitive deficits. Recently, however, the magnitude and the clinical significance of the cognitive effects associated with methamphetamine use disorder (MUD) have been debated. To help clarify this controversy, we performed a meta-analysis of the cognitive deficits associated with MUD.\nMethods\nA literature search yielded 44 studies that assessed cognitive dysfunction in 1592 subjects with MUD and 1820 healthy controls. Effect size estimates were calculated using the Comprehensive Meta-Analysis, for the following 12 cognitive domains: attention, executive functions, impulsivity/reward processing, social cognition, speed of processing, verbal fluency/language, verbal learning and memory, visual learning and memory, visuo-spatial abilities and working memory.\nResults\nFindings revealed moderate impairment across most cognitive domains, including attention, executive functions, language/verbal fluency, verbal learning and memory, visual memory and working memory. Deficits in impulsivity/reward processing and social cognition were more prominent, whereas visual learning and visuo-spatial abilities were relatively spared cognitive domains. A publication bias was observed.\nDiscussion\nThese results show that MUD is associated with broad cognitive deficits that are in the same range as those associated with alcohol and cocaine use disorder, as recently shown by way of meta-analysis. The prominent effects of MUD on social cognition and impulsivity/reward processing are based on a small number of studies, and as such, these results will need to be replicated. The functional consequences (social and occupational) of the cognitive deficits of methamphetamine will also need to be determined.","container-title":"Addictive Behaviors","DOI":"10.1016/j.addbeh.2018.01.021","ISSN":"0306-4603","journalAbbreviation":"Addictive Behaviors","language":"en","page":"154-160","source":"ScienceDirect","title":"Cognitive deficits in individuals with methamphetamine use disorder: A meta-analysis","title-short":"Cognitive deficits in individuals with methamphetamine use disorder","volume":"80","author":[{"family":"Potvin","given":"Stéphane"},{"family":"Pelletier","given":"Julie"},{"family":"Grot","given":"Stéphanie"},{"family":"Hébert","given":"Catherine"},{"family":"Barr","given":"Alasdair M."},{"family":"Lecomte","given":"Tania"}],"issued":{"date-parts":[["2018",5,1]]}}}],"schema":"https://github.com/citation-style-language/schema/raw/master/csl-citation.json"} </w:instrText>
      </w:r>
      <w:r w:rsidRPr="00021FFF">
        <w:rPr>
          <w:rFonts w:ascii="Times New Roman" w:eastAsia="Times New Roman" w:hAnsi="Times New Roman" w:cs="Times New Roman"/>
          <w:sz w:val="20"/>
          <w:szCs w:val="20"/>
        </w:rPr>
        <w:fldChar w:fldCharType="separate"/>
      </w:r>
      <w:r w:rsidR="006C0D02">
        <w:rPr>
          <w:rFonts w:ascii="Times New Roman" w:hAnsi="Times New Roman" w:cs="Times New Roman"/>
          <w:sz w:val="20"/>
          <w:szCs w:val="20"/>
          <w:lang w:val="en-US"/>
        </w:rPr>
        <w:t>[4,5]</w:t>
      </w:r>
      <w:r w:rsidRPr="00021FFF">
        <w:rPr>
          <w:rFonts w:ascii="Times New Roman" w:eastAsia="Times New Roman" w:hAnsi="Times New Roman" w:cs="Times New Roman"/>
          <w:sz w:val="20"/>
          <w:szCs w:val="20"/>
        </w:rPr>
        <w:fldChar w:fldCharType="end"/>
      </w:r>
      <w:r w:rsidRPr="00021FFF">
        <w:rPr>
          <w:rFonts w:ascii="Times New Roman" w:eastAsia="Times New Roman" w:hAnsi="Times New Roman" w:cs="Times New Roman"/>
          <w:sz w:val="20"/>
          <w:szCs w:val="20"/>
        </w:rPr>
        <w:t xml:space="preserve">. Variable levels were limited to function domains that were assessed by </w:t>
      </w:r>
      <w:r w:rsidRPr="00021FFF">
        <w:rPr>
          <w:rFonts w:ascii="Times New Roman" w:eastAsia="Times New Roman" w:hAnsi="Times New Roman" w:cs="Times New Roman"/>
          <w:sz w:val="20"/>
          <w:szCs w:val="20"/>
          <w:u w:val="single"/>
        </w:rPr>
        <w:t>&gt;</w:t>
      </w:r>
      <w:r w:rsidRPr="00021FFF">
        <w:rPr>
          <w:rFonts w:ascii="Times New Roman" w:eastAsia="Times New Roman" w:hAnsi="Times New Roman" w:cs="Times New Roman"/>
          <w:sz w:val="20"/>
          <w:szCs w:val="20"/>
        </w:rPr>
        <w:t xml:space="preserve"> 2 studies: subjective sedation/tiredness (k = 22), divided attention (k = 38), driving (k = 8), episodic memory (k = 15), executive function (k = 3), information processing (k = 25), subjective alertness (k = 9), and working memory (k = 18).</w:t>
      </w:r>
    </w:p>
    <w:p w14:paraId="671AEA95" w14:textId="77777777" w:rsidR="00021FFF" w:rsidRPr="00021FFF" w:rsidRDefault="00021FFF" w:rsidP="00021FFF">
      <w:pPr>
        <w:ind w:left="360"/>
        <w:rPr>
          <w:rFonts w:ascii="Times New Roman" w:eastAsia="Times New Roman" w:hAnsi="Times New Roman" w:cs="Times New Roman"/>
          <w:sz w:val="20"/>
          <w:szCs w:val="20"/>
        </w:rPr>
      </w:pPr>
    </w:p>
    <w:p w14:paraId="02F8570A" w14:textId="77777777" w:rsidR="00021FFF" w:rsidRPr="00021FFF" w:rsidRDefault="00021FFF" w:rsidP="00021FFF">
      <w:pPr>
        <w:ind w:left="360"/>
        <w:rPr>
          <w:rFonts w:ascii="Times New Roman" w:eastAsia="Times New Roman" w:hAnsi="Times New Roman" w:cs="Times New Roman"/>
          <w:sz w:val="20"/>
          <w:szCs w:val="20"/>
        </w:rPr>
      </w:pPr>
      <w:r w:rsidRPr="00021FFF">
        <w:rPr>
          <w:rFonts w:ascii="Times New Roman" w:eastAsia="Times New Roman" w:hAnsi="Times New Roman" w:cs="Times New Roman"/>
          <w:i/>
          <w:sz w:val="20"/>
          <w:szCs w:val="20"/>
        </w:rPr>
        <w:t>CBD dose</w:t>
      </w:r>
      <w:r w:rsidRPr="00021FFF">
        <w:rPr>
          <w:rFonts w:ascii="Times New Roman" w:eastAsia="Times New Roman" w:hAnsi="Times New Roman" w:cs="Times New Roman"/>
          <w:sz w:val="20"/>
          <w:szCs w:val="20"/>
        </w:rPr>
        <w:t xml:space="preserve">. CBD dose was included as a continuous variable. The highest dose of 4500 mg CBD administered in one study was excluded from this analysis in order to reduce data skewness and allow for model interpretability.  </w:t>
      </w:r>
    </w:p>
    <w:p w14:paraId="7937FFE9" w14:textId="77777777" w:rsidR="00021FFF" w:rsidRDefault="00021FFF" w:rsidP="00021FFF">
      <w:pPr>
        <w:pBdr>
          <w:top w:val="nil"/>
          <w:left w:val="nil"/>
          <w:bottom w:val="nil"/>
          <w:right w:val="nil"/>
          <w:between w:val="nil"/>
        </w:pBdr>
        <w:ind w:firstLine="360"/>
        <w:rPr>
          <w:rFonts w:ascii="Times New Roman" w:eastAsia="Times New Roman" w:hAnsi="Times New Roman" w:cs="Times New Roman"/>
          <w:i/>
          <w:sz w:val="20"/>
          <w:szCs w:val="20"/>
        </w:rPr>
      </w:pPr>
    </w:p>
    <w:p w14:paraId="1A36056D" w14:textId="77B86CEF" w:rsidR="00021FFF" w:rsidRDefault="00021FFF" w:rsidP="00021FFF">
      <w:pPr>
        <w:pBdr>
          <w:top w:val="nil"/>
          <w:left w:val="nil"/>
          <w:bottom w:val="nil"/>
          <w:right w:val="nil"/>
          <w:between w:val="nil"/>
        </w:pBdr>
        <w:ind w:firstLine="360"/>
        <w:rPr>
          <w:rFonts w:ascii="Times New Roman" w:eastAsia="Times New Roman" w:hAnsi="Times New Roman" w:cs="Times New Roman"/>
          <w:sz w:val="20"/>
          <w:szCs w:val="20"/>
        </w:rPr>
      </w:pPr>
      <w:r w:rsidRPr="00021FFF">
        <w:rPr>
          <w:rFonts w:ascii="Times New Roman" w:eastAsia="Times New Roman" w:hAnsi="Times New Roman" w:cs="Times New Roman"/>
          <w:i/>
          <w:sz w:val="20"/>
          <w:szCs w:val="20"/>
        </w:rPr>
        <w:t>Route of administration</w:t>
      </w:r>
      <w:r w:rsidRPr="00021FFF">
        <w:rPr>
          <w:rFonts w:ascii="Times New Roman" w:eastAsia="Times New Roman" w:hAnsi="Times New Roman" w:cs="Times New Roman"/>
          <w:sz w:val="20"/>
          <w:szCs w:val="20"/>
        </w:rPr>
        <w:t xml:space="preserve">. Route of administration was coded as a dichotomous variable representing </w:t>
      </w:r>
      <w:proofErr w:type="gramStart"/>
      <w:r w:rsidRPr="00021FFF">
        <w:rPr>
          <w:rFonts w:ascii="Times New Roman" w:eastAsia="Times New Roman" w:hAnsi="Times New Roman" w:cs="Times New Roman"/>
          <w:sz w:val="20"/>
          <w:szCs w:val="20"/>
        </w:rPr>
        <w:t>oral</w:t>
      </w:r>
      <w:proofErr w:type="gramEnd"/>
    </w:p>
    <w:p w14:paraId="265B8113" w14:textId="77777777" w:rsidR="00021FFF" w:rsidRDefault="00021FFF" w:rsidP="00021FFF">
      <w:pPr>
        <w:pBdr>
          <w:top w:val="nil"/>
          <w:left w:val="nil"/>
          <w:bottom w:val="nil"/>
          <w:right w:val="nil"/>
          <w:between w:val="nil"/>
        </w:pBdr>
        <w:ind w:firstLine="360"/>
        <w:rPr>
          <w:rFonts w:ascii="Times New Roman" w:eastAsia="Times New Roman" w:hAnsi="Times New Roman" w:cs="Times New Roman"/>
          <w:sz w:val="20"/>
          <w:szCs w:val="20"/>
        </w:rPr>
      </w:pPr>
      <w:r w:rsidRPr="00021FFF">
        <w:rPr>
          <w:rFonts w:ascii="Times New Roman" w:eastAsia="Times New Roman" w:hAnsi="Times New Roman" w:cs="Times New Roman"/>
          <w:sz w:val="20"/>
          <w:szCs w:val="20"/>
        </w:rPr>
        <w:t xml:space="preserve">(k = 122) versus inhaled (k = 43) routes of administration. The inhalation method used in included trials </w:t>
      </w:r>
      <w:proofErr w:type="gramStart"/>
      <w:r w:rsidRPr="00021FFF">
        <w:rPr>
          <w:rFonts w:ascii="Times New Roman" w:eastAsia="Times New Roman" w:hAnsi="Times New Roman" w:cs="Times New Roman"/>
          <w:sz w:val="20"/>
          <w:szCs w:val="20"/>
        </w:rPr>
        <w:t>was</w:t>
      </w:r>
      <w:proofErr w:type="gramEnd"/>
    </w:p>
    <w:p w14:paraId="6ADFF906" w14:textId="78EC8FF4" w:rsidR="0091613C" w:rsidRPr="00021FFF" w:rsidRDefault="00021FFF" w:rsidP="00021FFF">
      <w:pPr>
        <w:pBdr>
          <w:top w:val="nil"/>
          <w:left w:val="nil"/>
          <w:bottom w:val="nil"/>
          <w:right w:val="nil"/>
          <w:between w:val="nil"/>
        </w:pBdr>
        <w:ind w:firstLine="360"/>
        <w:rPr>
          <w:rFonts w:ascii="Times New Roman" w:eastAsia="Times New Roman" w:hAnsi="Times New Roman" w:cs="Times New Roman"/>
          <w:b/>
          <w:color w:val="000000"/>
          <w:sz w:val="20"/>
          <w:szCs w:val="20"/>
        </w:rPr>
      </w:pPr>
      <w:proofErr w:type="spellStart"/>
      <w:r w:rsidRPr="00021FFF">
        <w:rPr>
          <w:rFonts w:ascii="Times New Roman" w:eastAsia="Times New Roman" w:hAnsi="Times New Roman" w:cs="Times New Roman"/>
          <w:sz w:val="20"/>
          <w:szCs w:val="20"/>
        </w:rPr>
        <w:t>vapourization</w:t>
      </w:r>
      <w:proofErr w:type="spellEnd"/>
      <w:r w:rsidRPr="00021FFF">
        <w:rPr>
          <w:rFonts w:ascii="Times New Roman" w:eastAsia="Times New Roman" w:hAnsi="Times New Roman" w:cs="Times New Roman"/>
          <w:sz w:val="20"/>
          <w:szCs w:val="20"/>
        </w:rPr>
        <w:t>.</w:t>
      </w:r>
    </w:p>
    <w:p w14:paraId="08918C15" w14:textId="77777777" w:rsidR="0091613C" w:rsidRDefault="0091613C" w:rsidP="0091613C">
      <w:pPr>
        <w:pBdr>
          <w:top w:val="nil"/>
          <w:left w:val="nil"/>
          <w:bottom w:val="nil"/>
          <w:right w:val="nil"/>
          <w:between w:val="nil"/>
        </w:pBdr>
        <w:ind w:left="360"/>
        <w:rPr>
          <w:rFonts w:ascii="Times New Roman" w:eastAsia="Times New Roman" w:hAnsi="Times New Roman" w:cs="Times New Roman"/>
          <w:b/>
          <w:color w:val="000000"/>
        </w:rPr>
      </w:pPr>
    </w:p>
    <w:p w14:paraId="3045E3ED" w14:textId="30FFAF21" w:rsidR="00FF0074" w:rsidRPr="000F744B" w:rsidRDefault="00000000">
      <w:pPr>
        <w:numPr>
          <w:ilvl w:val="0"/>
          <w:numId w:val="2"/>
        </w:numPr>
        <w:pBdr>
          <w:top w:val="nil"/>
          <w:left w:val="nil"/>
          <w:bottom w:val="nil"/>
          <w:right w:val="nil"/>
          <w:between w:val="nil"/>
        </w:pBdr>
        <w:rPr>
          <w:rFonts w:ascii="Times New Roman" w:eastAsia="Times New Roman" w:hAnsi="Times New Roman" w:cs="Times New Roman"/>
          <w:b/>
          <w:color w:val="000000"/>
        </w:rPr>
      </w:pPr>
      <w:proofErr w:type="spellStart"/>
      <w:r w:rsidRPr="000F744B">
        <w:rPr>
          <w:rFonts w:ascii="Times New Roman" w:eastAsia="Times New Roman" w:hAnsi="Times New Roman" w:cs="Times New Roman"/>
          <w:b/>
          <w:color w:val="000000"/>
        </w:rPr>
        <w:lastRenderedPageBreak/>
        <w:t>eTable</w:t>
      </w:r>
      <w:proofErr w:type="spellEnd"/>
      <w:r w:rsidRPr="000F744B">
        <w:rPr>
          <w:rFonts w:ascii="Times New Roman" w:eastAsia="Times New Roman" w:hAnsi="Times New Roman" w:cs="Times New Roman"/>
          <w:b/>
          <w:color w:val="000000"/>
        </w:rPr>
        <w:t xml:space="preserve"> </w:t>
      </w:r>
      <w:r w:rsidR="00DC5BA3">
        <w:rPr>
          <w:rFonts w:ascii="Times New Roman" w:eastAsia="Times New Roman" w:hAnsi="Times New Roman" w:cs="Times New Roman"/>
          <w:b/>
          <w:color w:val="000000"/>
        </w:rPr>
        <w:t>1</w:t>
      </w:r>
      <w:r w:rsidRPr="000F744B">
        <w:rPr>
          <w:rFonts w:ascii="Times New Roman" w:eastAsia="Times New Roman" w:hAnsi="Times New Roman" w:cs="Times New Roman"/>
          <w:b/>
          <w:color w:val="000000"/>
        </w:rPr>
        <w:t xml:space="preserve">. Search Strategies </w:t>
      </w:r>
    </w:p>
    <w:p w14:paraId="0445D4B7" w14:textId="77777777" w:rsidR="00FF0074" w:rsidRPr="00EF24D8" w:rsidRDefault="00FF0074">
      <w:pPr>
        <w:rPr>
          <w:rFonts w:ascii="Times New Roman" w:hAnsi="Times New Roman" w:cs="Times New Roman"/>
        </w:rPr>
      </w:pPr>
    </w:p>
    <w:p w14:paraId="05FE2D40" w14:textId="77777777" w:rsidR="00FF0074" w:rsidRPr="00EF24D8" w:rsidRDefault="00000000">
      <w:pPr>
        <w:rPr>
          <w:rFonts w:ascii="Times New Roman" w:eastAsia="Times New Roman" w:hAnsi="Times New Roman" w:cs="Times New Roman"/>
          <w:b/>
          <w:sz w:val="16"/>
          <w:szCs w:val="16"/>
        </w:rPr>
      </w:pPr>
      <w:proofErr w:type="spellStart"/>
      <w:r w:rsidRPr="00EF24D8">
        <w:rPr>
          <w:rFonts w:ascii="Times New Roman" w:eastAsia="Times New Roman" w:hAnsi="Times New Roman" w:cs="Times New Roman"/>
          <w:b/>
          <w:sz w:val="16"/>
          <w:szCs w:val="16"/>
        </w:rPr>
        <w:t>eTable</w:t>
      </w:r>
      <w:proofErr w:type="spellEnd"/>
      <w:r w:rsidRPr="00EF24D8">
        <w:rPr>
          <w:rFonts w:ascii="Times New Roman" w:eastAsia="Times New Roman" w:hAnsi="Times New Roman" w:cs="Times New Roman"/>
          <w:b/>
          <w:sz w:val="16"/>
          <w:szCs w:val="16"/>
        </w:rPr>
        <w:t xml:space="preserve"> 1. Search Strategies</w:t>
      </w:r>
    </w:p>
    <w:tbl>
      <w:tblPr>
        <w:tblStyle w:val="a"/>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8295"/>
      </w:tblGrid>
      <w:tr w:rsidR="00FF0074" w:rsidRPr="00EF24D8" w14:paraId="38213088" w14:textId="77777777">
        <w:tc>
          <w:tcPr>
            <w:tcW w:w="1200" w:type="dxa"/>
          </w:tcPr>
          <w:p w14:paraId="031AAFA5" w14:textId="77777777" w:rsidR="00FF0074" w:rsidRPr="00EF24D8" w:rsidRDefault="00000000">
            <w:pPr>
              <w:rPr>
                <w:rFonts w:ascii="Times New Roman" w:eastAsia="Times New Roman" w:hAnsi="Times New Roman" w:cs="Times New Roman"/>
                <w:b/>
                <w:sz w:val="16"/>
                <w:szCs w:val="16"/>
              </w:rPr>
            </w:pPr>
            <w:r w:rsidRPr="00EF24D8">
              <w:rPr>
                <w:rFonts w:ascii="Times New Roman" w:eastAsia="Times New Roman" w:hAnsi="Times New Roman" w:cs="Times New Roman"/>
                <w:b/>
                <w:sz w:val="16"/>
                <w:szCs w:val="16"/>
              </w:rPr>
              <w:t>Line</w:t>
            </w:r>
          </w:p>
        </w:tc>
        <w:tc>
          <w:tcPr>
            <w:tcW w:w="8295" w:type="dxa"/>
          </w:tcPr>
          <w:p w14:paraId="31D0F3AE" w14:textId="77777777" w:rsidR="00FF0074" w:rsidRPr="00EF24D8" w:rsidRDefault="00000000">
            <w:pPr>
              <w:rPr>
                <w:rFonts w:ascii="Times New Roman" w:eastAsia="Times New Roman" w:hAnsi="Times New Roman" w:cs="Times New Roman"/>
                <w:b/>
                <w:sz w:val="16"/>
                <w:szCs w:val="16"/>
              </w:rPr>
            </w:pPr>
            <w:r w:rsidRPr="00EF24D8">
              <w:rPr>
                <w:rFonts w:ascii="Times New Roman" w:eastAsia="Times New Roman" w:hAnsi="Times New Roman" w:cs="Times New Roman"/>
                <w:b/>
                <w:sz w:val="16"/>
                <w:szCs w:val="16"/>
              </w:rPr>
              <w:t>Search term</w:t>
            </w:r>
          </w:p>
        </w:tc>
      </w:tr>
      <w:tr w:rsidR="00FF0074" w:rsidRPr="00EF24D8" w14:paraId="468C0B84" w14:textId="77777777">
        <w:tc>
          <w:tcPr>
            <w:tcW w:w="9495" w:type="dxa"/>
            <w:gridSpan w:val="2"/>
            <w:shd w:val="clear" w:color="auto" w:fill="D0CECE"/>
          </w:tcPr>
          <w:p w14:paraId="6C4FA579" w14:textId="77777777" w:rsidR="00FF0074" w:rsidRPr="00EF24D8" w:rsidRDefault="00000000">
            <w:pPr>
              <w:rPr>
                <w:rFonts w:ascii="Times New Roman" w:eastAsia="Times New Roman" w:hAnsi="Times New Roman" w:cs="Times New Roman"/>
                <w:b/>
                <w:sz w:val="16"/>
                <w:szCs w:val="16"/>
              </w:rPr>
            </w:pPr>
            <w:r w:rsidRPr="00EF24D8">
              <w:rPr>
                <w:rFonts w:ascii="Times New Roman" w:eastAsia="Times New Roman" w:hAnsi="Times New Roman" w:cs="Times New Roman"/>
                <w:b/>
                <w:sz w:val="16"/>
                <w:szCs w:val="16"/>
              </w:rPr>
              <w:t>EMBASE</w:t>
            </w:r>
          </w:p>
        </w:tc>
      </w:tr>
      <w:tr w:rsidR="00FF0074" w:rsidRPr="00EF24D8" w14:paraId="7A8B189B" w14:textId="77777777">
        <w:tc>
          <w:tcPr>
            <w:tcW w:w="1200" w:type="dxa"/>
          </w:tcPr>
          <w:p w14:paraId="05A2AAD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w:t>
            </w:r>
          </w:p>
        </w:tc>
        <w:tc>
          <w:tcPr>
            <w:tcW w:w="8295" w:type="dxa"/>
          </w:tcPr>
          <w:p w14:paraId="4C808C1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cannabidiol/</w:t>
            </w:r>
          </w:p>
        </w:tc>
      </w:tr>
      <w:tr w:rsidR="00FF0074" w:rsidRPr="00EF24D8" w14:paraId="3D80EA67" w14:textId="77777777">
        <w:tc>
          <w:tcPr>
            <w:tcW w:w="1200" w:type="dxa"/>
          </w:tcPr>
          <w:p w14:paraId="453BF2BC" w14:textId="77777777" w:rsidR="00FF0074" w:rsidRPr="00EF24D8" w:rsidRDefault="00000000">
            <w:pPr>
              <w:ind w:right="1598"/>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w:t>
            </w:r>
          </w:p>
        </w:tc>
        <w:tc>
          <w:tcPr>
            <w:tcW w:w="8295" w:type="dxa"/>
          </w:tcPr>
          <w:p w14:paraId="27DBFCE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CBD.mp.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6D307500" w14:textId="77777777">
        <w:tc>
          <w:tcPr>
            <w:tcW w:w="1200" w:type="dxa"/>
          </w:tcPr>
          <w:p w14:paraId="15AD40C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w:t>
            </w:r>
          </w:p>
        </w:tc>
        <w:tc>
          <w:tcPr>
            <w:tcW w:w="8295" w:type="dxa"/>
          </w:tcPr>
          <w:p w14:paraId="329A86C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Cannabidiol.mp.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02FE8249" w14:textId="77777777">
        <w:tc>
          <w:tcPr>
            <w:tcW w:w="1200" w:type="dxa"/>
          </w:tcPr>
          <w:p w14:paraId="7705678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w:t>
            </w:r>
          </w:p>
        </w:tc>
        <w:tc>
          <w:tcPr>
            <w:tcW w:w="8295" w:type="dxa"/>
          </w:tcPr>
          <w:p w14:paraId="256085E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Epidiolex.mp.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1FF78472" w14:textId="77777777">
        <w:tc>
          <w:tcPr>
            <w:tcW w:w="1200" w:type="dxa"/>
          </w:tcPr>
          <w:p w14:paraId="78D8CBE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w:t>
            </w:r>
          </w:p>
        </w:tc>
        <w:tc>
          <w:tcPr>
            <w:tcW w:w="8295" w:type="dxa"/>
          </w:tcPr>
          <w:p w14:paraId="3014907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Nabidiokex.mp.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6FB9EFF3" w14:textId="77777777">
        <w:tc>
          <w:tcPr>
            <w:tcW w:w="1200" w:type="dxa"/>
          </w:tcPr>
          <w:p w14:paraId="75A0C10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6</w:t>
            </w:r>
          </w:p>
        </w:tc>
        <w:tc>
          <w:tcPr>
            <w:tcW w:w="8295" w:type="dxa"/>
          </w:tcPr>
          <w:p w14:paraId="3319616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Epidyolex.mp.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261EF424" w14:textId="77777777">
        <w:tc>
          <w:tcPr>
            <w:tcW w:w="1200" w:type="dxa"/>
          </w:tcPr>
          <w:p w14:paraId="4B37271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7</w:t>
            </w:r>
          </w:p>
        </w:tc>
        <w:tc>
          <w:tcPr>
            <w:tcW w:w="8295" w:type="dxa"/>
          </w:tcPr>
          <w:p w14:paraId="1DE2F00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hemp.mp.</w:t>
            </w:r>
          </w:p>
        </w:tc>
      </w:tr>
      <w:tr w:rsidR="00FF0074" w:rsidRPr="00EF24D8" w14:paraId="05D00EDB" w14:textId="77777777">
        <w:tc>
          <w:tcPr>
            <w:tcW w:w="1200" w:type="dxa"/>
          </w:tcPr>
          <w:p w14:paraId="0C88DA6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8</w:t>
            </w:r>
          </w:p>
        </w:tc>
        <w:tc>
          <w:tcPr>
            <w:tcW w:w="8295" w:type="dxa"/>
          </w:tcPr>
          <w:p w14:paraId="792E71C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 or 2 or 3 or 4 or 5 or 6 or 7</w:t>
            </w:r>
          </w:p>
        </w:tc>
      </w:tr>
      <w:tr w:rsidR="00FF0074" w:rsidRPr="00EF24D8" w14:paraId="16313B1F" w14:textId="77777777">
        <w:tc>
          <w:tcPr>
            <w:tcW w:w="1200" w:type="dxa"/>
          </w:tcPr>
          <w:p w14:paraId="19D68B2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9</w:t>
            </w:r>
          </w:p>
        </w:tc>
        <w:tc>
          <w:tcPr>
            <w:tcW w:w="8295" w:type="dxa"/>
          </w:tcPr>
          <w:p w14:paraId="56A5155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cannabinoid/</w:t>
            </w:r>
          </w:p>
        </w:tc>
      </w:tr>
      <w:tr w:rsidR="00FF0074" w:rsidRPr="00EF24D8" w14:paraId="1752B040" w14:textId="77777777">
        <w:tc>
          <w:tcPr>
            <w:tcW w:w="1200" w:type="dxa"/>
          </w:tcPr>
          <w:p w14:paraId="79B5DFC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10</w:t>
            </w:r>
          </w:p>
        </w:tc>
        <w:tc>
          <w:tcPr>
            <w:tcW w:w="8295" w:type="dxa"/>
          </w:tcPr>
          <w:p w14:paraId="515725D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cannabis/</w:t>
            </w:r>
          </w:p>
        </w:tc>
      </w:tr>
      <w:tr w:rsidR="00FF0074" w:rsidRPr="00EF24D8" w14:paraId="1450E027" w14:textId="77777777">
        <w:tc>
          <w:tcPr>
            <w:tcW w:w="1200" w:type="dxa"/>
          </w:tcPr>
          <w:p w14:paraId="5A403B4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11</w:t>
            </w:r>
          </w:p>
        </w:tc>
        <w:tc>
          <w:tcPr>
            <w:tcW w:w="8295" w:type="dxa"/>
          </w:tcPr>
          <w:p w14:paraId="6D2DE25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dronabinol/</w:t>
            </w:r>
          </w:p>
        </w:tc>
      </w:tr>
      <w:tr w:rsidR="00FF0074" w:rsidRPr="00EF24D8" w14:paraId="352ABF8C" w14:textId="77777777">
        <w:tc>
          <w:tcPr>
            <w:tcW w:w="1200" w:type="dxa"/>
          </w:tcPr>
          <w:p w14:paraId="7DB3E2A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12</w:t>
            </w:r>
          </w:p>
        </w:tc>
        <w:tc>
          <w:tcPr>
            <w:tcW w:w="8295" w:type="dxa"/>
          </w:tcPr>
          <w:p w14:paraId="790AFA2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tetrahydrocannabinol/</w:t>
            </w:r>
          </w:p>
        </w:tc>
      </w:tr>
      <w:tr w:rsidR="00FF0074" w:rsidRPr="00EF24D8" w14:paraId="6B7755E0" w14:textId="77777777">
        <w:tc>
          <w:tcPr>
            <w:tcW w:w="1200" w:type="dxa"/>
          </w:tcPr>
          <w:p w14:paraId="4403259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13</w:t>
            </w:r>
          </w:p>
        </w:tc>
        <w:tc>
          <w:tcPr>
            <w:tcW w:w="8295" w:type="dxa"/>
          </w:tcPr>
          <w:p w14:paraId="47C4FEFF"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nabiximols</w:t>
            </w:r>
            <w:proofErr w:type="spellEnd"/>
            <w:r w:rsidRPr="00EF24D8">
              <w:rPr>
                <w:rFonts w:ascii="Times New Roman" w:eastAsia="Times New Roman" w:hAnsi="Times New Roman" w:cs="Times New Roman"/>
                <w:sz w:val="16"/>
                <w:szCs w:val="16"/>
              </w:rPr>
              <w:t>/</w:t>
            </w:r>
          </w:p>
        </w:tc>
      </w:tr>
      <w:tr w:rsidR="00FF0074" w:rsidRPr="00EF24D8" w14:paraId="0F3CBA5D" w14:textId="77777777">
        <w:tc>
          <w:tcPr>
            <w:tcW w:w="1200" w:type="dxa"/>
          </w:tcPr>
          <w:p w14:paraId="5C26590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14</w:t>
            </w:r>
          </w:p>
        </w:tc>
        <w:tc>
          <w:tcPr>
            <w:tcW w:w="8295" w:type="dxa"/>
          </w:tcPr>
          <w:p w14:paraId="4632358A"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cannabi</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6D7998EC" w14:textId="77777777">
        <w:tc>
          <w:tcPr>
            <w:tcW w:w="1200" w:type="dxa"/>
          </w:tcPr>
          <w:p w14:paraId="27C6435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15</w:t>
            </w:r>
          </w:p>
        </w:tc>
        <w:tc>
          <w:tcPr>
            <w:tcW w:w="8295" w:type="dxa"/>
          </w:tcPr>
          <w:p w14:paraId="7C1284B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marijuana.mp.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0EE4E448" w14:textId="77777777">
        <w:tc>
          <w:tcPr>
            <w:tcW w:w="1200" w:type="dxa"/>
          </w:tcPr>
          <w:p w14:paraId="6CEC841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16</w:t>
            </w:r>
          </w:p>
        </w:tc>
        <w:tc>
          <w:tcPr>
            <w:tcW w:w="8295" w:type="dxa"/>
          </w:tcPr>
          <w:p w14:paraId="4894C8B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marihuana.mp.[</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0679F81C" w14:textId="77777777">
        <w:tc>
          <w:tcPr>
            <w:tcW w:w="1200" w:type="dxa"/>
          </w:tcPr>
          <w:p w14:paraId="7E1662C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17</w:t>
            </w:r>
          </w:p>
        </w:tc>
        <w:tc>
          <w:tcPr>
            <w:tcW w:w="8295" w:type="dxa"/>
          </w:tcPr>
          <w:p w14:paraId="3BD8C7E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tetrahydrocannabinol.mp,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60DAA9C2" w14:textId="77777777">
        <w:tc>
          <w:tcPr>
            <w:tcW w:w="1200" w:type="dxa"/>
          </w:tcPr>
          <w:p w14:paraId="1030021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18</w:t>
            </w:r>
          </w:p>
        </w:tc>
        <w:tc>
          <w:tcPr>
            <w:tcW w:w="8295" w:type="dxa"/>
          </w:tcPr>
          <w:p w14:paraId="1CCC335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THC.mp.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54751B2A" w14:textId="77777777">
        <w:tc>
          <w:tcPr>
            <w:tcW w:w="1200" w:type="dxa"/>
          </w:tcPr>
          <w:p w14:paraId="3FAF5BC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19</w:t>
            </w:r>
          </w:p>
        </w:tc>
        <w:tc>
          <w:tcPr>
            <w:tcW w:w="8295" w:type="dxa"/>
          </w:tcPr>
          <w:p w14:paraId="4561CFF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Sativex.mp.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005C4FE6" w14:textId="77777777">
        <w:tc>
          <w:tcPr>
            <w:tcW w:w="1200" w:type="dxa"/>
          </w:tcPr>
          <w:p w14:paraId="2B9FF69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20</w:t>
            </w:r>
          </w:p>
        </w:tc>
        <w:tc>
          <w:tcPr>
            <w:tcW w:w="8295" w:type="dxa"/>
          </w:tcPr>
          <w:p w14:paraId="32C3107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dronabinol.mp.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4EDFFA73" w14:textId="77777777">
        <w:tc>
          <w:tcPr>
            <w:tcW w:w="1200" w:type="dxa"/>
          </w:tcPr>
          <w:p w14:paraId="7071DEC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21</w:t>
            </w:r>
          </w:p>
        </w:tc>
        <w:tc>
          <w:tcPr>
            <w:tcW w:w="8295" w:type="dxa"/>
          </w:tcPr>
          <w:p w14:paraId="5B7C694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9 or 10 or 11 or 12 or 13 or 14 or 15 or 16 or 17 or 18 or 19 or 20</w:t>
            </w:r>
          </w:p>
        </w:tc>
      </w:tr>
      <w:tr w:rsidR="00FF0074" w:rsidRPr="00EF24D8" w14:paraId="547F2668" w14:textId="77777777">
        <w:tc>
          <w:tcPr>
            <w:tcW w:w="1200" w:type="dxa"/>
          </w:tcPr>
          <w:p w14:paraId="0197DAF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22</w:t>
            </w:r>
          </w:p>
        </w:tc>
        <w:tc>
          <w:tcPr>
            <w:tcW w:w="8295" w:type="dxa"/>
          </w:tcPr>
          <w:p w14:paraId="39B79FE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intoxication/ or drug intoxication/ </w:t>
            </w:r>
          </w:p>
        </w:tc>
      </w:tr>
      <w:tr w:rsidR="00FF0074" w:rsidRPr="00EF24D8" w14:paraId="0D0C885D" w14:textId="77777777">
        <w:tc>
          <w:tcPr>
            <w:tcW w:w="1200" w:type="dxa"/>
          </w:tcPr>
          <w:p w14:paraId="2CF14AE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23</w:t>
            </w:r>
          </w:p>
        </w:tc>
        <w:tc>
          <w:tcPr>
            <w:tcW w:w="8295" w:type="dxa"/>
          </w:tcPr>
          <w:p w14:paraId="3FD2978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balance impairment/</w:t>
            </w:r>
          </w:p>
        </w:tc>
      </w:tr>
      <w:tr w:rsidR="00FF0074" w:rsidRPr="00EF24D8" w14:paraId="71B907A4" w14:textId="77777777">
        <w:tc>
          <w:tcPr>
            <w:tcW w:w="1200" w:type="dxa"/>
          </w:tcPr>
          <w:p w14:paraId="34D81B9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24</w:t>
            </w:r>
          </w:p>
        </w:tc>
        <w:tc>
          <w:tcPr>
            <w:tcW w:w="8295" w:type="dxa"/>
          </w:tcPr>
          <w:p w14:paraId="61A77ED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memory/</w:t>
            </w:r>
          </w:p>
        </w:tc>
      </w:tr>
      <w:tr w:rsidR="00FF0074" w:rsidRPr="00EF24D8" w14:paraId="43428FA3" w14:textId="77777777">
        <w:tc>
          <w:tcPr>
            <w:tcW w:w="1200" w:type="dxa"/>
          </w:tcPr>
          <w:p w14:paraId="6267181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25</w:t>
            </w:r>
          </w:p>
        </w:tc>
        <w:tc>
          <w:tcPr>
            <w:tcW w:w="8295" w:type="dxa"/>
          </w:tcPr>
          <w:p w14:paraId="2814DBD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attention/</w:t>
            </w:r>
          </w:p>
        </w:tc>
      </w:tr>
      <w:tr w:rsidR="00FF0074" w:rsidRPr="00EF24D8" w14:paraId="39D1117D" w14:textId="77777777">
        <w:tc>
          <w:tcPr>
            <w:tcW w:w="1200" w:type="dxa"/>
          </w:tcPr>
          <w:p w14:paraId="6B8D337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26</w:t>
            </w:r>
          </w:p>
        </w:tc>
        <w:tc>
          <w:tcPr>
            <w:tcW w:w="8295" w:type="dxa"/>
          </w:tcPr>
          <w:p w14:paraId="22FC082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psychomotor performance/ or psychomotor activity/ or task performance/</w:t>
            </w:r>
          </w:p>
        </w:tc>
      </w:tr>
      <w:tr w:rsidR="00FF0074" w:rsidRPr="00EF24D8" w14:paraId="4619FC33" w14:textId="77777777">
        <w:tc>
          <w:tcPr>
            <w:tcW w:w="1200" w:type="dxa"/>
          </w:tcPr>
          <w:p w14:paraId="2498BC0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27</w:t>
            </w:r>
          </w:p>
        </w:tc>
        <w:tc>
          <w:tcPr>
            <w:tcW w:w="8295" w:type="dxa"/>
          </w:tcPr>
          <w:p w14:paraId="12724DA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motor performance</w:t>
            </w:r>
          </w:p>
        </w:tc>
      </w:tr>
      <w:tr w:rsidR="00FF0074" w:rsidRPr="00EF24D8" w14:paraId="3BC71905" w14:textId="77777777">
        <w:tc>
          <w:tcPr>
            <w:tcW w:w="1200" w:type="dxa"/>
          </w:tcPr>
          <w:p w14:paraId="6DED060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28</w:t>
            </w:r>
          </w:p>
        </w:tc>
        <w:tc>
          <w:tcPr>
            <w:tcW w:w="8295" w:type="dxa"/>
          </w:tcPr>
          <w:p w14:paraId="390CD15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cognitive/ or executive function/</w:t>
            </w:r>
          </w:p>
        </w:tc>
      </w:tr>
      <w:tr w:rsidR="00FF0074" w:rsidRPr="00EF24D8" w14:paraId="38246D75" w14:textId="77777777">
        <w:tc>
          <w:tcPr>
            <w:tcW w:w="1200" w:type="dxa"/>
          </w:tcPr>
          <w:p w14:paraId="6017B3A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29</w:t>
            </w:r>
          </w:p>
        </w:tc>
        <w:tc>
          <w:tcPr>
            <w:tcW w:w="8295" w:type="dxa"/>
          </w:tcPr>
          <w:p w14:paraId="0854CC0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verbal learning/ or paired associate learning/</w:t>
            </w:r>
          </w:p>
        </w:tc>
      </w:tr>
      <w:tr w:rsidR="00FF0074" w:rsidRPr="00EF24D8" w14:paraId="087F8945" w14:textId="77777777">
        <w:tc>
          <w:tcPr>
            <w:tcW w:w="1200" w:type="dxa"/>
          </w:tcPr>
          <w:p w14:paraId="6887E27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30</w:t>
            </w:r>
          </w:p>
        </w:tc>
        <w:tc>
          <w:tcPr>
            <w:tcW w:w="8295" w:type="dxa"/>
          </w:tcPr>
          <w:p w14:paraId="4007DB9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discrimination learning/</w:t>
            </w:r>
          </w:p>
        </w:tc>
      </w:tr>
      <w:tr w:rsidR="00FF0074" w:rsidRPr="00EF24D8" w14:paraId="49058089" w14:textId="77777777">
        <w:tc>
          <w:tcPr>
            <w:tcW w:w="1200" w:type="dxa"/>
          </w:tcPr>
          <w:p w14:paraId="1FC1E10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31</w:t>
            </w:r>
          </w:p>
        </w:tc>
        <w:tc>
          <w:tcPr>
            <w:tcW w:w="8295" w:type="dxa"/>
          </w:tcPr>
          <w:p w14:paraId="6BE19B0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associative learning/ or paired associate learning/</w:t>
            </w:r>
          </w:p>
        </w:tc>
      </w:tr>
      <w:tr w:rsidR="00FF0074" w:rsidRPr="00EF24D8" w14:paraId="58C011E3" w14:textId="77777777">
        <w:tc>
          <w:tcPr>
            <w:tcW w:w="1200" w:type="dxa"/>
          </w:tcPr>
          <w:p w14:paraId="7320E08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32</w:t>
            </w:r>
          </w:p>
        </w:tc>
        <w:tc>
          <w:tcPr>
            <w:tcW w:w="8295" w:type="dxa"/>
          </w:tcPr>
          <w:p w14:paraId="4F53B12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mental performance/ or mental load/ or mental task/</w:t>
            </w:r>
          </w:p>
        </w:tc>
      </w:tr>
      <w:tr w:rsidR="00FF0074" w:rsidRPr="00EF24D8" w14:paraId="16EBB9BD" w14:textId="77777777">
        <w:tc>
          <w:tcPr>
            <w:tcW w:w="1200" w:type="dxa"/>
          </w:tcPr>
          <w:p w14:paraId="5B7B20C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33</w:t>
            </w:r>
          </w:p>
        </w:tc>
        <w:tc>
          <w:tcPr>
            <w:tcW w:w="8295" w:type="dxa"/>
          </w:tcPr>
          <w:p w14:paraId="1DA67BE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psychomotor activity/ or driving ability/</w:t>
            </w:r>
          </w:p>
        </w:tc>
      </w:tr>
      <w:tr w:rsidR="00FF0074" w:rsidRPr="00EF24D8" w14:paraId="123BB65E" w14:textId="77777777">
        <w:tc>
          <w:tcPr>
            <w:tcW w:w="1200" w:type="dxa"/>
          </w:tcPr>
          <w:p w14:paraId="6C414E5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34</w:t>
            </w:r>
          </w:p>
        </w:tc>
        <w:tc>
          <w:tcPr>
            <w:tcW w:w="8295" w:type="dxa"/>
          </w:tcPr>
          <w:p w14:paraId="20665E4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reaction time/ or auditory reaction time/ or brake reaction time/ or motor reaction time/ or stop signal reaction time/ or visual reaction time/</w:t>
            </w:r>
          </w:p>
        </w:tc>
      </w:tr>
      <w:tr w:rsidR="00FF0074" w:rsidRPr="00EF24D8" w14:paraId="783A5074" w14:textId="77777777">
        <w:tc>
          <w:tcPr>
            <w:tcW w:w="1200" w:type="dxa"/>
          </w:tcPr>
          <w:p w14:paraId="17CFEF3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35</w:t>
            </w:r>
          </w:p>
        </w:tc>
        <w:tc>
          <w:tcPr>
            <w:tcW w:w="8295" w:type="dxa"/>
          </w:tcPr>
          <w:p w14:paraId="1F1809BD"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cogniti</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360A29A0" w14:textId="77777777">
        <w:tc>
          <w:tcPr>
            <w:tcW w:w="1200" w:type="dxa"/>
          </w:tcPr>
          <w:p w14:paraId="702D663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36</w:t>
            </w:r>
          </w:p>
        </w:tc>
        <w:tc>
          <w:tcPr>
            <w:tcW w:w="8295" w:type="dxa"/>
          </w:tcPr>
          <w:p w14:paraId="18B6C0AB"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impairm</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606E4133" w14:textId="77777777">
        <w:tc>
          <w:tcPr>
            <w:tcW w:w="1200" w:type="dxa"/>
          </w:tcPr>
          <w:p w14:paraId="3EEBC03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37</w:t>
            </w:r>
          </w:p>
        </w:tc>
        <w:tc>
          <w:tcPr>
            <w:tcW w:w="8295" w:type="dxa"/>
          </w:tcPr>
          <w:p w14:paraId="753A80D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psychomotor.mp.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170CEF9A" w14:textId="77777777">
        <w:tc>
          <w:tcPr>
            <w:tcW w:w="1200" w:type="dxa"/>
          </w:tcPr>
          <w:p w14:paraId="00C8341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38</w:t>
            </w:r>
          </w:p>
        </w:tc>
        <w:tc>
          <w:tcPr>
            <w:tcW w:w="8295" w:type="dxa"/>
          </w:tcPr>
          <w:p w14:paraId="1B834C2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attention.mp.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75A51068" w14:textId="77777777">
        <w:tc>
          <w:tcPr>
            <w:tcW w:w="1200" w:type="dxa"/>
          </w:tcPr>
          <w:p w14:paraId="6650A2D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39</w:t>
            </w:r>
          </w:p>
        </w:tc>
        <w:tc>
          <w:tcPr>
            <w:tcW w:w="8295" w:type="dxa"/>
          </w:tcPr>
          <w:p w14:paraId="3E84545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memory.mp.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3B63A9F0" w14:textId="77777777">
        <w:tc>
          <w:tcPr>
            <w:tcW w:w="1200" w:type="dxa"/>
          </w:tcPr>
          <w:p w14:paraId="58734E7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40</w:t>
            </w:r>
          </w:p>
        </w:tc>
        <w:tc>
          <w:tcPr>
            <w:tcW w:w="8295" w:type="dxa"/>
          </w:tcPr>
          <w:p w14:paraId="5A95AEE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reaction time.mp,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0591360D" w14:textId="77777777">
        <w:tc>
          <w:tcPr>
            <w:tcW w:w="1200" w:type="dxa"/>
          </w:tcPr>
          <w:p w14:paraId="797B23B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41</w:t>
            </w:r>
          </w:p>
        </w:tc>
        <w:tc>
          <w:tcPr>
            <w:tcW w:w="8295" w:type="dxa"/>
          </w:tcPr>
          <w:p w14:paraId="04171BC6"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coordinat</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4E645850" w14:textId="77777777">
        <w:tc>
          <w:tcPr>
            <w:tcW w:w="1200" w:type="dxa"/>
          </w:tcPr>
          <w:p w14:paraId="2ED3504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lastRenderedPageBreak/>
              <w:t>42</w:t>
            </w:r>
          </w:p>
        </w:tc>
        <w:tc>
          <w:tcPr>
            <w:tcW w:w="8295" w:type="dxa"/>
          </w:tcPr>
          <w:p w14:paraId="7BBAF560"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intoxic</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3301A028" w14:textId="77777777">
        <w:tc>
          <w:tcPr>
            <w:tcW w:w="1200" w:type="dxa"/>
          </w:tcPr>
          <w:p w14:paraId="7A9CD93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43</w:t>
            </w:r>
          </w:p>
        </w:tc>
        <w:tc>
          <w:tcPr>
            <w:tcW w:w="8295" w:type="dxa"/>
          </w:tcPr>
          <w:p w14:paraId="6E46F3B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driving.mp.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45E19FD7" w14:textId="77777777">
        <w:tc>
          <w:tcPr>
            <w:tcW w:w="1200" w:type="dxa"/>
          </w:tcPr>
          <w:p w14:paraId="6069FA2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44</w:t>
            </w:r>
          </w:p>
        </w:tc>
        <w:tc>
          <w:tcPr>
            <w:tcW w:w="8295" w:type="dxa"/>
          </w:tcPr>
          <w:p w14:paraId="5CAF231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task switching.mp.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2B04EEC9" w14:textId="77777777">
        <w:tc>
          <w:tcPr>
            <w:tcW w:w="1200" w:type="dxa"/>
          </w:tcPr>
          <w:p w14:paraId="7BBDD25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45</w:t>
            </w:r>
          </w:p>
        </w:tc>
        <w:tc>
          <w:tcPr>
            <w:tcW w:w="8295" w:type="dxa"/>
          </w:tcPr>
          <w:p w14:paraId="3C3A7E1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processing speed.mp.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drug trade name, original title, device manufacturer, drug manufacturer, device trade name, keyword heading word, floating subheading word, candidate term word]</w:t>
            </w:r>
          </w:p>
        </w:tc>
      </w:tr>
      <w:tr w:rsidR="00FF0074" w:rsidRPr="00EF24D8" w14:paraId="2048FB99" w14:textId="77777777">
        <w:tc>
          <w:tcPr>
            <w:tcW w:w="1200" w:type="dxa"/>
          </w:tcPr>
          <w:p w14:paraId="77495D1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46</w:t>
            </w:r>
          </w:p>
        </w:tc>
        <w:tc>
          <w:tcPr>
            <w:tcW w:w="8295" w:type="dxa"/>
          </w:tcPr>
          <w:p w14:paraId="54857E3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or/22-45</w:t>
            </w:r>
          </w:p>
        </w:tc>
      </w:tr>
      <w:tr w:rsidR="00FF0074" w:rsidRPr="00EF24D8" w14:paraId="6BE9860D" w14:textId="77777777">
        <w:tc>
          <w:tcPr>
            <w:tcW w:w="1200" w:type="dxa"/>
          </w:tcPr>
          <w:p w14:paraId="2AE8E5B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47</w:t>
            </w:r>
          </w:p>
        </w:tc>
        <w:tc>
          <w:tcPr>
            <w:tcW w:w="8295" w:type="dxa"/>
          </w:tcPr>
          <w:p w14:paraId="43C15BB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8 or 21</w:t>
            </w:r>
          </w:p>
        </w:tc>
      </w:tr>
      <w:tr w:rsidR="00FF0074" w:rsidRPr="00EF24D8" w14:paraId="0455FECD" w14:textId="77777777">
        <w:tc>
          <w:tcPr>
            <w:tcW w:w="1200" w:type="dxa"/>
          </w:tcPr>
          <w:p w14:paraId="78C88E7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48</w:t>
            </w:r>
          </w:p>
        </w:tc>
        <w:tc>
          <w:tcPr>
            <w:tcW w:w="8295" w:type="dxa"/>
          </w:tcPr>
          <w:p w14:paraId="410F55A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46 and 47</w:t>
            </w:r>
          </w:p>
        </w:tc>
      </w:tr>
      <w:tr w:rsidR="00FF0074" w:rsidRPr="00EF24D8" w14:paraId="7A65A389" w14:textId="77777777">
        <w:tc>
          <w:tcPr>
            <w:tcW w:w="1200" w:type="dxa"/>
          </w:tcPr>
          <w:p w14:paraId="721CC01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49</w:t>
            </w:r>
          </w:p>
        </w:tc>
        <w:tc>
          <w:tcPr>
            <w:tcW w:w="8295" w:type="dxa"/>
          </w:tcPr>
          <w:p w14:paraId="5402D08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(Randomized controlled trial/ or Controlled clinical study/ or random$.</w:t>
            </w:r>
            <w:proofErr w:type="spellStart"/>
            <w:r w:rsidRPr="00EF24D8">
              <w:rPr>
                <w:rFonts w:ascii="Times New Roman" w:eastAsia="Times New Roman" w:hAnsi="Times New Roman" w:cs="Times New Roman"/>
                <w:sz w:val="16"/>
                <w:szCs w:val="16"/>
              </w:rPr>
              <w:t>ti,</w:t>
            </w:r>
            <w:proofErr w:type="gramStart"/>
            <w:r w:rsidRPr="00EF24D8">
              <w:rPr>
                <w:rFonts w:ascii="Times New Roman" w:eastAsia="Times New Roman" w:hAnsi="Times New Roman" w:cs="Times New Roman"/>
                <w:sz w:val="16"/>
                <w:szCs w:val="16"/>
              </w:rPr>
              <w:t>ab</w:t>
            </w:r>
            <w:proofErr w:type="spellEnd"/>
            <w:r w:rsidRPr="00EF24D8">
              <w:rPr>
                <w:rFonts w:ascii="Times New Roman" w:eastAsia="Times New Roman" w:hAnsi="Times New Roman" w:cs="Times New Roman"/>
                <w:sz w:val="16"/>
                <w:szCs w:val="16"/>
              </w:rPr>
              <w:t>.</w:t>
            </w:r>
            <w:proofErr w:type="gramEnd"/>
            <w:r w:rsidRPr="00EF24D8">
              <w:rPr>
                <w:rFonts w:ascii="Times New Roman" w:eastAsia="Times New Roman" w:hAnsi="Times New Roman" w:cs="Times New Roman"/>
                <w:sz w:val="16"/>
                <w:szCs w:val="16"/>
              </w:rPr>
              <w:t xml:space="preserve"> or randomization/ or </w:t>
            </w:r>
            <w:proofErr w:type="spellStart"/>
            <w:r w:rsidRPr="00EF24D8">
              <w:rPr>
                <w:rFonts w:ascii="Times New Roman" w:eastAsia="Times New Roman" w:hAnsi="Times New Roman" w:cs="Times New Roman"/>
                <w:sz w:val="16"/>
                <w:szCs w:val="16"/>
              </w:rPr>
              <w:t>intermethod</w:t>
            </w:r>
            <w:proofErr w:type="spellEnd"/>
            <w:r w:rsidRPr="00EF24D8">
              <w:rPr>
                <w:rFonts w:ascii="Times New Roman" w:eastAsia="Times New Roman" w:hAnsi="Times New Roman" w:cs="Times New Roman"/>
                <w:sz w:val="16"/>
                <w:szCs w:val="16"/>
              </w:rPr>
              <w:t xml:space="preserve"> comparison/ or </w:t>
            </w:r>
            <w:proofErr w:type="spellStart"/>
            <w:r w:rsidRPr="00EF24D8">
              <w:rPr>
                <w:rFonts w:ascii="Times New Roman" w:eastAsia="Times New Roman" w:hAnsi="Times New Roman" w:cs="Times New Roman"/>
                <w:sz w:val="16"/>
                <w:szCs w:val="16"/>
              </w:rPr>
              <w:t>placebo.ti,ab</w:t>
            </w:r>
            <w:proofErr w:type="spellEnd"/>
            <w:r w:rsidRPr="00EF24D8">
              <w:rPr>
                <w:rFonts w:ascii="Times New Roman" w:eastAsia="Times New Roman" w:hAnsi="Times New Roman" w:cs="Times New Roman"/>
                <w:sz w:val="16"/>
                <w:szCs w:val="16"/>
              </w:rPr>
              <w:t>. or (compare or compared or comparison).</w:t>
            </w:r>
            <w:proofErr w:type="spellStart"/>
            <w:r w:rsidRPr="00EF24D8">
              <w:rPr>
                <w:rFonts w:ascii="Times New Roman" w:eastAsia="Times New Roman" w:hAnsi="Times New Roman" w:cs="Times New Roman"/>
                <w:sz w:val="16"/>
                <w:szCs w:val="16"/>
              </w:rPr>
              <w:t>ti</w:t>
            </w:r>
            <w:proofErr w:type="spellEnd"/>
            <w:r w:rsidRPr="00EF24D8">
              <w:rPr>
                <w:rFonts w:ascii="Times New Roman" w:eastAsia="Times New Roman" w:hAnsi="Times New Roman" w:cs="Times New Roman"/>
                <w:sz w:val="16"/>
                <w:szCs w:val="16"/>
              </w:rPr>
              <w:t>. or ((evaluated or evaluate or evaluating or assessed or assess) and (compare or compared or comparing or comparison)).ab. or (open adj label).</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xml:space="preserve">. or ((double or single or </w:t>
            </w:r>
            <w:proofErr w:type="spellStart"/>
            <w:r w:rsidRPr="00EF24D8">
              <w:rPr>
                <w:rFonts w:ascii="Times New Roman" w:eastAsia="Times New Roman" w:hAnsi="Times New Roman" w:cs="Times New Roman"/>
                <w:sz w:val="16"/>
                <w:szCs w:val="16"/>
              </w:rPr>
              <w:t>doubly</w:t>
            </w:r>
            <w:proofErr w:type="spellEnd"/>
            <w:r w:rsidRPr="00EF24D8">
              <w:rPr>
                <w:rFonts w:ascii="Times New Roman" w:eastAsia="Times New Roman" w:hAnsi="Times New Roman" w:cs="Times New Roman"/>
                <w:sz w:val="16"/>
                <w:szCs w:val="16"/>
              </w:rPr>
              <w:t xml:space="preserve"> or singly) adj (blind or blinded or blindly)).</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or double blind procedure/ or parallel group$1.ti,ab. or (crossover or cross over).</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or ((assign$ or match or matched or allocation) adj5 (alternate or group$1 or intervention$1 or patient$1 or subject$1 or participant$1)).</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or (assigned or allocated).</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or (controlled adj7 (study or design or trial)).</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or (volunteer or volunteers).</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xml:space="preserve">. or human experiment/ or </w:t>
            </w:r>
            <w:proofErr w:type="spellStart"/>
            <w:r w:rsidRPr="00EF24D8">
              <w:rPr>
                <w:rFonts w:ascii="Times New Roman" w:eastAsia="Times New Roman" w:hAnsi="Times New Roman" w:cs="Times New Roman"/>
                <w:sz w:val="16"/>
                <w:szCs w:val="16"/>
              </w:rPr>
              <w:t>trial.ti</w:t>
            </w:r>
            <w:proofErr w:type="spellEnd"/>
            <w:r w:rsidRPr="00EF24D8">
              <w:rPr>
                <w:rFonts w:ascii="Times New Roman" w:eastAsia="Times New Roman" w:hAnsi="Times New Roman" w:cs="Times New Roman"/>
                <w:sz w:val="16"/>
                <w:szCs w:val="16"/>
              </w:rPr>
              <w:t xml:space="preserve">.) not (((random$ adj </w:t>
            </w:r>
            <w:proofErr w:type="spellStart"/>
            <w:r w:rsidRPr="00EF24D8">
              <w:rPr>
                <w:rFonts w:ascii="Times New Roman" w:eastAsia="Times New Roman" w:hAnsi="Times New Roman" w:cs="Times New Roman"/>
                <w:sz w:val="16"/>
                <w:szCs w:val="16"/>
              </w:rPr>
              <w:t>sampl</w:t>
            </w:r>
            <w:proofErr w:type="spellEnd"/>
            <w:r w:rsidRPr="00EF24D8">
              <w:rPr>
                <w:rFonts w:ascii="Times New Roman" w:eastAsia="Times New Roman" w:hAnsi="Times New Roman" w:cs="Times New Roman"/>
                <w:sz w:val="16"/>
                <w:szCs w:val="16"/>
              </w:rPr>
              <w:t>$ adj7 ("cross section$" or questionnaire$1 or survey$ or database$1)).</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xml:space="preserve">. not (comparative study/ or controlled study/ or </w:t>
            </w:r>
            <w:proofErr w:type="spellStart"/>
            <w:r w:rsidRPr="00EF24D8">
              <w:rPr>
                <w:rFonts w:ascii="Times New Roman" w:eastAsia="Times New Roman" w:hAnsi="Times New Roman" w:cs="Times New Roman"/>
                <w:sz w:val="16"/>
                <w:szCs w:val="16"/>
              </w:rPr>
              <w:t>randomi?ed</w:t>
            </w:r>
            <w:proofErr w:type="spellEnd"/>
            <w:r w:rsidRPr="00EF24D8">
              <w:rPr>
                <w:rFonts w:ascii="Times New Roman" w:eastAsia="Times New Roman" w:hAnsi="Times New Roman" w:cs="Times New Roman"/>
                <w:sz w:val="16"/>
                <w:szCs w:val="16"/>
              </w:rPr>
              <w:t xml:space="preserve"> </w:t>
            </w:r>
            <w:proofErr w:type="spellStart"/>
            <w:r w:rsidRPr="00EF24D8">
              <w:rPr>
                <w:rFonts w:ascii="Times New Roman" w:eastAsia="Times New Roman" w:hAnsi="Times New Roman" w:cs="Times New Roman"/>
                <w:sz w:val="16"/>
                <w:szCs w:val="16"/>
              </w:rPr>
              <w:t>controlled.ti,ab</w:t>
            </w:r>
            <w:proofErr w:type="spellEnd"/>
            <w:r w:rsidRPr="00EF24D8">
              <w:rPr>
                <w:rFonts w:ascii="Times New Roman" w:eastAsia="Times New Roman" w:hAnsi="Times New Roman" w:cs="Times New Roman"/>
                <w:sz w:val="16"/>
                <w:szCs w:val="16"/>
              </w:rPr>
              <w:t xml:space="preserve">. or randomly </w:t>
            </w:r>
            <w:proofErr w:type="spellStart"/>
            <w:r w:rsidRPr="00EF24D8">
              <w:rPr>
                <w:rFonts w:ascii="Times New Roman" w:eastAsia="Times New Roman" w:hAnsi="Times New Roman" w:cs="Times New Roman"/>
                <w:sz w:val="16"/>
                <w:szCs w:val="16"/>
              </w:rPr>
              <w:t>assigned.ti,ab</w:t>
            </w:r>
            <w:proofErr w:type="spellEnd"/>
            <w:r w:rsidRPr="00EF24D8">
              <w:rPr>
                <w:rFonts w:ascii="Times New Roman" w:eastAsia="Times New Roman" w:hAnsi="Times New Roman" w:cs="Times New Roman"/>
                <w:sz w:val="16"/>
                <w:szCs w:val="16"/>
              </w:rPr>
              <w:t xml:space="preserve">.)) or (Cross-sectional study/ not (randomized controlled trial/ or controlled clinical study/ or controlled study/ or </w:t>
            </w:r>
            <w:proofErr w:type="spellStart"/>
            <w:r w:rsidRPr="00EF24D8">
              <w:rPr>
                <w:rFonts w:ascii="Times New Roman" w:eastAsia="Times New Roman" w:hAnsi="Times New Roman" w:cs="Times New Roman"/>
                <w:sz w:val="16"/>
                <w:szCs w:val="16"/>
              </w:rPr>
              <w:t>randomi?ed</w:t>
            </w:r>
            <w:proofErr w:type="spellEnd"/>
            <w:r w:rsidRPr="00EF24D8">
              <w:rPr>
                <w:rFonts w:ascii="Times New Roman" w:eastAsia="Times New Roman" w:hAnsi="Times New Roman" w:cs="Times New Roman"/>
                <w:sz w:val="16"/>
                <w:szCs w:val="16"/>
              </w:rPr>
              <w:t xml:space="preserve"> </w:t>
            </w:r>
            <w:proofErr w:type="spellStart"/>
            <w:r w:rsidRPr="00EF24D8">
              <w:rPr>
                <w:rFonts w:ascii="Times New Roman" w:eastAsia="Times New Roman" w:hAnsi="Times New Roman" w:cs="Times New Roman"/>
                <w:sz w:val="16"/>
                <w:szCs w:val="16"/>
              </w:rPr>
              <w:t>controlled.ti,ab</w:t>
            </w:r>
            <w:proofErr w:type="spellEnd"/>
            <w:r w:rsidRPr="00EF24D8">
              <w:rPr>
                <w:rFonts w:ascii="Times New Roman" w:eastAsia="Times New Roman" w:hAnsi="Times New Roman" w:cs="Times New Roman"/>
                <w:sz w:val="16"/>
                <w:szCs w:val="16"/>
              </w:rPr>
              <w:t>. or control group$1.ti,ab.)) or (((case adj control$) and random$) not</w:t>
            </w:r>
          </w:p>
          <w:p w14:paraId="0B05D915"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randomi?ed</w:t>
            </w:r>
            <w:proofErr w:type="spellEnd"/>
            <w:r w:rsidRPr="00EF24D8">
              <w:rPr>
                <w:rFonts w:ascii="Times New Roman" w:eastAsia="Times New Roman" w:hAnsi="Times New Roman" w:cs="Times New Roman"/>
                <w:sz w:val="16"/>
                <w:szCs w:val="16"/>
              </w:rPr>
              <w:t xml:space="preserve"> controlled).</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or (Systematic review not (trial or study)).</w:t>
            </w:r>
            <w:proofErr w:type="spellStart"/>
            <w:r w:rsidRPr="00EF24D8">
              <w:rPr>
                <w:rFonts w:ascii="Times New Roman" w:eastAsia="Times New Roman" w:hAnsi="Times New Roman" w:cs="Times New Roman"/>
                <w:sz w:val="16"/>
                <w:szCs w:val="16"/>
              </w:rPr>
              <w:t>ti</w:t>
            </w:r>
            <w:proofErr w:type="spellEnd"/>
            <w:r w:rsidRPr="00EF24D8">
              <w:rPr>
                <w:rFonts w:ascii="Times New Roman" w:eastAsia="Times New Roman" w:hAnsi="Times New Roman" w:cs="Times New Roman"/>
                <w:sz w:val="16"/>
                <w:szCs w:val="16"/>
              </w:rPr>
              <w:t>. or (</w:t>
            </w:r>
            <w:proofErr w:type="spellStart"/>
            <w:r w:rsidRPr="00EF24D8">
              <w:rPr>
                <w:rFonts w:ascii="Times New Roman" w:eastAsia="Times New Roman" w:hAnsi="Times New Roman" w:cs="Times New Roman"/>
                <w:sz w:val="16"/>
                <w:szCs w:val="16"/>
              </w:rPr>
              <w:t>nonrandom</w:t>
            </w:r>
            <w:proofErr w:type="spellEnd"/>
            <w:r w:rsidRPr="00EF24D8">
              <w:rPr>
                <w:rFonts w:ascii="Times New Roman" w:eastAsia="Times New Roman" w:hAnsi="Times New Roman" w:cs="Times New Roman"/>
                <w:sz w:val="16"/>
                <w:szCs w:val="16"/>
              </w:rPr>
              <w:t>$ not random$).</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or "Random field$".</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xml:space="preserve">. or (random cluster adj3 </w:t>
            </w:r>
            <w:proofErr w:type="spellStart"/>
            <w:r w:rsidRPr="00EF24D8">
              <w:rPr>
                <w:rFonts w:ascii="Times New Roman" w:eastAsia="Times New Roman" w:hAnsi="Times New Roman" w:cs="Times New Roman"/>
                <w:sz w:val="16"/>
                <w:szCs w:val="16"/>
              </w:rPr>
              <w:t>sampl</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ti,ab</w:t>
            </w:r>
            <w:proofErr w:type="spellEnd"/>
            <w:r w:rsidRPr="00EF24D8">
              <w:rPr>
                <w:rFonts w:ascii="Times New Roman" w:eastAsia="Times New Roman" w:hAnsi="Times New Roman" w:cs="Times New Roman"/>
                <w:sz w:val="16"/>
                <w:szCs w:val="16"/>
              </w:rPr>
              <w:t>. or ((</w:t>
            </w:r>
            <w:proofErr w:type="spellStart"/>
            <w:r w:rsidRPr="00EF24D8">
              <w:rPr>
                <w:rFonts w:ascii="Times New Roman" w:eastAsia="Times New Roman" w:hAnsi="Times New Roman" w:cs="Times New Roman"/>
                <w:sz w:val="16"/>
                <w:szCs w:val="16"/>
              </w:rPr>
              <w:t>review.ab</w:t>
            </w:r>
            <w:proofErr w:type="spellEnd"/>
            <w:r w:rsidRPr="00EF24D8">
              <w:rPr>
                <w:rFonts w:ascii="Times New Roman" w:eastAsia="Times New Roman" w:hAnsi="Times New Roman" w:cs="Times New Roman"/>
                <w:sz w:val="16"/>
                <w:szCs w:val="16"/>
              </w:rPr>
              <w:t xml:space="preserve">. and review.pt.) not </w:t>
            </w:r>
            <w:proofErr w:type="spellStart"/>
            <w:r w:rsidRPr="00EF24D8">
              <w:rPr>
                <w:rFonts w:ascii="Times New Roman" w:eastAsia="Times New Roman" w:hAnsi="Times New Roman" w:cs="Times New Roman"/>
                <w:sz w:val="16"/>
                <w:szCs w:val="16"/>
              </w:rPr>
              <w:t>trial.ti</w:t>
            </w:r>
            <w:proofErr w:type="spellEnd"/>
            <w:r w:rsidRPr="00EF24D8">
              <w:rPr>
                <w:rFonts w:ascii="Times New Roman" w:eastAsia="Times New Roman" w:hAnsi="Times New Roman" w:cs="Times New Roman"/>
                <w:sz w:val="16"/>
                <w:szCs w:val="16"/>
              </w:rPr>
              <w:t xml:space="preserve">.) or ("we </w:t>
            </w:r>
            <w:proofErr w:type="spellStart"/>
            <w:r w:rsidRPr="00EF24D8">
              <w:rPr>
                <w:rFonts w:ascii="Times New Roman" w:eastAsia="Times New Roman" w:hAnsi="Times New Roman" w:cs="Times New Roman"/>
                <w:sz w:val="16"/>
                <w:szCs w:val="16"/>
              </w:rPr>
              <w:t>searched".ab</w:t>
            </w:r>
            <w:proofErr w:type="spellEnd"/>
            <w:r w:rsidRPr="00EF24D8">
              <w:rPr>
                <w:rFonts w:ascii="Times New Roman" w:eastAsia="Times New Roman" w:hAnsi="Times New Roman" w:cs="Times New Roman"/>
                <w:sz w:val="16"/>
                <w:szCs w:val="16"/>
              </w:rPr>
              <w:t>. and (</w:t>
            </w:r>
            <w:proofErr w:type="spellStart"/>
            <w:r w:rsidRPr="00EF24D8">
              <w:rPr>
                <w:rFonts w:ascii="Times New Roman" w:eastAsia="Times New Roman" w:hAnsi="Times New Roman" w:cs="Times New Roman"/>
                <w:sz w:val="16"/>
                <w:szCs w:val="16"/>
              </w:rPr>
              <w:t>review.ti</w:t>
            </w:r>
            <w:proofErr w:type="spellEnd"/>
            <w:r w:rsidRPr="00EF24D8">
              <w:rPr>
                <w:rFonts w:ascii="Times New Roman" w:eastAsia="Times New Roman" w:hAnsi="Times New Roman" w:cs="Times New Roman"/>
                <w:sz w:val="16"/>
                <w:szCs w:val="16"/>
              </w:rPr>
              <w:t xml:space="preserve">. or review.pt.)) or "update </w:t>
            </w:r>
            <w:proofErr w:type="spellStart"/>
            <w:r w:rsidRPr="00EF24D8">
              <w:rPr>
                <w:rFonts w:ascii="Times New Roman" w:eastAsia="Times New Roman" w:hAnsi="Times New Roman" w:cs="Times New Roman"/>
                <w:sz w:val="16"/>
                <w:szCs w:val="16"/>
              </w:rPr>
              <w:t>review".ab</w:t>
            </w:r>
            <w:proofErr w:type="spellEnd"/>
            <w:r w:rsidRPr="00EF24D8">
              <w:rPr>
                <w:rFonts w:ascii="Times New Roman" w:eastAsia="Times New Roman" w:hAnsi="Times New Roman" w:cs="Times New Roman"/>
                <w:sz w:val="16"/>
                <w:szCs w:val="16"/>
              </w:rPr>
              <w:t>. or (databases adj4 searched).ab. or ((rat or rats or mouse or mice or swine or porcine or murine or sheep or lambs or pigs or piglets or rabbit or rabbits or cat or cats or dog or dogs or cattle or bovine or monkey or monkeys or trout or marmoset$1).</w:t>
            </w:r>
            <w:proofErr w:type="spellStart"/>
            <w:r w:rsidRPr="00EF24D8">
              <w:rPr>
                <w:rFonts w:ascii="Times New Roman" w:eastAsia="Times New Roman" w:hAnsi="Times New Roman" w:cs="Times New Roman"/>
                <w:sz w:val="16"/>
                <w:szCs w:val="16"/>
              </w:rPr>
              <w:t>ti</w:t>
            </w:r>
            <w:proofErr w:type="spellEnd"/>
            <w:r w:rsidRPr="00EF24D8">
              <w:rPr>
                <w:rFonts w:ascii="Times New Roman" w:eastAsia="Times New Roman" w:hAnsi="Times New Roman" w:cs="Times New Roman"/>
                <w:sz w:val="16"/>
                <w:szCs w:val="16"/>
              </w:rPr>
              <w:t>. and animal experiment/) or (Animal experiment/ not (human experiment/ or human/)))</w:t>
            </w:r>
          </w:p>
        </w:tc>
      </w:tr>
      <w:tr w:rsidR="00FF0074" w:rsidRPr="00EF24D8" w14:paraId="1D6A6D69" w14:textId="77777777">
        <w:tc>
          <w:tcPr>
            <w:tcW w:w="1200" w:type="dxa"/>
          </w:tcPr>
          <w:p w14:paraId="283FC5B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50</w:t>
            </w:r>
          </w:p>
        </w:tc>
        <w:tc>
          <w:tcPr>
            <w:tcW w:w="8295" w:type="dxa"/>
          </w:tcPr>
          <w:p w14:paraId="3190DC9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48 and 49</w:t>
            </w:r>
          </w:p>
        </w:tc>
      </w:tr>
      <w:tr w:rsidR="00FF0074" w:rsidRPr="00EF24D8" w14:paraId="2DAD6E66" w14:textId="77777777">
        <w:tc>
          <w:tcPr>
            <w:tcW w:w="9495" w:type="dxa"/>
            <w:gridSpan w:val="2"/>
            <w:shd w:val="clear" w:color="auto" w:fill="D0CECE"/>
          </w:tcPr>
          <w:p w14:paraId="16F41A9B" w14:textId="77777777" w:rsidR="00FF0074" w:rsidRPr="00EF24D8" w:rsidRDefault="00000000">
            <w:pPr>
              <w:rPr>
                <w:rFonts w:ascii="Times New Roman" w:eastAsia="Times New Roman" w:hAnsi="Times New Roman" w:cs="Times New Roman"/>
                <w:b/>
                <w:sz w:val="16"/>
                <w:szCs w:val="16"/>
              </w:rPr>
            </w:pPr>
            <w:r w:rsidRPr="00EF24D8">
              <w:rPr>
                <w:rFonts w:ascii="Times New Roman" w:eastAsia="Times New Roman" w:hAnsi="Times New Roman" w:cs="Times New Roman"/>
                <w:b/>
                <w:sz w:val="16"/>
                <w:szCs w:val="16"/>
              </w:rPr>
              <w:t>Medline</w:t>
            </w:r>
          </w:p>
        </w:tc>
      </w:tr>
      <w:tr w:rsidR="00FF0074" w:rsidRPr="00EF24D8" w14:paraId="0F313A12" w14:textId="77777777">
        <w:tc>
          <w:tcPr>
            <w:tcW w:w="1200" w:type="dxa"/>
          </w:tcPr>
          <w:p w14:paraId="7170FA7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w:t>
            </w:r>
          </w:p>
        </w:tc>
        <w:tc>
          <w:tcPr>
            <w:tcW w:w="8295" w:type="dxa"/>
          </w:tcPr>
          <w:p w14:paraId="1645CF5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Cannabidiol/</w:t>
            </w:r>
          </w:p>
        </w:tc>
      </w:tr>
      <w:tr w:rsidR="00FF0074" w:rsidRPr="00EF24D8" w14:paraId="2FD01112" w14:textId="77777777">
        <w:tc>
          <w:tcPr>
            <w:tcW w:w="1200" w:type="dxa"/>
          </w:tcPr>
          <w:p w14:paraId="6E8D6DB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w:t>
            </w:r>
          </w:p>
        </w:tc>
        <w:tc>
          <w:tcPr>
            <w:tcW w:w="8295" w:type="dxa"/>
          </w:tcPr>
          <w:p w14:paraId="42B834D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CBD.mp.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75C182BA" w14:textId="77777777">
        <w:tc>
          <w:tcPr>
            <w:tcW w:w="1200" w:type="dxa"/>
          </w:tcPr>
          <w:p w14:paraId="5C2BA7C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w:t>
            </w:r>
          </w:p>
        </w:tc>
        <w:tc>
          <w:tcPr>
            <w:tcW w:w="8295" w:type="dxa"/>
          </w:tcPr>
          <w:p w14:paraId="11D00E4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Cannabidiol.mp.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790B44A9" w14:textId="77777777">
        <w:tc>
          <w:tcPr>
            <w:tcW w:w="1200" w:type="dxa"/>
          </w:tcPr>
          <w:p w14:paraId="1BC102D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w:t>
            </w:r>
          </w:p>
        </w:tc>
        <w:tc>
          <w:tcPr>
            <w:tcW w:w="8295" w:type="dxa"/>
          </w:tcPr>
          <w:p w14:paraId="5696FA4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Epidiolex.mp.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2509F72E" w14:textId="77777777">
        <w:tc>
          <w:tcPr>
            <w:tcW w:w="1200" w:type="dxa"/>
          </w:tcPr>
          <w:p w14:paraId="4055F85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w:t>
            </w:r>
          </w:p>
        </w:tc>
        <w:tc>
          <w:tcPr>
            <w:tcW w:w="8295" w:type="dxa"/>
          </w:tcPr>
          <w:p w14:paraId="3D23E4B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Epidyolex.mp.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72B6E01A" w14:textId="77777777">
        <w:tc>
          <w:tcPr>
            <w:tcW w:w="1200" w:type="dxa"/>
          </w:tcPr>
          <w:p w14:paraId="0A5C6A1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6</w:t>
            </w:r>
          </w:p>
        </w:tc>
        <w:tc>
          <w:tcPr>
            <w:tcW w:w="8295" w:type="dxa"/>
          </w:tcPr>
          <w:p w14:paraId="165FC28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hemp.mp.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06C831E4" w14:textId="77777777">
        <w:tc>
          <w:tcPr>
            <w:tcW w:w="1200" w:type="dxa"/>
          </w:tcPr>
          <w:p w14:paraId="6CC0399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7</w:t>
            </w:r>
          </w:p>
        </w:tc>
        <w:tc>
          <w:tcPr>
            <w:tcW w:w="8295" w:type="dxa"/>
          </w:tcPr>
          <w:p w14:paraId="256DF7C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 or 2 or 3 or 4 or 5 or 6</w:t>
            </w:r>
          </w:p>
        </w:tc>
      </w:tr>
      <w:tr w:rsidR="00FF0074" w:rsidRPr="00EF24D8" w14:paraId="365293F3" w14:textId="77777777">
        <w:tc>
          <w:tcPr>
            <w:tcW w:w="1200" w:type="dxa"/>
          </w:tcPr>
          <w:p w14:paraId="492EB71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8</w:t>
            </w:r>
          </w:p>
        </w:tc>
        <w:tc>
          <w:tcPr>
            <w:tcW w:w="8295" w:type="dxa"/>
          </w:tcPr>
          <w:p w14:paraId="2031ECB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Cannabinoids/</w:t>
            </w:r>
          </w:p>
        </w:tc>
      </w:tr>
      <w:tr w:rsidR="00FF0074" w:rsidRPr="00EF24D8" w14:paraId="0718DC88" w14:textId="77777777">
        <w:tc>
          <w:tcPr>
            <w:tcW w:w="1200" w:type="dxa"/>
          </w:tcPr>
          <w:p w14:paraId="1902B3F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9</w:t>
            </w:r>
          </w:p>
        </w:tc>
        <w:tc>
          <w:tcPr>
            <w:tcW w:w="8295" w:type="dxa"/>
          </w:tcPr>
          <w:p w14:paraId="17BEA05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Cannabis/</w:t>
            </w:r>
          </w:p>
        </w:tc>
      </w:tr>
      <w:tr w:rsidR="00FF0074" w:rsidRPr="00EF24D8" w14:paraId="46053EBD" w14:textId="77777777">
        <w:tc>
          <w:tcPr>
            <w:tcW w:w="1200" w:type="dxa"/>
          </w:tcPr>
          <w:p w14:paraId="5FD0FB1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10</w:t>
            </w:r>
          </w:p>
        </w:tc>
        <w:tc>
          <w:tcPr>
            <w:tcW w:w="8295" w:type="dxa"/>
          </w:tcPr>
          <w:p w14:paraId="6F3E59BB"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cannabi</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43599E6F" w14:textId="77777777">
        <w:tc>
          <w:tcPr>
            <w:tcW w:w="1200" w:type="dxa"/>
          </w:tcPr>
          <w:p w14:paraId="5244B06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11</w:t>
            </w:r>
          </w:p>
        </w:tc>
        <w:tc>
          <w:tcPr>
            <w:tcW w:w="8295" w:type="dxa"/>
          </w:tcPr>
          <w:p w14:paraId="30302DC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dronabinol.mp.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61DBE41F" w14:textId="77777777">
        <w:tc>
          <w:tcPr>
            <w:tcW w:w="1200" w:type="dxa"/>
          </w:tcPr>
          <w:p w14:paraId="601FF26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12</w:t>
            </w:r>
          </w:p>
        </w:tc>
        <w:tc>
          <w:tcPr>
            <w:tcW w:w="8295" w:type="dxa"/>
          </w:tcPr>
          <w:p w14:paraId="44A3FAD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marijuana.mp.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0631E497" w14:textId="77777777">
        <w:tc>
          <w:tcPr>
            <w:tcW w:w="1200" w:type="dxa"/>
          </w:tcPr>
          <w:p w14:paraId="4BCB726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13</w:t>
            </w:r>
          </w:p>
        </w:tc>
        <w:tc>
          <w:tcPr>
            <w:tcW w:w="8295" w:type="dxa"/>
          </w:tcPr>
          <w:p w14:paraId="56F1680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marihuana.mp.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26443AF8" w14:textId="77777777">
        <w:tc>
          <w:tcPr>
            <w:tcW w:w="1200" w:type="dxa"/>
          </w:tcPr>
          <w:p w14:paraId="431B1FD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14</w:t>
            </w:r>
          </w:p>
        </w:tc>
        <w:tc>
          <w:tcPr>
            <w:tcW w:w="8295" w:type="dxa"/>
          </w:tcPr>
          <w:p w14:paraId="02A2452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tetrahydrocannabinol.mp.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7C33A790" w14:textId="77777777">
        <w:tc>
          <w:tcPr>
            <w:tcW w:w="1200" w:type="dxa"/>
          </w:tcPr>
          <w:p w14:paraId="2297065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15</w:t>
            </w:r>
          </w:p>
        </w:tc>
        <w:tc>
          <w:tcPr>
            <w:tcW w:w="8295" w:type="dxa"/>
          </w:tcPr>
          <w:p w14:paraId="16DB756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THC.mp.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0E9790E2" w14:textId="77777777">
        <w:tc>
          <w:tcPr>
            <w:tcW w:w="1200" w:type="dxa"/>
          </w:tcPr>
          <w:p w14:paraId="64B0338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lastRenderedPageBreak/>
              <w:t>16</w:t>
            </w:r>
          </w:p>
        </w:tc>
        <w:tc>
          <w:tcPr>
            <w:tcW w:w="8295" w:type="dxa"/>
          </w:tcPr>
          <w:p w14:paraId="56B5916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Sativex.mp.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identifier, synonyms]</w:t>
            </w:r>
          </w:p>
        </w:tc>
      </w:tr>
      <w:tr w:rsidR="00FF0074" w:rsidRPr="00EF24D8" w14:paraId="799AB88B" w14:textId="77777777">
        <w:tc>
          <w:tcPr>
            <w:tcW w:w="1200" w:type="dxa"/>
          </w:tcPr>
          <w:p w14:paraId="679DE2A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17</w:t>
            </w:r>
          </w:p>
        </w:tc>
        <w:tc>
          <w:tcPr>
            <w:tcW w:w="8295" w:type="dxa"/>
          </w:tcPr>
          <w:p w14:paraId="2F0BFAA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8 or 9 or 10 or 11 or 12 or 13 or 14 or 15 or 16</w:t>
            </w:r>
          </w:p>
        </w:tc>
      </w:tr>
      <w:tr w:rsidR="00FF0074" w:rsidRPr="00EF24D8" w14:paraId="185E23B7" w14:textId="77777777">
        <w:tc>
          <w:tcPr>
            <w:tcW w:w="1200" w:type="dxa"/>
          </w:tcPr>
          <w:p w14:paraId="3FA6A65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18</w:t>
            </w:r>
          </w:p>
        </w:tc>
        <w:tc>
          <w:tcPr>
            <w:tcW w:w="8295" w:type="dxa"/>
          </w:tcPr>
          <w:p w14:paraId="7747CBB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Neuropsychological Tests/</w:t>
            </w:r>
          </w:p>
        </w:tc>
      </w:tr>
      <w:tr w:rsidR="00FF0074" w:rsidRPr="00EF24D8" w14:paraId="7C3313AB" w14:textId="77777777">
        <w:tc>
          <w:tcPr>
            <w:tcW w:w="1200" w:type="dxa"/>
          </w:tcPr>
          <w:p w14:paraId="6E8CD1D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19</w:t>
            </w:r>
          </w:p>
        </w:tc>
        <w:tc>
          <w:tcPr>
            <w:tcW w:w="8295" w:type="dxa"/>
          </w:tcPr>
          <w:p w14:paraId="2B5BCF7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Cognitive Dysfunction/</w:t>
            </w:r>
          </w:p>
        </w:tc>
      </w:tr>
      <w:tr w:rsidR="00FF0074" w:rsidRPr="00EF24D8" w14:paraId="37F71C2F" w14:textId="77777777">
        <w:tc>
          <w:tcPr>
            <w:tcW w:w="1200" w:type="dxa"/>
          </w:tcPr>
          <w:p w14:paraId="4E86889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20</w:t>
            </w:r>
          </w:p>
        </w:tc>
        <w:tc>
          <w:tcPr>
            <w:tcW w:w="8295" w:type="dxa"/>
          </w:tcPr>
          <w:p w14:paraId="1A332AA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“Drug-Related Side Effects and Adverse Reactions”/</w:t>
            </w:r>
          </w:p>
        </w:tc>
      </w:tr>
      <w:tr w:rsidR="00FF0074" w:rsidRPr="00EF24D8" w14:paraId="377CA241" w14:textId="77777777">
        <w:tc>
          <w:tcPr>
            <w:tcW w:w="1200" w:type="dxa"/>
          </w:tcPr>
          <w:p w14:paraId="1E010BA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21</w:t>
            </w:r>
          </w:p>
        </w:tc>
        <w:tc>
          <w:tcPr>
            <w:tcW w:w="8295" w:type="dxa"/>
          </w:tcPr>
          <w:p w14:paraId="29297BB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cognition/ or Attention/ or comprehension/ or executive function/ or learning/ or association/ or exp memory/ or paired-</w:t>
            </w:r>
            <w:proofErr w:type="spellStart"/>
            <w:r w:rsidRPr="00EF24D8">
              <w:rPr>
                <w:rFonts w:ascii="Times New Roman" w:eastAsia="Times New Roman" w:hAnsi="Times New Roman" w:cs="Times New Roman"/>
                <w:sz w:val="16"/>
                <w:szCs w:val="16"/>
              </w:rPr>
              <w:t>associatelearning</w:t>
            </w:r>
            <w:proofErr w:type="spellEnd"/>
            <w:r w:rsidRPr="00EF24D8">
              <w:rPr>
                <w:rFonts w:ascii="Times New Roman" w:eastAsia="Times New Roman" w:hAnsi="Times New Roman" w:cs="Times New Roman"/>
                <w:sz w:val="16"/>
                <w:szCs w:val="16"/>
              </w:rPr>
              <w:t>/ or perception/ or auditory perception/ or visual perception/ or decision making/ or exp psychomotor performance/ or Neuropsychological Tests/ or reaction time/ or reflex/ or postural balance/</w:t>
            </w:r>
          </w:p>
        </w:tc>
      </w:tr>
      <w:tr w:rsidR="00FF0074" w:rsidRPr="00EF24D8" w14:paraId="09DA2A31" w14:textId="77777777">
        <w:tc>
          <w:tcPr>
            <w:tcW w:w="1200" w:type="dxa"/>
          </w:tcPr>
          <w:p w14:paraId="436971F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22</w:t>
            </w:r>
          </w:p>
        </w:tc>
        <w:tc>
          <w:tcPr>
            <w:tcW w:w="8295" w:type="dxa"/>
          </w:tcPr>
          <w:p w14:paraId="3F465FE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Attention/</w:t>
            </w:r>
          </w:p>
        </w:tc>
      </w:tr>
      <w:tr w:rsidR="00FF0074" w:rsidRPr="00EF24D8" w14:paraId="40EF01BE" w14:textId="77777777">
        <w:tc>
          <w:tcPr>
            <w:tcW w:w="1200" w:type="dxa"/>
          </w:tcPr>
          <w:p w14:paraId="1191444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23</w:t>
            </w:r>
          </w:p>
        </w:tc>
        <w:tc>
          <w:tcPr>
            <w:tcW w:w="8295" w:type="dxa"/>
          </w:tcPr>
          <w:p w14:paraId="0CF57DF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motor activity/ or multitasking behaviour/</w:t>
            </w:r>
          </w:p>
        </w:tc>
      </w:tr>
      <w:tr w:rsidR="00FF0074" w:rsidRPr="00EF24D8" w14:paraId="72F346F6" w14:textId="77777777">
        <w:tc>
          <w:tcPr>
            <w:tcW w:w="1200" w:type="dxa"/>
          </w:tcPr>
          <w:p w14:paraId="2C229DA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24</w:t>
            </w:r>
          </w:p>
        </w:tc>
        <w:tc>
          <w:tcPr>
            <w:tcW w:w="8295" w:type="dxa"/>
          </w:tcPr>
          <w:p w14:paraId="4707026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“Task Performance and Analysis”/</w:t>
            </w:r>
          </w:p>
        </w:tc>
      </w:tr>
      <w:tr w:rsidR="00FF0074" w:rsidRPr="00EF24D8" w14:paraId="1EC66E49" w14:textId="77777777">
        <w:tc>
          <w:tcPr>
            <w:tcW w:w="1200" w:type="dxa"/>
          </w:tcPr>
          <w:p w14:paraId="79F631A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25</w:t>
            </w:r>
          </w:p>
        </w:tc>
        <w:tc>
          <w:tcPr>
            <w:tcW w:w="8295" w:type="dxa"/>
          </w:tcPr>
          <w:p w14:paraId="74DB5E8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automobile driving/ or driving under the influence/</w:t>
            </w:r>
          </w:p>
        </w:tc>
      </w:tr>
      <w:tr w:rsidR="00FF0074" w:rsidRPr="00EF24D8" w14:paraId="33184701" w14:textId="77777777">
        <w:tc>
          <w:tcPr>
            <w:tcW w:w="1200" w:type="dxa"/>
          </w:tcPr>
          <w:p w14:paraId="3D81A92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26</w:t>
            </w:r>
          </w:p>
        </w:tc>
        <w:tc>
          <w:tcPr>
            <w:tcW w:w="8295" w:type="dxa"/>
          </w:tcPr>
          <w:p w14:paraId="32424330"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cogniti</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0671952F" w14:textId="77777777">
        <w:tc>
          <w:tcPr>
            <w:tcW w:w="1200" w:type="dxa"/>
          </w:tcPr>
          <w:p w14:paraId="4568BE8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27</w:t>
            </w:r>
          </w:p>
        </w:tc>
        <w:tc>
          <w:tcPr>
            <w:tcW w:w="8295" w:type="dxa"/>
          </w:tcPr>
          <w:p w14:paraId="5E62916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impair*.</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1A7018F6" w14:textId="77777777">
        <w:tc>
          <w:tcPr>
            <w:tcW w:w="1200" w:type="dxa"/>
          </w:tcPr>
          <w:p w14:paraId="4E74E15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28</w:t>
            </w:r>
          </w:p>
        </w:tc>
        <w:tc>
          <w:tcPr>
            <w:tcW w:w="8295" w:type="dxa"/>
          </w:tcPr>
          <w:p w14:paraId="74F5F2C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perform*.</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3E4B2228" w14:textId="77777777">
        <w:tc>
          <w:tcPr>
            <w:tcW w:w="1200" w:type="dxa"/>
          </w:tcPr>
          <w:p w14:paraId="597A464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29</w:t>
            </w:r>
          </w:p>
        </w:tc>
        <w:tc>
          <w:tcPr>
            <w:tcW w:w="8295" w:type="dxa"/>
          </w:tcPr>
          <w:p w14:paraId="42E79C8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psychomotor.mp.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w:t>
            </w:r>
          </w:p>
          <w:p w14:paraId="4A6D262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heading word, floating sub-heading word, keyword heading word, organism supplementary</w:t>
            </w:r>
          </w:p>
          <w:p w14:paraId="585EC0E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concept word, protocol supplementary concept word, rare disease supplementary concept word,</w:t>
            </w:r>
          </w:p>
          <w:p w14:paraId="461C147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unique identifier, synonyms]</w:t>
            </w:r>
          </w:p>
        </w:tc>
      </w:tr>
      <w:tr w:rsidR="00FF0074" w:rsidRPr="00EF24D8" w14:paraId="2C0AFFAD" w14:textId="77777777">
        <w:tc>
          <w:tcPr>
            <w:tcW w:w="1200" w:type="dxa"/>
          </w:tcPr>
          <w:p w14:paraId="636A201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30</w:t>
            </w:r>
          </w:p>
        </w:tc>
        <w:tc>
          <w:tcPr>
            <w:tcW w:w="8295" w:type="dxa"/>
          </w:tcPr>
          <w:p w14:paraId="795DD7B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attention.mp.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w:t>
            </w:r>
          </w:p>
          <w:p w14:paraId="202A4F2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heading word, floating sub-heading word, keyword heading word, organism supplementary</w:t>
            </w:r>
          </w:p>
          <w:p w14:paraId="122AFE0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concept word, protocol supplementary concept word, rare disease supplementary concept word,</w:t>
            </w:r>
          </w:p>
          <w:p w14:paraId="1661411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unique identifier, synonyms]</w:t>
            </w:r>
          </w:p>
        </w:tc>
      </w:tr>
      <w:tr w:rsidR="00FF0074" w:rsidRPr="00EF24D8" w14:paraId="11A79C78" w14:textId="77777777">
        <w:tc>
          <w:tcPr>
            <w:tcW w:w="1200" w:type="dxa"/>
          </w:tcPr>
          <w:p w14:paraId="3CFF4E0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31</w:t>
            </w:r>
          </w:p>
        </w:tc>
        <w:tc>
          <w:tcPr>
            <w:tcW w:w="8295" w:type="dxa"/>
          </w:tcPr>
          <w:p w14:paraId="2961A65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motor.mp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w:t>
            </w:r>
          </w:p>
          <w:p w14:paraId="2236D66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heading word, floating sub-heading word, keyword heading word, organism supplementary</w:t>
            </w:r>
          </w:p>
          <w:p w14:paraId="2CCC313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concept word, protocol supplementary concept word, rare disease supplementary concept word,</w:t>
            </w:r>
          </w:p>
          <w:p w14:paraId="3088F83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unique identifier, synonyms]</w:t>
            </w:r>
          </w:p>
        </w:tc>
      </w:tr>
      <w:tr w:rsidR="00FF0074" w:rsidRPr="00EF24D8" w14:paraId="13162C17" w14:textId="77777777">
        <w:tc>
          <w:tcPr>
            <w:tcW w:w="1200" w:type="dxa"/>
          </w:tcPr>
          <w:p w14:paraId="662A617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32</w:t>
            </w:r>
          </w:p>
        </w:tc>
        <w:tc>
          <w:tcPr>
            <w:tcW w:w="8295" w:type="dxa"/>
          </w:tcPr>
          <w:p w14:paraId="02E8E83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memory.mp.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w:t>
            </w:r>
          </w:p>
          <w:p w14:paraId="3C2180B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heading word, floating sub-heading word, keyword heading word, organism supplementary</w:t>
            </w:r>
          </w:p>
          <w:p w14:paraId="6C53B43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concept word, protocol supplementary concept word, rare disease supplementary concept word,</w:t>
            </w:r>
          </w:p>
          <w:p w14:paraId="62347FC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unique identifier, synonyms]</w:t>
            </w:r>
          </w:p>
        </w:tc>
      </w:tr>
      <w:tr w:rsidR="00FF0074" w:rsidRPr="00EF24D8" w14:paraId="15A19278" w14:textId="77777777">
        <w:tc>
          <w:tcPr>
            <w:tcW w:w="1200" w:type="dxa"/>
          </w:tcPr>
          <w:p w14:paraId="54A6367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33</w:t>
            </w:r>
          </w:p>
        </w:tc>
        <w:tc>
          <w:tcPr>
            <w:tcW w:w="8295" w:type="dxa"/>
          </w:tcPr>
          <w:p w14:paraId="0783367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reaction time.mp.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w:t>
            </w:r>
          </w:p>
          <w:p w14:paraId="4FCE1E0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heading word, floating sub-heading word, keyword heading word, organism supplementary</w:t>
            </w:r>
          </w:p>
          <w:p w14:paraId="3163748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concept word, protocol supplementary concept word, rare disease supplementary concept word,</w:t>
            </w:r>
          </w:p>
          <w:p w14:paraId="4F79FB1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unique identifier, synonyms]</w:t>
            </w:r>
          </w:p>
        </w:tc>
      </w:tr>
      <w:tr w:rsidR="00FF0074" w:rsidRPr="00EF24D8" w14:paraId="574CA0A9" w14:textId="77777777">
        <w:tc>
          <w:tcPr>
            <w:tcW w:w="1200" w:type="dxa"/>
          </w:tcPr>
          <w:p w14:paraId="727CD08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34</w:t>
            </w:r>
          </w:p>
        </w:tc>
        <w:tc>
          <w:tcPr>
            <w:tcW w:w="8295" w:type="dxa"/>
          </w:tcPr>
          <w:p w14:paraId="395870BC"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coordinat</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w:t>
            </w:r>
          </w:p>
          <w:p w14:paraId="10E99DD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heading word, floating sub-heading word, keyword heading word, organism supplementary</w:t>
            </w:r>
          </w:p>
          <w:p w14:paraId="6D59D84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concept word, protocol supplementary concept word, rare disease supplementary concept word,</w:t>
            </w:r>
          </w:p>
          <w:p w14:paraId="2ACB60C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unique identifier, synonyms]</w:t>
            </w:r>
          </w:p>
        </w:tc>
      </w:tr>
      <w:tr w:rsidR="00FF0074" w:rsidRPr="00EF24D8" w14:paraId="77DA5FD2" w14:textId="77777777">
        <w:tc>
          <w:tcPr>
            <w:tcW w:w="1200" w:type="dxa"/>
          </w:tcPr>
          <w:p w14:paraId="31BC629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35</w:t>
            </w:r>
          </w:p>
        </w:tc>
        <w:tc>
          <w:tcPr>
            <w:tcW w:w="8295" w:type="dxa"/>
          </w:tcPr>
          <w:p w14:paraId="231F039D"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intoxic</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060AE1C3" w14:textId="77777777">
        <w:tc>
          <w:tcPr>
            <w:tcW w:w="1200" w:type="dxa"/>
          </w:tcPr>
          <w:p w14:paraId="0F9AE79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36</w:t>
            </w:r>
          </w:p>
        </w:tc>
        <w:tc>
          <w:tcPr>
            <w:tcW w:w="8295" w:type="dxa"/>
          </w:tcPr>
          <w:p w14:paraId="44B244E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driving.mp.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5A8AA2E8" w14:textId="77777777">
        <w:tc>
          <w:tcPr>
            <w:tcW w:w="1200" w:type="dxa"/>
          </w:tcPr>
          <w:p w14:paraId="6A83A90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37</w:t>
            </w:r>
          </w:p>
        </w:tc>
        <w:tc>
          <w:tcPr>
            <w:tcW w:w="8295" w:type="dxa"/>
          </w:tcPr>
          <w:p w14:paraId="57F7DA9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task switching.mp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2E0C255E" w14:textId="77777777">
        <w:tc>
          <w:tcPr>
            <w:tcW w:w="1200" w:type="dxa"/>
          </w:tcPr>
          <w:p w14:paraId="1398916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38</w:t>
            </w:r>
          </w:p>
        </w:tc>
        <w:tc>
          <w:tcPr>
            <w:tcW w:w="8295" w:type="dxa"/>
          </w:tcPr>
          <w:p w14:paraId="5F0DC35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processing speed.mp.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4C6A012D" w14:textId="77777777">
        <w:tc>
          <w:tcPr>
            <w:tcW w:w="1200" w:type="dxa"/>
          </w:tcPr>
          <w:p w14:paraId="2302608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39</w:t>
            </w:r>
          </w:p>
        </w:tc>
        <w:tc>
          <w:tcPr>
            <w:tcW w:w="8295" w:type="dxa"/>
          </w:tcPr>
          <w:p w14:paraId="2D3E5C5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learn*.</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book 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FF0074" w:rsidRPr="00EF24D8" w14:paraId="7C59F9C9" w14:textId="77777777">
        <w:tc>
          <w:tcPr>
            <w:tcW w:w="1200" w:type="dxa"/>
          </w:tcPr>
          <w:p w14:paraId="19BBE75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40</w:t>
            </w:r>
          </w:p>
        </w:tc>
        <w:tc>
          <w:tcPr>
            <w:tcW w:w="8295" w:type="dxa"/>
          </w:tcPr>
          <w:p w14:paraId="58A63C0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7 or 17</w:t>
            </w:r>
          </w:p>
        </w:tc>
      </w:tr>
      <w:tr w:rsidR="00FF0074" w:rsidRPr="00EF24D8" w14:paraId="3D29B89F" w14:textId="77777777">
        <w:tc>
          <w:tcPr>
            <w:tcW w:w="1200" w:type="dxa"/>
          </w:tcPr>
          <w:p w14:paraId="22D0900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41</w:t>
            </w:r>
          </w:p>
        </w:tc>
        <w:tc>
          <w:tcPr>
            <w:tcW w:w="8295" w:type="dxa"/>
          </w:tcPr>
          <w:p w14:paraId="363227B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18 or 19 or 20 or 21 or 22 or 23 or 24 or 25 or 26 or 27 or 28 or 29 or 30 or 31 or 32 or 33 or 34 </w:t>
            </w:r>
            <w:proofErr w:type="spellStart"/>
            <w:r w:rsidRPr="00EF24D8">
              <w:rPr>
                <w:rFonts w:ascii="Times New Roman" w:eastAsia="Times New Roman" w:hAnsi="Times New Roman" w:cs="Times New Roman"/>
                <w:sz w:val="16"/>
                <w:szCs w:val="16"/>
              </w:rPr>
              <w:t>oe</w:t>
            </w:r>
            <w:proofErr w:type="spellEnd"/>
            <w:r w:rsidRPr="00EF24D8">
              <w:rPr>
                <w:rFonts w:ascii="Times New Roman" w:eastAsia="Times New Roman" w:hAnsi="Times New Roman" w:cs="Times New Roman"/>
                <w:sz w:val="16"/>
                <w:szCs w:val="16"/>
              </w:rPr>
              <w:t xml:space="preserve"> 35 or 36 or 37 or 38 or 39</w:t>
            </w:r>
          </w:p>
        </w:tc>
      </w:tr>
      <w:tr w:rsidR="00FF0074" w:rsidRPr="00EF24D8" w14:paraId="2D4F3E62" w14:textId="77777777">
        <w:tc>
          <w:tcPr>
            <w:tcW w:w="1200" w:type="dxa"/>
          </w:tcPr>
          <w:p w14:paraId="049C874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42</w:t>
            </w:r>
          </w:p>
        </w:tc>
        <w:tc>
          <w:tcPr>
            <w:tcW w:w="8295" w:type="dxa"/>
          </w:tcPr>
          <w:p w14:paraId="03FD73C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40 and 41</w:t>
            </w:r>
          </w:p>
        </w:tc>
      </w:tr>
      <w:tr w:rsidR="00FF0074" w:rsidRPr="00EF24D8" w14:paraId="35D67C85" w14:textId="77777777">
        <w:tc>
          <w:tcPr>
            <w:tcW w:w="1200" w:type="dxa"/>
          </w:tcPr>
          <w:p w14:paraId="54190C1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43</w:t>
            </w:r>
          </w:p>
        </w:tc>
        <w:tc>
          <w:tcPr>
            <w:tcW w:w="8295" w:type="dxa"/>
          </w:tcPr>
          <w:p w14:paraId="5FF0D98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((randomized controlled trial or controlled clinical trial).pt. or </w:t>
            </w:r>
            <w:proofErr w:type="spellStart"/>
            <w:r w:rsidRPr="00EF24D8">
              <w:rPr>
                <w:rFonts w:ascii="Times New Roman" w:eastAsia="Times New Roman" w:hAnsi="Times New Roman" w:cs="Times New Roman"/>
                <w:sz w:val="16"/>
                <w:szCs w:val="16"/>
              </w:rPr>
              <w:t>randomized.ab</w:t>
            </w:r>
            <w:proofErr w:type="spellEnd"/>
            <w:r w:rsidRPr="00EF24D8">
              <w:rPr>
                <w:rFonts w:ascii="Times New Roman" w:eastAsia="Times New Roman" w:hAnsi="Times New Roman" w:cs="Times New Roman"/>
                <w:sz w:val="16"/>
                <w:szCs w:val="16"/>
              </w:rPr>
              <w:t xml:space="preserve">. or </w:t>
            </w:r>
            <w:proofErr w:type="spellStart"/>
            <w:r w:rsidRPr="00EF24D8">
              <w:rPr>
                <w:rFonts w:ascii="Times New Roman" w:eastAsia="Times New Roman" w:hAnsi="Times New Roman" w:cs="Times New Roman"/>
                <w:sz w:val="16"/>
                <w:szCs w:val="16"/>
              </w:rPr>
              <w:t>randomised.ab</w:t>
            </w:r>
            <w:proofErr w:type="spellEnd"/>
            <w:r w:rsidRPr="00EF24D8">
              <w:rPr>
                <w:rFonts w:ascii="Times New Roman" w:eastAsia="Times New Roman" w:hAnsi="Times New Roman" w:cs="Times New Roman"/>
                <w:sz w:val="16"/>
                <w:szCs w:val="16"/>
              </w:rPr>
              <w:t xml:space="preserve">. or </w:t>
            </w:r>
            <w:proofErr w:type="spellStart"/>
            <w:r w:rsidRPr="00EF24D8">
              <w:rPr>
                <w:rFonts w:ascii="Times New Roman" w:eastAsia="Times New Roman" w:hAnsi="Times New Roman" w:cs="Times New Roman"/>
                <w:sz w:val="16"/>
                <w:szCs w:val="16"/>
              </w:rPr>
              <w:t>placebo.ab</w:t>
            </w:r>
            <w:proofErr w:type="spellEnd"/>
            <w:r w:rsidRPr="00EF24D8">
              <w:rPr>
                <w:rFonts w:ascii="Times New Roman" w:eastAsia="Times New Roman" w:hAnsi="Times New Roman" w:cs="Times New Roman"/>
                <w:sz w:val="16"/>
                <w:szCs w:val="16"/>
              </w:rPr>
              <w:t xml:space="preserve">. or drug </w:t>
            </w:r>
            <w:proofErr w:type="spellStart"/>
            <w:r w:rsidRPr="00EF24D8">
              <w:rPr>
                <w:rFonts w:ascii="Times New Roman" w:eastAsia="Times New Roman" w:hAnsi="Times New Roman" w:cs="Times New Roman"/>
                <w:sz w:val="16"/>
                <w:szCs w:val="16"/>
              </w:rPr>
              <w:t>therapy.fs</w:t>
            </w:r>
            <w:proofErr w:type="spellEnd"/>
            <w:r w:rsidRPr="00EF24D8">
              <w:rPr>
                <w:rFonts w:ascii="Times New Roman" w:eastAsia="Times New Roman" w:hAnsi="Times New Roman" w:cs="Times New Roman"/>
                <w:sz w:val="16"/>
                <w:szCs w:val="16"/>
              </w:rPr>
              <w:t xml:space="preserve">. or </w:t>
            </w:r>
            <w:proofErr w:type="spellStart"/>
            <w:r w:rsidRPr="00EF24D8">
              <w:rPr>
                <w:rFonts w:ascii="Times New Roman" w:eastAsia="Times New Roman" w:hAnsi="Times New Roman" w:cs="Times New Roman"/>
                <w:sz w:val="16"/>
                <w:szCs w:val="16"/>
              </w:rPr>
              <w:t>randomly.ab</w:t>
            </w:r>
            <w:proofErr w:type="spellEnd"/>
            <w:r w:rsidRPr="00EF24D8">
              <w:rPr>
                <w:rFonts w:ascii="Times New Roman" w:eastAsia="Times New Roman" w:hAnsi="Times New Roman" w:cs="Times New Roman"/>
                <w:sz w:val="16"/>
                <w:szCs w:val="16"/>
              </w:rPr>
              <w:t xml:space="preserve">. or </w:t>
            </w:r>
            <w:proofErr w:type="spellStart"/>
            <w:r w:rsidRPr="00EF24D8">
              <w:rPr>
                <w:rFonts w:ascii="Times New Roman" w:eastAsia="Times New Roman" w:hAnsi="Times New Roman" w:cs="Times New Roman"/>
                <w:sz w:val="16"/>
                <w:szCs w:val="16"/>
              </w:rPr>
              <w:t>trial.ab</w:t>
            </w:r>
            <w:proofErr w:type="spellEnd"/>
            <w:r w:rsidRPr="00EF24D8">
              <w:rPr>
                <w:rFonts w:ascii="Times New Roman" w:eastAsia="Times New Roman" w:hAnsi="Times New Roman" w:cs="Times New Roman"/>
                <w:sz w:val="16"/>
                <w:szCs w:val="16"/>
              </w:rPr>
              <w:t xml:space="preserve">. or </w:t>
            </w:r>
            <w:proofErr w:type="spellStart"/>
            <w:r w:rsidRPr="00EF24D8">
              <w:rPr>
                <w:rFonts w:ascii="Times New Roman" w:eastAsia="Times New Roman" w:hAnsi="Times New Roman" w:cs="Times New Roman"/>
                <w:sz w:val="16"/>
                <w:szCs w:val="16"/>
              </w:rPr>
              <w:t>groups.ab</w:t>
            </w:r>
            <w:proofErr w:type="spellEnd"/>
            <w:r w:rsidRPr="00EF24D8">
              <w:rPr>
                <w:rFonts w:ascii="Times New Roman" w:eastAsia="Times New Roman" w:hAnsi="Times New Roman" w:cs="Times New Roman"/>
                <w:sz w:val="16"/>
                <w:szCs w:val="16"/>
              </w:rPr>
              <w:t>.) not (exp animals/ not humans.sh.)</w:t>
            </w:r>
          </w:p>
        </w:tc>
      </w:tr>
      <w:tr w:rsidR="00FF0074" w:rsidRPr="00EF24D8" w14:paraId="15BA79D5" w14:textId="77777777">
        <w:tc>
          <w:tcPr>
            <w:tcW w:w="1200" w:type="dxa"/>
          </w:tcPr>
          <w:p w14:paraId="0073B7B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44</w:t>
            </w:r>
          </w:p>
        </w:tc>
        <w:tc>
          <w:tcPr>
            <w:tcW w:w="8295" w:type="dxa"/>
          </w:tcPr>
          <w:p w14:paraId="725A855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42 and 43</w:t>
            </w:r>
          </w:p>
        </w:tc>
      </w:tr>
      <w:tr w:rsidR="00FF0074" w:rsidRPr="00EF24D8" w14:paraId="23DEB6DD" w14:textId="77777777">
        <w:tc>
          <w:tcPr>
            <w:tcW w:w="1200" w:type="dxa"/>
          </w:tcPr>
          <w:p w14:paraId="2DE09EC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lastRenderedPageBreak/>
              <w:t>45</w:t>
            </w:r>
          </w:p>
        </w:tc>
        <w:tc>
          <w:tcPr>
            <w:tcW w:w="8295" w:type="dxa"/>
          </w:tcPr>
          <w:p w14:paraId="1D38B75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limit 44 to </w:t>
            </w:r>
            <w:proofErr w:type="spellStart"/>
            <w:r w:rsidRPr="00EF24D8">
              <w:rPr>
                <w:rFonts w:ascii="Times New Roman" w:eastAsia="Times New Roman" w:hAnsi="Times New Roman" w:cs="Times New Roman"/>
                <w:sz w:val="16"/>
                <w:szCs w:val="16"/>
              </w:rPr>
              <w:t>yr</w:t>
            </w:r>
            <w:proofErr w:type="spellEnd"/>
            <w:r w:rsidRPr="00EF24D8">
              <w:rPr>
                <w:rFonts w:ascii="Times New Roman" w:eastAsia="Times New Roman" w:hAnsi="Times New Roman" w:cs="Times New Roman"/>
                <w:sz w:val="16"/>
                <w:szCs w:val="16"/>
              </w:rPr>
              <w:t>=”2022 -Current”</w:t>
            </w:r>
          </w:p>
        </w:tc>
      </w:tr>
      <w:tr w:rsidR="00FF0074" w:rsidRPr="00EF24D8" w14:paraId="28C4F55E" w14:textId="77777777">
        <w:tc>
          <w:tcPr>
            <w:tcW w:w="9495" w:type="dxa"/>
            <w:gridSpan w:val="2"/>
            <w:shd w:val="clear" w:color="auto" w:fill="D0CECE"/>
          </w:tcPr>
          <w:p w14:paraId="3219F47C" w14:textId="77777777" w:rsidR="00FF0074" w:rsidRPr="00EF24D8" w:rsidRDefault="00000000">
            <w:pPr>
              <w:rPr>
                <w:rFonts w:ascii="Times New Roman" w:eastAsia="Times New Roman" w:hAnsi="Times New Roman" w:cs="Times New Roman"/>
                <w:b/>
                <w:sz w:val="16"/>
                <w:szCs w:val="16"/>
              </w:rPr>
            </w:pPr>
            <w:r w:rsidRPr="00EF24D8">
              <w:rPr>
                <w:rFonts w:ascii="Times New Roman" w:eastAsia="Times New Roman" w:hAnsi="Times New Roman" w:cs="Times New Roman"/>
                <w:b/>
                <w:sz w:val="16"/>
                <w:szCs w:val="16"/>
              </w:rPr>
              <w:t>AMED (Allied and Complementary Medicine)</w:t>
            </w:r>
          </w:p>
        </w:tc>
      </w:tr>
      <w:tr w:rsidR="00FF0074" w:rsidRPr="00EF24D8" w14:paraId="3A6D8225" w14:textId="77777777">
        <w:tc>
          <w:tcPr>
            <w:tcW w:w="1200" w:type="dxa"/>
          </w:tcPr>
          <w:p w14:paraId="2705D31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w:t>
            </w:r>
            <w:r w:rsidRPr="00EF24D8">
              <w:rPr>
                <w:rFonts w:ascii="Times New Roman" w:eastAsia="Times New Roman" w:hAnsi="Times New Roman" w:cs="Times New Roman"/>
                <w:sz w:val="16"/>
                <w:szCs w:val="16"/>
              </w:rPr>
              <w:tab/>
            </w:r>
          </w:p>
        </w:tc>
        <w:tc>
          <w:tcPr>
            <w:tcW w:w="8295" w:type="dxa"/>
          </w:tcPr>
          <w:p w14:paraId="257FFF2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CBD.mp.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0C699390" w14:textId="77777777">
        <w:tc>
          <w:tcPr>
            <w:tcW w:w="1200" w:type="dxa"/>
          </w:tcPr>
          <w:p w14:paraId="162697A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w:t>
            </w:r>
          </w:p>
        </w:tc>
        <w:tc>
          <w:tcPr>
            <w:tcW w:w="8295" w:type="dxa"/>
          </w:tcPr>
          <w:p w14:paraId="61942C0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Cannabidiol.mp.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6E47A234" w14:textId="77777777">
        <w:tc>
          <w:tcPr>
            <w:tcW w:w="1200" w:type="dxa"/>
          </w:tcPr>
          <w:p w14:paraId="494EA35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w:t>
            </w:r>
            <w:r w:rsidRPr="00EF24D8">
              <w:rPr>
                <w:rFonts w:ascii="Times New Roman" w:eastAsia="Times New Roman" w:hAnsi="Times New Roman" w:cs="Times New Roman"/>
                <w:sz w:val="16"/>
                <w:szCs w:val="16"/>
              </w:rPr>
              <w:tab/>
            </w:r>
          </w:p>
        </w:tc>
        <w:tc>
          <w:tcPr>
            <w:tcW w:w="8295" w:type="dxa"/>
          </w:tcPr>
          <w:p w14:paraId="68DC80D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Epidiolex.mp.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55C10132" w14:textId="77777777">
        <w:tc>
          <w:tcPr>
            <w:tcW w:w="1200" w:type="dxa"/>
          </w:tcPr>
          <w:p w14:paraId="4D26868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w:t>
            </w:r>
            <w:r w:rsidRPr="00EF24D8">
              <w:rPr>
                <w:rFonts w:ascii="Times New Roman" w:eastAsia="Times New Roman" w:hAnsi="Times New Roman" w:cs="Times New Roman"/>
                <w:sz w:val="16"/>
                <w:szCs w:val="16"/>
              </w:rPr>
              <w:tab/>
            </w:r>
          </w:p>
        </w:tc>
        <w:tc>
          <w:tcPr>
            <w:tcW w:w="8295" w:type="dxa"/>
          </w:tcPr>
          <w:p w14:paraId="5A03903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Nabidiolex.mp.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1D56A1C4" w14:textId="77777777">
        <w:tc>
          <w:tcPr>
            <w:tcW w:w="1200" w:type="dxa"/>
          </w:tcPr>
          <w:p w14:paraId="6857CC3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w:t>
            </w:r>
            <w:r w:rsidRPr="00EF24D8">
              <w:rPr>
                <w:rFonts w:ascii="Times New Roman" w:eastAsia="Times New Roman" w:hAnsi="Times New Roman" w:cs="Times New Roman"/>
                <w:sz w:val="16"/>
                <w:szCs w:val="16"/>
              </w:rPr>
              <w:tab/>
            </w:r>
          </w:p>
        </w:tc>
        <w:tc>
          <w:tcPr>
            <w:tcW w:w="8295" w:type="dxa"/>
          </w:tcPr>
          <w:p w14:paraId="0B42D0F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Epidyolex.mp.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52FE47ED" w14:textId="77777777">
        <w:tc>
          <w:tcPr>
            <w:tcW w:w="1200" w:type="dxa"/>
          </w:tcPr>
          <w:p w14:paraId="1F88AB7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6</w:t>
            </w:r>
            <w:r w:rsidRPr="00EF24D8">
              <w:rPr>
                <w:rFonts w:ascii="Times New Roman" w:eastAsia="Times New Roman" w:hAnsi="Times New Roman" w:cs="Times New Roman"/>
                <w:sz w:val="16"/>
                <w:szCs w:val="16"/>
              </w:rPr>
              <w:tab/>
            </w:r>
          </w:p>
        </w:tc>
        <w:tc>
          <w:tcPr>
            <w:tcW w:w="8295" w:type="dxa"/>
          </w:tcPr>
          <w:p w14:paraId="592747E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 or 2 or 3 or 4 or 5</w:t>
            </w:r>
          </w:p>
        </w:tc>
      </w:tr>
      <w:tr w:rsidR="00FF0074" w:rsidRPr="00EF24D8" w14:paraId="1AC3B762" w14:textId="77777777">
        <w:tc>
          <w:tcPr>
            <w:tcW w:w="1200" w:type="dxa"/>
          </w:tcPr>
          <w:p w14:paraId="001A353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7</w:t>
            </w:r>
            <w:r w:rsidRPr="00EF24D8">
              <w:rPr>
                <w:rFonts w:ascii="Times New Roman" w:eastAsia="Times New Roman" w:hAnsi="Times New Roman" w:cs="Times New Roman"/>
                <w:sz w:val="16"/>
                <w:szCs w:val="16"/>
              </w:rPr>
              <w:tab/>
            </w:r>
          </w:p>
        </w:tc>
        <w:tc>
          <w:tcPr>
            <w:tcW w:w="8295" w:type="dxa"/>
          </w:tcPr>
          <w:p w14:paraId="0878BBA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cognit*.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774DF1A3" w14:textId="77777777">
        <w:tc>
          <w:tcPr>
            <w:tcW w:w="1200" w:type="dxa"/>
          </w:tcPr>
          <w:p w14:paraId="615EF7E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8</w:t>
            </w:r>
            <w:r w:rsidRPr="00EF24D8">
              <w:rPr>
                <w:rFonts w:ascii="Times New Roman" w:eastAsia="Times New Roman" w:hAnsi="Times New Roman" w:cs="Times New Roman"/>
                <w:sz w:val="16"/>
                <w:szCs w:val="16"/>
              </w:rPr>
              <w:tab/>
            </w:r>
          </w:p>
        </w:tc>
        <w:tc>
          <w:tcPr>
            <w:tcW w:w="8295" w:type="dxa"/>
          </w:tcPr>
          <w:p w14:paraId="1359CE5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impair*.</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3E1BE2E7" w14:textId="77777777">
        <w:tc>
          <w:tcPr>
            <w:tcW w:w="1200" w:type="dxa"/>
          </w:tcPr>
          <w:p w14:paraId="043BFB1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9</w:t>
            </w:r>
            <w:r w:rsidRPr="00EF24D8">
              <w:rPr>
                <w:rFonts w:ascii="Times New Roman" w:eastAsia="Times New Roman" w:hAnsi="Times New Roman" w:cs="Times New Roman"/>
                <w:sz w:val="16"/>
                <w:szCs w:val="16"/>
              </w:rPr>
              <w:tab/>
            </w:r>
          </w:p>
        </w:tc>
        <w:tc>
          <w:tcPr>
            <w:tcW w:w="8295" w:type="dxa"/>
          </w:tcPr>
          <w:p w14:paraId="0C1C8B6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perform*.</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401BB839" w14:textId="77777777">
        <w:tc>
          <w:tcPr>
            <w:tcW w:w="1200" w:type="dxa"/>
          </w:tcPr>
          <w:p w14:paraId="4EDC898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10</w:t>
            </w:r>
            <w:r w:rsidRPr="00EF24D8">
              <w:rPr>
                <w:rFonts w:ascii="Times New Roman" w:eastAsia="Times New Roman" w:hAnsi="Times New Roman" w:cs="Times New Roman"/>
                <w:sz w:val="16"/>
                <w:szCs w:val="16"/>
              </w:rPr>
              <w:tab/>
            </w:r>
          </w:p>
        </w:tc>
        <w:tc>
          <w:tcPr>
            <w:tcW w:w="8295" w:type="dxa"/>
          </w:tcPr>
          <w:p w14:paraId="7D945F5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psychomotor*.</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00CB07CB" w14:textId="77777777">
        <w:tc>
          <w:tcPr>
            <w:tcW w:w="1200" w:type="dxa"/>
          </w:tcPr>
          <w:p w14:paraId="02772E2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11</w:t>
            </w:r>
            <w:r w:rsidRPr="00EF24D8">
              <w:rPr>
                <w:rFonts w:ascii="Times New Roman" w:eastAsia="Times New Roman" w:hAnsi="Times New Roman" w:cs="Times New Roman"/>
                <w:sz w:val="16"/>
                <w:szCs w:val="16"/>
              </w:rPr>
              <w:tab/>
            </w:r>
          </w:p>
        </w:tc>
        <w:tc>
          <w:tcPr>
            <w:tcW w:w="8295" w:type="dxa"/>
          </w:tcPr>
          <w:p w14:paraId="3132B15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attention*.</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5B1CAC83" w14:textId="77777777">
        <w:tc>
          <w:tcPr>
            <w:tcW w:w="1200" w:type="dxa"/>
          </w:tcPr>
          <w:p w14:paraId="07F6BA6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12</w:t>
            </w:r>
            <w:r w:rsidRPr="00EF24D8">
              <w:rPr>
                <w:rFonts w:ascii="Times New Roman" w:eastAsia="Times New Roman" w:hAnsi="Times New Roman" w:cs="Times New Roman"/>
                <w:sz w:val="16"/>
                <w:szCs w:val="16"/>
              </w:rPr>
              <w:tab/>
            </w:r>
          </w:p>
        </w:tc>
        <w:tc>
          <w:tcPr>
            <w:tcW w:w="8295" w:type="dxa"/>
          </w:tcPr>
          <w:p w14:paraId="1F5A027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motor.mp.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5E0362B3" w14:textId="77777777">
        <w:tc>
          <w:tcPr>
            <w:tcW w:w="1200" w:type="dxa"/>
          </w:tcPr>
          <w:p w14:paraId="7612FEA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13</w:t>
            </w:r>
            <w:r w:rsidRPr="00EF24D8">
              <w:rPr>
                <w:rFonts w:ascii="Times New Roman" w:eastAsia="Times New Roman" w:hAnsi="Times New Roman" w:cs="Times New Roman"/>
                <w:sz w:val="16"/>
                <w:szCs w:val="16"/>
              </w:rPr>
              <w:tab/>
            </w:r>
          </w:p>
        </w:tc>
        <w:tc>
          <w:tcPr>
            <w:tcW w:w="8295" w:type="dxa"/>
          </w:tcPr>
          <w:p w14:paraId="51C06C3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memory.mp.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xml:space="preserve">=abstract, heading </w:t>
            </w:r>
            <w:proofErr w:type="spellStart"/>
            <w:r w:rsidRPr="00EF24D8">
              <w:rPr>
                <w:rFonts w:ascii="Times New Roman" w:eastAsia="Times New Roman" w:hAnsi="Times New Roman" w:cs="Times New Roman"/>
                <w:sz w:val="16"/>
                <w:szCs w:val="16"/>
              </w:rPr>
              <w:t>wHords</w:t>
            </w:r>
            <w:proofErr w:type="spellEnd"/>
            <w:r w:rsidRPr="00EF24D8">
              <w:rPr>
                <w:rFonts w:ascii="Times New Roman" w:eastAsia="Times New Roman" w:hAnsi="Times New Roman" w:cs="Times New Roman"/>
                <w:sz w:val="16"/>
                <w:szCs w:val="16"/>
              </w:rPr>
              <w:t>, title]</w:t>
            </w:r>
          </w:p>
        </w:tc>
      </w:tr>
      <w:tr w:rsidR="00FF0074" w:rsidRPr="00EF24D8" w14:paraId="068CC234" w14:textId="77777777">
        <w:tc>
          <w:tcPr>
            <w:tcW w:w="1200" w:type="dxa"/>
          </w:tcPr>
          <w:p w14:paraId="42EE512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14</w:t>
            </w:r>
            <w:r w:rsidRPr="00EF24D8">
              <w:rPr>
                <w:rFonts w:ascii="Times New Roman" w:eastAsia="Times New Roman" w:hAnsi="Times New Roman" w:cs="Times New Roman"/>
                <w:sz w:val="16"/>
                <w:szCs w:val="16"/>
              </w:rPr>
              <w:tab/>
            </w:r>
          </w:p>
        </w:tc>
        <w:tc>
          <w:tcPr>
            <w:tcW w:w="8295" w:type="dxa"/>
          </w:tcPr>
          <w:p w14:paraId="4BAB529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reaction time.mp.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179C66B7" w14:textId="77777777">
        <w:tc>
          <w:tcPr>
            <w:tcW w:w="1200" w:type="dxa"/>
          </w:tcPr>
          <w:p w14:paraId="6102F9B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15</w:t>
            </w:r>
            <w:r w:rsidRPr="00EF24D8">
              <w:rPr>
                <w:rFonts w:ascii="Times New Roman" w:eastAsia="Times New Roman" w:hAnsi="Times New Roman" w:cs="Times New Roman"/>
                <w:sz w:val="16"/>
                <w:szCs w:val="16"/>
              </w:rPr>
              <w:tab/>
            </w:r>
          </w:p>
        </w:tc>
        <w:tc>
          <w:tcPr>
            <w:tcW w:w="8295" w:type="dxa"/>
          </w:tcPr>
          <w:p w14:paraId="4A32BD7E"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coordinat</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2095A059" w14:textId="77777777">
        <w:tc>
          <w:tcPr>
            <w:tcW w:w="1200" w:type="dxa"/>
          </w:tcPr>
          <w:p w14:paraId="661D291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16</w:t>
            </w:r>
            <w:r w:rsidRPr="00EF24D8">
              <w:rPr>
                <w:rFonts w:ascii="Times New Roman" w:eastAsia="Times New Roman" w:hAnsi="Times New Roman" w:cs="Times New Roman"/>
                <w:sz w:val="16"/>
                <w:szCs w:val="16"/>
              </w:rPr>
              <w:tab/>
            </w:r>
          </w:p>
        </w:tc>
        <w:tc>
          <w:tcPr>
            <w:tcW w:w="8295" w:type="dxa"/>
          </w:tcPr>
          <w:p w14:paraId="07BE0A16"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concentrat</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63AE6FE7" w14:textId="77777777">
        <w:tc>
          <w:tcPr>
            <w:tcW w:w="1200" w:type="dxa"/>
          </w:tcPr>
          <w:p w14:paraId="27352C3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17</w:t>
            </w:r>
            <w:r w:rsidRPr="00EF24D8">
              <w:rPr>
                <w:rFonts w:ascii="Times New Roman" w:eastAsia="Times New Roman" w:hAnsi="Times New Roman" w:cs="Times New Roman"/>
                <w:sz w:val="16"/>
                <w:szCs w:val="16"/>
              </w:rPr>
              <w:tab/>
            </w:r>
          </w:p>
        </w:tc>
        <w:tc>
          <w:tcPr>
            <w:tcW w:w="8295" w:type="dxa"/>
          </w:tcPr>
          <w:p w14:paraId="3DEDB7BC"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intoxic</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3AC20AA6" w14:textId="77777777">
        <w:tc>
          <w:tcPr>
            <w:tcW w:w="1200" w:type="dxa"/>
          </w:tcPr>
          <w:p w14:paraId="3607CB2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18</w:t>
            </w:r>
            <w:r w:rsidRPr="00EF24D8">
              <w:rPr>
                <w:rFonts w:ascii="Times New Roman" w:eastAsia="Times New Roman" w:hAnsi="Times New Roman" w:cs="Times New Roman"/>
                <w:sz w:val="16"/>
                <w:szCs w:val="16"/>
              </w:rPr>
              <w:tab/>
            </w:r>
          </w:p>
        </w:tc>
        <w:tc>
          <w:tcPr>
            <w:tcW w:w="8295" w:type="dxa"/>
          </w:tcPr>
          <w:p w14:paraId="6408A58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driving.mp.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17547124" w14:textId="77777777">
        <w:tc>
          <w:tcPr>
            <w:tcW w:w="1200" w:type="dxa"/>
          </w:tcPr>
          <w:p w14:paraId="411F526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19</w:t>
            </w:r>
            <w:r w:rsidRPr="00EF24D8">
              <w:rPr>
                <w:rFonts w:ascii="Times New Roman" w:eastAsia="Times New Roman" w:hAnsi="Times New Roman" w:cs="Times New Roman"/>
                <w:sz w:val="16"/>
                <w:szCs w:val="16"/>
              </w:rPr>
              <w:tab/>
            </w:r>
          </w:p>
        </w:tc>
        <w:tc>
          <w:tcPr>
            <w:tcW w:w="8295" w:type="dxa"/>
          </w:tcPr>
          <w:p w14:paraId="69A919E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task switching.mp.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7147756B" w14:textId="77777777">
        <w:tc>
          <w:tcPr>
            <w:tcW w:w="1200" w:type="dxa"/>
          </w:tcPr>
          <w:p w14:paraId="1D8535F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20</w:t>
            </w:r>
            <w:r w:rsidRPr="00EF24D8">
              <w:rPr>
                <w:rFonts w:ascii="Times New Roman" w:eastAsia="Times New Roman" w:hAnsi="Times New Roman" w:cs="Times New Roman"/>
                <w:sz w:val="16"/>
                <w:szCs w:val="16"/>
              </w:rPr>
              <w:tab/>
            </w:r>
          </w:p>
        </w:tc>
        <w:tc>
          <w:tcPr>
            <w:tcW w:w="8295" w:type="dxa"/>
          </w:tcPr>
          <w:p w14:paraId="1A740DF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processing speed.mp.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7D361DD8" w14:textId="77777777">
        <w:tc>
          <w:tcPr>
            <w:tcW w:w="1200" w:type="dxa"/>
          </w:tcPr>
          <w:p w14:paraId="5D7083C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21</w:t>
            </w:r>
            <w:r w:rsidRPr="00EF24D8">
              <w:rPr>
                <w:rFonts w:ascii="Times New Roman" w:eastAsia="Times New Roman" w:hAnsi="Times New Roman" w:cs="Times New Roman"/>
                <w:sz w:val="16"/>
                <w:szCs w:val="16"/>
              </w:rPr>
              <w:tab/>
            </w:r>
          </w:p>
        </w:tc>
        <w:tc>
          <w:tcPr>
            <w:tcW w:w="8295" w:type="dxa"/>
          </w:tcPr>
          <w:p w14:paraId="407C578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7 or 8 or 9 or 10 or 11 or 12 or 13 or 14 or 15 or 16 or 17 or 18 or 19 or 20 </w:t>
            </w:r>
          </w:p>
        </w:tc>
      </w:tr>
      <w:tr w:rsidR="00FF0074" w:rsidRPr="00EF24D8" w14:paraId="74F17FB1" w14:textId="77777777">
        <w:tc>
          <w:tcPr>
            <w:tcW w:w="1200" w:type="dxa"/>
          </w:tcPr>
          <w:p w14:paraId="2023DED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22</w:t>
            </w:r>
            <w:r w:rsidRPr="00EF24D8">
              <w:rPr>
                <w:rFonts w:ascii="Times New Roman" w:eastAsia="Times New Roman" w:hAnsi="Times New Roman" w:cs="Times New Roman"/>
                <w:sz w:val="16"/>
                <w:szCs w:val="16"/>
              </w:rPr>
              <w:tab/>
            </w:r>
          </w:p>
        </w:tc>
        <w:tc>
          <w:tcPr>
            <w:tcW w:w="8295" w:type="dxa"/>
          </w:tcPr>
          <w:p w14:paraId="1B28527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6 and 21</w:t>
            </w:r>
          </w:p>
        </w:tc>
      </w:tr>
      <w:tr w:rsidR="00FF0074" w:rsidRPr="00EF24D8" w14:paraId="47249F98" w14:textId="77777777">
        <w:tc>
          <w:tcPr>
            <w:tcW w:w="1200" w:type="dxa"/>
          </w:tcPr>
          <w:p w14:paraId="6FBC93E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23</w:t>
            </w:r>
            <w:r w:rsidRPr="00EF24D8">
              <w:rPr>
                <w:rFonts w:ascii="Times New Roman" w:eastAsia="Times New Roman" w:hAnsi="Times New Roman" w:cs="Times New Roman"/>
                <w:sz w:val="16"/>
                <w:szCs w:val="16"/>
              </w:rPr>
              <w:tab/>
            </w:r>
          </w:p>
        </w:tc>
        <w:tc>
          <w:tcPr>
            <w:tcW w:w="8295" w:type="dxa"/>
          </w:tcPr>
          <w:p w14:paraId="3083B0DB"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cannabi</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690F7FF2" w14:textId="77777777">
        <w:tc>
          <w:tcPr>
            <w:tcW w:w="1200" w:type="dxa"/>
          </w:tcPr>
          <w:p w14:paraId="630B627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24</w:t>
            </w:r>
            <w:r w:rsidRPr="00EF24D8">
              <w:rPr>
                <w:rFonts w:ascii="Times New Roman" w:eastAsia="Times New Roman" w:hAnsi="Times New Roman" w:cs="Times New Roman"/>
                <w:sz w:val="16"/>
                <w:szCs w:val="16"/>
              </w:rPr>
              <w:tab/>
            </w:r>
          </w:p>
        </w:tc>
        <w:tc>
          <w:tcPr>
            <w:tcW w:w="8295" w:type="dxa"/>
          </w:tcPr>
          <w:p w14:paraId="46CE07D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marijuana.mp.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4D311DDB" w14:textId="77777777">
        <w:tc>
          <w:tcPr>
            <w:tcW w:w="1200" w:type="dxa"/>
          </w:tcPr>
          <w:p w14:paraId="12AC53A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25</w:t>
            </w:r>
            <w:r w:rsidRPr="00EF24D8">
              <w:rPr>
                <w:rFonts w:ascii="Times New Roman" w:eastAsia="Times New Roman" w:hAnsi="Times New Roman" w:cs="Times New Roman"/>
                <w:sz w:val="16"/>
                <w:szCs w:val="16"/>
              </w:rPr>
              <w:tab/>
            </w:r>
          </w:p>
        </w:tc>
        <w:tc>
          <w:tcPr>
            <w:tcW w:w="8295" w:type="dxa"/>
          </w:tcPr>
          <w:p w14:paraId="78115D3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marihuana.mp.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5D7FE9FE" w14:textId="77777777">
        <w:tc>
          <w:tcPr>
            <w:tcW w:w="1200" w:type="dxa"/>
          </w:tcPr>
          <w:p w14:paraId="70533A8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26</w:t>
            </w:r>
            <w:r w:rsidRPr="00EF24D8">
              <w:rPr>
                <w:rFonts w:ascii="Times New Roman" w:eastAsia="Times New Roman" w:hAnsi="Times New Roman" w:cs="Times New Roman"/>
                <w:sz w:val="16"/>
                <w:szCs w:val="16"/>
              </w:rPr>
              <w:tab/>
            </w:r>
          </w:p>
        </w:tc>
        <w:tc>
          <w:tcPr>
            <w:tcW w:w="8295" w:type="dxa"/>
          </w:tcPr>
          <w:p w14:paraId="43F9B41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tetrahydrocannabinol.mp.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28F3CDC4" w14:textId="77777777">
        <w:tc>
          <w:tcPr>
            <w:tcW w:w="1200" w:type="dxa"/>
          </w:tcPr>
          <w:p w14:paraId="0F40A23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27</w:t>
            </w:r>
            <w:r w:rsidRPr="00EF24D8">
              <w:rPr>
                <w:rFonts w:ascii="Times New Roman" w:eastAsia="Times New Roman" w:hAnsi="Times New Roman" w:cs="Times New Roman"/>
                <w:sz w:val="16"/>
                <w:szCs w:val="16"/>
              </w:rPr>
              <w:tab/>
            </w:r>
          </w:p>
        </w:tc>
        <w:tc>
          <w:tcPr>
            <w:tcW w:w="8295" w:type="dxa"/>
          </w:tcPr>
          <w:p w14:paraId="3D9C1C3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THC.mp.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25CC63FF" w14:textId="77777777">
        <w:tc>
          <w:tcPr>
            <w:tcW w:w="1200" w:type="dxa"/>
          </w:tcPr>
          <w:p w14:paraId="2C2992E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28</w:t>
            </w:r>
            <w:r w:rsidRPr="00EF24D8">
              <w:rPr>
                <w:rFonts w:ascii="Times New Roman" w:eastAsia="Times New Roman" w:hAnsi="Times New Roman" w:cs="Times New Roman"/>
                <w:sz w:val="16"/>
                <w:szCs w:val="16"/>
              </w:rPr>
              <w:tab/>
            </w:r>
          </w:p>
        </w:tc>
        <w:tc>
          <w:tcPr>
            <w:tcW w:w="8295" w:type="dxa"/>
          </w:tcPr>
          <w:p w14:paraId="51F4577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Sativex.mp.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0703241D" w14:textId="77777777">
        <w:tc>
          <w:tcPr>
            <w:tcW w:w="1200" w:type="dxa"/>
          </w:tcPr>
          <w:p w14:paraId="2D24F97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29</w:t>
            </w:r>
            <w:r w:rsidRPr="00EF24D8">
              <w:rPr>
                <w:rFonts w:ascii="Times New Roman" w:eastAsia="Times New Roman" w:hAnsi="Times New Roman" w:cs="Times New Roman"/>
                <w:sz w:val="16"/>
                <w:szCs w:val="16"/>
              </w:rPr>
              <w:tab/>
            </w:r>
          </w:p>
        </w:tc>
        <w:tc>
          <w:tcPr>
            <w:tcW w:w="8295" w:type="dxa"/>
          </w:tcPr>
          <w:p w14:paraId="7E831D2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dronabinol.mp.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=abstract, heading words, title]</w:t>
            </w:r>
          </w:p>
        </w:tc>
      </w:tr>
      <w:tr w:rsidR="00FF0074" w:rsidRPr="00EF24D8" w14:paraId="065A9973" w14:textId="77777777">
        <w:tc>
          <w:tcPr>
            <w:tcW w:w="1200" w:type="dxa"/>
          </w:tcPr>
          <w:p w14:paraId="1E8D1B1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30</w:t>
            </w:r>
            <w:r w:rsidRPr="00EF24D8">
              <w:rPr>
                <w:rFonts w:ascii="Times New Roman" w:eastAsia="Times New Roman" w:hAnsi="Times New Roman" w:cs="Times New Roman"/>
                <w:sz w:val="16"/>
                <w:szCs w:val="16"/>
              </w:rPr>
              <w:tab/>
            </w:r>
          </w:p>
        </w:tc>
        <w:tc>
          <w:tcPr>
            <w:tcW w:w="8295" w:type="dxa"/>
          </w:tcPr>
          <w:p w14:paraId="26542D4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23 or 24 or 25 or 26 or 27 or 28 or 29</w:t>
            </w:r>
          </w:p>
        </w:tc>
      </w:tr>
      <w:tr w:rsidR="00FF0074" w:rsidRPr="00EF24D8" w14:paraId="24318BF5" w14:textId="77777777">
        <w:tc>
          <w:tcPr>
            <w:tcW w:w="1200" w:type="dxa"/>
          </w:tcPr>
          <w:p w14:paraId="5CBD864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31</w:t>
            </w:r>
            <w:r w:rsidRPr="00EF24D8">
              <w:rPr>
                <w:rFonts w:ascii="Times New Roman" w:eastAsia="Times New Roman" w:hAnsi="Times New Roman" w:cs="Times New Roman"/>
                <w:sz w:val="16"/>
                <w:szCs w:val="16"/>
              </w:rPr>
              <w:tab/>
            </w:r>
          </w:p>
        </w:tc>
        <w:tc>
          <w:tcPr>
            <w:tcW w:w="8295" w:type="dxa"/>
          </w:tcPr>
          <w:p w14:paraId="6DD51FC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6 or 30</w:t>
            </w:r>
          </w:p>
        </w:tc>
      </w:tr>
      <w:tr w:rsidR="00FF0074" w:rsidRPr="00EF24D8" w14:paraId="6DE62FA7" w14:textId="77777777">
        <w:tc>
          <w:tcPr>
            <w:tcW w:w="1200" w:type="dxa"/>
          </w:tcPr>
          <w:p w14:paraId="1BD30E5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32</w:t>
            </w:r>
            <w:r w:rsidRPr="00EF24D8">
              <w:rPr>
                <w:rFonts w:ascii="Times New Roman" w:eastAsia="Times New Roman" w:hAnsi="Times New Roman" w:cs="Times New Roman"/>
                <w:sz w:val="16"/>
                <w:szCs w:val="16"/>
              </w:rPr>
              <w:tab/>
            </w:r>
          </w:p>
        </w:tc>
        <w:tc>
          <w:tcPr>
            <w:tcW w:w="8295" w:type="dxa"/>
          </w:tcPr>
          <w:p w14:paraId="0ADA25B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21 and 31</w:t>
            </w:r>
          </w:p>
        </w:tc>
      </w:tr>
      <w:tr w:rsidR="00FF0074" w:rsidRPr="00EF24D8" w14:paraId="143705D9" w14:textId="77777777">
        <w:trPr>
          <w:trHeight w:val="322"/>
        </w:trPr>
        <w:tc>
          <w:tcPr>
            <w:tcW w:w="1200" w:type="dxa"/>
          </w:tcPr>
          <w:p w14:paraId="32BF06C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33</w:t>
            </w:r>
          </w:p>
        </w:tc>
        <w:tc>
          <w:tcPr>
            <w:tcW w:w="8295" w:type="dxa"/>
          </w:tcPr>
          <w:p w14:paraId="657352A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limit 32 to </w:t>
            </w:r>
            <w:proofErr w:type="spellStart"/>
            <w:r w:rsidRPr="00EF24D8">
              <w:rPr>
                <w:rFonts w:ascii="Times New Roman" w:eastAsia="Times New Roman" w:hAnsi="Times New Roman" w:cs="Times New Roman"/>
                <w:sz w:val="16"/>
                <w:szCs w:val="16"/>
              </w:rPr>
              <w:t>yr</w:t>
            </w:r>
            <w:proofErr w:type="spellEnd"/>
            <w:r w:rsidRPr="00EF24D8">
              <w:rPr>
                <w:rFonts w:ascii="Times New Roman" w:eastAsia="Times New Roman" w:hAnsi="Times New Roman" w:cs="Times New Roman"/>
                <w:sz w:val="16"/>
                <w:szCs w:val="16"/>
              </w:rPr>
              <w:t>= “2021 -Current”</w:t>
            </w:r>
          </w:p>
        </w:tc>
      </w:tr>
      <w:tr w:rsidR="00FF0074" w:rsidRPr="00EF24D8" w14:paraId="6AEA9FA9" w14:textId="77777777">
        <w:tc>
          <w:tcPr>
            <w:tcW w:w="9495" w:type="dxa"/>
            <w:gridSpan w:val="2"/>
            <w:shd w:val="clear" w:color="auto" w:fill="D0CECE"/>
          </w:tcPr>
          <w:p w14:paraId="1DE81141" w14:textId="77777777" w:rsidR="00FF0074" w:rsidRPr="00EF24D8" w:rsidRDefault="00000000">
            <w:pPr>
              <w:rPr>
                <w:rFonts w:ascii="Times New Roman" w:eastAsia="Times New Roman" w:hAnsi="Times New Roman" w:cs="Times New Roman"/>
                <w:b/>
                <w:sz w:val="16"/>
                <w:szCs w:val="16"/>
              </w:rPr>
            </w:pPr>
            <w:r w:rsidRPr="00EF24D8">
              <w:rPr>
                <w:rFonts w:ascii="Times New Roman" w:eastAsia="Times New Roman" w:hAnsi="Times New Roman" w:cs="Times New Roman"/>
                <w:b/>
                <w:sz w:val="16"/>
                <w:szCs w:val="16"/>
              </w:rPr>
              <w:t>CENTRAL</w:t>
            </w:r>
          </w:p>
        </w:tc>
      </w:tr>
      <w:tr w:rsidR="00FF0074" w:rsidRPr="00EF24D8" w14:paraId="5E7EBE2D" w14:textId="77777777">
        <w:tc>
          <w:tcPr>
            <w:tcW w:w="1200" w:type="dxa"/>
          </w:tcPr>
          <w:p w14:paraId="45FC075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w:t>
            </w:r>
          </w:p>
        </w:tc>
        <w:tc>
          <w:tcPr>
            <w:tcW w:w="8295" w:type="dxa"/>
          </w:tcPr>
          <w:p w14:paraId="70B157B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Cannabidiol/</w:t>
            </w:r>
          </w:p>
        </w:tc>
      </w:tr>
      <w:tr w:rsidR="00FF0074" w:rsidRPr="00EF24D8" w14:paraId="5276C31A" w14:textId="77777777">
        <w:tc>
          <w:tcPr>
            <w:tcW w:w="1200" w:type="dxa"/>
          </w:tcPr>
          <w:p w14:paraId="3F52B51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w:t>
            </w:r>
            <w:r w:rsidRPr="00EF24D8">
              <w:rPr>
                <w:rFonts w:ascii="Times New Roman" w:eastAsia="Times New Roman" w:hAnsi="Times New Roman" w:cs="Times New Roman"/>
                <w:sz w:val="16"/>
                <w:szCs w:val="16"/>
              </w:rPr>
              <w:tab/>
            </w:r>
            <w:r w:rsidRPr="00EF24D8">
              <w:rPr>
                <w:rFonts w:ascii="Times New Roman" w:eastAsia="Times New Roman" w:hAnsi="Times New Roman" w:cs="Times New Roman"/>
                <w:sz w:val="16"/>
                <w:szCs w:val="16"/>
              </w:rPr>
              <w:tab/>
            </w:r>
          </w:p>
        </w:tc>
        <w:tc>
          <w:tcPr>
            <w:tcW w:w="8295" w:type="dxa"/>
          </w:tcPr>
          <w:p w14:paraId="62FB018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CBD.mp.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67DFA0D0" w14:textId="77777777">
        <w:tc>
          <w:tcPr>
            <w:tcW w:w="1200" w:type="dxa"/>
          </w:tcPr>
          <w:p w14:paraId="3127B09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w:t>
            </w:r>
          </w:p>
        </w:tc>
        <w:tc>
          <w:tcPr>
            <w:tcW w:w="8295" w:type="dxa"/>
          </w:tcPr>
          <w:p w14:paraId="5AAE32C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Cannabidiol.mp.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64336EBF" w14:textId="77777777">
        <w:tc>
          <w:tcPr>
            <w:tcW w:w="1200" w:type="dxa"/>
          </w:tcPr>
          <w:p w14:paraId="09292A3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w:t>
            </w:r>
            <w:r w:rsidRPr="00EF24D8">
              <w:rPr>
                <w:rFonts w:ascii="Times New Roman" w:eastAsia="Times New Roman" w:hAnsi="Times New Roman" w:cs="Times New Roman"/>
                <w:sz w:val="16"/>
                <w:szCs w:val="16"/>
              </w:rPr>
              <w:tab/>
            </w:r>
          </w:p>
        </w:tc>
        <w:tc>
          <w:tcPr>
            <w:tcW w:w="8295" w:type="dxa"/>
          </w:tcPr>
          <w:p w14:paraId="0B44A9D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Epidiolex.mp.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3C7DF35F" w14:textId="77777777">
        <w:tc>
          <w:tcPr>
            <w:tcW w:w="1200" w:type="dxa"/>
          </w:tcPr>
          <w:p w14:paraId="242C7B9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w:t>
            </w:r>
            <w:r w:rsidRPr="00EF24D8">
              <w:rPr>
                <w:rFonts w:ascii="Times New Roman" w:eastAsia="Times New Roman" w:hAnsi="Times New Roman" w:cs="Times New Roman"/>
                <w:sz w:val="16"/>
                <w:szCs w:val="16"/>
              </w:rPr>
              <w:tab/>
            </w:r>
          </w:p>
        </w:tc>
        <w:tc>
          <w:tcPr>
            <w:tcW w:w="8295" w:type="dxa"/>
          </w:tcPr>
          <w:p w14:paraId="598E206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Epidyolex.mp.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7982A542" w14:textId="77777777">
        <w:tc>
          <w:tcPr>
            <w:tcW w:w="1200" w:type="dxa"/>
          </w:tcPr>
          <w:p w14:paraId="46EE693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6</w:t>
            </w:r>
            <w:r w:rsidRPr="00EF24D8">
              <w:rPr>
                <w:rFonts w:ascii="Times New Roman" w:eastAsia="Times New Roman" w:hAnsi="Times New Roman" w:cs="Times New Roman"/>
                <w:sz w:val="16"/>
                <w:szCs w:val="16"/>
              </w:rPr>
              <w:tab/>
            </w:r>
          </w:p>
        </w:tc>
        <w:tc>
          <w:tcPr>
            <w:tcW w:w="8295" w:type="dxa"/>
          </w:tcPr>
          <w:p w14:paraId="434642E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hemp.mp.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10DFC48C" w14:textId="77777777">
        <w:tc>
          <w:tcPr>
            <w:tcW w:w="1200" w:type="dxa"/>
          </w:tcPr>
          <w:p w14:paraId="240ADE6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7</w:t>
            </w:r>
          </w:p>
        </w:tc>
        <w:tc>
          <w:tcPr>
            <w:tcW w:w="8295" w:type="dxa"/>
          </w:tcPr>
          <w:p w14:paraId="5002A77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 or 2 or 3 or 4 or 5 or 6</w:t>
            </w:r>
          </w:p>
        </w:tc>
      </w:tr>
      <w:tr w:rsidR="00FF0074" w:rsidRPr="00EF24D8" w14:paraId="0C573E16" w14:textId="77777777">
        <w:tc>
          <w:tcPr>
            <w:tcW w:w="1200" w:type="dxa"/>
          </w:tcPr>
          <w:p w14:paraId="7383DE7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8</w:t>
            </w:r>
          </w:p>
        </w:tc>
        <w:tc>
          <w:tcPr>
            <w:tcW w:w="8295" w:type="dxa"/>
          </w:tcPr>
          <w:p w14:paraId="24F955A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cannabis/</w:t>
            </w:r>
          </w:p>
        </w:tc>
      </w:tr>
      <w:tr w:rsidR="00FF0074" w:rsidRPr="00EF24D8" w14:paraId="205A0F7D" w14:textId="77777777">
        <w:tc>
          <w:tcPr>
            <w:tcW w:w="1200" w:type="dxa"/>
          </w:tcPr>
          <w:p w14:paraId="09F58CB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9</w:t>
            </w:r>
          </w:p>
        </w:tc>
        <w:tc>
          <w:tcPr>
            <w:tcW w:w="8295" w:type="dxa"/>
          </w:tcPr>
          <w:p w14:paraId="2C24F1B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cannabinoids/ or dronabinol/</w:t>
            </w:r>
          </w:p>
        </w:tc>
      </w:tr>
      <w:tr w:rsidR="00FF0074" w:rsidRPr="00EF24D8" w14:paraId="01FBFF07" w14:textId="77777777">
        <w:tc>
          <w:tcPr>
            <w:tcW w:w="1200" w:type="dxa"/>
          </w:tcPr>
          <w:p w14:paraId="3A10FA9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10</w:t>
            </w:r>
          </w:p>
        </w:tc>
        <w:tc>
          <w:tcPr>
            <w:tcW w:w="8295" w:type="dxa"/>
          </w:tcPr>
          <w:p w14:paraId="386B2876"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cannabi</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03FC1E4A" w14:textId="77777777">
        <w:tc>
          <w:tcPr>
            <w:tcW w:w="1200" w:type="dxa"/>
          </w:tcPr>
          <w:p w14:paraId="3B735FF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11</w:t>
            </w:r>
          </w:p>
        </w:tc>
        <w:tc>
          <w:tcPr>
            <w:tcW w:w="8295" w:type="dxa"/>
          </w:tcPr>
          <w:p w14:paraId="5434ADC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marijuana.mp.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126FC3CC" w14:textId="77777777">
        <w:tc>
          <w:tcPr>
            <w:tcW w:w="1200" w:type="dxa"/>
          </w:tcPr>
          <w:p w14:paraId="7A22B2A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12</w:t>
            </w:r>
          </w:p>
        </w:tc>
        <w:tc>
          <w:tcPr>
            <w:tcW w:w="8295" w:type="dxa"/>
          </w:tcPr>
          <w:p w14:paraId="202DA71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marihuana.mp.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6B33347A" w14:textId="77777777">
        <w:tc>
          <w:tcPr>
            <w:tcW w:w="1200" w:type="dxa"/>
          </w:tcPr>
          <w:p w14:paraId="64B7238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13</w:t>
            </w:r>
          </w:p>
        </w:tc>
        <w:tc>
          <w:tcPr>
            <w:tcW w:w="8295" w:type="dxa"/>
          </w:tcPr>
          <w:p w14:paraId="60DBCC2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tetrahydrocannabinol.mp.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64FCC20A" w14:textId="77777777">
        <w:tc>
          <w:tcPr>
            <w:tcW w:w="1200" w:type="dxa"/>
          </w:tcPr>
          <w:p w14:paraId="26711D6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14</w:t>
            </w:r>
          </w:p>
        </w:tc>
        <w:tc>
          <w:tcPr>
            <w:tcW w:w="8295" w:type="dxa"/>
          </w:tcPr>
          <w:p w14:paraId="5C813C8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THC.mp.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3FD8A154" w14:textId="77777777">
        <w:tc>
          <w:tcPr>
            <w:tcW w:w="1200" w:type="dxa"/>
          </w:tcPr>
          <w:p w14:paraId="4FACEB2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15</w:t>
            </w:r>
          </w:p>
        </w:tc>
        <w:tc>
          <w:tcPr>
            <w:tcW w:w="8295" w:type="dxa"/>
          </w:tcPr>
          <w:p w14:paraId="37C5F1C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Sativex.mp.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5F212E88" w14:textId="77777777">
        <w:tc>
          <w:tcPr>
            <w:tcW w:w="1200" w:type="dxa"/>
          </w:tcPr>
          <w:p w14:paraId="74B1E50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16</w:t>
            </w:r>
          </w:p>
        </w:tc>
        <w:tc>
          <w:tcPr>
            <w:tcW w:w="8295" w:type="dxa"/>
          </w:tcPr>
          <w:p w14:paraId="67AC7C1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dronabinol.mp.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1E32D3D7" w14:textId="77777777">
        <w:tc>
          <w:tcPr>
            <w:tcW w:w="1200" w:type="dxa"/>
          </w:tcPr>
          <w:p w14:paraId="17030FB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17</w:t>
            </w:r>
          </w:p>
        </w:tc>
        <w:tc>
          <w:tcPr>
            <w:tcW w:w="8295" w:type="dxa"/>
          </w:tcPr>
          <w:p w14:paraId="6B7FBAE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8 or 9 or 10 or 11 or 12 or 13 or 14 or 15 or 16</w:t>
            </w:r>
          </w:p>
        </w:tc>
      </w:tr>
      <w:tr w:rsidR="00FF0074" w:rsidRPr="00EF24D8" w14:paraId="66A5EF40" w14:textId="77777777">
        <w:tc>
          <w:tcPr>
            <w:tcW w:w="1200" w:type="dxa"/>
          </w:tcPr>
          <w:p w14:paraId="1EF5AC5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18</w:t>
            </w:r>
          </w:p>
        </w:tc>
        <w:tc>
          <w:tcPr>
            <w:tcW w:w="8295" w:type="dxa"/>
          </w:tcPr>
          <w:p w14:paraId="51E2035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7 or 17</w:t>
            </w:r>
          </w:p>
        </w:tc>
      </w:tr>
      <w:tr w:rsidR="00FF0074" w:rsidRPr="00EF24D8" w14:paraId="1E09FCC4" w14:textId="77777777">
        <w:tc>
          <w:tcPr>
            <w:tcW w:w="1200" w:type="dxa"/>
          </w:tcPr>
          <w:p w14:paraId="06D8464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19</w:t>
            </w:r>
          </w:p>
        </w:tc>
        <w:tc>
          <w:tcPr>
            <w:tcW w:w="8295" w:type="dxa"/>
          </w:tcPr>
          <w:p w14:paraId="320C544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psychomotor performance/</w:t>
            </w:r>
          </w:p>
        </w:tc>
      </w:tr>
      <w:tr w:rsidR="00FF0074" w:rsidRPr="00EF24D8" w14:paraId="57CB7696" w14:textId="77777777">
        <w:tc>
          <w:tcPr>
            <w:tcW w:w="1200" w:type="dxa"/>
          </w:tcPr>
          <w:p w14:paraId="00329DE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20</w:t>
            </w:r>
          </w:p>
        </w:tc>
        <w:tc>
          <w:tcPr>
            <w:tcW w:w="8295" w:type="dxa"/>
          </w:tcPr>
          <w:p w14:paraId="30E18C2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cognition/</w:t>
            </w:r>
          </w:p>
        </w:tc>
      </w:tr>
      <w:tr w:rsidR="00FF0074" w:rsidRPr="00EF24D8" w14:paraId="21D57209" w14:textId="77777777">
        <w:tc>
          <w:tcPr>
            <w:tcW w:w="1200" w:type="dxa"/>
          </w:tcPr>
          <w:p w14:paraId="3391315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21</w:t>
            </w:r>
          </w:p>
        </w:tc>
        <w:tc>
          <w:tcPr>
            <w:tcW w:w="8295" w:type="dxa"/>
          </w:tcPr>
          <w:p w14:paraId="641F5A3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learning/</w:t>
            </w:r>
          </w:p>
        </w:tc>
      </w:tr>
      <w:tr w:rsidR="00FF0074" w:rsidRPr="00EF24D8" w14:paraId="595293E9" w14:textId="77777777">
        <w:tc>
          <w:tcPr>
            <w:tcW w:w="1200" w:type="dxa"/>
          </w:tcPr>
          <w:p w14:paraId="14848CA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22</w:t>
            </w:r>
          </w:p>
        </w:tc>
        <w:tc>
          <w:tcPr>
            <w:tcW w:w="8295" w:type="dxa"/>
          </w:tcPr>
          <w:p w14:paraId="3C13A94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executive function/</w:t>
            </w:r>
          </w:p>
        </w:tc>
      </w:tr>
      <w:tr w:rsidR="00FF0074" w:rsidRPr="00EF24D8" w14:paraId="6CA87882" w14:textId="77777777">
        <w:tc>
          <w:tcPr>
            <w:tcW w:w="1200" w:type="dxa"/>
          </w:tcPr>
          <w:p w14:paraId="5001408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23</w:t>
            </w:r>
          </w:p>
        </w:tc>
        <w:tc>
          <w:tcPr>
            <w:tcW w:w="8295" w:type="dxa"/>
          </w:tcPr>
          <w:p w14:paraId="5B15C16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automobile driving/</w:t>
            </w:r>
          </w:p>
        </w:tc>
      </w:tr>
      <w:tr w:rsidR="00FF0074" w:rsidRPr="00EF24D8" w14:paraId="4CEA9762" w14:textId="77777777">
        <w:tc>
          <w:tcPr>
            <w:tcW w:w="1200" w:type="dxa"/>
          </w:tcPr>
          <w:p w14:paraId="1623FE0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24</w:t>
            </w:r>
          </w:p>
        </w:tc>
        <w:tc>
          <w:tcPr>
            <w:tcW w:w="8295" w:type="dxa"/>
          </w:tcPr>
          <w:p w14:paraId="7DD419B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reaction time/</w:t>
            </w:r>
          </w:p>
        </w:tc>
      </w:tr>
      <w:tr w:rsidR="00FF0074" w:rsidRPr="00EF24D8" w14:paraId="222CD1F8" w14:textId="77777777">
        <w:tc>
          <w:tcPr>
            <w:tcW w:w="1200" w:type="dxa"/>
          </w:tcPr>
          <w:p w14:paraId="5EBE5CA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25</w:t>
            </w:r>
          </w:p>
        </w:tc>
        <w:tc>
          <w:tcPr>
            <w:tcW w:w="8295" w:type="dxa"/>
          </w:tcPr>
          <w:p w14:paraId="47F5222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attention/</w:t>
            </w:r>
          </w:p>
        </w:tc>
      </w:tr>
      <w:tr w:rsidR="00FF0074" w:rsidRPr="00EF24D8" w14:paraId="71A4BF58" w14:textId="77777777">
        <w:tc>
          <w:tcPr>
            <w:tcW w:w="1200" w:type="dxa"/>
          </w:tcPr>
          <w:p w14:paraId="2C7FE4B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26</w:t>
            </w:r>
          </w:p>
        </w:tc>
        <w:tc>
          <w:tcPr>
            <w:tcW w:w="8295" w:type="dxa"/>
          </w:tcPr>
          <w:p w14:paraId="4176479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memory/ or memory, short-term/ or mental recall/</w:t>
            </w:r>
          </w:p>
        </w:tc>
      </w:tr>
      <w:tr w:rsidR="00FF0074" w:rsidRPr="00EF24D8" w14:paraId="5D15CC63" w14:textId="77777777">
        <w:tc>
          <w:tcPr>
            <w:tcW w:w="1200" w:type="dxa"/>
          </w:tcPr>
          <w:p w14:paraId="584D973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27</w:t>
            </w:r>
          </w:p>
        </w:tc>
        <w:tc>
          <w:tcPr>
            <w:tcW w:w="8295" w:type="dxa"/>
          </w:tcPr>
          <w:p w14:paraId="33AF09C0"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cogniti</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155C790F" w14:textId="77777777">
        <w:tc>
          <w:tcPr>
            <w:tcW w:w="1200" w:type="dxa"/>
          </w:tcPr>
          <w:p w14:paraId="284ED04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28</w:t>
            </w:r>
          </w:p>
        </w:tc>
        <w:tc>
          <w:tcPr>
            <w:tcW w:w="8295" w:type="dxa"/>
          </w:tcPr>
          <w:p w14:paraId="7299E7B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impair*.</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463C02FE" w14:textId="77777777">
        <w:tc>
          <w:tcPr>
            <w:tcW w:w="1200" w:type="dxa"/>
          </w:tcPr>
          <w:p w14:paraId="179CF2D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lastRenderedPageBreak/>
              <w:t>29</w:t>
            </w:r>
          </w:p>
        </w:tc>
        <w:tc>
          <w:tcPr>
            <w:tcW w:w="8295" w:type="dxa"/>
          </w:tcPr>
          <w:p w14:paraId="7B1DEDE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psychomotor.mp.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7C9F49A4" w14:textId="77777777">
        <w:tc>
          <w:tcPr>
            <w:tcW w:w="1200" w:type="dxa"/>
          </w:tcPr>
          <w:p w14:paraId="074BA8E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30</w:t>
            </w:r>
          </w:p>
        </w:tc>
        <w:tc>
          <w:tcPr>
            <w:tcW w:w="8295" w:type="dxa"/>
          </w:tcPr>
          <w:p w14:paraId="7C9BB5E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attention.mp.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1B7833A1" w14:textId="77777777">
        <w:tc>
          <w:tcPr>
            <w:tcW w:w="1200" w:type="dxa"/>
          </w:tcPr>
          <w:p w14:paraId="05D9253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31</w:t>
            </w:r>
          </w:p>
        </w:tc>
        <w:tc>
          <w:tcPr>
            <w:tcW w:w="8295" w:type="dxa"/>
          </w:tcPr>
          <w:p w14:paraId="7675ACE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memory.mp.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4E6B0000" w14:textId="77777777">
        <w:tc>
          <w:tcPr>
            <w:tcW w:w="1200" w:type="dxa"/>
          </w:tcPr>
          <w:p w14:paraId="6D61630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32</w:t>
            </w:r>
          </w:p>
        </w:tc>
        <w:tc>
          <w:tcPr>
            <w:tcW w:w="8295" w:type="dxa"/>
          </w:tcPr>
          <w:p w14:paraId="4C21F96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reaction time.mp.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3550C9A5" w14:textId="77777777">
        <w:tc>
          <w:tcPr>
            <w:tcW w:w="1200" w:type="dxa"/>
          </w:tcPr>
          <w:p w14:paraId="79EBD05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33</w:t>
            </w:r>
          </w:p>
        </w:tc>
        <w:tc>
          <w:tcPr>
            <w:tcW w:w="8295" w:type="dxa"/>
          </w:tcPr>
          <w:p w14:paraId="66A3CF33"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coordinat</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3061A435" w14:textId="77777777">
        <w:tc>
          <w:tcPr>
            <w:tcW w:w="1200" w:type="dxa"/>
          </w:tcPr>
          <w:p w14:paraId="77548AE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34</w:t>
            </w:r>
          </w:p>
        </w:tc>
        <w:tc>
          <w:tcPr>
            <w:tcW w:w="8295" w:type="dxa"/>
          </w:tcPr>
          <w:p w14:paraId="01623A42"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intoxic</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49EF78D2" w14:textId="77777777">
        <w:tc>
          <w:tcPr>
            <w:tcW w:w="1200" w:type="dxa"/>
          </w:tcPr>
          <w:p w14:paraId="2CE561D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35</w:t>
            </w:r>
          </w:p>
        </w:tc>
        <w:tc>
          <w:tcPr>
            <w:tcW w:w="8295" w:type="dxa"/>
          </w:tcPr>
          <w:p w14:paraId="76E8541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driving.mp.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4136A1DA" w14:textId="77777777">
        <w:tc>
          <w:tcPr>
            <w:tcW w:w="1200" w:type="dxa"/>
          </w:tcPr>
          <w:p w14:paraId="02FAECD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36</w:t>
            </w:r>
          </w:p>
        </w:tc>
        <w:tc>
          <w:tcPr>
            <w:tcW w:w="8295" w:type="dxa"/>
          </w:tcPr>
          <w:p w14:paraId="6F5C410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task switching.mp.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53D7569F" w14:textId="77777777">
        <w:tc>
          <w:tcPr>
            <w:tcW w:w="1200" w:type="dxa"/>
          </w:tcPr>
          <w:p w14:paraId="67EBF48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37</w:t>
            </w:r>
          </w:p>
        </w:tc>
        <w:tc>
          <w:tcPr>
            <w:tcW w:w="8295" w:type="dxa"/>
          </w:tcPr>
          <w:p w14:paraId="62117C3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processing speed.mp.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original title, abstract, floating sub-heading word, mesh headings, heading words, keyword]</w:t>
            </w:r>
          </w:p>
        </w:tc>
      </w:tr>
      <w:tr w:rsidR="00FF0074" w:rsidRPr="00EF24D8" w14:paraId="278F682E" w14:textId="77777777">
        <w:tc>
          <w:tcPr>
            <w:tcW w:w="1200" w:type="dxa"/>
          </w:tcPr>
          <w:p w14:paraId="0722E94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38</w:t>
            </w:r>
          </w:p>
        </w:tc>
        <w:tc>
          <w:tcPr>
            <w:tcW w:w="8295" w:type="dxa"/>
          </w:tcPr>
          <w:p w14:paraId="615C28A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or/ 19-37</w:t>
            </w:r>
          </w:p>
        </w:tc>
      </w:tr>
      <w:tr w:rsidR="00FF0074" w:rsidRPr="00EF24D8" w14:paraId="15FF107A" w14:textId="77777777">
        <w:tc>
          <w:tcPr>
            <w:tcW w:w="1200" w:type="dxa"/>
          </w:tcPr>
          <w:p w14:paraId="439C6F5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39</w:t>
            </w:r>
          </w:p>
        </w:tc>
        <w:tc>
          <w:tcPr>
            <w:tcW w:w="8295" w:type="dxa"/>
          </w:tcPr>
          <w:p w14:paraId="636788F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18 and 38</w:t>
            </w:r>
          </w:p>
        </w:tc>
      </w:tr>
      <w:tr w:rsidR="00FF0074" w:rsidRPr="00EF24D8" w14:paraId="7D150C9D" w14:textId="77777777">
        <w:tc>
          <w:tcPr>
            <w:tcW w:w="1200" w:type="dxa"/>
          </w:tcPr>
          <w:p w14:paraId="7527E57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40</w:t>
            </w:r>
          </w:p>
        </w:tc>
        <w:tc>
          <w:tcPr>
            <w:tcW w:w="8295" w:type="dxa"/>
          </w:tcPr>
          <w:p w14:paraId="169C166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limit 39 to </w:t>
            </w:r>
            <w:proofErr w:type="spellStart"/>
            <w:r w:rsidRPr="00EF24D8">
              <w:rPr>
                <w:rFonts w:ascii="Times New Roman" w:eastAsia="Times New Roman" w:hAnsi="Times New Roman" w:cs="Times New Roman"/>
                <w:sz w:val="16"/>
                <w:szCs w:val="16"/>
              </w:rPr>
              <w:t>yr</w:t>
            </w:r>
            <w:proofErr w:type="spellEnd"/>
            <w:r w:rsidRPr="00EF24D8">
              <w:rPr>
                <w:rFonts w:ascii="Times New Roman" w:eastAsia="Times New Roman" w:hAnsi="Times New Roman" w:cs="Times New Roman"/>
                <w:sz w:val="16"/>
                <w:szCs w:val="16"/>
              </w:rPr>
              <w:t>= “2022 -Current”</w:t>
            </w:r>
          </w:p>
        </w:tc>
      </w:tr>
      <w:tr w:rsidR="00FF0074" w:rsidRPr="00EF24D8" w14:paraId="1817BDB4" w14:textId="77777777">
        <w:tc>
          <w:tcPr>
            <w:tcW w:w="9495" w:type="dxa"/>
            <w:gridSpan w:val="2"/>
            <w:shd w:val="clear" w:color="auto" w:fill="D0CECE"/>
          </w:tcPr>
          <w:p w14:paraId="2B91EC01" w14:textId="77777777" w:rsidR="00FF0074" w:rsidRPr="00EF24D8" w:rsidRDefault="00000000">
            <w:pPr>
              <w:rPr>
                <w:rFonts w:ascii="Times New Roman" w:eastAsia="Times New Roman" w:hAnsi="Times New Roman" w:cs="Times New Roman"/>
                <w:b/>
                <w:sz w:val="16"/>
                <w:szCs w:val="16"/>
              </w:rPr>
            </w:pPr>
            <w:r w:rsidRPr="00EF24D8">
              <w:rPr>
                <w:rFonts w:ascii="Times New Roman" w:eastAsia="Times New Roman" w:hAnsi="Times New Roman" w:cs="Times New Roman"/>
                <w:b/>
                <w:sz w:val="16"/>
                <w:szCs w:val="16"/>
              </w:rPr>
              <w:t>PSYCH INFO</w:t>
            </w:r>
          </w:p>
        </w:tc>
      </w:tr>
      <w:tr w:rsidR="00FF0074" w:rsidRPr="00EF24D8" w14:paraId="2A7ECCAC" w14:textId="77777777">
        <w:tc>
          <w:tcPr>
            <w:tcW w:w="1200" w:type="dxa"/>
          </w:tcPr>
          <w:p w14:paraId="61D565F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w:t>
            </w:r>
          </w:p>
        </w:tc>
        <w:tc>
          <w:tcPr>
            <w:tcW w:w="8295" w:type="dxa"/>
          </w:tcPr>
          <w:p w14:paraId="52B5FB8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CBD.mp.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23B1AC6A" w14:textId="77777777">
        <w:tc>
          <w:tcPr>
            <w:tcW w:w="1200" w:type="dxa"/>
          </w:tcPr>
          <w:p w14:paraId="5D7EB48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w:t>
            </w:r>
          </w:p>
        </w:tc>
        <w:tc>
          <w:tcPr>
            <w:tcW w:w="8295" w:type="dxa"/>
          </w:tcPr>
          <w:p w14:paraId="60E09B4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Cannabidiol.mp.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27DC13A7" w14:textId="77777777">
        <w:tc>
          <w:tcPr>
            <w:tcW w:w="1200" w:type="dxa"/>
          </w:tcPr>
          <w:p w14:paraId="72302C2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w:t>
            </w:r>
          </w:p>
        </w:tc>
        <w:tc>
          <w:tcPr>
            <w:tcW w:w="8295" w:type="dxa"/>
          </w:tcPr>
          <w:p w14:paraId="3D19F51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Epidiolex.mp.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4D0F31DA" w14:textId="77777777">
        <w:tc>
          <w:tcPr>
            <w:tcW w:w="1200" w:type="dxa"/>
          </w:tcPr>
          <w:p w14:paraId="40EAAC2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w:t>
            </w:r>
          </w:p>
        </w:tc>
        <w:tc>
          <w:tcPr>
            <w:tcW w:w="8295" w:type="dxa"/>
          </w:tcPr>
          <w:p w14:paraId="05DB671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Epidyolex.mp.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43C8BB81" w14:textId="77777777">
        <w:tc>
          <w:tcPr>
            <w:tcW w:w="1200" w:type="dxa"/>
          </w:tcPr>
          <w:p w14:paraId="5AF8572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w:t>
            </w:r>
          </w:p>
        </w:tc>
        <w:tc>
          <w:tcPr>
            <w:tcW w:w="8295" w:type="dxa"/>
          </w:tcPr>
          <w:p w14:paraId="04336C2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 or 2 or 3 or 4</w:t>
            </w:r>
          </w:p>
        </w:tc>
      </w:tr>
      <w:tr w:rsidR="00FF0074" w:rsidRPr="00EF24D8" w14:paraId="37C648FA" w14:textId="77777777">
        <w:tc>
          <w:tcPr>
            <w:tcW w:w="1200" w:type="dxa"/>
          </w:tcPr>
          <w:p w14:paraId="06CE2B9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6</w:t>
            </w:r>
          </w:p>
        </w:tc>
        <w:tc>
          <w:tcPr>
            <w:tcW w:w="8295" w:type="dxa"/>
          </w:tcPr>
          <w:p w14:paraId="2E6A1C2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cognitive impairment/</w:t>
            </w:r>
          </w:p>
        </w:tc>
      </w:tr>
      <w:tr w:rsidR="00FF0074" w:rsidRPr="00EF24D8" w14:paraId="3E3BFE56" w14:textId="77777777">
        <w:tc>
          <w:tcPr>
            <w:tcW w:w="1200" w:type="dxa"/>
          </w:tcPr>
          <w:p w14:paraId="4CEA65A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7</w:t>
            </w:r>
          </w:p>
        </w:tc>
        <w:tc>
          <w:tcPr>
            <w:tcW w:w="8295" w:type="dxa"/>
          </w:tcPr>
          <w:p w14:paraId="57499DE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cognition/ or cognitive processes/</w:t>
            </w:r>
          </w:p>
        </w:tc>
      </w:tr>
      <w:tr w:rsidR="00FF0074" w:rsidRPr="00EF24D8" w14:paraId="59716339" w14:textId="77777777">
        <w:tc>
          <w:tcPr>
            <w:tcW w:w="1200" w:type="dxa"/>
          </w:tcPr>
          <w:p w14:paraId="1E990B6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8</w:t>
            </w:r>
          </w:p>
        </w:tc>
        <w:tc>
          <w:tcPr>
            <w:tcW w:w="8295" w:type="dxa"/>
          </w:tcPr>
          <w:p w14:paraId="70571FF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cognitive ability/ or cognitive flexibility/ or cognitive processing speed/ </w:t>
            </w:r>
          </w:p>
        </w:tc>
      </w:tr>
      <w:tr w:rsidR="00FF0074" w:rsidRPr="00EF24D8" w14:paraId="60E43E0F" w14:textId="77777777">
        <w:tc>
          <w:tcPr>
            <w:tcW w:w="1200" w:type="dxa"/>
          </w:tcPr>
          <w:p w14:paraId="6DF8798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9</w:t>
            </w:r>
          </w:p>
        </w:tc>
        <w:tc>
          <w:tcPr>
            <w:tcW w:w="8295" w:type="dxa"/>
          </w:tcPr>
          <w:p w14:paraId="705AA7C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cognitive assessment/ or psychological assessment/ or executive functioning measures/ or “memory and  learning measures”/</w:t>
            </w:r>
          </w:p>
        </w:tc>
      </w:tr>
      <w:tr w:rsidR="00FF0074" w:rsidRPr="00EF24D8" w14:paraId="62BA7A14" w14:textId="77777777">
        <w:tc>
          <w:tcPr>
            <w:tcW w:w="1200" w:type="dxa"/>
          </w:tcPr>
          <w:p w14:paraId="2F2DB68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10</w:t>
            </w:r>
          </w:p>
        </w:tc>
        <w:tc>
          <w:tcPr>
            <w:tcW w:w="8295" w:type="dxa"/>
          </w:tcPr>
          <w:p w14:paraId="07BFC37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neuropsychological assessment/</w:t>
            </w:r>
          </w:p>
        </w:tc>
      </w:tr>
      <w:tr w:rsidR="00FF0074" w:rsidRPr="00EF24D8" w14:paraId="45B3C982" w14:textId="77777777">
        <w:tc>
          <w:tcPr>
            <w:tcW w:w="1200" w:type="dxa"/>
          </w:tcPr>
          <w:p w14:paraId="26EA46E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11</w:t>
            </w:r>
          </w:p>
        </w:tc>
        <w:tc>
          <w:tcPr>
            <w:tcW w:w="8295" w:type="dxa"/>
          </w:tcPr>
          <w:p w14:paraId="04AEEC8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motor coordination/ or motor processes/ or motor control/ or motor skills/ </w:t>
            </w:r>
          </w:p>
        </w:tc>
      </w:tr>
      <w:tr w:rsidR="00FF0074" w:rsidRPr="00EF24D8" w14:paraId="6F5AA74A" w14:textId="77777777">
        <w:tc>
          <w:tcPr>
            <w:tcW w:w="1200" w:type="dxa"/>
          </w:tcPr>
          <w:p w14:paraId="1D46665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12</w:t>
            </w:r>
          </w:p>
        </w:tc>
        <w:tc>
          <w:tcPr>
            <w:tcW w:w="8295" w:type="dxa"/>
          </w:tcPr>
          <w:p w14:paraId="30D17AA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motor performance/</w:t>
            </w:r>
          </w:p>
        </w:tc>
      </w:tr>
      <w:tr w:rsidR="00FF0074" w:rsidRPr="00EF24D8" w14:paraId="0BB2AF67" w14:textId="77777777">
        <w:tc>
          <w:tcPr>
            <w:tcW w:w="1200" w:type="dxa"/>
          </w:tcPr>
          <w:p w14:paraId="03D0A73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13</w:t>
            </w:r>
          </w:p>
        </w:tc>
        <w:tc>
          <w:tcPr>
            <w:tcW w:w="8295" w:type="dxa"/>
          </w:tcPr>
          <w:p w14:paraId="76AAA61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memory/ or associative memory/ or explicit memory/ or memory consolidation/ or cued recall/ or free recall/ or serial recall/</w:t>
            </w:r>
          </w:p>
        </w:tc>
      </w:tr>
      <w:tr w:rsidR="00FF0074" w:rsidRPr="00EF24D8" w14:paraId="2DB3F7F6" w14:textId="77777777">
        <w:tc>
          <w:tcPr>
            <w:tcW w:w="1200" w:type="dxa"/>
          </w:tcPr>
          <w:p w14:paraId="60FFBD3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14</w:t>
            </w:r>
          </w:p>
        </w:tc>
        <w:tc>
          <w:tcPr>
            <w:tcW w:w="8295" w:type="dxa"/>
          </w:tcPr>
          <w:p w14:paraId="4E0B973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short term memory/</w:t>
            </w:r>
          </w:p>
        </w:tc>
      </w:tr>
      <w:tr w:rsidR="00FF0074" w:rsidRPr="00EF24D8" w14:paraId="717722E9" w14:textId="77777777">
        <w:tc>
          <w:tcPr>
            <w:tcW w:w="1200" w:type="dxa"/>
          </w:tcPr>
          <w:p w14:paraId="6C3C64F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15</w:t>
            </w:r>
          </w:p>
        </w:tc>
        <w:tc>
          <w:tcPr>
            <w:tcW w:w="8295" w:type="dxa"/>
          </w:tcPr>
          <w:p w14:paraId="63F963D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spatial navigation/ or spatial perception/ </w:t>
            </w:r>
          </w:p>
        </w:tc>
      </w:tr>
      <w:tr w:rsidR="00FF0074" w:rsidRPr="00EF24D8" w14:paraId="7ECEA9D5" w14:textId="77777777">
        <w:tc>
          <w:tcPr>
            <w:tcW w:w="1200" w:type="dxa"/>
          </w:tcPr>
          <w:p w14:paraId="02834A9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16</w:t>
            </w:r>
          </w:p>
        </w:tc>
        <w:tc>
          <w:tcPr>
            <w:tcW w:w="8295" w:type="dxa"/>
          </w:tcPr>
          <w:p w14:paraId="01D2608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executive function/</w:t>
            </w:r>
          </w:p>
        </w:tc>
      </w:tr>
      <w:tr w:rsidR="00FF0074" w:rsidRPr="00EF24D8" w14:paraId="7A3E3988" w14:textId="77777777">
        <w:tc>
          <w:tcPr>
            <w:tcW w:w="1200" w:type="dxa"/>
          </w:tcPr>
          <w:p w14:paraId="5956527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17</w:t>
            </w:r>
          </w:p>
        </w:tc>
        <w:tc>
          <w:tcPr>
            <w:tcW w:w="8295" w:type="dxa"/>
          </w:tcPr>
          <w:p w14:paraId="5FA5E48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attention/</w:t>
            </w:r>
          </w:p>
        </w:tc>
      </w:tr>
      <w:tr w:rsidR="00FF0074" w:rsidRPr="00EF24D8" w14:paraId="3BF2D6EA" w14:textId="77777777">
        <w:tc>
          <w:tcPr>
            <w:tcW w:w="1200" w:type="dxa"/>
          </w:tcPr>
          <w:p w14:paraId="403212B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18</w:t>
            </w:r>
          </w:p>
        </w:tc>
        <w:tc>
          <w:tcPr>
            <w:tcW w:w="8295" w:type="dxa"/>
          </w:tcPr>
          <w:p w14:paraId="5C04B72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exp task switching/</w:t>
            </w:r>
          </w:p>
        </w:tc>
      </w:tr>
      <w:tr w:rsidR="00FF0074" w:rsidRPr="00EF24D8" w14:paraId="6038B3A9" w14:textId="77777777">
        <w:tc>
          <w:tcPr>
            <w:tcW w:w="1200" w:type="dxa"/>
          </w:tcPr>
          <w:p w14:paraId="6E2BABF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19</w:t>
            </w:r>
          </w:p>
        </w:tc>
        <w:tc>
          <w:tcPr>
            <w:tcW w:w="8295" w:type="dxa"/>
          </w:tcPr>
          <w:p w14:paraId="1C72191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verbal learning/ or paired associate learning/ or “serial anticipation (learning)”/</w:t>
            </w:r>
          </w:p>
        </w:tc>
      </w:tr>
      <w:tr w:rsidR="00FF0074" w:rsidRPr="00EF24D8" w14:paraId="290B9C0C" w14:textId="77777777">
        <w:tc>
          <w:tcPr>
            <w:tcW w:w="1200" w:type="dxa"/>
          </w:tcPr>
          <w:p w14:paraId="7A51385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20</w:t>
            </w:r>
          </w:p>
        </w:tc>
        <w:tc>
          <w:tcPr>
            <w:tcW w:w="8295" w:type="dxa"/>
          </w:tcPr>
          <w:p w14:paraId="18EBCC5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discrimination learning/ or stimulus control/ or stimulus discrimination/</w:t>
            </w:r>
          </w:p>
        </w:tc>
      </w:tr>
      <w:tr w:rsidR="00FF0074" w:rsidRPr="00EF24D8" w14:paraId="0AF2109D" w14:textId="77777777">
        <w:tc>
          <w:tcPr>
            <w:tcW w:w="1200" w:type="dxa"/>
          </w:tcPr>
          <w:p w14:paraId="3D6E3BC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21</w:t>
            </w:r>
          </w:p>
        </w:tc>
        <w:tc>
          <w:tcPr>
            <w:tcW w:w="8295" w:type="dxa"/>
          </w:tcPr>
          <w:p w14:paraId="48F8C6D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cognitive processing speed. or reaction time/ or response latency/</w:t>
            </w:r>
          </w:p>
        </w:tc>
      </w:tr>
      <w:tr w:rsidR="00FF0074" w:rsidRPr="00EF24D8" w14:paraId="03155D33" w14:textId="77777777">
        <w:tc>
          <w:tcPr>
            <w:tcW w:w="1200" w:type="dxa"/>
          </w:tcPr>
          <w:p w14:paraId="037401F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22</w:t>
            </w:r>
          </w:p>
        </w:tc>
        <w:tc>
          <w:tcPr>
            <w:tcW w:w="8295" w:type="dxa"/>
          </w:tcPr>
          <w:p w14:paraId="147C640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driving behavior/ or driving under the influence/</w:t>
            </w:r>
          </w:p>
        </w:tc>
      </w:tr>
      <w:tr w:rsidR="00FF0074" w:rsidRPr="00EF24D8" w14:paraId="72022FF3" w14:textId="77777777">
        <w:tc>
          <w:tcPr>
            <w:tcW w:w="1200" w:type="dxa"/>
          </w:tcPr>
          <w:p w14:paraId="65A5110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23</w:t>
            </w:r>
          </w:p>
        </w:tc>
        <w:tc>
          <w:tcPr>
            <w:tcW w:w="8295" w:type="dxa"/>
          </w:tcPr>
          <w:p w14:paraId="088BB09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impair*.</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2294C21C" w14:textId="77777777">
        <w:tc>
          <w:tcPr>
            <w:tcW w:w="1200" w:type="dxa"/>
          </w:tcPr>
          <w:p w14:paraId="58F665B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24</w:t>
            </w:r>
          </w:p>
        </w:tc>
        <w:tc>
          <w:tcPr>
            <w:tcW w:w="8295" w:type="dxa"/>
          </w:tcPr>
          <w:p w14:paraId="7FA97259"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cogniti</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1BAD9A89" w14:textId="77777777">
        <w:tc>
          <w:tcPr>
            <w:tcW w:w="1200" w:type="dxa"/>
          </w:tcPr>
          <w:p w14:paraId="3FE776B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25</w:t>
            </w:r>
          </w:p>
        </w:tc>
        <w:tc>
          <w:tcPr>
            <w:tcW w:w="8295" w:type="dxa"/>
          </w:tcPr>
          <w:p w14:paraId="2DC28D2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perform*.</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34A9E8F2" w14:textId="77777777">
        <w:tc>
          <w:tcPr>
            <w:tcW w:w="1200" w:type="dxa"/>
          </w:tcPr>
          <w:p w14:paraId="6E0E484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26</w:t>
            </w:r>
          </w:p>
        </w:tc>
        <w:tc>
          <w:tcPr>
            <w:tcW w:w="8295" w:type="dxa"/>
          </w:tcPr>
          <w:p w14:paraId="34F84CD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psychomotor.mp.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0508C5D6" w14:textId="77777777">
        <w:tc>
          <w:tcPr>
            <w:tcW w:w="1200" w:type="dxa"/>
          </w:tcPr>
          <w:p w14:paraId="755A4EE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27</w:t>
            </w:r>
          </w:p>
        </w:tc>
        <w:tc>
          <w:tcPr>
            <w:tcW w:w="8295" w:type="dxa"/>
          </w:tcPr>
          <w:p w14:paraId="2491B63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attention.mp.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506A7E6B" w14:textId="77777777">
        <w:tc>
          <w:tcPr>
            <w:tcW w:w="1200" w:type="dxa"/>
          </w:tcPr>
          <w:p w14:paraId="3C9A526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28</w:t>
            </w:r>
          </w:p>
        </w:tc>
        <w:tc>
          <w:tcPr>
            <w:tcW w:w="8295" w:type="dxa"/>
          </w:tcPr>
          <w:p w14:paraId="0757DA9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motor.mp.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353F929F" w14:textId="77777777">
        <w:tc>
          <w:tcPr>
            <w:tcW w:w="1200" w:type="dxa"/>
          </w:tcPr>
          <w:p w14:paraId="2080B05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29</w:t>
            </w:r>
          </w:p>
        </w:tc>
        <w:tc>
          <w:tcPr>
            <w:tcW w:w="8295" w:type="dxa"/>
          </w:tcPr>
          <w:p w14:paraId="03FA529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memory.mp.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2AD075F5" w14:textId="77777777">
        <w:tc>
          <w:tcPr>
            <w:tcW w:w="1200" w:type="dxa"/>
          </w:tcPr>
          <w:p w14:paraId="62E8ABD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30</w:t>
            </w:r>
          </w:p>
        </w:tc>
        <w:tc>
          <w:tcPr>
            <w:tcW w:w="8295" w:type="dxa"/>
          </w:tcPr>
          <w:p w14:paraId="131514E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reaction time.mp.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5397FE43" w14:textId="77777777">
        <w:tc>
          <w:tcPr>
            <w:tcW w:w="1200" w:type="dxa"/>
          </w:tcPr>
          <w:p w14:paraId="1A49F1C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31</w:t>
            </w:r>
          </w:p>
        </w:tc>
        <w:tc>
          <w:tcPr>
            <w:tcW w:w="8295" w:type="dxa"/>
          </w:tcPr>
          <w:p w14:paraId="21CD147F"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coordinat</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06E13E05" w14:textId="77777777">
        <w:tc>
          <w:tcPr>
            <w:tcW w:w="1200" w:type="dxa"/>
          </w:tcPr>
          <w:p w14:paraId="09023E0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32</w:t>
            </w:r>
          </w:p>
        </w:tc>
        <w:tc>
          <w:tcPr>
            <w:tcW w:w="8295" w:type="dxa"/>
          </w:tcPr>
          <w:p w14:paraId="3612B61D"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concentrat</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16760BCD" w14:textId="77777777">
        <w:tc>
          <w:tcPr>
            <w:tcW w:w="1200" w:type="dxa"/>
          </w:tcPr>
          <w:p w14:paraId="0A15043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33</w:t>
            </w:r>
          </w:p>
        </w:tc>
        <w:tc>
          <w:tcPr>
            <w:tcW w:w="8295" w:type="dxa"/>
          </w:tcPr>
          <w:p w14:paraId="63503109"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intoxic</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6025FBC7" w14:textId="77777777">
        <w:tc>
          <w:tcPr>
            <w:tcW w:w="1200" w:type="dxa"/>
          </w:tcPr>
          <w:p w14:paraId="49AF6FA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34</w:t>
            </w:r>
          </w:p>
        </w:tc>
        <w:tc>
          <w:tcPr>
            <w:tcW w:w="8295" w:type="dxa"/>
          </w:tcPr>
          <w:p w14:paraId="6A5BD5C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driving.mp.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1CA0E314" w14:textId="77777777">
        <w:tc>
          <w:tcPr>
            <w:tcW w:w="1200" w:type="dxa"/>
          </w:tcPr>
          <w:p w14:paraId="2C38E71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35</w:t>
            </w:r>
          </w:p>
        </w:tc>
        <w:tc>
          <w:tcPr>
            <w:tcW w:w="8295" w:type="dxa"/>
          </w:tcPr>
          <w:p w14:paraId="1E07645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task switching.mp.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61F19C83" w14:textId="77777777">
        <w:tc>
          <w:tcPr>
            <w:tcW w:w="1200" w:type="dxa"/>
          </w:tcPr>
          <w:p w14:paraId="633433B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36</w:t>
            </w:r>
          </w:p>
        </w:tc>
        <w:tc>
          <w:tcPr>
            <w:tcW w:w="8295" w:type="dxa"/>
          </w:tcPr>
          <w:p w14:paraId="64B07E7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processing speed.mp.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3D92E476" w14:textId="77777777">
        <w:tc>
          <w:tcPr>
            <w:tcW w:w="1200" w:type="dxa"/>
          </w:tcPr>
          <w:p w14:paraId="0D0E274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37</w:t>
            </w:r>
          </w:p>
        </w:tc>
        <w:tc>
          <w:tcPr>
            <w:tcW w:w="8295" w:type="dxa"/>
          </w:tcPr>
          <w:p w14:paraId="7305B8E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learn*.</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70A921EA" w14:textId="77777777">
        <w:tc>
          <w:tcPr>
            <w:tcW w:w="1200" w:type="dxa"/>
          </w:tcPr>
          <w:p w14:paraId="4753506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38</w:t>
            </w:r>
          </w:p>
        </w:tc>
        <w:tc>
          <w:tcPr>
            <w:tcW w:w="8295" w:type="dxa"/>
          </w:tcPr>
          <w:p w14:paraId="6240F2A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or /6-37</w:t>
            </w:r>
          </w:p>
        </w:tc>
      </w:tr>
      <w:tr w:rsidR="00FF0074" w:rsidRPr="00EF24D8" w14:paraId="3420D7EA" w14:textId="77777777">
        <w:tc>
          <w:tcPr>
            <w:tcW w:w="1200" w:type="dxa"/>
          </w:tcPr>
          <w:p w14:paraId="238711E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39</w:t>
            </w:r>
          </w:p>
        </w:tc>
        <w:tc>
          <w:tcPr>
            <w:tcW w:w="8295" w:type="dxa"/>
          </w:tcPr>
          <w:p w14:paraId="0FC5D8F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cannabinoids/</w:t>
            </w:r>
          </w:p>
        </w:tc>
      </w:tr>
      <w:tr w:rsidR="00FF0074" w:rsidRPr="00EF24D8" w14:paraId="2A1A936A" w14:textId="77777777">
        <w:tc>
          <w:tcPr>
            <w:tcW w:w="1200" w:type="dxa"/>
          </w:tcPr>
          <w:p w14:paraId="6B080C9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40</w:t>
            </w:r>
          </w:p>
        </w:tc>
        <w:tc>
          <w:tcPr>
            <w:tcW w:w="8295" w:type="dxa"/>
          </w:tcPr>
          <w:p w14:paraId="2ED7DBD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cannabis/</w:t>
            </w:r>
          </w:p>
        </w:tc>
      </w:tr>
      <w:tr w:rsidR="00FF0074" w:rsidRPr="00EF24D8" w14:paraId="5E86407A" w14:textId="77777777">
        <w:tc>
          <w:tcPr>
            <w:tcW w:w="1200" w:type="dxa"/>
          </w:tcPr>
          <w:p w14:paraId="5896131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41</w:t>
            </w:r>
          </w:p>
        </w:tc>
        <w:tc>
          <w:tcPr>
            <w:tcW w:w="8295" w:type="dxa"/>
          </w:tcPr>
          <w:p w14:paraId="10671B1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marijuana/</w:t>
            </w:r>
          </w:p>
        </w:tc>
      </w:tr>
      <w:tr w:rsidR="00FF0074" w:rsidRPr="00EF24D8" w14:paraId="631F53B3" w14:textId="77777777">
        <w:tc>
          <w:tcPr>
            <w:tcW w:w="1200" w:type="dxa"/>
          </w:tcPr>
          <w:p w14:paraId="5F64785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42</w:t>
            </w:r>
          </w:p>
        </w:tc>
        <w:tc>
          <w:tcPr>
            <w:tcW w:w="8295" w:type="dxa"/>
          </w:tcPr>
          <w:p w14:paraId="2C696A4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marihuana/</w:t>
            </w:r>
          </w:p>
        </w:tc>
      </w:tr>
      <w:tr w:rsidR="00FF0074" w:rsidRPr="00EF24D8" w14:paraId="3C7C4D45" w14:textId="77777777">
        <w:tc>
          <w:tcPr>
            <w:tcW w:w="1200" w:type="dxa"/>
          </w:tcPr>
          <w:p w14:paraId="43DAEA6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43</w:t>
            </w:r>
          </w:p>
        </w:tc>
        <w:tc>
          <w:tcPr>
            <w:tcW w:w="8295" w:type="dxa"/>
          </w:tcPr>
          <w:p w14:paraId="405FF66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tetrahydrocannabinol/</w:t>
            </w:r>
          </w:p>
        </w:tc>
      </w:tr>
      <w:tr w:rsidR="00FF0074" w:rsidRPr="00EF24D8" w14:paraId="61A9CC5D" w14:textId="77777777">
        <w:tc>
          <w:tcPr>
            <w:tcW w:w="1200" w:type="dxa"/>
          </w:tcPr>
          <w:p w14:paraId="07AD1BF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44</w:t>
            </w:r>
          </w:p>
        </w:tc>
        <w:tc>
          <w:tcPr>
            <w:tcW w:w="8295" w:type="dxa"/>
          </w:tcPr>
          <w:p w14:paraId="1716D303" w14:textId="77777777" w:rsidR="00FF0074" w:rsidRPr="00EF24D8" w:rsidRDefault="00000000">
            <w:pPr>
              <w:rPr>
                <w:rFonts w:ascii="Times New Roman" w:eastAsia="Times New Roman" w:hAnsi="Times New Roman" w:cs="Times New Roman"/>
                <w:sz w:val="16"/>
                <w:szCs w:val="16"/>
              </w:rPr>
            </w:pPr>
            <w:proofErr w:type="spellStart"/>
            <w:r w:rsidRPr="00EF24D8">
              <w:rPr>
                <w:rFonts w:ascii="Times New Roman" w:eastAsia="Times New Roman" w:hAnsi="Times New Roman" w:cs="Times New Roman"/>
                <w:sz w:val="16"/>
                <w:szCs w:val="16"/>
              </w:rPr>
              <w:t>cannabi</w:t>
            </w:r>
            <w:proofErr w:type="spellEnd"/>
            <w:r w:rsidRPr="00EF24D8">
              <w:rPr>
                <w:rFonts w:ascii="Times New Roman" w:eastAsia="Times New Roman" w:hAnsi="Times New Roman" w:cs="Times New Roman"/>
                <w:sz w:val="16"/>
                <w:szCs w:val="16"/>
              </w:rPr>
              <w:t>*.</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6CD5842F" w14:textId="77777777">
        <w:tc>
          <w:tcPr>
            <w:tcW w:w="1200" w:type="dxa"/>
          </w:tcPr>
          <w:p w14:paraId="4A12076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45</w:t>
            </w:r>
          </w:p>
        </w:tc>
        <w:tc>
          <w:tcPr>
            <w:tcW w:w="8295" w:type="dxa"/>
          </w:tcPr>
          <w:p w14:paraId="30B3627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marijuana.mp.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5379C8CE" w14:textId="77777777">
        <w:tc>
          <w:tcPr>
            <w:tcW w:w="1200" w:type="dxa"/>
          </w:tcPr>
          <w:p w14:paraId="563D032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46</w:t>
            </w:r>
          </w:p>
        </w:tc>
        <w:tc>
          <w:tcPr>
            <w:tcW w:w="8295" w:type="dxa"/>
          </w:tcPr>
          <w:p w14:paraId="7DAF91D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tetrahydrocannabinol.mp.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43F4DC3E" w14:textId="77777777">
        <w:tc>
          <w:tcPr>
            <w:tcW w:w="1200" w:type="dxa"/>
          </w:tcPr>
          <w:p w14:paraId="0219646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47</w:t>
            </w:r>
          </w:p>
        </w:tc>
        <w:tc>
          <w:tcPr>
            <w:tcW w:w="8295" w:type="dxa"/>
          </w:tcPr>
          <w:p w14:paraId="232E580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THC.mp.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76D98EEB" w14:textId="77777777">
        <w:tc>
          <w:tcPr>
            <w:tcW w:w="1200" w:type="dxa"/>
          </w:tcPr>
          <w:p w14:paraId="23B2081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48</w:t>
            </w:r>
          </w:p>
        </w:tc>
        <w:tc>
          <w:tcPr>
            <w:tcW w:w="8295" w:type="dxa"/>
          </w:tcPr>
          <w:p w14:paraId="7FEE5FA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Sativex.mp.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3BC7F128" w14:textId="77777777">
        <w:tc>
          <w:tcPr>
            <w:tcW w:w="1200" w:type="dxa"/>
          </w:tcPr>
          <w:p w14:paraId="134CBF3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49</w:t>
            </w:r>
          </w:p>
        </w:tc>
        <w:tc>
          <w:tcPr>
            <w:tcW w:w="8295" w:type="dxa"/>
          </w:tcPr>
          <w:p w14:paraId="024F6AF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dronabinol.mp. [</w:t>
            </w:r>
            <w:proofErr w:type="spellStart"/>
            <w:r w:rsidRPr="00EF24D8">
              <w:rPr>
                <w:rFonts w:ascii="Times New Roman" w:eastAsia="Times New Roman" w:hAnsi="Times New Roman" w:cs="Times New Roman"/>
                <w:sz w:val="16"/>
                <w:szCs w:val="16"/>
              </w:rPr>
              <w:t>mp</w:t>
            </w:r>
            <w:proofErr w:type="spellEnd"/>
            <w:r w:rsidRPr="00EF24D8">
              <w:rPr>
                <w:rFonts w:ascii="Times New Roman" w:eastAsia="Times New Roman" w:hAnsi="Times New Roman" w:cs="Times New Roman"/>
                <w:sz w:val="16"/>
                <w:szCs w:val="16"/>
              </w:rPr>
              <w:t>=title, abstract, heading word, table of contents, key concepts, original title, tests &amp; measures, mesh]</w:t>
            </w:r>
          </w:p>
        </w:tc>
      </w:tr>
      <w:tr w:rsidR="00FF0074" w:rsidRPr="00EF24D8" w14:paraId="6CB95BB9" w14:textId="77777777">
        <w:tc>
          <w:tcPr>
            <w:tcW w:w="1200" w:type="dxa"/>
          </w:tcPr>
          <w:p w14:paraId="007B5A7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50</w:t>
            </w:r>
          </w:p>
        </w:tc>
        <w:tc>
          <w:tcPr>
            <w:tcW w:w="8295" w:type="dxa"/>
          </w:tcPr>
          <w:p w14:paraId="1749291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39 or 40 or 41 or 42 or 43 or 44 or 45 or 46 or 47 or 48 or 49</w:t>
            </w:r>
          </w:p>
        </w:tc>
      </w:tr>
      <w:tr w:rsidR="00FF0074" w:rsidRPr="00EF24D8" w14:paraId="3B63BE2D" w14:textId="77777777">
        <w:tc>
          <w:tcPr>
            <w:tcW w:w="1200" w:type="dxa"/>
          </w:tcPr>
          <w:p w14:paraId="1E00B8C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51</w:t>
            </w:r>
          </w:p>
        </w:tc>
        <w:tc>
          <w:tcPr>
            <w:tcW w:w="8295" w:type="dxa"/>
          </w:tcPr>
          <w:p w14:paraId="1CBDE0B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 or 50</w:t>
            </w:r>
          </w:p>
        </w:tc>
      </w:tr>
      <w:tr w:rsidR="00FF0074" w:rsidRPr="00EF24D8" w14:paraId="1D06B089" w14:textId="77777777">
        <w:tc>
          <w:tcPr>
            <w:tcW w:w="1200" w:type="dxa"/>
          </w:tcPr>
          <w:p w14:paraId="7C83A66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lastRenderedPageBreak/>
              <w:t>52</w:t>
            </w:r>
          </w:p>
        </w:tc>
        <w:tc>
          <w:tcPr>
            <w:tcW w:w="8295" w:type="dxa"/>
          </w:tcPr>
          <w:p w14:paraId="61949AE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38 and 51</w:t>
            </w:r>
          </w:p>
        </w:tc>
      </w:tr>
      <w:tr w:rsidR="00FF0074" w:rsidRPr="00EF24D8" w14:paraId="1BF16727" w14:textId="77777777">
        <w:tc>
          <w:tcPr>
            <w:tcW w:w="1200" w:type="dxa"/>
          </w:tcPr>
          <w:p w14:paraId="24AF48D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53</w:t>
            </w:r>
          </w:p>
        </w:tc>
        <w:tc>
          <w:tcPr>
            <w:tcW w:w="8295" w:type="dxa"/>
          </w:tcPr>
          <w:p w14:paraId="738A4E7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limit 52 to “0300 clinical trial”</w:t>
            </w:r>
          </w:p>
        </w:tc>
      </w:tr>
      <w:tr w:rsidR="00FF0074" w:rsidRPr="00EF24D8" w14:paraId="10E47E60" w14:textId="77777777">
        <w:tc>
          <w:tcPr>
            <w:tcW w:w="1200" w:type="dxa"/>
          </w:tcPr>
          <w:p w14:paraId="170F0BE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54</w:t>
            </w:r>
          </w:p>
        </w:tc>
        <w:tc>
          <w:tcPr>
            <w:tcW w:w="8295" w:type="dxa"/>
          </w:tcPr>
          <w:p w14:paraId="374944E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limit 53 to “2022 -Current”</w:t>
            </w:r>
          </w:p>
        </w:tc>
      </w:tr>
      <w:tr w:rsidR="00FF0074" w:rsidRPr="00EF24D8" w14:paraId="7256FB32" w14:textId="77777777">
        <w:tc>
          <w:tcPr>
            <w:tcW w:w="9495" w:type="dxa"/>
            <w:gridSpan w:val="2"/>
            <w:shd w:val="clear" w:color="auto" w:fill="D0CECE"/>
          </w:tcPr>
          <w:p w14:paraId="28D0EE69" w14:textId="77777777" w:rsidR="00FF0074" w:rsidRPr="00EF24D8" w:rsidRDefault="00000000">
            <w:pPr>
              <w:rPr>
                <w:rFonts w:ascii="Times New Roman" w:eastAsia="Times New Roman" w:hAnsi="Times New Roman" w:cs="Times New Roman"/>
                <w:b/>
                <w:sz w:val="16"/>
                <w:szCs w:val="16"/>
              </w:rPr>
            </w:pPr>
            <w:r w:rsidRPr="00EF24D8">
              <w:rPr>
                <w:rFonts w:ascii="Times New Roman" w:eastAsia="Times New Roman" w:hAnsi="Times New Roman" w:cs="Times New Roman"/>
                <w:b/>
                <w:sz w:val="16"/>
                <w:szCs w:val="16"/>
              </w:rPr>
              <w:t>Web of Science</w:t>
            </w:r>
          </w:p>
        </w:tc>
      </w:tr>
      <w:tr w:rsidR="00FF0074" w:rsidRPr="00EF24D8" w14:paraId="4FFB08C7" w14:textId="77777777">
        <w:tc>
          <w:tcPr>
            <w:tcW w:w="1200" w:type="dxa"/>
          </w:tcPr>
          <w:p w14:paraId="0DEFB13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w:t>
            </w:r>
          </w:p>
        </w:tc>
        <w:tc>
          <w:tcPr>
            <w:tcW w:w="8295" w:type="dxa"/>
          </w:tcPr>
          <w:p w14:paraId="3F6D5A3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((((((((((((ALL=(Cannabidiol)) OR ALL=(CBD)) OR ALL=(</w:t>
            </w:r>
            <w:proofErr w:type="spellStart"/>
            <w:r w:rsidRPr="00EF24D8">
              <w:rPr>
                <w:rFonts w:ascii="Times New Roman" w:eastAsia="Times New Roman" w:hAnsi="Times New Roman" w:cs="Times New Roman"/>
                <w:sz w:val="16"/>
                <w:szCs w:val="16"/>
              </w:rPr>
              <w:t>Epidiolex</w:t>
            </w:r>
            <w:proofErr w:type="spellEnd"/>
            <w:r w:rsidRPr="00EF24D8">
              <w:rPr>
                <w:rFonts w:ascii="Times New Roman" w:eastAsia="Times New Roman" w:hAnsi="Times New Roman" w:cs="Times New Roman"/>
                <w:sz w:val="16"/>
                <w:szCs w:val="16"/>
              </w:rPr>
              <w:t>)) OR ALL=(</w:t>
            </w:r>
            <w:proofErr w:type="spellStart"/>
            <w:r w:rsidRPr="00EF24D8">
              <w:rPr>
                <w:rFonts w:ascii="Times New Roman" w:eastAsia="Times New Roman" w:hAnsi="Times New Roman" w:cs="Times New Roman"/>
                <w:sz w:val="16"/>
                <w:szCs w:val="16"/>
              </w:rPr>
              <w:t>Epidyolex</w:t>
            </w:r>
            <w:proofErr w:type="spellEnd"/>
            <w:r w:rsidRPr="00EF24D8">
              <w:rPr>
                <w:rFonts w:ascii="Times New Roman" w:eastAsia="Times New Roman" w:hAnsi="Times New Roman" w:cs="Times New Roman"/>
                <w:sz w:val="16"/>
                <w:szCs w:val="16"/>
              </w:rPr>
              <w:t>)) OR ALL=(hemp)) OR ALL=(cannabinoids)) OR ALL=(cannabis)) OR ALL=(dronabinol)) OR ALL=(marijuana)) OR ALL=(marihuana)) OR</w:t>
            </w:r>
          </w:p>
          <w:p w14:paraId="612B2A1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ALL=(tetrahydrocannabinol)) OR ALL=(THC)) OR ALL=(</w:t>
            </w:r>
            <w:proofErr w:type="spellStart"/>
            <w:r w:rsidRPr="00EF24D8">
              <w:rPr>
                <w:rFonts w:ascii="Times New Roman" w:eastAsia="Times New Roman" w:hAnsi="Times New Roman" w:cs="Times New Roman"/>
                <w:sz w:val="16"/>
                <w:szCs w:val="16"/>
              </w:rPr>
              <w:t>sativex</w:t>
            </w:r>
            <w:proofErr w:type="spellEnd"/>
            <w:r w:rsidRPr="00EF24D8">
              <w:rPr>
                <w:rFonts w:ascii="Times New Roman" w:eastAsia="Times New Roman" w:hAnsi="Times New Roman" w:cs="Times New Roman"/>
                <w:sz w:val="16"/>
                <w:szCs w:val="16"/>
              </w:rPr>
              <w:t>)</w:t>
            </w:r>
          </w:p>
        </w:tc>
      </w:tr>
      <w:tr w:rsidR="00FF0074" w:rsidRPr="00EF24D8" w14:paraId="440F9E61" w14:textId="77777777">
        <w:tc>
          <w:tcPr>
            <w:tcW w:w="1200" w:type="dxa"/>
          </w:tcPr>
          <w:p w14:paraId="6C8C924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2</w:t>
            </w:r>
          </w:p>
        </w:tc>
        <w:tc>
          <w:tcPr>
            <w:tcW w:w="8295" w:type="dxa"/>
          </w:tcPr>
          <w:p w14:paraId="67D3D14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((((((((((((ALL=(impair*)) OR ALL=(cognit*)) OR ALL=(psychomotor performance)) OR ALL=(attention)) OR ALL=(memory)) OR ALL=(reaction time)) OR ALL=(</w:t>
            </w:r>
            <w:proofErr w:type="spellStart"/>
            <w:r w:rsidRPr="00EF24D8">
              <w:rPr>
                <w:rFonts w:ascii="Times New Roman" w:eastAsia="Times New Roman" w:hAnsi="Times New Roman" w:cs="Times New Roman"/>
                <w:sz w:val="16"/>
                <w:szCs w:val="16"/>
              </w:rPr>
              <w:t>coordinat</w:t>
            </w:r>
            <w:proofErr w:type="spellEnd"/>
            <w:r w:rsidRPr="00EF24D8">
              <w:rPr>
                <w:rFonts w:ascii="Times New Roman" w:eastAsia="Times New Roman" w:hAnsi="Times New Roman" w:cs="Times New Roman"/>
                <w:sz w:val="16"/>
                <w:szCs w:val="16"/>
              </w:rPr>
              <w:t>*)) OR ALL=(</w:t>
            </w:r>
            <w:proofErr w:type="spellStart"/>
            <w:r w:rsidRPr="00EF24D8">
              <w:rPr>
                <w:rFonts w:ascii="Times New Roman" w:eastAsia="Times New Roman" w:hAnsi="Times New Roman" w:cs="Times New Roman"/>
                <w:sz w:val="16"/>
                <w:szCs w:val="16"/>
              </w:rPr>
              <w:t>intoxic</w:t>
            </w:r>
            <w:proofErr w:type="spellEnd"/>
            <w:r w:rsidRPr="00EF24D8">
              <w:rPr>
                <w:rFonts w:ascii="Times New Roman" w:eastAsia="Times New Roman" w:hAnsi="Times New Roman" w:cs="Times New Roman"/>
                <w:sz w:val="16"/>
                <w:szCs w:val="16"/>
              </w:rPr>
              <w:t>*)) OR ALL=(driving)) OR ALL=(task switching)) OR ALL=(processing speed)) OR ALL=(executive function)) OR ALL=(learning)</w:t>
            </w:r>
          </w:p>
        </w:tc>
      </w:tr>
      <w:tr w:rsidR="00FF0074" w:rsidRPr="00EF24D8" w14:paraId="5AB5D806" w14:textId="77777777">
        <w:tc>
          <w:tcPr>
            <w:tcW w:w="1200" w:type="dxa"/>
          </w:tcPr>
          <w:p w14:paraId="263BBB1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3</w:t>
            </w:r>
          </w:p>
        </w:tc>
        <w:tc>
          <w:tcPr>
            <w:tcW w:w="8295" w:type="dxa"/>
          </w:tcPr>
          <w:p w14:paraId="5C844E1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 and #2 and Articles (Document Types)</w:t>
            </w:r>
          </w:p>
        </w:tc>
      </w:tr>
      <w:tr w:rsidR="00FF0074" w:rsidRPr="00EF24D8" w14:paraId="0744ED05" w14:textId="77777777">
        <w:tc>
          <w:tcPr>
            <w:tcW w:w="1200" w:type="dxa"/>
          </w:tcPr>
          <w:p w14:paraId="0D2D331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4</w:t>
            </w:r>
          </w:p>
        </w:tc>
        <w:tc>
          <w:tcPr>
            <w:tcW w:w="8295" w:type="dxa"/>
          </w:tcPr>
          <w:p w14:paraId="1A0D320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(TS= clinical trial* OR TS=research design OR TS=comparative stud* OR TS=evaluation stud* OR TS=controlled trial* OR TS=follow-up stud* OR TS=prospective stud* OR TS=random* OR TS=placebo* OR TS=(single blind*) OR TS=(double blind*))</w:t>
            </w:r>
          </w:p>
        </w:tc>
      </w:tr>
      <w:tr w:rsidR="00FF0074" w:rsidRPr="00EF24D8" w14:paraId="73653DE1" w14:textId="77777777">
        <w:tc>
          <w:tcPr>
            <w:tcW w:w="1200" w:type="dxa"/>
          </w:tcPr>
          <w:p w14:paraId="7A458E5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w:t>
            </w:r>
          </w:p>
        </w:tc>
        <w:tc>
          <w:tcPr>
            <w:tcW w:w="8295" w:type="dxa"/>
          </w:tcPr>
          <w:p w14:paraId="5971876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#5 AND #6</w:t>
            </w:r>
          </w:p>
        </w:tc>
      </w:tr>
      <w:tr w:rsidR="00FF0074" w:rsidRPr="00EF24D8" w14:paraId="2ED5491E" w14:textId="77777777">
        <w:tc>
          <w:tcPr>
            <w:tcW w:w="1200" w:type="dxa"/>
          </w:tcPr>
          <w:p w14:paraId="0E03E66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6</w:t>
            </w:r>
          </w:p>
        </w:tc>
        <w:tc>
          <w:tcPr>
            <w:tcW w:w="8295" w:type="dxa"/>
          </w:tcPr>
          <w:p w14:paraId="46AB25C8" w14:textId="77777777" w:rsidR="00FF0074" w:rsidRPr="00EF24D8" w:rsidRDefault="00FF0074">
            <w:pPr>
              <w:rPr>
                <w:rFonts w:ascii="Times New Roman" w:eastAsia="Times New Roman" w:hAnsi="Times New Roman" w:cs="Times New Roman"/>
                <w:sz w:val="16"/>
                <w:szCs w:val="16"/>
              </w:rPr>
            </w:pPr>
          </w:p>
        </w:tc>
      </w:tr>
      <w:tr w:rsidR="00FF0074" w:rsidRPr="00EF24D8" w14:paraId="6A1B4449" w14:textId="77777777">
        <w:tc>
          <w:tcPr>
            <w:tcW w:w="1200" w:type="dxa"/>
          </w:tcPr>
          <w:p w14:paraId="4762C71C" w14:textId="77777777" w:rsidR="00FF0074" w:rsidRPr="00EF24D8" w:rsidRDefault="00FF0074">
            <w:pPr>
              <w:rPr>
                <w:rFonts w:ascii="Times New Roman" w:eastAsia="Times New Roman" w:hAnsi="Times New Roman" w:cs="Times New Roman"/>
                <w:sz w:val="16"/>
                <w:szCs w:val="16"/>
              </w:rPr>
            </w:pPr>
          </w:p>
        </w:tc>
        <w:tc>
          <w:tcPr>
            <w:tcW w:w="8295" w:type="dxa"/>
          </w:tcPr>
          <w:p w14:paraId="337D5464" w14:textId="77777777" w:rsidR="00FF0074" w:rsidRPr="00EF24D8" w:rsidRDefault="00FF0074">
            <w:pPr>
              <w:rPr>
                <w:rFonts w:ascii="Times New Roman" w:eastAsia="Times New Roman" w:hAnsi="Times New Roman" w:cs="Times New Roman"/>
                <w:sz w:val="16"/>
                <w:szCs w:val="16"/>
              </w:rPr>
            </w:pPr>
          </w:p>
        </w:tc>
      </w:tr>
      <w:tr w:rsidR="00FF0074" w:rsidRPr="00EF24D8" w14:paraId="2BA44F90" w14:textId="77777777">
        <w:tc>
          <w:tcPr>
            <w:tcW w:w="9495" w:type="dxa"/>
            <w:gridSpan w:val="2"/>
            <w:shd w:val="clear" w:color="auto" w:fill="D0CECE"/>
          </w:tcPr>
          <w:p w14:paraId="33179B0F" w14:textId="77777777" w:rsidR="00FF0074" w:rsidRPr="00EF24D8" w:rsidRDefault="00000000">
            <w:pPr>
              <w:rPr>
                <w:rFonts w:ascii="Times New Roman" w:eastAsia="Times New Roman" w:hAnsi="Times New Roman" w:cs="Times New Roman"/>
                <w:b/>
                <w:sz w:val="16"/>
                <w:szCs w:val="16"/>
              </w:rPr>
            </w:pPr>
            <w:r w:rsidRPr="00EF24D8">
              <w:rPr>
                <w:rFonts w:ascii="Times New Roman" w:eastAsia="Times New Roman" w:hAnsi="Times New Roman" w:cs="Times New Roman"/>
                <w:b/>
                <w:sz w:val="16"/>
                <w:szCs w:val="16"/>
              </w:rPr>
              <w:t>CINAHL</w:t>
            </w:r>
          </w:p>
        </w:tc>
      </w:tr>
      <w:tr w:rsidR="00FF0074" w:rsidRPr="00EF24D8" w14:paraId="0EA9A764" w14:textId="77777777">
        <w:tc>
          <w:tcPr>
            <w:tcW w:w="1200" w:type="dxa"/>
          </w:tcPr>
          <w:p w14:paraId="598D1B3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1</w:t>
            </w:r>
          </w:p>
        </w:tc>
        <w:tc>
          <w:tcPr>
            <w:tcW w:w="8295" w:type="dxa"/>
          </w:tcPr>
          <w:p w14:paraId="155A910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(randomized controlled trials OR MH double-blind studies OR MH single-blind studies OR</w:t>
            </w:r>
          </w:p>
          <w:p w14:paraId="4E7BB22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MH random assignment OR MH pretest-</w:t>
            </w:r>
            <w:proofErr w:type="spellStart"/>
            <w:r w:rsidRPr="00EF24D8">
              <w:rPr>
                <w:rFonts w:ascii="Times New Roman" w:eastAsia="Times New Roman" w:hAnsi="Times New Roman" w:cs="Times New Roman"/>
                <w:sz w:val="16"/>
                <w:szCs w:val="16"/>
              </w:rPr>
              <w:t>posttest</w:t>
            </w:r>
            <w:proofErr w:type="spellEnd"/>
            <w:r w:rsidRPr="00EF24D8">
              <w:rPr>
                <w:rFonts w:ascii="Times New Roman" w:eastAsia="Times New Roman" w:hAnsi="Times New Roman" w:cs="Times New Roman"/>
                <w:sz w:val="16"/>
                <w:szCs w:val="16"/>
              </w:rPr>
              <w:t xml:space="preserve"> design OR MH cluster sample OR TI</w:t>
            </w:r>
          </w:p>
          <w:p w14:paraId="7A6D9957"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(randomised OR randomized) OR AB (random*) OR TI (trial) OR (MH (sample size) AND</w:t>
            </w:r>
          </w:p>
          <w:p w14:paraId="59A09A6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AB (assigned OR allocated OR control)) OR MH (placebos) OR PT (randomized controlled</w:t>
            </w:r>
          </w:p>
          <w:p w14:paraId="014FA48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trial) OR AB (control W5 group) OR MH (crossover design) OR MH (comparative studies)</w:t>
            </w:r>
          </w:p>
          <w:p w14:paraId="6766A8D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OR AB (cluster W3 RCT)) NOT ((MH animals+ OR MH animal studies OR TI animal</w:t>
            </w:r>
          </w:p>
          <w:p w14:paraId="686891A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model*) NOT MH human)</w:t>
            </w:r>
          </w:p>
        </w:tc>
      </w:tr>
      <w:tr w:rsidR="00FF0074" w:rsidRPr="00EF24D8" w14:paraId="7F9E29F1" w14:textId="77777777">
        <w:tc>
          <w:tcPr>
            <w:tcW w:w="1200" w:type="dxa"/>
          </w:tcPr>
          <w:p w14:paraId="1D875F60" w14:textId="77777777" w:rsidR="00FF0074" w:rsidRPr="00EF24D8" w:rsidRDefault="00FF0074">
            <w:pPr>
              <w:rPr>
                <w:rFonts w:ascii="Times New Roman" w:eastAsia="Times New Roman" w:hAnsi="Times New Roman" w:cs="Times New Roman"/>
                <w:sz w:val="16"/>
                <w:szCs w:val="16"/>
              </w:rPr>
            </w:pPr>
          </w:p>
        </w:tc>
        <w:tc>
          <w:tcPr>
            <w:tcW w:w="8295" w:type="dxa"/>
          </w:tcPr>
          <w:p w14:paraId="6D62BA9E" w14:textId="77777777" w:rsidR="00FF0074" w:rsidRPr="00EF24D8" w:rsidRDefault="00FF0074">
            <w:pPr>
              <w:rPr>
                <w:rFonts w:ascii="Times New Roman" w:eastAsia="Times New Roman" w:hAnsi="Times New Roman" w:cs="Times New Roman"/>
                <w:sz w:val="16"/>
                <w:szCs w:val="16"/>
              </w:rPr>
            </w:pPr>
          </w:p>
        </w:tc>
      </w:tr>
      <w:tr w:rsidR="00FF0074" w:rsidRPr="00EF24D8" w14:paraId="60BF1EF4" w14:textId="77777777">
        <w:tc>
          <w:tcPr>
            <w:tcW w:w="1200" w:type="dxa"/>
          </w:tcPr>
          <w:p w14:paraId="71BC0DFD" w14:textId="77777777" w:rsidR="00FF0074" w:rsidRPr="00EF24D8" w:rsidRDefault="00FF0074">
            <w:pPr>
              <w:rPr>
                <w:rFonts w:ascii="Times New Roman" w:eastAsia="Times New Roman" w:hAnsi="Times New Roman" w:cs="Times New Roman"/>
                <w:sz w:val="16"/>
                <w:szCs w:val="16"/>
              </w:rPr>
            </w:pPr>
          </w:p>
        </w:tc>
        <w:tc>
          <w:tcPr>
            <w:tcW w:w="8295" w:type="dxa"/>
          </w:tcPr>
          <w:p w14:paraId="5671A476" w14:textId="77777777" w:rsidR="00FF0074" w:rsidRPr="00EF24D8" w:rsidRDefault="00FF0074">
            <w:pPr>
              <w:rPr>
                <w:rFonts w:ascii="Times New Roman" w:eastAsia="Times New Roman" w:hAnsi="Times New Roman" w:cs="Times New Roman"/>
                <w:sz w:val="16"/>
                <w:szCs w:val="16"/>
              </w:rPr>
            </w:pPr>
          </w:p>
        </w:tc>
      </w:tr>
      <w:tr w:rsidR="00FF0074" w:rsidRPr="00EF24D8" w14:paraId="445F20B5" w14:textId="77777777">
        <w:tc>
          <w:tcPr>
            <w:tcW w:w="9495" w:type="dxa"/>
            <w:gridSpan w:val="2"/>
            <w:shd w:val="clear" w:color="auto" w:fill="D0CECE"/>
          </w:tcPr>
          <w:p w14:paraId="1F13598C" w14:textId="77777777" w:rsidR="00FF0074" w:rsidRPr="00EF24D8" w:rsidRDefault="00000000">
            <w:pPr>
              <w:rPr>
                <w:rFonts w:ascii="Times New Roman" w:eastAsia="Times New Roman" w:hAnsi="Times New Roman" w:cs="Times New Roman"/>
                <w:b/>
                <w:sz w:val="16"/>
                <w:szCs w:val="16"/>
              </w:rPr>
            </w:pPr>
            <w:r w:rsidRPr="00EF24D8">
              <w:rPr>
                <w:rFonts w:ascii="Times New Roman" w:eastAsia="Times New Roman" w:hAnsi="Times New Roman" w:cs="Times New Roman"/>
                <w:b/>
                <w:sz w:val="16"/>
                <w:szCs w:val="16"/>
              </w:rPr>
              <w:t>Search Strategy</w:t>
            </w:r>
          </w:p>
        </w:tc>
      </w:tr>
      <w:tr w:rsidR="00FF0074" w:rsidRPr="00EF24D8" w14:paraId="3B604BC4" w14:textId="77777777">
        <w:tc>
          <w:tcPr>
            <w:tcW w:w="1200" w:type="dxa"/>
          </w:tcPr>
          <w:p w14:paraId="1076993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w:t>
            </w:r>
          </w:p>
        </w:tc>
        <w:tc>
          <w:tcPr>
            <w:tcW w:w="8295" w:type="dxa"/>
          </w:tcPr>
          <w:p w14:paraId="30E0CE8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(MH “Cannabidiol”)</w:t>
            </w:r>
          </w:p>
        </w:tc>
      </w:tr>
      <w:tr w:rsidR="00FF0074" w:rsidRPr="00EF24D8" w14:paraId="47447831" w14:textId="77777777">
        <w:tc>
          <w:tcPr>
            <w:tcW w:w="1200" w:type="dxa"/>
          </w:tcPr>
          <w:p w14:paraId="78476A8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S2</w:t>
            </w:r>
          </w:p>
        </w:tc>
        <w:tc>
          <w:tcPr>
            <w:tcW w:w="8295" w:type="dxa"/>
          </w:tcPr>
          <w:p w14:paraId="66CFA6F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TX cannabidiol or </w:t>
            </w:r>
            <w:proofErr w:type="spellStart"/>
            <w:r w:rsidRPr="00EF24D8">
              <w:rPr>
                <w:rFonts w:ascii="Times New Roman" w:eastAsia="Times New Roman" w:hAnsi="Times New Roman" w:cs="Times New Roman"/>
                <w:sz w:val="16"/>
                <w:szCs w:val="16"/>
              </w:rPr>
              <w:t>cbd</w:t>
            </w:r>
            <w:proofErr w:type="spellEnd"/>
          </w:p>
        </w:tc>
      </w:tr>
      <w:tr w:rsidR="00FF0074" w:rsidRPr="00EF24D8" w14:paraId="2E412008" w14:textId="77777777">
        <w:tc>
          <w:tcPr>
            <w:tcW w:w="1200" w:type="dxa"/>
          </w:tcPr>
          <w:p w14:paraId="28C3C75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S3</w:t>
            </w:r>
          </w:p>
        </w:tc>
        <w:tc>
          <w:tcPr>
            <w:tcW w:w="8295" w:type="dxa"/>
          </w:tcPr>
          <w:p w14:paraId="79C24E4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TX </w:t>
            </w:r>
            <w:proofErr w:type="spellStart"/>
            <w:r w:rsidRPr="00EF24D8">
              <w:rPr>
                <w:rFonts w:ascii="Times New Roman" w:eastAsia="Times New Roman" w:hAnsi="Times New Roman" w:cs="Times New Roman"/>
                <w:sz w:val="16"/>
                <w:szCs w:val="16"/>
              </w:rPr>
              <w:t>epidiolex</w:t>
            </w:r>
            <w:proofErr w:type="spellEnd"/>
            <w:r w:rsidRPr="00EF24D8">
              <w:rPr>
                <w:rFonts w:ascii="Times New Roman" w:eastAsia="Times New Roman" w:hAnsi="Times New Roman" w:cs="Times New Roman"/>
                <w:sz w:val="16"/>
                <w:szCs w:val="16"/>
              </w:rPr>
              <w:t xml:space="preserve"> or </w:t>
            </w:r>
            <w:proofErr w:type="spellStart"/>
            <w:r w:rsidRPr="00EF24D8">
              <w:rPr>
                <w:rFonts w:ascii="Times New Roman" w:eastAsia="Times New Roman" w:hAnsi="Times New Roman" w:cs="Times New Roman"/>
                <w:sz w:val="16"/>
                <w:szCs w:val="16"/>
              </w:rPr>
              <w:t>epidyolex</w:t>
            </w:r>
            <w:proofErr w:type="spellEnd"/>
          </w:p>
        </w:tc>
      </w:tr>
      <w:tr w:rsidR="00FF0074" w:rsidRPr="00EF24D8" w14:paraId="4FC7F7BC" w14:textId="77777777">
        <w:tc>
          <w:tcPr>
            <w:tcW w:w="1200" w:type="dxa"/>
          </w:tcPr>
          <w:p w14:paraId="1376958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S4</w:t>
            </w:r>
          </w:p>
        </w:tc>
        <w:tc>
          <w:tcPr>
            <w:tcW w:w="8295" w:type="dxa"/>
          </w:tcPr>
          <w:p w14:paraId="4752D52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TX Hemp</w:t>
            </w:r>
          </w:p>
        </w:tc>
      </w:tr>
      <w:tr w:rsidR="00FF0074" w:rsidRPr="00EF24D8" w14:paraId="461320D5" w14:textId="77777777">
        <w:tc>
          <w:tcPr>
            <w:tcW w:w="1200" w:type="dxa"/>
          </w:tcPr>
          <w:p w14:paraId="4577B47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S5</w:t>
            </w:r>
          </w:p>
        </w:tc>
        <w:tc>
          <w:tcPr>
            <w:tcW w:w="8295" w:type="dxa"/>
          </w:tcPr>
          <w:p w14:paraId="1C53633F"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 OR S2 OR S3 OR S4 OR  S5)</w:t>
            </w:r>
          </w:p>
        </w:tc>
      </w:tr>
      <w:tr w:rsidR="00FF0074" w:rsidRPr="00EF24D8" w14:paraId="7C574B37" w14:textId="77777777">
        <w:tc>
          <w:tcPr>
            <w:tcW w:w="1200" w:type="dxa"/>
          </w:tcPr>
          <w:p w14:paraId="66DF670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S6</w:t>
            </w:r>
          </w:p>
        </w:tc>
        <w:tc>
          <w:tcPr>
            <w:tcW w:w="8295" w:type="dxa"/>
          </w:tcPr>
          <w:p w14:paraId="237FE3E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(MH “Cannabis”)</w:t>
            </w:r>
          </w:p>
        </w:tc>
      </w:tr>
      <w:tr w:rsidR="00FF0074" w:rsidRPr="00EF24D8" w14:paraId="76280F9A" w14:textId="77777777">
        <w:tc>
          <w:tcPr>
            <w:tcW w:w="1200" w:type="dxa"/>
          </w:tcPr>
          <w:p w14:paraId="3BED7A9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S7</w:t>
            </w:r>
          </w:p>
        </w:tc>
        <w:tc>
          <w:tcPr>
            <w:tcW w:w="8295" w:type="dxa"/>
          </w:tcPr>
          <w:p w14:paraId="2083AA4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TX cannabis or marijuana or </w:t>
            </w:r>
            <w:proofErr w:type="spellStart"/>
            <w:r w:rsidRPr="00EF24D8">
              <w:rPr>
                <w:rFonts w:ascii="Times New Roman" w:eastAsia="Times New Roman" w:hAnsi="Times New Roman" w:cs="Times New Roman"/>
                <w:sz w:val="16"/>
                <w:szCs w:val="16"/>
              </w:rPr>
              <w:t>thc</w:t>
            </w:r>
            <w:proofErr w:type="spellEnd"/>
            <w:r w:rsidRPr="00EF24D8">
              <w:rPr>
                <w:rFonts w:ascii="Times New Roman" w:eastAsia="Times New Roman" w:hAnsi="Times New Roman" w:cs="Times New Roman"/>
                <w:sz w:val="16"/>
                <w:szCs w:val="16"/>
              </w:rPr>
              <w:t xml:space="preserve"> or tetrahydrocannabinol or dronabinol or </w:t>
            </w:r>
            <w:proofErr w:type="spellStart"/>
            <w:r w:rsidRPr="00EF24D8">
              <w:rPr>
                <w:rFonts w:ascii="Times New Roman" w:eastAsia="Times New Roman" w:hAnsi="Times New Roman" w:cs="Times New Roman"/>
                <w:sz w:val="16"/>
                <w:szCs w:val="16"/>
              </w:rPr>
              <w:t>nabiximols</w:t>
            </w:r>
            <w:proofErr w:type="spellEnd"/>
            <w:r w:rsidRPr="00EF24D8">
              <w:rPr>
                <w:rFonts w:ascii="Times New Roman" w:eastAsia="Times New Roman" w:hAnsi="Times New Roman" w:cs="Times New Roman"/>
                <w:sz w:val="16"/>
                <w:szCs w:val="16"/>
              </w:rPr>
              <w:t xml:space="preserve"> or </w:t>
            </w:r>
            <w:proofErr w:type="spellStart"/>
            <w:r w:rsidRPr="00EF24D8">
              <w:rPr>
                <w:rFonts w:ascii="Times New Roman" w:eastAsia="Times New Roman" w:hAnsi="Times New Roman" w:cs="Times New Roman"/>
                <w:sz w:val="16"/>
                <w:szCs w:val="16"/>
              </w:rPr>
              <w:t>sativex</w:t>
            </w:r>
            <w:proofErr w:type="spellEnd"/>
          </w:p>
        </w:tc>
      </w:tr>
      <w:tr w:rsidR="00FF0074" w:rsidRPr="00EF24D8" w14:paraId="5F2117BC" w14:textId="77777777">
        <w:tc>
          <w:tcPr>
            <w:tcW w:w="1200" w:type="dxa"/>
          </w:tcPr>
          <w:p w14:paraId="79EB6E6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S8</w:t>
            </w:r>
          </w:p>
        </w:tc>
        <w:tc>
          <w:tcPr>
            <w:tcW w:w="8295" w:type="dxa"/>
          </w:tcPr>
          <w:p w14:paraId="57F7F93A"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(S6 OR S7)</w:t>
            </w:r>
          </w:p>
        </w:tc>
      </w:tr>
      <w:tr w:rsidR="00FF0074" w:rsidRPr="00EF24D8" w14:paraId="6B96E3A1" w14:textId="77777777">
        <w:tc>
          <w:tcPr>
            <w:tcW w:w="1200" w:type="dxa"/>
          </w:tcPr>
          <w:p w14:paraId="1398763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S9</w:t>
            </w:r>
          </w:p>
        </w:tc>
        <w:tc>
          <w:tcPr>
            <w:tcW w:w="8295" w:type="dxa"/>
          </w:tcPr>
          <w:p w14:paraId="5AFB090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(MH “Memory”)</w:t>
            </w:r>
          </w:p>
        </w:tc>
      </w:tr>
      <w:tr w:rsidR="00FF0074" w:rsidRPr="00EF24D8" w14:paraId="49CFE6FD" w14:textId="77777777">
        <w:tc>
          <w:tcPr>
            <w:tcW w:w="1200" w:type="dxa"/>
          </w:tcPr>
          <w:p w14:paraId="16A7824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S10</w:t>
            </w:r>
          </w:p>
        </w:tc>
        <w:tc>
          <w:tcPr>
            <w:tcW w:w="8295" w:type="dxa"/>
          </w:tcPr>
          <w:p w14:paraId="333D180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(MH “executive function”)</w:t>
            </w:r>
          </w:p>
        </w:tc>
      </w:tr>
      <w:tr w:rsidR="00FF0074" w:rsidRPr="00EF24D8" w14:paraId="199977FF" w14:textId="77777777">
        <w:tc>
          <w:tcPr>
            <w:tcW w:w="1200" w:type="dxa"/>
          </w:tcPr>
          <w:p w14:paraId="47DD49F5"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S11</w:t>
            </w:r>
          </w:p>
        </w:tc>
        <w:tc>
          <w:tcPr>
            <w:tcW w:w="8295" w:type="dxa"/>
          </w:tcPr>
          <w:p w14:paraId="0F6B11E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(MH “Psychomotor performance”)</w:t>
            </w:r>
          </w:p>
        </w:tc>
      </w:tr>
      <w:tr w:rsidR="00FF0074" w:rsidRPr="00EF24D8" w14:paraId="543E757C" w14:textId="77777777">
        <w:tc>
          <w:tcPr>
            <w:tcW w:w="1200" w:type="dxa"/>
          </w:tcPr>
          <w:p w14:paraId="2F9D3F44"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S12</w:t>
            </w:r>
          </w:p>
        </w:tc>
        <w:tc>
          <w:tcPr>
            <w:tcW w:w="8295" w:type="dxa"/>
          </w:tcPr>
          <w:p w14:paraId="3E90CE1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(MH “cognition”)</w:t>
            </w:r>
          </w:p>
        </w:tc>
      </w:tr>
      <w:tr w:rsidR="00FF0074" w:rsidRPr="00EF24D8" w14:paraId="2337D334" w14:textId="77777777">
        <w:tc>
          <w:tcPr>
            <w:tcW w:w="1200" w:type="dxa"/>
          </w:tcPr>
          <w:p w14:paraId="7B2DF3E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S13</w:t>
            </w:r>
          </w:p>
        </w:tc>
        <w:tc>
          <w:tcPr>
            <w:tcW w:w="8295" w:type="dxa"/>
          </w:tcPr>
          <w:p w14:paraId="2CF3E228"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(MH “learning”)</w:t>
            </w:r>
          </w:p>
        </w:tc>
      </w:tr>
      <w:tr w:rsidR="00FF0074" w:rsidRPr="00EF24D8" w14:paraId="17E9DB1C" w14:textId="77777777">
        <w:tc>
          <w:tcPr>
            <w:tcW w:w="1200" w:type="dxa"/>
          </w:tcPr>
          <w:p w14:paraId="2FAE2DF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S14</w:t>
            </w:r>
          </w:p>
        </w:tc>
        <w:tc>
          <w:tcPr>
            <w:tcW w:w="8295" w:type="dxa"/>
          </w:tcPr>
          <w:p w14:paraId="4826E9F3"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TX intoxication OR TX impairment OR TX memory OR TX attention OR TX ( psychomotor performance or psychomotor activity ) OR TX ( cognition or cognitive function or cognitive performance or cognitive abilities or cognitive ability ) OR TX ( verbal learning or paired associate learning or discrimination learning ) OR TX ( reaction time or response time ) OR TX ( task performance or task switching ) OR TX processing speed OR TX neuropsychological testing</w:t>
            </w:r>
          </w:p>
        </w:tc>
      </w:tr>
      <w:tr w:rsidR="00FF0074" w:rsidRPr="00EF24D8" w14:paraId="2ED9A345" w14:textId="77777777">
        <w:tc>
          <w:tcPr>
            <w:tcW w:w="1200" w:type="dxa"/>
          </w:tcPr>
          <w:p w14:paraId="01876DC2"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S15</w:t>
            </w:r>
          </w:p>
        </w:tc>
        <w:tc>
          <w:tcPr>
            <w:tcW w:w="8295" w:type="dxa"/>
          </w:tcPr>
          <w:p w14:paraId="438A61E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(S9 OR S10 OR S11 OR S12 OR S13 OR S14)</w:t>
            </w:r>
          </w:p>
        </w:tc>
      </w:tr>
      <w:tr w:rsidR="00FF0074" w:rsidRPr="00EF24D8" w14:paraId="13961891" w14:textId="77777777">
        <w:tc>
          <w:tcPr>
            <w:tcW w:w="1200" w:type="dxa"/>
          </w:tcPr>
          <w:p w14:paraId="6E596BA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S16</w:t>
            </w:r>
          </w:p>
        </w:tc>
        <w:tc>
          <w:tcPr>
            <w:tcW w:w="8295" w:type="dxa"/>
          </w:tcPr>
          <w:p w14:paraId="7783BA7C"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(S5 OR S8)</w:t>
            </w:r>
          </w:p>
        </w:tc>
      </w:tr>
      <w:tr w:rsidR="00FF0074" w:rsidRPr="00EF24D8" w14:paraId="485F0200" w14:textId="77777777">
        <w:tc>
          <w:tcPr>
            <w:tcW w:w="1200" w:type="dxa"/>
          </w:tcPr>
          <w:p w14:paraId="00392D5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S17</w:t>
            </w:r>
          </w:p>
        </w:tc>
        <w:tc>
          <w:tcPr>
            <w:tcW w:w="8295" w:type="dxa"/>
          </w:tcPr>
          <w:p w14:paraId="2C8D6B6D"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(S15 AND S16)</w:t>
            </w:r>
          </w:p>
        </w:tc>
      </w:tr>
      <w:tr w:rsidR="00FF0074" w:rsidRPr="00EF24D8" w14:paraId="3AF36D36" w14:textId="77777777">
        <w:tc>
          <w:tcPr>
            <w:tcW w:w="1200" w:type="dxa"/>
          </w:tcPr>
          <w:p w14:paraId="7FDC943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S18</w:t>
            </w:r>
          </w:p>
        </w:tc>
        <w:tc>
          <w:tcPr>
            <w:tcW w:w="8295" w:type="dxa"/>
          </w:tcPr>
          <w:p w14:paraId="4C2ED02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(randomized controlled trials OR MH double-blind studies OR MH single-blind studies OR MH random assignment OR MH pretest-</w:t>
            </w:r>
            <w:proofErr w:type="spellStart"/>
            <w:r w:rsidRPr="00EF24D8">
              <w:rPr>
                <w:rFonts w:ascii="Times New Roman" w:eastAsia="Times New Roman" w:hAnsi="Times New Roman" w:cs="Times New Roman"/>
                <w:sz w:val="16"/>
                <w:szCs w:val="16"/>
              </w:rPr>
              <w:t>posttest</w:t>
            </w:r>
            <w:proofErr w:type="spellEnd"/>
            <w:r w:rsidRPr="00EF24D8">
              <w:rPr>
                <w:rFonts w:ascii="Times New Roman" w:eastAsia="Times New Roman" w:hAnsi="Times New Roman" w:cs="Times New Roman"/>
                <w:sz w:val="16"/>
                <w:szCs w:val="16"/>
              </w:rPr>
              <w:t xml:space="preserve"> design OR MH cluster sample OR TI (randomised OR randomized) OR AB (random*) OR TI (trial) OR (MH (sample size) AND AB (assigned OR allocated OR control)) OR MH (placebos) OR PT (randomized controlled trial) OR AB (control W5 group) OR MH (crossover design) OR MH (comparative studies) OR AB (cluster W3 RCT)) NOT ((MH animals+ OR MH animal studies OR TI animal model*) NOT MH human)</w:t>
            </w:r>
          </w:p>
        </w:tc>
      </w:tr>
      <w:tr w:rsidR="00FF0074" w:rsidRPr="00EF24D8" w14:paraId="399055C9" w14:textId="77777777">
        <w:tc>
          <w:tcPr>
            <w:tcW w:w="1200" w:type="dxa"/>
          </w:tcPr>
          <w:p w14:paraId="27B187B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S19</w:t>
            </w:r>
          </w:p>
        </w:tc>
        <w:tc>
          <w:tcPr>
            <w:tcW w:w="8295" w:type="dxa"/>
          </w:tcPr>
          <w:p w14:paraId="60AF20F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(S17 AND S18)</w:t>
            </w:r>
          </w:p>
        </w:tc>
      </w:tr>
    </w:tbl>
    <w:p w14:paraId="7137C061" w14:textId="77777777" w:rsidR="00FF0074" w:rsidRPr="00EF24D8" w:rsidRDefault="00FF0074">
      <w:pPr>
        <w:rPr>
          <w:rFonts w:ascii="Times New Roman" w:hAnsi="Times New Roman" w:cs="Times New Roman"/>
        </w:rPr>
      </w:pPr>
    </w:p>
    <w:p w14:paraId="02DC4A92" w14:textId="77777777" w:rsidR="00FF0074" w:rsidRPr="00EF24D8" w:rsidRDefault="00FF0074">
      <w:pPr>
        <w:pBdr>
          <w:top w:val="nil"/>
          <w:left w:val="nil"/>
          <w:bottom w:val="nil"/>
          <w:right w:val="nil"/>
          <w:between w:val="nil"/>
        </w:pBdr>
        <w:rPr>
          <w:rFonts w:ascii="Times New Roman" w:eastAsia="Times New Roman" w:hAnsi="Times New Roman" w:cs="Times New Roman"/>
          <w:b/>
          <w:sz w:val="20"/>
          <w:szCs w:val="20"/>
        </w:rPr>
      </w:pPr>
    </w:p>
    <w:p w14:paraId="582563C8" w14:textId="7D70B04A" w:rsidR="00FF0074" w:rsidRPr="000F744B" w:rsidRDefault="00000000">
      <w:pPr>
        <w:numPr>
          <w:ilvl w:val="0"/>
          <w:numId w:val="2"/>
        </w:numPr>
        <w:pBdr>
          <w:top w:val="nil"/>
          <w:left w:val="nil"/>
          <w:bottom w:val="nil"/>
          <w:right w:val="nil"/>
          <w:between w:val="nil"/>
        </w:pBdr>
        <w:rPr>
          <w:rFonts w:ascii="Times New Roman" w:eastAsia="Times New Roman" w:hAnsi="Times New Roman" w:cs="Times New Roman"/>
          <w:b/>
        </w:rPr>
      </w:pPr>
      <w:proofErr w:type="spellStart"/>
      <w:r w:rsidRPr="000F744B">
        <w:rPr>
          <w:rFonts w:ascii="Times New Roman" w:eastAsia="Times New Roman" w:hAnsi="Times New Roman" w:cs="Times New Roman"/>
          <w:b/>
        </w:rPr>
        <w:t>eTable</w:t>
      </w:r>
      <w:proofErr w:type="spellEnd"/>
      <w:r w:rsidRPr="000F744B">
        <w:rPr>
          <w:rFonts w:ascii="Times New Roman" w:eastAsia="Times New Roman" w:hAnsi="Times New Roman" w:cs="Times New Roman"/>
          <w:b/>
        </w:rPr>
        <w:t xml:space="preserve"> </w:t>
      </w:r>
      <w:r w:rsidR="003E2D35">
        <w:rPr>
          <w:rFonts w:ascii="Times New Roman" w:eastAsia="Times New Roman" w:hAnsi="Times New Roman" w:cs="Times New Roman"/>
          <w:b/>
        </w:rPr>
        <w:t>2</w:t>
      </w:r>
      <w:r w:rsidRPr="000F744B">
        <w:rPr>
          <w:rFonts w:ascii="Times New Roman" w:eastAsia="Times New Roman" w:hAnsi="Times New Roman" w:cs="Times New Roman"/>
          <w:b/>
        </w:rPr>
        <w:t xml:space="preserve">. PICOS statement </w:t>
      </w:r>
    </w:p>
    <w:p w14:paraId="2D71D7F6" w14:textId="77777777" w:rsidR="00FF0074" w:rsidRPr="00EF24D8" w:rsidRDefault="00FF0074">
      <w:pPr>
        <w:rPr>
          <w:rFonts w:ascii="Times New Roman" w:eastAsia="Times New Roman" w:hAnsi="Times New Roman" w:cs="Times New Roman"/>
          <w:b/>
          <w:sz w:val="16"/>
          <w:szCs w:val="16"/>
        </w:rPr>
      </w:pPr>
    </w:p>
    <w:tbl>
      <w:tblPr>
        <w:tblStyle w:val="a0"/>
        <w:tblW w:w="7815" w:type="dxa"/>
        <w:tblLayout w:type="fixed"/>
        <w:tblLook w:val="0400" w:firstRow="0" w:lastRow="0" w:firstColumn="0" w:lastColumn="0" w:noHBand="0" w:noVBand="1"/>
      </w:tblPr>
      <w:tblGrid>
        <w:gridCol w:w="1935"/>
        <w:gridCol w:w="5880"/>
      </w:tblGrid>
      <w:tr w:rsidR="00FF0074" w:rsidRPr="00EF24D8" w14:paraId="6177D6A5" w14:textId="77777777">
        <w:trPr>
          <w:trHeight w:val="456"/>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6BCDB" w14:textId="77777777" w:rsidR="00FF0074" w:rsidRPr="00EF24D8" w:rsidRDefault="00000000">
            <w:pPr>
              <w:rPr>
                <w:rFonts w:ascii="Times New Roman" w:eastAsia="Times New Roman" w:hAnsi="Times New Roman" w:cs="Times New Roman"/>
                <w:b/>
                <w:sz w:val="16"/>
                <w:szCs w:val="16"/>
              </w:rPr>
            </w:pPr>
            <w:r w:rsidRPr="00EF24D8">
              <w:rPr>
                <w:rFonts w:ascii="Times New Roman" w:eastAsia="Times New Roman" w:hAnsi="Times New Roman" w:cs="Times New Roman"/>
                <w:b/>
                <w:sz w:val="16"/>
                <w:szCs w:val="16"/>
              </w:rPr>
              <w:t>Component</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7D1C8" w14:textId="77777777" w:rsidR="00FF0074" w:rsidRPr="00EF24D8" w:rsidRDefault="00000000">
            <w:pPr>
              <w:rPr>
                <w:rFonts w:ascii="Times New Roman" w:eastAsia="Times New Roman" w:hAnsi="Times New Roman" w:cs="Times New Roman"/>
                <w:b/>
                <w:sz w:val="16"/>
                <w:szCs w:val="16"/>
                <w:highlight w:val="white"/>
              </w:rPr>
            </w:pPr>
            <w:r w:rsidRPr="00EF24D8">
              <w:rPr>
                <w:rFonts w:ascii="Times New Roman" w:eastAsia="Times New Roman" w:hAnsi="Times New Roman" w:cs="Times New Roman"/>
                <w:b/>
                <w:sz w:val="16"/>
                <w:szCs w:val="16"/>
                <w:highlight w:val="white"/>
              </w:rPr>
              <w:t>Criteria</w:t>
            </w:r>
          </w:p>
        </w:tc>
      </w:tr>
      <w:tr w:rsidR="00FF0074" w:rsidRPr="00EF24D8" w14:paraId="0FE8FFBD" w14:textId="77777777">
        <w:trPr>
          <w:trHeight w:val="435"/>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274D9"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P (Population)</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97ACE" w14:textId="77777777" w:rsidR="00FF0074" w:rsidRPr="00EF24D8" w:rsidRDefault="00000000">
            <w:pPr>
              <w:rPr>
                <w:rFonts w:ascii="Times New Roman" w:eastAsia="Times New Roman" w:hAnsi="Times New Roman" w:cs="Times New Roman"/>
                <w:sz w:val="16"/>
                <w:szCs w:val="16"/>
                <w:highlight w:val="yellow"/>
              </w:rPr>
            </w:pPr>
            <w:r w:rsidRPr="00EF24D8">
              <w:rPr>
                <w:rFonts w:ascii="Times New Roman" w:eastAsia="Times New Roman" w:hAnsi="Times New Roman" w:cs="Times New Roman"/>
                <w:sz w:val="16"/>
                <w:szCs w:val="16"/>
                <w:highlight w:val="white"/>
              </w:rPr>
              <w:t xml:space="preserve">Participants of any age, </w:t>
            </w:r>
            <w:proofErr w:type="gramStart"/>
            <w:r w:rsidRPr="00EF24D8">
              <w:rPr>
                <w:rFonts w:ascii="Times New Roman" w:eastAsia="Times New Roman" w:hAnsi="Times New Roman" w:cs="Times New Roman"/>
                <w:sz w:val="16"/>
                <w:szCs w:val="16"/>
                <w:highlight w:val="white"/>
              </w:rPr>
              <w:t>gender</w:t>
            </w:r>
            <w:proofErr w:type="gramEnd"/>
            <w:r w:rsidRPr="00EF24D8">
              <w:rPr>
                <w:rFonts w:ascii="Times New Roman" w:eastAsia="Times New Roman" w:hAnsi="Times New Roman" w:cs="Times New Roman"/>
                <w:sz w:val="16"/>
                <w:szCs w:val="16"/>
                <w:highlight w:val="white"/>
              </w:rPr>
              <w:t xml:space="preserve"> and ethnicity with or without a medical condition</w:t>
            </w:r>
          </w:p>
        </w:tc>
      </w:tr>
      <w:tr w:rsidR="00FF0074" w:rsidRPr="00EF24D8" w14:paraId="3D22DB73" w14:textId="77777777">
        <w:trPr>
          <w:trHeight w:val="435"/>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7B366"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lastRenderedPageBreak/>
              <w:t>I (Intervention)</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A43A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 xml:space="preserve">Acute CBD consumption (any route of administration) </w:t>
            </w:r>
          </w:p>
        </w:tc>
      </w:tr>
      <w:tr w:rsidR="00FF0074" w:rsidRPr="00EF24D8" w14:paraId="4B995CDE" w14:textId="77777777">
        <w:trPr>
          <w:trHeight w:val="465"/>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9ACEE"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C (Comparison)</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C24B8" w14:textId="77777777" w:rsidR="00FF0074" w:rsidRPr="00EF24D8" w:rsidRDefault="00000000">
            <w:pPr>
              <w:rPr>
                <w:rFonts w:ascii="Times New Roman" w:eastAsia="Times New Roman" w:hAnsi="Times New Roman" w:cs="Times New Roman"/>
                <w:strike/>
                <w:sz w:val="16"/>
                <w:szCs w:val="16"/>
                <w:highlight w:val="yellow"/>
              </w:rPr>
            </w:pPr>
            <w:r w:rsidRPr="00EF24D8">
              <w:rPr>
                <w:rFonts w:ascii="Times New Roman" w:eastAsia="Times New Roman" w:hAnsi="Times New Roman" w:cs="Times New Roman"/>
                <w:sz w:val="16"/>
                <w:szCs w:val="16"/>
              </w:rPr>
              <w:t>Placebo controls and THC positive control</w:t>
            </w:r>
          </w:p>
        </w:tc>
      </w:tr>
      <w:tr w:rsidR="00FF0074" w:rsidRPr="00EF24D8" w14:paraId="5874B618" w14:textId="77777777">
        <w:trPr>
          <w:trHeight w:val="435"/>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C8910"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O (Outcome)</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3118B"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Objective or subjective impairment measures* within 0-8 hours of CBD consumption</w:t>
            </w:r>
          </w:p>
        </w:tc>
      </w:tr>
      <w:tr w:rsidR="00FF0074" w:rsidRPr="00EF24D8" w14:paraId="448AFF81" w14:textId="77777777">
        <w:trPr>
          <w:trHeight w:val="405"/>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AA431" w14:textId="77777777" w:rsidR="00FF0074" w:rsidRPr="00EF24D8" w:rsidRDefault="00000000">
            <w:pPr>
              <w:rPr>
                <w:rFonts w:ascii="Times New Roman" w:eastAsia="Times New Roman" w:hAnsi="Times New Roman" w:cs="Times New Roman"/>
                <w:sz w:val="16"/>
                <w:szCs w:val="16"/>
              </w:rPr>
            </w:pPr>
            <w:r w:rsidRPr="00EF24D8">
              <w:rPr>
                <w:rFonts w:ascii="Times New Roman" w:eastAsia="Times New Roman" w:hAnsi="Times New Roman" w:cs="Times New Roman"/>
                <w:sz w:val="16"/>
                <w:szCs w:val="16"/>
              </w:rPr>
              <w:t>S (Study type selected)</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9ADBD" w14:textId="77777777" w:rsidR="00FF0074" w:rsidRPr="00EF24D8" w:rsidRDefault="00000000">
            <w:pPr>
              <w:rPr>
                <w:rFonts w:ascii="Times New Roman" w:eastAsia="Times New Roman" w:hAnsi="Times New Roman" w:cs="Times New Roman"/>
                <w:strike/>
                <w:sz w:val="16"/>
                <w:szCs w:val="16"/>
                <w:highlight w:val="yellow"/>
              </w:rPr>
            </w:pPr>
            <w:r w:rsidRPr="00EF24D8">
              <w:rPr>
                <w:rFonts w:ascii="Times New Roman" w:eastAsia="Times New Roman" w:hAnsi="Times New Roman" w:cs="Times New Roman"/>
                <w:sz w:val="16"/>
                <w:szCs w:val="16"/>
              </w:rPr>
              <w:t>Clinical or experimental trials, irrespective of design</w:t>
            </w:r>
          </w:p>
        </w:tc>
      </w:tr>
    </w:tbl>
    <w:p w14:paraId="2378DB85" w14:textId="77777777" w:rsidR="00FF0074" w:rsidRPr="00EF24D8" w:rsidRDefault="00000000">
      <w:pPr>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 xml:space="preserve">*Subjective impairment measures were restricted to those with specific constructs of impairment (e.g., drowsiness, sedation, trouble with memory). Subjective ratings of drug high and intoxication were excluded due to lack of specificity. </w:t>
      </w:r>
    </w:p>
    <w:p w14:paraId="6E8A471E" w14:textId="77777777" w:rsidR="00FF0074" w:rsidRPr="00EF24D8" w:rsidRDefault="00FF0074">
      <w:pPr>
        <w:pBdr>
          <w:top w:val="nil"/>
          <w:left w:val="nil"/>
          <w:bottom w:val="nil"/>
          <w:right w:val="nil"/>
          <w:between w:val="nil"/>
        </w:pBdr>
        <w:rPr>
          <w:rFonts w:ascii="Times New Roman" w:eastAsia="Times New Roman" w:hAnsi="Times New Roman" w:cs="Times New Roman"/>
          <w:b/>
          <w:sz w:val="20"/>
          <w:szCs w:val="20"/>
        </w:rPr>
      </w:pPr>
    </w:p>
    <w:p w14:paraId="57A02ED5" w14:textId="1C52BD4B" w:rsidR="00E17031" w:rsidRDefault="00E17031">
      <w:pPr>
        <w:numPr>
          <w:ilvl w:val="0"/>
          <w:numId w:val="2"/>
        </w:numPr>
        <w:pBdr>
          <w:top w:val="nil"/>
          <w:left w:val="nil"/>
          <w:bottom w:val="nil"/>
          <w:right w:val="nil"/>
          <w:between w:val="nil"/>
        </w:pBdr>
        <w:rPr>
          <w:rFonts w:ascii="Times New Roman" w:eastAsia="Times New Roman" w:hAnsi="Times New Roman" w:cs="Times New Roman"/>
          <w:b/>
        </w:rPr>
      </w:pPr>
      <w:proofErr w:type="spellStart"/>
      <w:r>
        <w:rPr>
          <w:rFonts w:ascii="Times New Roman" w:eastAsia="Times New Roman" w:hAnsi="Times New Roman" w:cs="Times New Roman"/>
          <w:b/>
        </w:rPr>
        <w:t>eResults</w:t>
      </w:r>
      <w:proofErr w:type="spellEnd"/>
    </w:p>
    <w:p w14:paraId="584D251B" w14:textId="77777777" w:rsidR="00E17031" w:rsidRDefault="00E17031" w:rsidP="00E17031">
      <w:pPr>
        <w:pBdr>
          <w:top w:val="nil"/>
          <w:left w:val="nil"/>
          <w:bottom w:val="nil"/>
          <w:right w:val="nil"/>
          <w:between w:val="nil"/>
        </w:pBdr>
        <w:rPr>
          <w:rFonts w:ascii="Times New Roman" w:eastAsia="Times New Roman" w:hAnsi="Times New Roman" w:cs="Times New Roman"/>
          <w:b/>
        </w:rPr>
      </w:pPr>
    </w:p>
    <w:p w14:paraId="5A7C9E2F" w14:textId="301C5CC3" w:rsidR="00E17031" w:rsidRDefault="00E17031" w:rsidP="00E17031">
      <w:pPr>
        <w:pBdr>
          <w:top w:val="nil"/>
          <w:left w:val="nil"/>
          <w:bottom w:val="nil"/>
          <w:right w:val="nil"/>
          <w:between w:val="nil"/>
        </w:pBdr>
        <w:rPr>
          <w:rFonts w:ascii="Times New Roman" w:eastAsia="Times New Roman" w:hAnsi="Times New Roman" w:cs="Times New Roman"/>
          <w:b/>
          <w:sz w:val="20"/>
          <w:szCs w:val="20"/>
        </w:rPr>
      </w:pPr>
      <w:r w:rsidRPr="00E17031">
        <w:rPr>
          <w:rFonts w:ascii="Times New Roman" w:eastAsia="Times New Roman" w:hAnsi="Times New Roman" w:cs="Times New Roman"/>
          <w:b/>
          <w:sz w:val="20"/>
          <w:szCs w:val="20"/>
        </w:rPr>
        <w:t>Qualitative findings</w:t>
      </w:r>
    </w:p>
    <w:p w14:paraId="46DDF0EB" w14:textId="4B304EC3" w:rsidR="00E17031" w:rsidRPr="00E17031" w:rsidRDefault="00E17031" w:rsidP="00E17031">
      <w:pPr>
        <w:ind w:firstLine="720"/>
        <w:rPr>
          <w:rFonts w:ascii="Times New Roman" w:eastAsia="Times New Roman" w:hAnsi="Times New Roman" w:cs="Times New Roman"/>
          <w:sz w:val="20"/>
          <w:szCs w:val="20"/>
        </w:rPr>
      </w:pPr>
      <w:r w:rsidRPr="00E17031">
        <w:rPr>
          <w:rFonts w:ascii="Times New Roman" w:eastAsia="Times New Roman" w:hAnsi="Times New Roman" w:cs="Times New Roman"/>
          <w:sz w:val="20"/>
          <w:szCs w:val="20"/>
        </w:rPr>
        <w:t xml:space="preserve">At the individual study level, evidence of impairment following acute CBD exposure was only noted in three studies </w:t>
      </w:r>
      <w:r w:rsidRPr="00E17031">
        <w:rPr>
          <w:rFonts w:ascii="Times New Roman" w:eastAsia="Times New Roman" w:hAnsi="Times New Roman" w:cs="Times New Roman"/>
          <w:sz w:val="20"/>
          <w:szCs w:val="20"/>
        </w:rPr>
        <w:fldChar w:fldCharType="begin"/>
      </w:r>
      <w:r w:rsidR="006C0D02">
        <w:rPr>
          <w:rFonts w:ascii="Times New Roman" w:eastAsia="Times New Roman" w:hAnsi="Times New Roman" w:cs="Times New Roman"/>
          <w:sz w:val="20"/>
          <w:szCs w:val="20"/>
        </w:rPr>
        <w:instrText xml:space="preserve"> ADDIN ZOTERO_ITEM CSL_CITATION {"citationID":"M4hF2Z0z","properties":{"formattedCitation":"[6\\uc0\\u8211{}8]","plainCitation":"[6–8]","noteIndex":0},"citationItems":[{"id":6548,"uris":["http://zotero.org/users/local/cIxipA5o/items/J4F2Q2YD"],"itemData":{"id":6548,"type":"article-journal","abstract":"Abstract\n            Acute nicotine abstinence in cigarette smokers results in deficits in performance on specific cognitive processes, including working memory and impulsivity which are important in relapse. Cannabidiol (CBD), the non-intoxicating cannabinoid found in cannabis, has shown pro-cognitive effects and preliminary evidence has indicated it can reduce the number of cigarettes smoked in dependent smokers. However, the effects of CBD on cognition have never been tested during acute nicotine withdrawal. The present study therefore aimed to investigate if CBD can improve memory and reduce impulsivity during acute tobacco abstinence. Thirty, non-treatment seeking, dependent, cigarette smokers attended two laboratory-based sessions after overnight abstinence, in which they received either 800 mg oral CBD or placebo (PBO), in a randomised order. Abstinence was biologically verified. Participants were assessed on go/no-go, delay discounting, prose recall and N-back (0-back, 1-back, 2-back) tasks. The effects of CBD on delay discounting, prose recall and the N-back (correct responses, maintenance or manipulation) were null, confirmed by a Bayesian analysis, which found evidence for the null hypothesis. Contrary to our predictions, CBD increased commission errors on the go/no-go task. In conclusion, a single 800 mg dose of CBD does not improve verbal or spatial working memory, or impulsivity during tobacco abstinence.","container-title":"Scientific Reports","DOI":"10.1038/s41598-018-25846-2","ISSN":"2045-2322","issue":"1","journalAbbreviation":"Sci Rep","language":"en","page":"7568","source":"DOI.org (Crossref)","title":"The effects of cannabidiol on impulsivity and memory during abstinence in cigarette dependent smokers","volume":"8","author":[{"family":"Hindocha","given":"C."},{"family":"Freeman","given":"T. P."},{"family":"Grabski","given":"M."},{"family":"Crudgington","given":"H."},{"family":"Davies","given":"A. C."},{"family":"Stroud","given":"J. B."},{"family":"Das","given":"R. K."},{"family":"Lawn","given":"W."},{"family":"Morgan","given":"C. J. A."},{"family":"Curran","given":"H. V."}],"issued":{"date-parts":[["2018",5,15]]}}},{"id":4759,"uris":["http://zotero.org/users/local/cIxipA5o/items/PRCTMDKC"],"itemData":{"id":4759,"type":"article-journal","container-title":"Epilepsy &amp; Behavior","DOI":"10.1016/j.yebeh.2018.07.027","ISSN":"15255050","journalAbbreviation":"Epilepsy &amp; Behavior","language":"en","page":"162-171","source":"DOI.org (Crossref)","title":"Abuse potential assessment of cannabidiol (CBD) in recreational polydrug users: A randomized, double-blind, controlled trial","title-short":"Abuse potential assessment of cannabidiol (CBD) in recreational polydrug users","volume":"88","author":[{"family":"Schoedel","given":"Kerri A."},{"family":"Szeto","given":"Isabella"},{"family":"Setnik","given":"Beatrice"},{"family":"Sellers","given":"Edward M."},{"family":"Levy-Cooperman","given":"Naama"},{"family":"Mills","given":"Catherine"},{"family":"Etges","given":"Tilden"},{"family":"Sommerville","given":"Kenneth"}],"issued":{"date-parts":[["2018",11]]}}},{"id":6560,"uris":["http://zotero.org/users/local/cIxipA5o/items/VRRDKGGW"],"itemData":{"id":6560,"type":"article-journal","abstract":"Access to cannabis and cannabinoid products is increasing worldwide for recreational and medicinal use. Two primary compounds within cannabis plant matter, Δ9-tetrahydrocannabinol (THC) and cannabidiol (CBD), are both psychoactive, but only THC is considered intoxicating. There is significant interest in potential therapeutic properties of these cannabinoids and of CBD in particular. Some research has suggested that CBD may ameliorate adverse effects of THC, but this may be dose dependent as other evidence suggests possible potentiating effects of THC by low doses of CBD. We conducted a randomised placebo controlled trial to examine the acute effects of these compounds alone and in combination when administered by vaporisation to frequent and infrequent cannabis users. Participants (n = 36; 31 male) completed 5 drug conditions spaced one week apart, with the following planned contrasts: placebo vs CBD alone (400 mg); THC alone (8 mg) vs THC combined with low (4 mg) or high (400 mg) doses of CBD. Objective (blind observer ratings) and subjective (self-rated) measures of intoxication were the primary outcomes, with additional indices of intoxication examined. CBD showed some intoxicating properties relative to placebo. Low doses of CBD when combined with THC enhanced, while high doses of CBD reduced the intoxicating effects of THC. The enhancement of intoxication by low-dose CBD was particularly prominent in infrequent cannabis users and was consistent across objective and subjective measures. Most effects were significant at p &lt; .0001. These findings are important to consider in terms of recommended proportions of THC and CBD in cannabis plant matter whether used medicinally or recreationally and have implications for novice or less experienced cannabis users.","container-title":"European Archives of Psychiatry and Clinical Neuroscience","DOI":"10.1007/s00406-019-00978-2","ISSN":"0940-1334, 1433-8491","issue":"1","journalAbbreviation":"Eur Arch Psychiatry Clin Neurosci","language":"en","page":"17-35","source":"DOI.org (Crossref)","title":"A randomised controlled trial of vaporised Δ9-tetrahydrocannabinol and cannabidiol alone and in combination in frequent and infrequent cannabis users: acute intoxication effects","title-short":"A randomised controlled trial of vaporised Δ9-tetrahydrocannabinol and cannabidiol alone and in combination in frequent and infrequent cannabis users","volume":"269","author":[{"family":"Solowij","given":"Nadia"},{"family":"Broyd","given":"Samantha"},{"family":"Greenwood","given":"Lisa-marie"},{"family":"Van Hell","given":"Hendrika"},{"family":"Martelozzo","given":"Dave"},{"family":"Rueb","given":"Kuna"},{"family":"Todd","given":"Juanita"},{"family":"Liu","given":"Zheng"},{"family":"Galettis","given":"Peter"},{"family":"Martin","given":"Jennifer"},{"family":"Murray","given":"Robin"},{"family":"Jones","given":"Alison"},{"family":"Michie","given":"Patricia T."},{"family":"Croft","given":"Rodney"}],"issued":{"date-parts":[["2019",2]]}}}],"schema":"https://github.com/citation-style-language/schema/raw/master/csl-citation.json"} </w:instrText>
      </w:r>
      <w:r w:rsidRPr="00E17031">
        <w:rPr>
          <w:rFonts w:ascii="Times New Roman" w:eastAsia="Times New Roman" w:hAnsi="Times New Roman" w:cs="Times New Roman"/>
          <w:sz w:val="20"/>
          <w:szCs w:val="20"/>
        </w:rPr>
        <w:fldChar w:fldCharType="separate"/>
      </w:r>
      <w:r w:rsidR="006C0D02" w:rsidRPr="006C0D02">
        <w:rPr>
          <w:rFonts w:ascii="Times New Roman" w:hAnsi="Times New Roman" w:cs="Times New Roman"/>
          <w:sz w:val="20"/>
          <w:lang w:val="en-US"/>
        </w:rPr>
        <w:t>[6–8]</w:t>
      </w:r>
      <w:r w:rsidRPr="00E17031">
        <w:rPr>
          <w:rFonts w:ascii="Times New Roman" w:eastAsia="Times New Roman" w:hAnsi="Times New Roman" w:cs="Times New Roman"/>
          <w:sz w:val="20"/>
          <w:szCs w:val="20"/>
        </w:rPr>
        <w:fldChar w:fldCharType="end"/>
      </w:r>
      <w:r w:rsidRPr="00E17031">
        <w:rPr>
          <w:rFonts w:ascii="Times New Roman" w:eastAsia="Times New Roman" w:hAnsi="Times New Roman" w:cs="Times New Roman"/>
          <w:sz w:val="20"/>
          <w:szCs w:val="20"/>
        </w:rPr>
        <w:t xml:space="preserve">. In </w:t>
      </w:r>
      <w:proofErr w:type="spellStart"/>
      <w:r w:rsidRPr="00E17031">
        <w:rPr>
          <w:rFonts w:ascii="Times New Roman" w:eastAsia="Times New Roman" w:hAnsi="Times New Roman" w:cs="Times New Roman"/>
          <w:sz w:val="20"/>
          <w:szCs w:val="20"/>
        </w:rPr>
        <w:t>Solowij</w:t>
      </w:r>
      <w:proofErr w:type="spellEnd"/>
      <w:r w:rsidRPr="00E17031">
        <w:rPr>
          <w:rFonts w:ascii="Times New Roman" w:eastAsia="Times New Roman" w:hAnsi="Times New Roman" w:cs="Times New Roman"/>
          <w:sz w:val="20"/>
          <w:szCs w:val="20"/>
        </w:rPr>
        <w:t xml:space="preserve"> (2019), at a </w:t>
      </w:r>
      <w:proofErr w:type="spellStart"/>
      <w:r w:rsidRPr="00E17031">
        <w:rPr>
          <w:rFonts w:ascii="Times New Roman" w:eastAsia="Times New Roman" w:hAnsi="Times New Roman" w:cs="Times New Roman"/>
          <w:sz w:val="20"/>
          <w:szCs w:val="20"/>
        </w:rPr>
        <w:t>vapourized</w:t>
      </w:r>
      <w:proofErr w:type="spellEnd"/>
      <w:r w:rsidRPr="00E17031">
        <w:rPr>
          <w:rFonts w:ascii="Times New Roman" w:eastAsia="Times New Roman" w:hAnsi="Times New Roman" w:cs="Times New Roman"/>
          <w:sz w:val="20"/>
          <w:szCs w:val="20"/>
        </w:rPr>
        <w:t xml:space="preserve"> dose of 400 mg purified CBD, infrequent cannabis users self-reported greater drowsiness compared to placebo, but the reverse pattern was observed in more frequent users. In </w:t>
      </w:r>
      <w:proofErr w:type="spellStart"/>
      <w:r w:rsidRPr="00E17031">
        <w:rPr>
          <w:rFonts w:ascii="Times New Roman" w:eastAsia="Times New Roman" w:hAnsi="Times New Roman" w:cs="Times New Roman"/>
          <w:sz w:val="20"/>
          <w:szCs w:val="20"/>
        </w:rPr>
        <w:t>Schoedel</w:t>
      </w:r>
      <w:proofErr w:type="spellEnd"/>
      <w:r w:rsidRPr="00E17031">
        <w:rPr>
          <w:rFonts w:ascii="Times New Roman" w:eastAsia="Times New Roman" w:hAnsi="Times New Roman" w:cs="Times New Roman"/>
          <w:sz w:val="20"/>
          <w:szCs w:val="20"/>
        </w:rPr>
        <w:t xml:space="preserve"> (2018), oral </w:t>
      </w:r>
      <w:proofErr w:type="spellStart"/>
      <w:r w:rsidRPr="00E17031">
        <w:rPr>
          <w:rFonts w:ascii="Times New Roman" w:eastAsia="Times New Roman" w:hAnsi="Times New Roman" w:cs="Times New Roman"/>
          <w:sz w:val="20"/>
          <w:szCs w:val="20"/>
        </w:rPr>
        <w:t>Epidiolex</w:t>
      </w:r>
      <w:proofErr w:type="spellEnd"/>
      <w:r w:rsidRPr="00E17031">
        <w:rPr>
          <w:rFonts w:ascii="Times New Roman" w:eastAsia="Times New Roman" w:hAnsi="Times New Roman" w:cs="Times New Roman"/>
          <w:sz w:val="20"/>
          <w:szCs w:val="20"/>
        </w:rPr>
        <w:t xml:space="preserve"> doses of 750 mg, 1500 mg, and 4500 mg showed significantly increased subjective drowsiness relative to placebo. However, CBD had significantly less drowsiness compared to the positive controls of alprazolam 2mg, dronabinol 10 mg, and dronabinol 30 mg. </w:t>
      </w:r>
      <w:proofErr w:type="spellStart"/>
      <w:r w:rsidRPr="00E17031">
        <w:rPr>
          <w:rFonts w:ascii="Times New Roman" w:eastAsia="Times New Roman" w:hAnsi="Times New Roman" w:cs="Times New Roman"/>
          <w:sz w:val="20"/>
          <w:szCs w:val="20"/>
        </w:rPr>
        <w:t>Hindocha</w:t>
      </w:r>
      <w:proofErr w:type="spellEnd"/>
      <w:r w:rsidRPr="00E17031">
        <w:rPr>
          <w:rFonts w:ascii="Times New Roman" w:eastAsia="Times New Roman" w:hAnsi="Times New Roman" w:cs="Times New Roman"/>
          <w:sz w:val="20"/>
          <w:szCs w:val="20"/>
        </w:rPr>
        <w:t xml:space="preserve"> (2018) observed increased commission errors on the Go/No-Go task compared to placebo with an 800 mg oral synthetic CBD dose, indicating some impairment in executive function. All three studies noted no effect of CBD on other subjective and objective measures of impairment. Arkell (2020) did not report any impairment associated with CBD; however, it was noted that effect sizes for </w:t>
      </w:r>
      <w:proofErr w:type="spellStart"/>
      <w:r w:rsidRPr="00E17031">
        <w:rPr>
          <w:rFonts w:ascii="Times New Roman" w:eastAsia="Times New Roman" w:hAnsi="Times New Roman" w:cs="Times New Roman"/>
          <w:sz w:val="20"/>
          <w:szCs w:val="20"/>
        </w:rPr>
        <w:t>vapourized</w:t>
      </w:r>
      <w:proofErr w:type="spellEnd"/>
      <w:r w:rsidRPr="00E17031">
        <w:rPr>
          <w:rFonts w:ascii="Times New Roman" w:eastAsia="Times New Roman" w:hAnsi="Times New Roman" w:cs="Times New Roman"/>
          <w:sz w:val="20"/>
          <w:szCs w:val="20"/>
        </w:rPr>
        <w:t xml:space="preserve"> CBD-dominant cannabis (Δ9-THC &lt; 1% and CBD 9%) may not exclude clinically important impairment. </w:t>
      </w:r>
    </w:p>
    <w:p w14:paraId="4B705511" w14:textId="0CE51FCA" w:rsidR="00E17031" w:rsidRPr="00E17031" w:rsidRDefault="00E17031" w:rsidP="00E17031">
      <w:pPr>
        <w:ind w:firstLine="720"/>
        <w:rPr>
          <w:rFonts w:ascii="Times New Roman" w:eastAsia="Times New Roman" w:hAnsi="Times New Roman" w:cs="Times New Roman"/>
          <w:sz w:val="20"/>
          <w:szCs w:val="20"/>
        </w:rPr>
      </w:pPr>
      <w:r w:rsidRPr="00E17031">
        <w:rPr>
          <w:rFonts w:ascii="Times New Roman" w:eastAsia="Times New Roman" w:hAnsi="Times New Roman" w:cs="Times New Roman"/>
          <w:sz w:val="20"/>
          <w:szCs w:val="20"/>
        </w:rPr>
        <w:t xml:space="preserve">All other studies reported acute CBD administration, ranging from doses as low as 12.5 mg to as high as 1500 mg, was not associated with impairment in neurocognitive function. This included tests of driving, information processing, working memory, and attention. Further, other studies also assessing subjective drowsiness/sedation and executive function reported null results. In contrast, CBD had improved performance compared to placebo in three trials for tasks assessing sensory discrimination </w:t>
      </w:r>
      <w:r w:rsidRPr="00E17031">
        <w:rPr>
          <w:rFonts w:ascii="Times New Roman" w:eastAsia="Times New Roman" w:hAnsi="Times New Roman" w:cs="Times New Roman"/>
          <w:sz w:val="20"/>
          <w:szCs w:val="20"/>
        </w:rPr>
        <w:fldChar w:fldCharType="begin"/>
      </w:r>
      <w:r w:rsidR="006C0D02">
        <w:rPr>
          <w:rFonts w:ascii="Times New Roman" w:eastAsia="Times New Roman" w:hAnsi="Times New Roman" w:cs="Times New Roman"/>
          <w:sz w:val="20"/>
          <w:szCs w:val="20"/>
        </w:rPr>
        <w:instrText xml:space="preserve"> ADDIN ZOTERO_ITEM CSL_CITATION {"citationID":"y7Ay7M6d","properties":{"formattedCitation":"[9]","plainCitation":"[9]","noteIndex":0},"citationItems":[{"id":6526,"uris":["http://zotero.org/users/local/cIxipA5o/items/UN7ATLVT"],"itemData":{"id":6526,"type":"article-journal","abstract":"The aberrant processing of salience is thought to be a fundamental factor underlying psychosis. Cannabis can induce acute psychotic symptoms, and its chronic use may increase the risk of schizophrenia. We investigated whether its psychotic effects are mediated through an influence on attentional salience processing.To examine the effects ofΔ9-tetrahydrocannabinol (Δ9-THC) and cannabidiol (CBD) on regional brain function during salience processing.Volunteers were studied using event-related functional magnetic resonance imaging on 3 occasions after administration ofΔ9-THC, CBD, or placebo while performing a visual oddball detection paradigm that involved allocation of attention to infrequent (oddball) stimuli within a string of frequent (standard) stimuli.University center.Fifteen healthy men with minimal previous cannabis use.Symptom ratings, task performance, and regional brain activation.During the processing of oddball stimuli, relative to placebo,Δ9-THC attenuated activation in the right caudate but augmented it in the right prefrontal cortex.Δ9-Tetrahydrocannabinol also reduced the response latency to standard relative to oddball stimuli. The effect ofΔ9-THC in the right caudate was negatively correlated with the severity of the psychotic symptoms it induced and its effect on response latency. The effects of CBD on task-related activation were in the opposite direction of those ofΔ9-THC; relative to placebo, CBD augmented left caudate and hippocampal activation but attenuated right prefrontal activation.Δ9-Tetrahydrocannabinol and CBD differentially modulate prefrontal, striatal, and hippocampal function during attentional salience processing. These effects may contribute to the effects of cannabis on psychotic symptoms and on the risk of psychotic disorders.","container-title":"Archives of General Psychiatry","DOI":"10.1001/archgenpsychiatry.2011.161","ISSN":"0003-990X","issue":"1","journalAbbreviation":"Archives of General Psychiatry","page":"27-36","source":"Silverchair","title":"Induction of Psychosis byΔ9-Tetrahydrocannabinol Reflects Modulation of Prefrontal and Striatal Function During Attentional Salience Processing","volume":"69","author":[{"family":"Bhattacharyya","given":"Sagnik"},{"family":"Crippa","given":"José Alexandre"},{"family":"Allen","given":"Paul"},{"family":"Martin-Santos","given":"Rocio"},{"family":"Borgwardt","given":"Stefan"},{"family":"Fusar-Poli","given":"Paolo"},{"family":"Rubia","given":"Katya"},{"family":"Kambeitz","given":"Joseph"},{"family":"O’Carroll","given":"Colin"},{"family":"Seal","given":"Marc L."},{"family":"Giampietro","given":"Vincent"},{"family":"Brammer","given":"Michael"},{"family":"Zuardi","given":"Antonio Waldo"},{"family":"Atakan","given":"Zerrin"},{"family":"McGuire","given":"Philip K."}],"issued":{"date-parts":[["2012",1,1]]}}}],"schema":"https://github.com/citation-style-language/schema/raw/master/csl-citation.json"} </w:instrText>
      </w:r>
      <w:r w:rsidRPr="00E17031">
        <w:rPr>
          <w:rFonts w:ascii="Times New Roman" w:eastAsia="Times New Roman" w:hAnsi="Times New Roman" w:cs="Times New Roman"/>
          <w:sz w:val="20"/>
          <w:szCs w:val="20"/>
        </w:rPr>
        <w:fldChar w:fldCharType="separate"/>
      </w:r>
      <w:r w:rsidR="006C0D02">
        <w:rPr>
          <w:rFonts w:ascii="Times New Roman" w:hAnsi="Times New Roman" w:cs="Times New Roman"/>
          <w:sz w:val="20"/>
          <w:szCs w:val="20"/>
          <w:lang w:val="en-US"/>
        </w:rPr>
        <w:t>[9]</w:t>
      </w:r>
      <w:r w:rsidRPr="00E17031">
        <w:rPr>
          <w:rFonts w:ascii="Times New Roman" w:eastAsia="Times New Roman" w:hAnsi="Times New Roman" w:cs="Times New Roman"/>
          <w:sz w:val="20"/>
          <w:szCs w:val="20"/>
        </w:rPr>
        <w:fldChar w:fldCharType="end"/>
      </w:r>
      <w:r w:rsidRPr="00E17031">
        <w:rPr>
          <w:rFonts w:ascii="Times New Roman" w:eastAsia="Times New Roman" w:hAnsi="Times New Roman" w:cs="Times New Roman"/>
          <w:sz w:val="20"/>
          <w:szCs w:val="20"/>
        </w:rPr>
        <w:t xml:space="preserve">, working memory </w:t>
      </w:r>
      <w:r w:rsidRPr="00E17031">
        <w:rPr>
          <w:rFonts w:ascii="Times New Roman" w:eastAsia="Times New Roman" w:hAnsi="Times New Roman" w:cs="Times New Roman"/>
          <w:sz w:val="20"/>
          <w:szCs w:val="20"/>
        </w:rPr>
        <w:fldChar w:fldCharType="begin"/>
      </w:r>
      <w:r w:rsidR="006C0D02">
        <w:rPr>
          <w:rFonts w:ascii="Times New Roman" w:eastAsia="Times New Roman" w:hAnsi="Times New Roman" w:cs="Times New Roman"/>
          <w:sz w:val="20"/>
          <w:szCs w:val="20"/>
        </w:rPr>
        <w:instrText xml:space="preserve"> ADDIN ZOTERO_ITEM CSL_CITATION {"citationID":"jlMm5DCJ","properties":{"formattedCitation":"[10]","plainCitation":"[10]","noteIndex":0},"citationItems":[{"id":3896,"uris":["http://zotero.org/users/local/cIxipA5o/items/C5G4SBKM"],"itemData":{"id":3896,"type":"article-journal","container-title":"Translational Psychiatry","DOI":"10.1038/s41398-018-0191-x","ISSN":"2158-3188","issue":"1","journalAbbreviation":"Transl Psychiatry","language":"en","page":"181","source":"DOI.org (Crossref)","title":"Individual and combined effects of acute delta-9-tetrahydrocannabinol and cannabidiol on psychotomimetic symptoms and memory function","volume":"8","author":[{"family":"Morgan","given":"Celia J. A."},{"family":"Freeman","given":"Tom P."},{"family":"Hindocha","given":"Chandni"},{"family":"Schafer","given":"Grainne"},{"family":"Gardner","given":"Chelsea"},{"family":"Curran","given":"H. Valerie"}],"issued":{"date-parts":[["2018",12]]}}}],"schema":"https://github.com/citation-style-language/schema/raw/master/csl-citation.json"} </w:instrText>
      </w:r>
      <w:r w:rsidRPr="00E17031">
        <w:rPr>
          <w:rFonts w:ascii="Times New Roman" w:eastAsia="Times New Roman" w:hAnsi="Times New Roman" w:cs="Times New Roman"/>
          <w:sz w:val="20"/>
          <w:szCs w:val="20"/>
        </w:rPr>
        <w:fldChar w:fldCharType="separate"/>
      </w:r>
      <w:r w:rsidR="006C0D02">
        <w:rPr>
          <w:rFonts w:ascii="Times New Roman" w:hAnsi="Times New Roman" w:cs="Times New Roman"/>
          <w:sz w:val="20"/>
          <w:szCs w:val="20"/>
          <w:lang w:val="en-US"/>
        </w:rPr>
        <w:t>[10]</w:t>
      </w:r>
      <w:r w:rsidRPr="00E17031">
        <w:rPr>
          <w:rFonts w:ascii="Times New Roman" w:eastAsia="Times New Roman" w:hAnsi="Times New Roman" w:cs="Times New Roman"/>
          <w:sz w:val="20"/>
          <w:szCs w:val="20"/>
        </w:rPr>
        <w:fldChar w:fldCharType="end"/>
      </w:r>
      <w:r w:rsidRPr="00E17031">
        <w:rPr>
          <w:rFonts w:ascii="Times New Roman" w:eastAsia="Times New Roman" w:hAnsi="Times New Roman" w:cs="Times New Roman"/>
          <w:sz w:val="20"/>
          <w:szCs w:val="20"/>
        </w:rPr>
        <w:t xml:space="preserve">, and episodic memory </w:t>
      </w:r>
      <w:r w:rsidRPr="00E17031">
        <w:rPr>
          <w:rFonts w:ascii="Times New Roman" w:eastAsia="Times New Roman" w:hAnsi="Times New Roman" w:cs="Times New Roman"/>
          <w:sz w:val="20"/>
          <w:szCs w:val="20"/>
        </w:rPr>
        <w:fldChar w:fldCharType="begin"/>
      </w:r>
      <w:r w:rsidR="006C0D02">
        <w:rPr>
          <w:rFonts w:ascii="Times New Roman" w:eastAsia="Times New Roman" w:hAnsi="Times New Roman" w:cs="Times New Roman"/>
          <w:sz w:val="20"/>
          <w:szCs w:val="20"/>
        </w:rPr>
        <w:instrText xml:space="preserve"> ADDIN ZOTERO_ITEM CSL_CITATION {"citationID":"Osg1WbqV","properties":{"formattedCitation":"[11]","plainCitation":"[11]","noteIndex":0},"citationItems":[{"id":6552,"uris":["http://zotero.org/users/local/cIxipA5o/items/S4398N5J"],"itemData":{"id":6552,"type":"article-journal","abstract":"Cannabis contains a multitude of different compounds. One of them, cannabidiol – a non-psychoactive substance – might counteract negative effects of Δ-9-Tetrahydrocannabinol on hippocampus-dependent memory impair­ ment. The aim of the present study was to investigate the effect of vaping cannabidiol on verbal episodic memory in healthy young subjects. We used a double-blind, placebo-controlled, randomized crossover trial in 39 healthy young subjects. Participants received once a single dose of cannabidiol e-liquid (0.25 ml, 5% cannabidiol, 12.5 mg cannabidiol) and once placebo for vaping after learning 15 unrelated nouns. The primary outcome measure was the short delay verbal memory performance (number of correctly free recalled nouns) 20 min after learning. 34 participants (mean age: 22.26 [3.04]) completed all visits and entered analyses (17 received cannabidiol and 17 received placebo first). Cannabidiol enhanced verbal episodic memory performance (placebo: 7.03 [2.34]; cannabidiol 7.71 [2.48]; adjusted group difference 0.68, 95% CI 0.01 to 1.35; R2β = .028, p = .048). Importantly, we did not detect medication effects on secondary outcome measures attention or working memory performance, suggesting that CBD has no negative impact on these basic cognitive functions. The results are in line with the idea that vaping cannabidiol interacts with the central endocannabinoid system and is capable to modulate memory processes, a phenomenon with possible therapeutic potential. Further studies are needed to investigate optimal dose-response and time-response relationships.","container-title":"Journal of Psychiatric Research","DOI":"10.1016/j.jpsychires.2021.09.007","ISSN":"00223956","journalAbbreviation":"Journal of Psychiatric Research","language":"en","page":"327-333","source":"DOI.org (Crossref)","title":"Cannabidiol enhances verbal episodic memory in healthy young participants: A randomized clinical trial","title-short":"Cannabidiol enhances verbal episodic memory in healthy young participants","volume":"143","author":[{"family":"Hotz","given":"Janine"},{"family":"Fehlmann","given":"Bernhard"},{"family":"Papassotiropoulos","given":"Andreas"},{"family":"De Quervain","given":"Dominique Jf."},{"family":"Schicktanz","given":"Nathalie S."}],"issued":{"date-parts":[["2021",11]]}}}],"schema":"https://github.com/citation-style-language/schema/raw/master/csl-citation.json"} </w:instrText>
      </w:r>
      <w:r w:rsidRPr="00E17031">
        <w:rPr>
          <w:rFonts w:ascii="Times New Roman" w:eastAsia="Times New Roman" w:hAnsi="Times New Roman" w:cs="Times New Roman"/>
          <w:sz w:val="20"/>
          <w:szCs w:val="20"/>
        </w:rPr>
        <w:fldChar w:fldCharType="separate"/>
      </w:r>
      <w:r w:rsidR="006C0D02">
        <w:rPr>
          <w:rFonts w:ascii="Times New Roman" w:hAnsi="Times New Roman" w:cs="Times New Roman"/>
          <w:sz w:val="20"/>
          <w:szCs w:val="20"/>
          <w:lang w:val="en-US"/>
        </w:rPr>
        <w:t>[11]</w:t>
      </w:r>
      <w:r w:rsidRPr="00E17031">
        <w:rPr>
          <w:rFonts w:ascii="Times New Roman" w:eastAsia="Times New Roman" w:hAnsi="Times New Roman" w:cs="Times New Roman"/>
          <w:sz w:val="20"/>
          <w:szCs w:val="20"/>
        </w:rPr>
        <w:fldChar w:fldCharType="end"/>
      </w:r>
      <w:r w:rsidRPr="00E17031">
        <w:rPr>
          <w:rFonts w:ascii="Times New Roman" w:eastAsia="Times New Roman" w:hAnsi="Times New Roman" w:cs="Times New Roman"/>
          <w:sz w:val="20"/>
          <w:szCs w:val="20"/>
        </w:rPr>
        <w:t xml:space="preserve">. </w:t>
      </w:r>
    </w:p>
    <w:p w14:paraId="2F7C4405" w14:textId="04D79A48" w:rsidR="00E17031" w:rsidRDefault="00E17031" w:rsidP="00E17031">
      <w:pPr>
        <w:ind w:firstLine="720"/>
        <w:rPr>
          <w:rFonts w:ascii="Times New Roman" w:eastAsia="Times New Roman" w:hAnsi="Times New Roman" w:cs="Times New Roman"/>
          <w:sz w:val="20"/>
          <w:szCs w:val="20"/>
        </w:rPr>
      </w:pPr>
      <w:r w:rsidRPr="00E17031">
        <w:rPr>
          <w:rFonts w:ascii="Times New Roman" w:eastAsia="Times New Roman" w:hAnsi="Times New Roman" w:cs="Times New Roman"/>
          <w:sz w:val="20"/>
          <w:szCs w:val="20"/>
        </w:rPr>
        <w:t xml:space="preserve">Nine studies included a Δ9-THC arm for comparison with placebo </w:t>
      </w:r>
      <w:r w:rsidRPr="00E17031">
        <w:rPr>
          <w:rFonts w:ascii="Times New Roman" w:eastAsia="Times New Roman" w:hAnsi="Times New Roman" w:cs="Times New Roman"/>
          <w:sz w:val="20"/>
          <w:szCs w:val="20"/>
        </w:rPr>
        <w:fldChar w:fldCharType="begin"/>
      </w:r>
      <w:r w:rsidR="006C0D02">
        <w:rPr>
          <w:rFonts w:ascii="Times New Roman" w:eastAsia="Times New Roman" w:hAnsi="Times New Roman" w:cs="Times New Roman"/>
          <w:sz w:val="20"/>
          <w:szCs w:val="20"/>
        </w:rPr>
        <w:instrText xml:space="preserve"> ADDIN ZOTERO_ITEM CSL_CITATION {"citationID":"NCEOX3ic","properties":{"formattedCitation":"[7\\uc0\\u8211{}10,12\\uc0\\u8211{}16]","plainCitation":"[7–10,12–16]","noteIndex":0},"citationItems":[{"id":2325,"uris":["http://zotero.org/users/local/cIxipA5o/items/K5AMKUIF"],"itemData":{"id":2325,"type":"article-journal","abstract":"OBJECTIVE To determine the driving impairment caused by vaporized cannabis containing Δ9-tetrahydrocannabinol (THC) and CBD. DESIGN, SETTING, AND PARTICIPANTS A double-blind, within-participants, randomized clinical trial was conducted at the Faculty of Psychology and Neuroscience at Maastricht University in the Netherlands between May 20, 2019, and March 27, 2020. Participants (N = 26) were healthy occasional users of cannabis. INTERVENTIONS Participants vaporized THC-dominant, CBD-dominant, THC/CBD-equivalent, and placebo cannabis. THC and CBD doses were 13.75 mg. Order of conditions was randomized and balanced. MAIN OUTCOMES AND MEASURES The primary end point was standard deviation of lateral position (SDLP; a measure of lane weaving) during 100 km, on-road driving tests that commenced at 40 minutes and 240 minutes after cannabis consumption. At a calibrated blood alcohol concentration (BAC) of 0.02%, SDLP was increased relative to placebo by 1.12 cm, and at a calibrated BAC of 0.05%, SDLP was increased relative to placebo by 2.4 cm.\nRESULTS Among 26 randomized participants (mean [SD] age, 23.2 [2.6] years; 16 women), 22 (85%) completed all 8 driving tests. At 40 to 100 minutes following consumption, the SDLP was 18.21 cm with CBD-dominant cannabis, 20.59 cm with THC-dominant cannabis, 21.09 cm with THC/CBD-equivalent cannabis, and 18.28 cm with placebo cannabis. SDLP was significantly increased by THC-dominant cannabis (+2.33 cm [95% CI, 0.80 to 3.86]; P &lt; .001) and THC/CBD-equivalent cannabis (+2.83 cm [95% CI, 1.28 to 4.39]; P &lt; .001) but not CBD-dominant cannabis (−0.05 cm [95% CI, −1.49 to 1.39]; P &gt; .99), relative to placebo. At 240 to 300 minutes following consumption, the SDLP was 19.03 cm with CBD-dominant cannabis, 19.88 cm with THC-dominant cannabis, 20.59 cm with THC/CBD-equivalent cannabis, and 19.37 cm with placebo cannabis. The SDLP did not differ significantly in the CBD (−0.34 cm [95% CI, −1.77 to 1.10]; P &gt; .99), THC (0.51 cm [95% CI, −1.01 to 2.02]; P &gt; .99) or THC/CBD (1.22 cm [95% CI, −0.29 to 2.72]; P = .20) conditions, relative to placebo. Out of 188 test drives, 16 (8.5%) were terminated due to safety concerns.\nCONCLUSIONS AND RELEVANCE In a crossover clinical trial that assessed driving performance during on-road driving tests, the SDLP following vaporized THC-dominant and THC/CBD-equivalent cannabis compared with placebo was significantly greater at 40 to 100 minutes but not 240 to 300 minutes after vaporization; there were no significant differences between CBD-dominant cannabis and placebo. However, the effect size for CBD-dominant cannabis may not have excluded clinically important impairment, and the doses tested may not represent common usage.","container-title":"JAMA","DOI":"10.1001/jama.2020.21218","ISSN":"0098-7484","issue":"21","journalAbbreviation":"JAMA","language":"en","note":"number: 21","page":"2177","source":"DOI.org (Crossref)","title":"Effect of Cannabidiol and Δ &lt;sup&gt;9&lt;/sup&gt; -Tetrahydrocannabinol on Driving Performance: A Randomized Clinical Trial","title-short":"Effect of Cannabidiol and Δ &lt;sup&gt;9&lt;/sup&gt; -Tetrahydrocannabinol on Driving Performance","volume":"324","author":[{"family":"Arkell","given":"Thomas R."},{"family":"Vinckenbosch","given":"Frederick"},{"family":"Kevin","given":"Richard C."},{"family":"Theunissen","given":"Eef L."},{"family":"McGregor","given":"Iain S."},{"family":"Ramaekers","given":"Johannes G."}],"issued":{"date-parts":[["2020",12,1]]}}},{"id":6524,"uris":["http://zotero.org/users/local/cIxipA5o/items/5RD7EMB7"],"itemData":{"id":6524,"type":"article-journal","abstract":"Cannabis sativa use can impair verbal learning, provoke acute psychosis, and increase the risk of schizophrenia. It is unclear where C sativa acts in the human brain to modulate verbal learning and to induce psychotic symptoms.To investigate the effects of 2 main psychoactive constituents of C sativa, Δ9-tetrahydrocannabinol (Δ9-THC) and cannabidiol, on regional brain function during verbal paired associate learning.Subjects were studied on 3 separate occasions using a block design functional magnetic resonance imaging paradigm while performing a verbal paired associate learning task. Each imaging session was preceded by the ingestion of Δ9-THC (10 mg), cannabidiol (600 mg), or placebo in a double-blind, randomized, placebo-controlled, repeated-measures, within-subject design.University research center.Fifteen healthy, native English-speaking, right-handed men of white race/ethnicity who had used C sativa 15 times or less and had minimal exposure to other illicit drugs in their lifetime.Regional brain activation (blood oxygen level–dependent response), performance in a verbal learning task, and objective and subjective ratings of psychotic symptoms, anxiety, intoxication, and sedation.Δ9-Tetrahydrocannabinol increased psychotic symptoms and levels of anxiety, intoxication, and sedation, whereas no significant effect was noted on these parameters following administration of cannabidiol. Performance in the verbal learning task was not significantly modulated by either drug. Administration of Δ9-THC augmented activation in the parahippocampal gyrus during blocks 2 and 3 such that the normal linear decrement in activation across repeated encoding blocks was no longer evident. Δ9-Tetrahydrocannabinol also attenuated the normal time-dependent change in ventrostriatal activation during retrieval of word pairs, which was directly correlated with concurrently induced psychotic symptoms. In contrast, administration of cannabidiol had no such effect.The modulation of mediotemporal and ventrostriatal function by Δ9-THC may underlie the effects of C sativa on verbal learning and psychotic symptoms, respectively.","container-title":"Archives of General Psychiatry","DOI":"10.1001/archgenpsychiatry.2009.17","ISSN":"0003-990X","issue":"4","journalAbbreviation":"Archives of General Psychiatry","page":"442-451","source":"Silverchair","title":"Modulation of Mediotemporal and Ventrostriatal Function in Humans by Δ9-Tetrahydrocannabinol: A Neural Basis for the Effects of Cannabis sativa on Learning and Psychosis","title-short":"Modulation of Mediotemporal and Ventrostriatal Function in Humans by Δ9-Tetrahydrocannabinol","volume":"66","author":[{"family":"Bhattacharyya","given":"Sagnik"},{"family":"Fusar-Poli","given":"Paolo"},{"family":"Borgwardt","given":"Stefan"},{"family":"Martin-Santos","given":"Rocio"},{"family":"Nosarti","given":"Chiara"},{"family":"O’Carroll","given":"Colin"},{"family":"Allen","given":"Paul"},{"family":"Seal","given":"Marc L."},{"family":"Fletcher","given":"Paul C."},{"family":"Crippa","given":"José A."},{"family":"Giampietro","given":"Vincent"},{"family":"Mechelli","given":"Andrea"},{"family":"Atakan","given":"Zerrin"},{"family":"McGuire","given":"Philip"}],"issued":{"date-parts":[["2009",4,1]]}}},{"id":6526,"uris":["http://zotero.org/users/local/cIxipA5o/items/UN7ATLVT"],"itemData":{"id":6526,"type":"article-journal","abstract":"The aberrant processing of salience is thought to be a fundamental factor underlying psychosis. Cannabis can induce acute psychotic symptoms, and its chronic use may increase the risk of schizophrenia. We investigated whether its psychotic effects are mediated through an influence on attentional salience processing.To examine the effects ofΔ9-tetrahydrocannabinol (Δ9-THC) and cannabidiol (CBD) on regional brain function during salience processing.Volunteers were studied using event-related functional magnetic resonance imaging on 3 occasions after administration ofΔ9-THC, CBD, or placebo while performing a visual oddball detection paradigm that involved allocation of attention to infrequent (oddball) stimuli within a string of frequent (standard) stimuli.University center.Fifteen healthy men with minimal previous cannabis use.Symptom ratings, task performance, and regional brain activation.During the processing of oddball stimuli, relative to placebo,Δ9-THC attenuated activation in the right caudate but augmented it in the right prefrontal cortex.Δ9-Tetrahydrocannabinol also reduced the response latency to standard relative to oddball stimuli. The effect ofΔ9-THC in the right caudate was negatively correlated with the severity of the psychotic symptoms it induced and its effect on response latency. The effects of CBD on task-related activation were in the opposite direction of those ofΔ9-THC; relative to placebo, CBD augmented left caudate and hippocampal activation but attenuated right prefrontal activation.Δ9-Tetrahydrocannabinol and CBD differentially modulate prefrontal, striatal, and hippocampal function during attentional salience processing. These effects may contribute to the effects of cannabis on psychotic symptoms and on the risk of psychotic disorders.","container-title":"Archives of General Psychiatry","DOI":"10.1001/archgenpsychiatry.2011.161","ISSN":"0003-990X","issue":"1","journalAbbreviation":"Archives of General Psychiatry","page":"27-36","source":"Silverchair","title":"Induction of Psychosis byΔ9-Tetrahydrocannabinol Reflects Modulation of Prefrontal and Striatal Function During Attentional Salience Processing","volume":"69","author":[{"family":"Bhattacharyya","given":"Sagnik"},{"family":"Crippa","given":"José Alexandre"},{"family":"Allen","given":"Paul"},{"family":"Martin-Santos","given":"Rocio"},{"family":"Borgwardt","given":"Stefan"},{"family":"Fusar-Poli","given":"Paolo"},{"family":"Rubia","given":"Katya"},{"family":"Kambeitz","given":"Joseph"},{"family":"O’Carroll","given":"Colin"},{"family":"Seal","given":"Marc L."},{"family":"Giampietro","given":"Vincent"},{"family":"Brammer","given":"Michael"},{"family":"Zuardi","given":"Antonio Waldo"},{"family":"Atakan","given":"Zerrin"},{"family":"McGuire","given":"Philip K."}],"issued":{"date-parts":[["2012",1,1]]}}},{"id":6532,"uris":["http://zotero.org/users/local/cIxipA5o/items/PKQY46WC"],"itemData":{"id":6532,"type":"article-journal","abstract":"Background: This study examined the effect of </w:instrText>
      </w:r>
      <w:r w:rsidR="006C0D02">
        <w:rPr>
          <w:rFonts w:ascii="Segoe UI Symbol" w:eastAsia="Times New Roman" w:hAnsi="Segoe UI Symbol" w:cs="Segoe UI Symbol"/>
          <w:sz w:val="20"/>
          <w:szCs w:val="20"/>
        </w:rPr>
        <w:instrText>⌬</w:instrText>
      </w:r>
      <w:r w:rsidR="006C0D02">
        <w:rPr>
          <w:rFonts w:ascii="Times New Roman" w:eastAsia="Times New Roman" w:hAnsi="Times New Roman" w:cs="Times New Roman"/>
          <w:sz w:val="20"/>
          <w:szCs w:val="20"/>
        </w:rPr>
        <w:instrText xml:space="preserve">-9-tetrahydrocannabinol (THC) and cannabidiol (CBD) on brain activation during a motor inhibition task.\nMethods: Functional magnetic resonance imaging and behavioural measures were recorded while 15 healthy volunteers performed a Go/No-Go task following administration of either THC or CBD or placebo in a double-blind, pseudo-randomized, placebo-controlled repeated measures within-subject design.\nResults: Relative to placebo, THC attenuated activation in the right inferior frontal and the anterior cingulate gyrus. In contrast, CBD deactivated the left temporal cortex and insula. These effects were not related to changes in anxiety, intoxication, sedation, and psychotic symptoms.\nConclusions: These data suggest that THC attenuates the engagement of brain regions that mediate response inhibition. CBD modulated function in regions not usually implicated in response inhibition.","container-title":"Biological Psychiatry","DOI":"10.1016/j.biopsych.2008.05.011","ISSN":"00063223","issue":"11","journalAbbreviation":"Biological Psychiatry","language":"en","page":"966-973","source":"DOI.org (Crossref)","title":"Neural Basis of Δ-9-Tetrahydrocannabinol and Cannabidiol: Effects During Response Inhibition","title-short":"Neural Basis of Δ-9-Tetrahydrocannabinol and Cannabidiol","volume":"64","author":[{"family":"Borgwardt","given":"Stefan J."},{"family":"Allen","given":"Paul"},{"family":"Bhattacharyya","given":"Sagnik"},{"family":"Fusar-Poli","given":"Paolo"},{"family":"Crippa","given":"Jose A."},{"family":"Seal","given":"Marc L."},{"family":"Fraccaro","given":"Valter"},{"family":"Atakan","given":"Zerrin"},{"family":"Martin-Santos","given":"Rocio"},{"family":"O'Carroll","given":"Colin"},{"family":"Rubia","given":"Katya"},{"family":"McGuire","given":"Philip K."}],"issued":{"date-parts":[["2008",12]]}}},{"id":3896,"uris":["http://zotero.org/users/local/cIxipA5o/items/C5G4SBKM"],"itemData":{"id":3896,"type":"article-journal","container-title":"Translational Psychiatry","DOI":"10.1038/s41398-018-0191-x","ISSN":"2158-3188","issue":"1","journalAbbreviation":"Transl Psychiatry","language":"en","page":"181","source":"DOI.org (Crossref)","title":"Individual and combined effects of acute delta-9-tetrahydrocannabinol and cannabidiol on psychotomimetic symptoms and memory function","volume":"8","author":[{"family":"Morgan","given":"Celia J. A."},{"family":"Freeman","given":"Tom P."},{"family":"Hindocha","given":"Chandni"},{"family":"Schafer","given":"Grainne"},{"family":"Gardner","given":"Chelsea"},{"family":"Curran","given":"H. Valerie"}],"issued":{"date-parts":[["2018",12]]}}},{"id":4759,"uris":["http://zotero.org/users/local/cIxipA5o/items/PRCTMDKC"],"itemData":{"id":4759,"type":"article-journal","container-title":"Epilepsy &amp; Behavior","DOI":"10.1016/j.yebeh.2018.07.027","ISSN":"15255050","journalAbbreviation":"Epilepsy &amp; Behavior","language":"en","page":"162-171","source":"DOI.org (Crossref)","title":"Abuse potential assessment of cannabidiol (CBD) in recreational polydrug users: A randomized, double-blind, controlled trial","title-short":"Abuse potential assessment of cannabidiol (CBD) in recreational polydrug users","volume":"88","author":[{"family":"Schoedel","given":"Kerri A."},{"family":"Szeto","given":"Isabella"},{"family":"Setnik","given":"Beatrice"},{"family":"Sellers","given":"Edward M."},{"family":"Levy-Cooperman","given":"Naama"},{"family":"Mills","given":"Catherine"},{"family":"Etges","given":"Tilden"},{"family":"Sommerville","given":"Kenneth"}],"issued":{"date-parts":[["2018",11]]}}},{"id":6560,"uris":["http://zotero.org/users/local/cIxipA5o/items/VRRDKGGW"],"itemData":{"id":6560,"type":"article-journal","abstract":"Access to cannabis and cannabinoid products is increasing worldwide for recreational and medicinal use. Two primary compounds within cannabis plant matter, Δ9-tetrahydrocannabinol (THC) and cannabidiol (CBD), are both psychoactive, but only THC is considered intoxicating. There is significant interest in potential therapeutic properties of these cannabinoids and of CBD in particular. Some research has suggested that CBD may ameliorate adverse effects of THC, but this may be dose dependent as other evidence suggests possible potentiating effects of THC by low doses of CBD. We conducted a randomised placebo controlled trial to examine the acute effects of these compounds alone and in combination when administered by vaporisation to frequent and infrequent cannabis users. Participants (n = 36; 31 male) completed 5 drug conditions spaced one week apart, with the following planned contrasts: placebo vs CBD alone (400 mg); THC alone (8 mg) vs THC combined with low (4 mg) or high (400 mg) doses of CBD. Objective (blind observer ratings) and subjective (self-rated) measures of intoxication were the primary outcomes, with additional indices of intoxication examined. CBD showed some intoxicating properties relative to placebo. Low doses of CBD when combined with THC enhanced, while high doses of CBD reduced the intoxicating effects of THC. The enhancement of intoxication by low-dose CBD was particularly prominent in infrequent cannabis users and was consistent across objective and subjective measures. Most effects were significant at p &lt; .0001. These findings are important to consider in terms of recommended proportions of THC and CBD in cannabis plant matter whether used medicinally or recreationally and have implications for novice or less experienced cannabis users.","container-title":"European Archives of Psychiatry and Clinical Neuroscience","DOI":"10.1007/s00406-019-00978-2","ISSN":"0940-1334, 1433-8491","issue":"1","journalAbbreviation":"Eur Arch Psychiatry Clin Neurosci","language":"en","page":"17-35","source":"DOI.org (Crossref)","title":"A randomised controlled trial of vaporised Δ9-tetrahydrocannabinol and cannabidiol alone and in combination in frequent and infrequent cannabis users: acute intoxication effects","title-short":"A randomised controlled trial of vaporised Δ9-tetrahydrocannabinol and cannabidiol alone and in combination in frequent and infrequent cannabis users","volume":"269","author":[{"family":"Solowij","given":"Nadia"},{"family":"Broyd","given":"Samantha"},{"family":"Greenwood","given":"Lisa-marie"},{"family":"Van Hell","given":"Hendrika"},{"family":"Martelozzo","given":"Dave"},{"family":"Rueb","given":"Kuna"},{"family":"Todd","given":"Juanita"},{"family":"Liu","given":"Zheng"},{"family":"Galettis","given":"Peter"},{"family":"Martin","given":"Jennifer"},{"family":"Murray","given":"Robin"},{"family":"Jones","given":"Alison"},{"family":"Michie","given":"Patricia T."},{"family":"Croft","given":"Rodney"}],"issued":{"date-parts":[["2019",2]]}}},{"id":6564,"uris":["http://zotero.org/users/local/cIxipA5o/items/WX2X4F7Z"],"itemData":{"id":6564,"type":"article-journal","abstract":"In this experimental randomized placebo-controlled 4-way crossover trial, we explored the analgesic effects of inhaled pharmaceutical-grade cannabis in 20 chronic pain patients with fibromyalgia. We tested 4 different cannabis varieties with exact knowledge on their [INCREMENT]-tetrahydrocannabinol (THC) and cannabidiol (CBD) content: Bedrocan (22.4-mg THC, &lt;1-mg CBD; Bedrocan International BV, Veendam, the Netherlands), Bediol (13.4-mg THC, 17.8-mg CBD; Bedrocan International BV, Veendam, the Netherlands), Bedrolite (18.4-mg CBD, &lt;1-mg THC; Bedrocan International BV, Veendam, the Netherlands), and a placebo variety without any THC or CBD. After a single vapor inhalation, THC and CBD plasma concentrations, pressure and electrical pain thresholds, spontaneous pain scores, and drug high were measured for 3 hours. None of the treatments had an effect greater than placebo on spontaneous or electrical pain responses, although more subjects receiving Bediol displayed a 30% decrease in pain scores compared to placebo (90% vs 55% of patients, P = 0.01), with spontaneous pain scores correlating with the magnitude of drug high (ρ = -0.5, P &lt; 0.001). Cannabis varieties containing THC caused a significant increase in pressure pain threshold relative to placebo (P &lt; 0.01). Cannabidiol inhalation increased THC plasma concentrations but diminished THC-induced analgesic effects, indicative of synergistic pharmacokinetic but antagonistic pharmacodynamic interactions of THC and CBD. This experimental trial shows the complex behavior of inhaled cannabinoids in chronic pain patients with just small analgesic responses after a single inhalation. Further studies are needed to determine long-term treatment effects on spontaneous pain scores, THC-CBD interactions, and the role of psychotropic symptoms on pain relief.","container-title":"Pain","DOI":"10.1097/j.pain.0000000000001464","ISSN":"1872-6623","issue":"4","journalAbbreviation":"Pain","language":"eng","note":"PMID: 30585986\nPMCID: PMC6430597","page":"860-869","source":"PubMed","title":"An experimental randomized study on the analgesic effects of pharmaceutical-grade cannabis in chronic pain patients with fibromyalgia","volume":"160","author":[{"family":"Donk","given":"Tine","non-dropping-particle":"van de"},{"family":"Niesters","given":"Marieke"},{"family":"Kowal","given":"Mikael A."},{"family":"Olofsen","given":"Erik"},{"family":"Dahan","given":"Albert"},{"family":"Velzen","given":"Monique","non-dropping-particle":"van"}],"issued":{"date-parts":[["2019",4]]}}},{"id":6571,"uris":["http://zotero.org/users/local/cIxipA5o/items/RHIYNT4X"],"itemData":{"id":6571,"type":"article-journal","container-title":"Neuropsychopharmacology","DOI":"10.1038/npp.2011.17","ISSN":"0893-133X, 1740-634X","issue":"7","journalAbbreviation":"Neuropsychopharmacol","language":"en","page":"1340-1348","source":"DOI.org (Crossref)","title":"Modulation of Auditory and Visual Processing by Delta-9-Tetrahydrocannabinol and Cannabidiol: an fMRI Study","title-short":"Modulation of Auditory and Visual Processing by Delta-9-Tetrahydrocannabinol and Cannabidiol","volume":"36","author":[{"family":"Winton-Brown","given":"Toby T"},{"family":"Allen","given":"Paul"},{"family":"Bhattacharrya","given":"Sagnik"},{"family":"Borgwardt","given":"Stefan J"},{"family":"Fusar-Poli","given":"Paolo"},{"family":"Crippa","given":"Jose A"},{"family":"Seal","given":"Marc L"},{"family":"Martin-Santos","given":"Rocio"},{"family":"Ffytche","given":"Dominic"},{"family":"Zuardi","given":"Antonio W"},{"family":"Atakan","given":"Zerrin"},{"family":"McGuire","given":"Philip K"}],"issued":{"date-parts":[["2011",6]]}}}],"schema":"https://github.com/citation-style-language/schema/raw/master/csl-citation.json"} </w:instrText>
      </w:r>
      <w:r w:rsidRPr="00E17031">
        <w:rPr>
          <w:rFonts w:ascii="Times New Roman" w:eastAsia="Times New Roman" w:hAnsi="Times New Roman" w:cs="Times New Roman"/>
          <w:sz w:val="20"/>
          <w:szCs w:val="20"/>
        </w:rPr>
        <w:fldChar w:fldCharType="separate"/>
      </w:r>
      <w:r w:rsidR="006C0D02" w:rsidRPr="006C0D02">
        <w:rPr>
          <w:rFonts w:ascii="Times New Roman" w:hAnsi="Times New Roman" w:cs="Times New Roman"/>
          <w:sz w:val="20"/>
          <w:lang w:val="en-US"/>
        </w:rPr>
        <w:t>[7–10,12–16]</w:t>
      </w:r>
      <w:r w:rsidRPr="00E17031">
        <w:rPr>
          <w:rFonts w:ascii="Times New Roman" w:eastAsia="Times New Roman" w:hAnsi="Times New Roman" w:cs="Times New Roman"/>
          <w:sz w:val="20"/>
          <w:szCs w:val="20"/>
        </w:rPr>
        <w:fldChar w:fldCharType="end"/>
      </w:r>
      <w:r w:rsidRPr="00E17031">
        <w:rPr>
          <w:rFonts w:ascii="Times New Roman" w:eastAsia="Times New Roman" w:hAnsi="Times New Roman" w:cs="Times New Roman"/>
          <w:sz w:val="20"/>
          <w:szCs w:val="20"/>
        </w:rPr>
        <w:t xml:space="preserve">, four of which compared impairment outcomes between Δ9-THC and CBD arms </w:t>
      </w:r>
      <w:r w:rsidRPr="00E17031">
        <w:rPr>
          <w:rFonts w:ascii="Times New Roman" w:eastAsia="Times New Roman" w:hAnsi="Times New Roman" w:cs="Times New Roman"/>
          <w:sz w:val="20"/>
          <w:szCs w:val="20"/>
        </w:rPr>
        <w:fldChar w:fldCharType="begin"/>
      </w:r>
      <w:r w:rsidR="006C0D02">
        <w:rPr>
          <w:rFonts w:ascii="Times New Roman" w:eastAsia="Times New Roman" w:hAnsi="Times New Roman" w:cs="Times New Roman"/>
          <w:sz w:val="20"/>
          <w:szCs w:val="20"/>
        </w:rPr>
        <w:instrText xml:space="preserve"> ADDIN ZOTERO_ITEM CSL_CITATION {"citationID":"vEfqnLfd","properties":{"formattedCitation":"[8,9,14,15]","plainCitation":"[8,9,14,15]","noteIndex":0},"citationItems":[{"id":6526,"uris":["http://zotero.org/users/local/cIxipA5o/items/UN7ATLVT"],"itemData":{"id":6526,"type":"article-journal","abstract":"The aberrant processing of salience is thought to be a fundamental factor underlying psychosis. Cannabis can induce acute psychotic symptoms, and its chronic use may increase the risk of schizophrenia. We investigated whether its psychotic effects are mediated through an influence on attentional salience processing.To examine the effects ofΔ9-tetrahydrocannabinol (Δ9-THC) and cannabidiol (CBD) on regional brain function during salience processing.Volunteers were studied using event-related functional magnetic resonance imaging on 3 occasions after administration ofΔ9-THC, CBD, or placebo while performing a visual oddball detection paradigm that involved allocation of attention to infrequent (oddball) stimuli within a string of frequent (standard) stimuli.University center.Fifteen healthy men with minimal previous cannabis use.Symptom ratings, task performance, and regional brain activation.During the processing of oddball stimuli, relative to placebo,Δ9-THC attenuated activation in the right caudate but augmented it in the right prefrontal cortex.Δ9-Tetrahydrocannabinol also reduced the response latency to standard relative to oddball stimuli. The effect ofΔ9-THC in the right caudate was negatively correlated with the severity of the psychotic symptoms it induced and its effect on response latency. The effects of CBD on task-related activation were in the opposite direction of those ofΔ9-THC; relative to placebo, CBD augmented left caudate and hippocampal activation but attenuated right prefrontal activation.Δ9-Tetrahydrocannabinol and CBD differentially modulate prefrontal, striatal, and hippocampal function during attentional salience processing. These effects may contribute to the effects of cannabis on psychotic symptoms and on the risk of psychotic disorders.","container-title":"Archives of General Psychiatry","DOI":"10.1001/archgenpsychiatry.2011.161","ISSN":"0003-990X","issue":"1","journalAbbreviation":"Archives of General Psychiatry","page":"27-36","source":"Silverchair","title":"Induction of Psychosis byΔ9-Tetrahydrocannabinol Reflects Modulation of Prefrontal and Striatal Function During Attentional Salience Processing","volume":"69","author":[{"family":"Bhattacharyya","given":"Sagnik"},{"family":"Crippa","given":"José Alexandre"},{"family":"Allen","given":"Paul"},{"family":"Martin-Santos","given":"Rocio"},{"family":"Borgwardt","given":"Stefan"},{"family":"Fusar-Poli","given":"Paolo"},{"family":"Rubia","given":"Katya"},{"family":"Kambeitz","given":"Joseph"},{"family":"O’Carroll","given":"Colin"},{"family":"Seal","given":"Marc L."},{"family":"Giampietro","given":"Vincent"},{"family":"Brammer","given":"Michael"},{"family":"Zuardi","given":"Antonio Waldo"},{"family":"Atakan","given":"Zerrin"},{"family":"McGuire","given":"Philip K."}],"issued":{"date-parts":[["2012",1,1]]}}},{"id":6532,"uris":["http://zotero.org/users/local/cIxipA5o/items/PKQY46WC"],"itemData":{"id":6532,"type":"article-journal","abstract":"Background: This study examined the effect of </w:instrText>
      </w:r>
      <w:r w:rsidR="006C0D02">
        <w:rPr>
          <w:rFonts w:ascii="Segoe UI Symbol" w:eastAsia="Times New Roman" w:hAnsi="Segoe UI Symbol" w:cs="Segoe UI Symbol"/>
          <w:sz w:val="20"/>
          <w:szCs w:val="20"/>
        </w:rPr>
        <w:instrText>⌬</w:instrText>
      </w:r>
      <w:r w:rsidR="006C0D02">
        <w:rPr>
          <w:rFonts w:ascii="Times New Roman" w:eastAsia="Times New Roman" w:hAnsi="Times New Roman" w:cs="Times New Roman"/>
          <w:sz w:val="20"/>
          <w:szCs w:val="20"/>
        </w:rPr>
        <w:instrText xml:space="preserve">-9-tetrahydrocannabinol (THC) and cannabidiol (CBD) on brain activation during a motor inhibition task.\nMethods: Functional magnetic resonance imaging and behavioural measures were recorded while 15 healthy volunteers performed a Go/No-Go task following administration of either THC or CBD or placebo in a double-blind, pseudo-randomized, placebo-controlled repeated measures within-subject design.\nResults: Relative to placebo, THC attenuated activation in the right inferior frontal and the anterior cingulate gyrus. In contrast, CBD deactivated the left temporal cortex and insula. These effects were not related to changes in anxiety, intoxication, sedation, and psychotic symptoms.\nConclusions: These data suggest that THC attenuates the engagement of brain regions that mediate response inhibition. CBD modulated function in regions not usually implicated in response inhibition.","container-title":"Biological Psychiatry","DOI":"10.1016/j.biopsych.2008.05.011","ISSN":"00063223","issue":"11","journalAbbreviation":"Biological Psychiatry","language":"en","page":"966-973","source":"DOI.org (Crossref)","title":"Neural Basis of Δ-9-Tetrahydrocannabinol and Cannabidiol: Effects During Response Inhibition","title-short":"Neural Basis of Δ-9-Tetrahydrocannabinol and Cannabidiol","volume":"64","author":[{"family":"Borgwardt","given":"Stefan J."},{"family":"Allen","given":"Paul"},{"family":"Bhattacharyya","given":"Sagnik"},{"family":"Fusar-Poli","given":"Paolo"},{"family":"Crippa","given":"Jose A."},{"family":"Seal","given":"Marc L."},{"family":"Fraccaro","given":"Valter"},{"family":"Atakan","given":"Zerrin"},{"family":"Martin-Santos","given":"Rocio"},{"family":"O'Carroll","given":"Colin"},{"family":"Rubia","given":"Katya"},{"family":"McGuire","given":"Philip K."}],"issued":{"date-parts":[["2008",12]]}}},{"id":6560,"uris":["http://zotero.org/users/local/cIxipA5o/items/VRRDKGGW"],"itemData":{"id":6560,"type":"article-journal","abstract":"Access to cannabis and cannabinoid products is increasing worldwide for recreational and medicinal use. Two primary compounds within cannabis plant matter, Δ9-tetrahydrocannabinol (THC) and cannabidiol (CBD), are both psychoactive, but only THC is considered intoxicating. There is significant interest in potential therapeutic properties of these cannabinoids and of CBD in particular. Some research has suggested that CBD may ameliorate adverse effects of THC, but this may be dose dependent as other evidence suggests possible potentiating effects of THC by low doses of CBD. We conducted a randomised placebo controlled trial to examine the acute effects of these compounds alone and in combination when administered by vaporisation to frequent and infrequent cannabis users. Participants (n = 36; 31 male) completed 5 drug conditions spaced one week apart, with the following planned contrasts: placebo vs CBD alone (400 mg); THC alone (8 mg) vs THC combined with low (4 mg) or high (400 mg) doses of CBD. Objective (blind observer ratings) and subjective (self-rated) measures of intoxication were the primary outcomes, with additional indices of intoxication examined. CBD showed some intoxicating properties relative to placebo. Low doses of CBD when combined with THC enhanced, while high doses of CBD reduced the intoxicating effects of THC. The enhancement of intoxication by low-dose CBD was particularly prominent in infrequent cannabis users and was consistent across objective and subjective measures. Most effects were significant at p &lt; .0001. These findings are important to consider in terms of recommended proportions of THC and CBD in cannabis plant matter whether used medicinally or recreationally and have implications for novice or less experienced cannabis users.","container-title":"European Archives of Psychiatry and Clinical Neuroscience","DOI":"10.1007/s00406-019-00978-2","ISSN":"0940-1334, 1433-8491","issue":"1","journalAbbreviation":"Eur Arch Psychiatry Clin Neurosci","language":"en","page":"17-35","source":"DOI.org (Crossref)","title":"A randomised controlled trial of vaporised Δ9-tetrahydrocannabinol and cannabidiol alone and in combination in frequent and infrequent cannabis users: acute intoxication effects","title-short":"A randomised controlled trial of vaporised Δ9-tetrahydrocannabinol and cannabidiol alone and in combination in frequent and infrequent cannabis users","volume":"269","author":[{"family":"Solowij","given":"Nadia"},{"family":"Broyd","given":"Samantha"},{"family":"Greenwood","given":"Lisa-marie"},{"family":"Van Hell","given":"Hendrika"},{"family":"Martelozzo","given":"Dave"},{"family":"Rueb","given":"Kuna"},{"family":"Todd","given":"Juanita"},{"family":"Liu","given":"Zheng"},{"family":"Galettis","given":"Peter"},{"family":"Martin","given":"Jennifer"},{"family":"Murray","given":"Robin"},{"family":"Jones","given":"Alison"},{"family":"Michie","given":"Patricia T."},{"family":"Croft","given":"Rodney"}],"issued":{"date-parts":[["2019",2]]}}},{"id":6564,"uris":["http://zotero.org/users/local/cIxipA5o/items/WX2X4F7Z"],"itemData":{"id":6564,"type":"article-journal","abstract":"In this experimental randomized placebo-controlled 4-way crossover trial, we explored the analgesic effects of inhaled pharmaceutical-grade cannabis in 20 chronic pain patients with fibromyalgia. We tested 4 different cannabis varieties with exact knowledge on their [INCREMENT]-tetrahydrocannabinol (THC) and cannabidiol (CBD) content: Bedrocan (22.4-mg THC, &lt;1-mg CBD; Bedrocan International BV, Veendam, the Netherlands), Bediol (13.4-mg THC, 17.8-mg CBD; Bedrocan International BV, Veendam, the Netherlands), Bedrolite (18.4-mg CBD, &lt;1-mg THC; Bedrocan International BV, Veendam, the Netherlands), and a placebo variety without any THC or CBD. After a single vapor inhalation, THC and CBD plasma concentrations, pressure and electrical pain thresholds, spontaneous pain scores, and drug high were measured for 3 hours. None of the treatments had an effect greater than placebo on spontaneous or electrical pain responses, although more subjects receiving Bediol displayed a 30% decrease in pain scores compared to placebo (90% vs 55% of patients, P = 0.01), with spontaneous pain scores correlating with the magnitude of drug high (ρ = -0.5, P &lt; 0.001). Cannabis varieties containing THC caused a significant increase in pressure pain threshold relative to placebo (P &lt; 0.01). Cannabidiol inhalation increased THC plasma concentrations but diminished THC-induced analgesic effects, indicative of synergistic pharmacokinetic but antagonistic pharmacodynamic interactions of THC and CBD. This experimental trial shows the complex behavior of inhaled cannabinoids in chronic pain patients with just small analgesic responses after a single inhalation. Further studies are needed to determine long-term treatment effects on spontaneous pain scores, THC-CBD interactions, and the role of psychotropic symptoms on pain relief.","container-title":"Pain","DOI":"10.1097/j.pain.0000000000001464","ISSN":"1872-6623","issue":"4","journalAbbreviation":"Pain","language":"eng","note":"PMID: 30585986\nPMCID: PMC6430597","page":"860-869","source":"PubMed","title":"An experimental randomized study on the analgesic effects of pharmaceutical-grade cannabis in chronic pain patients with fibromyalgia","volume":"160","author":[{"family":"Donk","given":"Tine","non-dropping-particle":"van de"},{"family":"Niesters","given":"Marieke"},{"family":"Kowal","given":"Mikael A."},{"family":"Olofsen","given":"Erik"},{"family":"Dahan","given":"Albert"},{"family":"Velzen","given":"Monique","non-dropping-particle":"van"}],"issued":{"date-parts":[["2019",4]]}}}],"schema":"https://github.com/citation-style-language/schema/raw/master/csl-citation.json"} </w:instrText>
      </w:r>
      <w:r w:rsidRPr="00E17031">
        <w:rPr>
          <w:rFonts w:ascii="Times New Roman" w:eastAsia="Times New Roman" w:hAnsi="Times New Roman" w:cs="Times New Roman"/>
          <w:sz w:val="20"/>
          <w:szCs w:val="20"/>
        </w:rPr>
        <w:fldChar w:fldCharType="separate"/>
      </w:r>
      <w:r w:rsidR="006C0D02">
        <w:rPr>
          <w:rFonts w:ascii="Times New Roman" w:hAnsi="Times New Roman" w:cs="Times New Roman"/>
          <w:sz w:val="20"/>
          <w:szCs w:val="20"/>
          <w:lang w:val="en-US"/>
        </w:rPr>
        <w:t>[8,9,14,15]</w:t>
      </w:r>
      <w:r w:rsidRPr="00E17031">
        <w:rPr>
          <w:rFonts w:ascii="Times New Roman" w:eastAsia="Times New Roman" w:hAnsi="Times New Roman" w:cs="Times New Roman"/>
          <w:sz w:val="20"/>
          <w:szCs w:val="20"/>
        </w:rPr>
        <w:fldChar w:fldCharType="end"/>
      </w:r>
      <w:r w:rsidRPr="00E17031">
        <w:rPr>
          <w:rFonts w:ascii="Times New Roman" w:eastAsia="Times New Roman" w:hAnsi="Times New Roman" w:cs="Times New Roman"/>
          <w:sz w:val="20"/>
          <w:szCs w:val="20"/>
        </w:rPr>
        <w:t xml:space="preserve">. At oral doses of 600 mg CBD and 10 mg Δ9-THC, Bhattacharyya (2012) reported a significant reduction in response latency (i.e., improved performance) in the visual oddball task for both Δ9-THC and CBD treatment arms compared to placebo, with a trend towards reduced accuracy (i.e., performance impairment) for the Δ9-THC arm only. At these same oral doses, </w:t>
      </w:r>
      <w:proofErr w:type="spellStart"/>
      <w:r w:rsidRPr="00E17031">
        <w:rPr>
          <w:rFonts w:ascii="Times New Roman" w:eastAsia="Times New Roman" w:hAnsi="Times New Roman" w:cs="Times New Roman"/>
          <w:sz w:val="20"/>
          <w:szCs w:val="20"/>
        </w:rPr>
        <w:t>Borgwardt</w:t>
      </w:r>
      <w:proofErr w:type="spellEnd"/>
      <w:r w:rsidRPr="00E17031">
        <w:rPr>
          <w:rFonts w:ascii="Times New Roman" w:eastAsia="Times New Roman" w:hAnsi="Times New Roman" w:cs="Times New Roman"/>
          <w:sz w:val="20"/>
          <w:szCs w:val="20"/>
        </w:rPr>
        <w:t xml:space="preserve"> (2008) found no significant differences in Go/No-Go task performance across Δ9-THC, CBD, and placebo treatment arms. However, participants self-reported increased sedation after acute Δ9-THC compared to placebo, but no increase in sedation was reported after CBD </w:t>
      </w:r>
      <w:r w:rsidRPr="00E17031">
        <w:rPr>
          <w:rFonts w:ascii="Times New Roman" w:eastAsia="Times New Roman" w:hAnsi="Times New Roman" w:cs="Times New Roman"/>
          <w:sz w:val="20"/>
          <w:szCs w:val="20"/>
        </w:rPr>
        <w:fldChar w:fldCharType="begin"/>
      </w:r>
      <w:r w:rsidR="006C0D02">
        <w:rPr>
          <w:rFonts w:ascii="Times New Roman" w:eastAsia="Times New Roman" w:hAnsi="Times New Roman" w:cs="Times New Roman"/>
          <w:sz w:val="20"/>
          <w:szCs w:val="20"/>
        </w:rPr>
        <w:instrText xml:space="preserve"> ADDIN ZOTERO_ITEM CSL_CITATION {"citationID":"DnfBnQCh","properties":{"formattedCitation":"[14]","plainCitation":"[14]","noteIndex":0},"citationItems":[{"id":6532,"uris":["http://zotero.org/users/local/cIxipA5o/items/PKQY46WC"],"itemData":{"id":6532,"type":"article-journal","abstract":"Background: This study examined the effect of </w:instrText>
      </w:r>
      <w:r w:rsidR="006C0D02">
        <w:rPr>
          <w:rFonts w:ascii="Segoe UI Symbol" w:eastAsia="Times New Roman" w:hAnsi="Segoe UI Symbol" w:cs="Segoe UI Symbol"/>
          <w:sz w:val="20"/>
          <w:szCs w:val="20"/>
        </w:rPr>
        <w:instrText>⌬</w:instrText>
      </w:r>
      <w:r w:rsidR="006C0D02">
        <w:rPr>
          <w:rFonts w:ascii="Times New Roman" w:eastAsia="Times New Roman" w:hAnsi="Times New Roman" w:cs="Times New Roman"/>
          <w:sz w:val="20"/>
          <w:szCs w:val="20"/>
        </w:rPr>
        <w:instrText xml:space="preserve">-9-tetrahydrocannabinol (THC) and cannabidiol (CBD) on brain activation during a motor inhibition task.\nMethods: Functional magnetic resonance imaging and behavioural measures were recorded while 15 healthy volunteers performed a Go/No-Go task following administration of either THC or CBD or placebo in a double-blind, pseudo-randomized, placebo-controlled repeated measures within-subject design.\nResults: Relative to placebo, THC attenuated activation in the right inferior frontal and the anterior cingulate gyrus. In contrast, CBD deactivated the left temporal cortex and insula. These effects were not related to changes in anxiety, intoxication, sedation, and psychotic symptoms.\nConclusions: These data suggest that THC attenuates the engagement of brain regions that mediate response inhibition. CBD modulated function in regions not usually implicated in response inhibition.","container-title":"Biological Psychiatry","DOI":"10.1016/j.biopsych.2008.05.011","ISSN":"00063223","issue":"11","journalAbbreviation":"Biological Psychiatry","language":"en","page":"966-973","source":"DOI.org (Crossref)","title":"Neural Basis of Δ-9-Tetrahydrocannabinol and Cannabidiol: Effects During Response Inhibition","title-short":"Neural Basis of Δ-9-Tetrahydrocannabinol and Cannabidiol","volume":"64","author":[{"family":"Borgwardt","given":"Stefan J."},{"family":"Allen","given":"Paul"},{"family":"Bhattacharyya","given":"Sagnik"},{"family":"Fusar-Poli","given":"Paolo"},{"family":"Crippa","given":"Jose A."},{"family":"Seal","given":"Marc L."},{"family":"Fraccaro","given":"Valter"},{"family":"Atakan","given":"Zerrin"},{"family":"Martin-Santos","given":"Rocio"},{"family":"O'Carroll","given":"Colin"},{"family":"Rubia","given":"Katya"},{"family":"McGuire","given":"Philip K."}],"issued":{"date-parts":[["2008",12]]}}}],"schema":"https://github.com/citation-style-language/schema/raw/master/csl-citation.json"} </w:instrText>
      </w:r>
      <w:r w:rsidRPr="00E17031">
        <w:rPr>
          <w:rFonts w:ascii="Times New Roman" w:eastAsia="Times New Roman" w:hAnsi="Times New Roman" w:cs="Times New Roman"/>
          <w:sz w:val="20"/>
          <w:szCs w:val="20"/>
        </w:rPr>
        <w:fldChar w:fldCharType="separate"/>
      </w:r>
      <w:r w:rsidR="006C0D02">
        <w:rPr>
          <w:rFonts w:ascii="Times New Roman" w:hAnsi="Times New Roman" w:cs="Times New Roman"/>
          <w:sz w:val="20"/>
          <w:szCs w:val="20"/>
          <w:lang w:val="en-US"/>
        </w:rPr>
        <w:t>[14]</w:t>
      </w:r>
      <w:r w:rsidRPr="00E17031">
        <w:rPr>
          <w:rFonts w:ascii="Times New Roman" w:eastAsia="Times New Roman" w:hAnsi="Times New Roman" w:cs="Times New Roman"/>
          <w:sz w:val="20"/>
          <w:szCs w:val="20"/>
        </w:rPr>
        <w:fldChar w:fldCharType="end"/>
      </w:r>
      <w:r w:rsidRPr="00E17031">
        <w:rPr>
          <w:rFonts w:ascii="Times New Roman" w:eastAsia="Times New Roman" w:hAnsi="Times New Roman" w:cs="Times New Roman"/>
          <w:sz w:val="20"/>
          <w:szCs w:val="20"/>
        </w:rPr>
        <w:t xml:space="preserve">. Self-reported sedation/drowsiness, as measured by the VAS, was significantly greater with </w:t>
      </w:r>
      <w:proofErr w:type="spellStart"/>
      <w:r w:rsidRPr="00E17031">
        <w:rPr>
          <w:rFonts w:ascii="Times New Roman" w:eastAsia="Times New Roman" w:hAnsi="Times New Roman" w:cs="Times New Roman"/>
          <w:sz w:val="20"/>
          <w:szCs w:val="20"/>
        </w:rPr>
        <w:t>vapourized</w:t>
      </w:r>
      <w:proofErr w:type="spellEnd"/>
      <w:r w:rsidRPr="00E17031">
        <w:rPr>
          <w:rFonts w:ascii="Times New Roman" w:eastAsia="Times New Roman" w:hAnsi="Times New Roman" w:cs="Times New Roman"/>
          <w:sz w:val="20"/>
          <w:szCs w:val="20"/>
        </w:rPr>
        <w:t xml:space="preserve"> Δ9-THC 8 mg than CBD 400 mg, with a tendency for this contrast to be more pronounced in infrequent cannabis users </w:t>
      </w:r>
      <w:r w:rsidRPr="00E17031">
        <w:rPr>
          <w:rFonts w:ascii="Times New Roman" w:eastAsia="Times New Roman" w:hAnsi="Times New Roman" w:cs="Times New Roman"/>
          <w:sz w:val="20"/>
          <w:szCs w:val="20"/>
        </w:rPr>
        <w:fldChar w:fldCharType="begin"/>
      </w:r>
      <w:r w:rsidR="006C0D02">
        <w:rPr>
          <w:rFonts w:ascii="Times New Roman" w:eastAsia="Times New Roman" w:hAnsi="Times New Roman" w:cs="Times New Roman"/>
          <w:sz w:val="20"/>
          <w:szCs w:val="20"/>
        </w:rPr>
        <w:instrText xml:space="preserve"> ADDIN ZOTERO_ITEM CSL_CITATION {"citationID":"8OEgZiZD","properties":{"formattedCitation":"[8]","plainCitation":"[8]","noteIndex":0},"citationItems":[{"id":6560,"uris":["http://zotero.org/users/local/cIxipA5o/items/VRRDKGGW"],"itemData":{"id":6560,"type":"article-journal","abstract":"Access to cannabis and cannabinoid products is increasing worldwide for recreational and medicinal use. Two primary compounds within cannabis plant matter, Δ9-tetrahydrocannabinol (THC) and cannabidiol (CBD), are both psychoactive, but only THC is considered intoxicating. There is significant interest in potential therapeutic properties of these cannabinoids and of CBD in particular. Some research has suggested that CBD may ameliorate adverse effects of THC, but this may be dose dependent as other evidence suggests possible potentiating effects of THC by low doses of CBD. We conducted a randomised placebo controlled trial to examine the acute effects of these compounds alone and in combination when administered by vaporisation to frequent and infrequent cannabis users. Participants (n = 36; 31 male) completed 5 drug conditions spaced one week apart, with the following planned contrasts: placebo vs CBD alone (400 mg); THC alone (8 mg) vs THC combined with low (4 mg) or high (400 mg) doses of CBD. Objective (blind observer ratings) and subjective (self-rated) measures of intoxication were the primary outcomes, with additional indices of intoxication examined. CBD showed some intoxicating properties relative to placebo. Low doses of CBD when combined with THC enhanced, while high doses of CBD reduced the intoxicating effects of THC. The enhancement of intoxication by low-dose CBD was particularly prominent in infrequent cannabis users and was consistent across objective and subjective measures. Most effects were significant at p &lt; .0001. These findings are important to consider in terms of recommended proportions of THC and CBD in cannabis plant matter whether used medicinally or recreationally and have implications for novice or less experienced cannabis users.","container-title":"European Archives of Psychiatry and Clinical Neuroscience","DOI":"10.1007/s00406-019-00978-2","ISSN":"0940-1334, 1433-8491","issue":"1","journalAbbreviation":"Eur Arch Psychiatry Clin Neurosci","language":"en","page":"17-35","source":"DOI.org (Crossref)","title":"A randomised controlled trial of vaporised Δ9-tetrahydrocannabinol and cannabidiol alone and in combination in frequent and infrequent cannabis users: acute intoxication effects","title-short":"A randomised controlled trial of vaporised Δ9-tetrahydrocannabinol and cannabidiol alone and in combination in frequent and infrequent cannabis users","volume":"269","author":[{"family":"Solowij","given":"Nadia"},{"family":"Broyd","given":"Samantha"},{"family":"Greenwood","given":"Lisa-marie"},{"family":"Van Hell","given":"Hendrika"},{"family":"Martelozzo","given":"Dave"},{"family":"Rueb","given":"Kuna"},{"family":"Todd","given":"Juanita"},{"family":"Liu","given":"Zheng"},{"family":"Galettis","given":"Peter"},{"family":"Martin","given":"Jennifer"},{"family":"Murray","given":"Robin"},{"family":"Jones","given":"Alison"},{"family":"Michie","given":"Patricia T."},{"family":"Croft","given":"Rodney"}],"issued":{"date-parts":[["2019",2]]}}}],"schema":"https://github.com/citation-style-language/schema/raw/master/csl-citation.json"} </w:instrText>
      </w:r>
      <w:r w:rsidRPr="00E17031">
        <w:rPr>
          <w:rFonts w:ascii="Times New Roman" w:eastAsia="Times New Roman" w:hAnsi="Times New Roman" w:cs="Times New Roman"/>
          <w:sz w:val="20"/>
          <w:szCs w:val="20"/>
        </w:rPr>
        <w:fldChar w:fldCharType="separate"/>
      </w:r>
      <w:r w:rsidR="006C0D02">
        <w:rPr>
          <w:rFonts w:ascii="Times New Roman" w:hAnsi="Times New Roman" w:cs="Times New Roman"/>
          <w:sz w:val="20"/>
          <w:szCs w:val="20"/>
          <w:lang w:val="en-US"/>
        </w:rPr>
        <w:t>[8]</w:t>
      </w:r>
      <w:r w:rsidRPr="00E17031">
        <w:rPr>
          <w:rFonts w:ascii="Times New Roman" w:eastAsia="Times New Roman" w:hAnsi="Times New Roman" w:cs="Times New Roman"/>
          <w:sz w:val="20"/>
          <w:szCs w:val="20"/>
        </w:rPr>
        <w:fldChar w:fldCharType="end"/>
      </w:r>
      <w:r w:rsidRPr="00E17031">
        <w:rPr>
          <w:rFonts w:ascii="Times New Roman" w:eastAsia="Times New Roman" w:hAnsi="Times New Roman" w:cs="Times New Roman"/>
          <w:sz w:val="20"/>
          <w:szCs w:val="20"/>
        </w:rPr>
        <w:t xml:space="preserve">. In van de </w:t>
      </w:r>
      <w:proofErr w:type="spellStart"/>
      <w:r w:rsidRPr="00E17031">
        <w:rPr>
          <w:rFonts w:ascii="Times New Roman" w:eastAsia="Times New Roman" w:hAnsi="Times New Roman" w:cs="Times New Roman"/>
          <w:sz w:val="20"/>
          <w:szCs w:val="20"/>
        </w:rPr>
        <w:t>Donk</w:t>
      </w:r>
      <w:proofErr w:type="spellEnd"/>
      <w:r w:rsidRPr="00E17031">
        <w:rPr>
          <w:rFonts w:ascii="Times New Roman" w:eastAsia="Times New Roman" w:hAnsi="Times New Roman" w:cs="Times New Roman"/>
          <w:sz w:val="20"/>
          <w:szCs w:val="20"/>
        </w:rPr>
        <w:t xml:space="preserve"> (2019), the administration of </w:t>
      </w:r>
      <w:proofErr w:type="spellStart"/>
      <w:r w:rsidRPr="00E17031">
        <w:rPr>
          <w:rFonts w:ascii="Times New Roman" w:eastAsia="Times New Roman" w:hAnsi="Times New Roman" w:cs="Times New Roman"/>
          <w:sz w:val="20"/>
          <w:szCs w:val="20"/>
        </w:rPr>
        <w:t>Bedrolite</w:t>
      </w:r>
      <w:proofErr w:type="spellEnd"/>
      <w:r w:rsidRPr="00E17031">
        <w:rPr>
          <w:rFonts w:ascii="Times New Roman" w:eastAsia="Times New Roman" w:hAnsi="Times New Roman" w:cs="Times New Roman"/>
          <w:sz w:val="20"/>
          <w:szCs w:val="20"/>
        </w:rPr>
        <w:t xml:space="preserve">, a CBD-dominant product (18.4 mg CBD + &lt; 1 mg Δ9-THC), was associated with significantly greater alertness compared to both Δ9-THC-dominant products </w:t>
      </w:r>
      <w:proofErr w:type="spellStart"/>
      <w:r w:rsidRPr="00E17031">
        <w:rPr>
          <w:rFonts w:ascii="Times New Roman" w:eastAsia="Times New Roman" w:hAnsi="Times New Roman" w:cs="Times New Roman"/>
          <w:sz w:val="20"/>
          <w:szCs w:val="20"/>
        </w:rPr>
        <w:t>Bedrocan</w:t>
      </w:r>
      <w:proofErr w:type="spellEnd"/>
      <w:r w:rsidRPr="00E17031">
        <w:rPr>
          <w:rFonts w:ascii="Times New Roman" w:eastAsia="Times New Roman" w:hAnsi="Times New Roman" w:cs="Times New Roman"/>
          <w:sz w:val="20"/>
          <w:szCs w:val="20"/>
        </w:rPr>
        <w:t xml:space="preserve"> (22.4 mg Δ9-THC + &lt; 1 mg CBD) and </w:t>
      </w:r>
      <w:proofErr w:type="spellStart"/>
      <w:r w:rsidRPr="00E17031">
        <w:rPr>
          <w:rFonts w:ascii="Times New Roman" w:eastAsia="Times New Roman" w:hAnsi="Times New Roman" w:cs="Times New Roman"/>
          <w:sz w:val="20"/>
          <w:szCs w:val="20"/>
        </w:rPr>
        <w:t>Bediol</w:t>
      </w:r>
      <w:proofErr w:type="spellEnd"/>
      <w:r w:rsidRPr="00E17031">
        <w:rPr>
          <w:rFonts w:ascii="Times New Roman" w:eastAsia="Times New Roman" w:hAnsi="Times New Roman" w:cs="Times New Roman"/>
          <w:sz w:val="20"/>
          <w:szCs w:val="20"/>
        </w:rPr>
        <w:t xml:space="preserve"> (13.4 mg Δ9-THC + 17.8 mg CBD). Additionally, </w:t>
      </w:r>
      <w:proofErr w:type="spellStart"/>
      <w:r w:rsidRPr="00E17031">
        <w:rPr>
          <w:rFonts w:ascii="Times New Roman" w:eastAsia="Times New Roman" w:hAnsi="Times New Roman" w:cs="Times New Roman"/>
          <w:sz w:val="20"/>
          <w:szCs w:val="20"/>
        </w:rPr>
        <w:t>Bedrolite</w:t>
      </w:r>
      <w:proofErr w:type="spellEnd"/>
      <w:r w:rsidRPr="00E17031">
        <w:rPr>
          <w:rFonts w:ascii="Times New Roman" w:eastAsia="Times New Roman" w:hAnsi="Times New Roman" w:cs="Times New Roman"/>
          <w:sz w:val="20"/>
          <w:szCs w:val="20"/>
        </w:rPr>
        <w:t xml:space="preserve"> produced significantly less intense drug high responses and psychoactive effects on internal and external perception compared to both </w:t>
      </w:r>
      <w:proofErr w:type="spellStart"/>
      <w:r w:rsidRPr="00E17031">
        <w:rPr>
          <w:rFonts w:ascii="Times New Roman" w:eastAsia="Times New Roman" w:hAnsi="Times New Roman" w:cs="Times New Roman"/>
          <w:sz w:val="20"/>
          <w:szCs w:val="20"/>
        </w:rPr>
        <w:t>Bedrocan</w:t>
      </w:r>
      <w:proofErr w:type="spellEnd"/>
      <w:r w:rsidRPr="00E17031">
        <w:rPr>
          <w:rFonts w:ascii="Times New Roman" w:eastAsia="Times New Roman" w:hAnsi="Times New Roman" w:cs="Times New Roman"/>
          <w:sz w:val="20"/>
          <w:szCs w:val="20"/>
        </w:rPr>
        <w:t xml:space="preserve"> and </w:t>
      </w:r>
      <w:proofErr w:type="spellStart"/>
      <w:r w:rsidRPr="00E17031">
        <w:rPr>
          <w:rFonts w:ascii="Times New Roman" w:eastAsia="Times New Roman" w:hAnsi="Times New Roman" w:cs="Times New Roman"/>
          <w:sz w:val="20"/>
          <w:szCs w:val="20"/>
        </w:rPr>
        <w:t>Bediol</w:t>
      </w:r>
      <w:proofErr w:type="spellEnd"/>
      <w:r w:rsidRPr="00E17031">
        <w:rPr>
          <w:rFonts w:ascii="Times New Roman" w:eastAsia="Times New Roman" w:hAnsi="Times New Roman" w:cs="Times New Roman"/>
          <w:sz w:val="20"/>
          <w:szCs w:val="20"/>
        </w:rPr>
        <w:t xml:space="preserve"> </w:t>
      </w:r>
      <w:r w:rsidRPr="00E17031">
        <w:rPr>
          <w:rFonts w:ascii="Times New Roman" w:eastAsia="Times New Roman" w:hAnsi="Times New Roman" w:cs="Times New Roman"/>
          <w:sz w:val="20"/>
          <w:szCs w:val="20"/>
        </w:rPr>
        <w:fldChar w:fldCharType="begin"/>
      </w:r>
      <w:r w:rsidR="006C0D02">
        <w:rPr>
          <w:rFonts w:ascii="Times New Roman" w:eastAsia="Times New Roman" w:hAnsi="Times New Roman" w:cs="Times New Roman"/>
          <w:sz w:val="20"/>
          <w:szCs w:val="20"/>
        </w:rPr>
        <w:instrText xml:space="preserve"> ADDIN ZOTERO_ITEM CSL_CITATION {"citationID":"PSad1DPI","properties":{"formattedCitation":"[15]","plainCitation":"[15]","noteIndex":0},"citationItems":[{"id":6564,"uris":["http://zotero.org/users/local/cIxipA5o/items/WX2X4F7Z"],"itemData":{"id":6564,"type":"article-journal","abstract":"In this experimental randomized placebo-controlled 4-way crossover trial, we explored the analgesic effects of inhaled pharmaceutical-grade cannabis in 20 chronic pain patients with fibromyalgia. We tested 4 different cannabis varieties with exact knowledge on their [INCREMENT]-tetrahydrocannabinol (THC) and cannabidiol (CBD) content: Bedrocan (22.4-mg THC, &lt;1-mg CBD; Bedrocan International BV, Veendam, the Netherlands), Bediol (13.4-mg THC, 17.8-mg CBD; Bedrocan International BV, Veendam, the Netherlands), Bedrolite (18.4-mg CBD, &lt;1-mg THC; Bedrocan International BV, Veendam, the Netherlands), and a placebo variety without any THC or CBD. After a single vapor inhalation, THC and CBD plasma concentrations, pressure and electrical pain thresholds, spontaneous pain scores, and drug high were measured for 3 hours. None of the treatments had an effect greater than placebo on spontaneous or electrical pain responses, although more subjects receiving Bediol displayed a 30% decrease in pain scores compared to placebo (90% vs 55% of patients, P = 0.01), with spontaneous pain scores correlating with the magnitude of drug high (ρ = -0.5, P &lt; 0.001). Cannabis varieties containing THC caused a significant increase in pressure pain threshold relative to placebo (P &lt; 0.01). Cannabidiol inhalation increased THC plasma concentrations but diminished THC-induced analgesic effects, indicative of synergistic pharmacokinetic but antagonistic pharmacodynamic interactions of THC and CBD. This experimental trial shows the complex behavior of inhaled cannabinoids in chronic pain patients with just small analgesic responses after a single inhalation. Further studies are needed to determine long-term treatment effects on spontaneous pain scores, THC-CBD interactions, and the role of psychotropic symptoms on pain relief.","container-title":"Pain","DOI":"10.1097/j.pain.0000000000001464","ISSN":"1872-6623","issue":"4","journalAbbreviation":"Pain","language":"eng","note":"PMID: 30585986\nPMCID: PMC6430597","page":"860-869","source":"PubMed","title":"An experimental randomized study on the analgesic effects of pharmaceutical-grade cannabis in chronic pain patients with fibromyalgia","volume":"160","author":[{"family":"Donk","given":"Tine","non-dropping-particle":"van de"},{"family":"Niesters","given":"Marieke"},{"family":"Kowal","given":"Mikael A."},{"family":"Olofsen","given":"Erik"},{"family":"Dahan","given":"Albert"},{"family":"Velzen","given":"Monique","non-dropping-particle":"van"}],"issued":{"date-parts":[["2019",4]]}}}],"schema":"https://github.com/citation-style-language/schema/raw/master/csl-citation.json"} </w:instrText>
      </w:r>
      <w:r w:rsidRPr="00E17031">
        <w:rPr>
          <w:rFonts w:ascii="Times New Roman" w:eastAsia="Times New Roman" w:hAnsi="Times New Roman" w:cs="Times New Roman"/>
          <w:sz w:val="20"/>
          <w:szCs w:val="20"/>
        </w:rPr>
        <w:fldChar w:fldCharType="separate"/>
      </w:r>
      <w:r w:rsidR="006C0D02">
        <w:rPr>
          <w:rFonts w:ascii="Times New Roman" w:hAnsi="Times New Roman" w:cs="Times New Roman"/>
          <w:sz w:val="20"/>
          <w:szCs w:val="20"/>
          <w:lang w:val="en-US"/>
        </w:rPr>
        <w:t>[15]</w:t>
      </w:r>
      <w:r w:rsidRPr="00E17031">
        <w:rPr>
          <w:rFonts w:ascii="Times New Roman" w:eastAsia="Times New Roman" w:hAnsi="Times New Roman" w:cs="Times New Roman"/>
          <w:sz w:val="20"/>
          <w:szCs w:val="20"/>
        </w:rPr>
        <w:fldChar w:fldCharType="end"/>
      </w:r>
      <w:r w:rsidRPr="00E17031">
        <w:rPr>
          <w:rFonts w:ascii="Times New Roman" w:eastAsia="Times New Roman" w:hAnsi="Times New Roman" w:cs="Times New Roman"/>
          <w:sz w:val="20"/>
          <w:szCs w:val="20"/>
        </w:rPr>
        <w:t xml:space="preserve">. </w:t>
      </w:r>
    </w:p>
    <w:p w14:paraId="18057BEA" w14:textId="77777777" w:rsidR="00CA4CF6" w:rsidRDefault="00CA4CF6" w:rsidP="00CA4CF6">
      <w:pPr>
        <w:rPr>
          <w:rFonts w:ascii="Times New Roman" w:eastAsia="Times New Roman" w:hAnsi="Times New Roman" w:cs="Times New Roman"/>
          <w:sz w:val="20"/>
          <w:szCs w:val="20"/>
        </w:rPr>
      </w:pPr>
    </w:p>
    <w:p w14:paraId="1E952F2E" w14:textId="339F65DA" w:rsidR="00CA4CF6" w:rsidRDefault="00CA4CF6" w:rsidP="00CA4CF6">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Quality of evidence</w:t>
      </w:r>
    </w:p>
    <w:p w14:paraId="653E596F" w14:textId="77777777" w:rsidR="00CA4CF6" w:rsidRDefault="00CA4CF6" w:rsidP="00CA4CF6">
      <w:pPr>
        <w:ind w:firstLine="720"/>
        <w:rPr>
          <w:rFonts w:ascii="Times New Roman" w:eastAsia="Times New Roman" w:hAnsi="Times New Roman" w:cs="Times New Roman"/>
          <w:sz w:val="20"/>
          <w:szCs w:val="20"/>
        </w:rPr>
      </w:pPr>
      <w:r w:rsidRPr="00CA4CF6">
        <w:rPr>
          <w:rFonts w:ascii="Times New Roman" w:eastAsia="Times New Roman" w:hAnsi="Times New Roman" w:cs="Times New Roman"/>
          <w:sz w:val="20"/>
          <w:szCs w:val="20"/>
        </w:rPr>
        <w:t xml:space="preserve">Of the 20 clinical trials analyzed, three (15%) were deemed to have an overall ‘low risk’ of bias, 16 (76%) were assessed as having ‘some concerns’, and one (5%) was identified as ‘high risk’ of bias. The studies displayed some flaws with respect to control of selection bias and outcome reporting bias. In some cases, minimal information was provided regarding the concealment allocation process or the method of randomization. Other studies did not provide effect sizes or present all data from the analyses described in their methodology. </w:t>
      </w:r>
    </w:p>
    <w:p w14:paraId="684D5A11" w14:textId="77777777" w:rsidR="00CA4CF6" w:rsidRPr="00CA4CF6" w:rsidRDefault="00CA4CF6" w:rsidP="00CA4CF6">
      <w:pPr>
        <w:ind w:firstLine="720"/>
        <w:rPr>
          <w:rFonts w:ascii="Times New Roman" w:eastAsia="Times New Roman" w:hAnsi="Times New Roman" w:cs="Times New Roman"/>
          <w:sz w:val="20"/>
          <w:szCs w:val="20"/>
        </w:rPr>
      </w:pPr>
      <w:r w:rsidRPr="00CA4CF6">
        <w:rPr>
          <w:rFonts w:ascii="Times New Roman" w:eastAsia="Times New Roman" w:hAnsi="Times New Roman" w:cs="Times New Roman"/>
          <w:sz w:val="20"/>
          <w:szCs w:val="20"/>
        </w:rPr>
        <w:lastRenderedPageBreak/>
        <w:t>Egger’s test for funnel plot asymmetry was not statistically significant, consistent with the funnel plot vis</w:t>
      </w:r>
      <w:r w:rsidRPr="00CA4CF6">
        <w:rPr>
          <w:rFonts w:ascii="Times New Roman" w:eastAsia="Times New Roman" w:hAnsi="Times New Roman" w:cs="Times New Roman"/>
          <w:color w:val="000000" w:themeColor="text1"/>
          <w:sz w:val="20"/>
          <w:szCs w:val="20"/>
        </w:rPr>
        <w:t xml:space="preserve">ual (See </w:t>
      </w:r>
      <w:proofErr w:type="spellStart"/>
      <w:r w:rsidRPr="00CA4CF6">
        <w:rPr>
          <w:rFonts w:ascii="Times New Roman" w:eastAsia="Times New Roman" w:hAnsi="Times New Roman" w:cs="Times New Roman"/>
          <w:color w:val="000000" w:themeColor="text1"/>
          <w:sz w:val="20"/>
          <w:szCs w:val="20"/>
        </w:rPr>
        <w:t>eFigure</w:t>
      </w:r>
      <w:proofErr w:type="spellEnd"/>
      <w:r w:rsidRPr="00CA4CF6">
        <w:rPr>
          <w:rFonts w:ascii="Times New Roman" w:eastAsia="Times New Roman" w:hAnsi="Times New Roman" w:cs="Times New Roman"/>
          <w:color w:val="000000" w:themeColor="text1"/>
          <w:sz w:val="20"/>
          <w:szCs w:val="20"/>
        </w:rPr>
        <w:t xml:space="preserve"> 2).  </w:t>
      </w:r>
      <w:r w:rsidRPr="00CA4CF6">
        <w:rPr>
          <w:rFonts w:ascii="Times New Roman" w:eastAsia="Times New Roman" w:hAnsi="Times New Roman" w:cs="Times New Roman"/>
          <w:sz w:val="20"/>
          <w:szCs w:val="20"/>
        </w:rPr>
        <w:t xml:space="preserve">Trim and fill methods accordingly showed no change in the effect size estimate. The leave-one-out approach through Jackknife analysis suggested some influential cases. However, variation was minor and centered around the omnibus estimate (range of </w:t>
      </w:r>
      <w:r w:rsidRPr="00CA4CF6">
        <w:rPr>
          <w:rFonts w:ascii="Times New Roman" w:eastAsia="Times New Roman" w:hAnsi="Times New Roman" w:cs="Times New Roman"/>
          <w:i/>
          <w:sz w:val="20"/>
          <w:szCs w:val="20"/>
        </w:rPr>
        <w:t xml:space="preserve">g </w:t>
      </w:r>
      <w:r w:rsidRPr="00CA4CF6">
        <w:rPr>
          <w:rFonts w:ascii="Times New Roman" w:eastAsia="Times New Roman" w:hAnsi="Times New Roman" w:cs="Times New Roman"/>
          <w:sz w:val="20"/>
          <w:szCs w:val="20"/>
        </w:rPr>
        <w:t xml:space="preserve">values = 0.087 to 0.130). </w:t>
      </w:r>
    </w:p>
    <w:p w14:paraId="1178F4A0" w14:textId="77777777" w:rsidR="00CA4CF6" w:rsidRPr="00CA4CF6" w:rsidRDefault="00CA4CF6" w:rsidP="00CA4CF6">
      <w:pPr>
        <w:ind w:firstLine="720"/>
        <w:rPr>
          <w:rFonts w:ascii="Times New Roman" w:eastAsia="Times New Roman" w:hAnsi="Times New Roman" w:cs="Times New Roman"/>
          <w:sz w:val="20"/>
          <w:szCs w:val="20"/>
        </w:rPr>
      </w:pPr>
    </w:p>
    <w:p w14:paraId="49F36CA3" w14:textId="77777777" w:rsidR="00CA4CF6" w:rsidRPr="00CA4CF6" w:rsidRDefault="00CA4CF6" w:rsidP="00CA4CF6">
      <w:pPr>
        <w:rPr>
          <w:rFonts w:ascii="Times New Roman" w:eastAsia="Times New Roman" w:hAnsi="Times New Roman" w:cs="Times New Roman"/>
          <w:b/>
          <w:bCs/>
          <w:sz w:val="20"/>
          <w:szCs w:val="20"/>
        </w:rPr>
      </w:pPr>
    </w:p>
    <w:p w14:paraId="11DB8FEE" w14:textId="77777777" w:rsidR="00E17031" w:rsidRPr="00E17031" w:rsidRDefault="00E17031" w:rsidP="00E17031">
      <w:pPr>
        <w:pBdr>
          <w:top w:val="nil"/>
          <w:left w:val="nil"/>
          <w:bottom w:val="nil"/>
          <w:right w:val="nil"/>
          <w:between w:val="nil"/>
        </w:pBdr>
        <w:rPr>
          <w:rFonts w:ascii="Times New Roman" w:eastAsia="Times New Roman" w:hAnsi="Times New Roman" w:cs="Times New Roman"/>
          <w:b/>
          <w:sz w:val="20"/>
          <w:szCs w:val="20"/>
        </w:rPr>
      </w:pPr>
    </w:p>
    <w:p w14:paraId="57603AE8" w14:textId="77777777" w:rsidR="00E17031" w:rsidRDefault="00E17031" w:rsidP="00E17031">
      <w:pPr>
        <w:pBdr>
          <w:top w:val="nil"/>
          <w:left w:val="nil"/>
          <w:bottom w:val="nil"/>
          <w:right w:val="nil"/>
          <w:between w:val="nil"/>
        </w:pBdr>
        <w:rPr>
          <w:rFonts w:ascii="Times New Roman" w:eastAsia="Times New Roman" w:hAnsi="Times New Roman" w:cs="Times New Roman"/>
          <w:b/>
        </w:rPr>
      </w:pPr>
    </w:p>
    <w:p w14:paraId="49D746E1" w14:textId="6727F879" w:rsidR="00FF0074" w:rsidRPr="000F744B" w:rsidRDefault="00000000">
      <w:pPr>
        <w:numPr>
          <w:ilvl w:val="0"/>
          <w:numId w:val="2"/>
        </w:numPr>
        <w:pBdr>
          <w:top w:val="nil"/>
          <w:left w:val="nil"/>
          <w:bottom w:val="nil"/>
          <w:right w:val="nil"/>
          <w:between w:val="nil"/>
        </w:pBdr>
        <w:rPr>
          <w:rFonts w:ascii="Times New Roman" w:eastAsia="Times New Roman" w:hAnsi="Times New Roman" w:cs="Times New Roman"/>
          <w:b/>
        </w:rPr>
      </w:pPr>
      <w:proofErr w:type="spellStart"/>
      <w:r w:rsidRPr="000F744B">
        <w:rPr>
          <w:rFonts w:ascii="Times New Roman" w:eastAsia="Times New Roman" w:hAnsi="Times New Roman" w:cs="Times New Roman"/>
          <w:b/>
        </w:rPr>
        <w:t>eTable</w:t>
      </w:r>
      <w:proofErr w:type="spellEnd"/>
      <w:r w:rsidRPr="000F744B">
        <w:rPr>
          <w:rFonts w:ascii="Times New Roman" w:eastAsia="Times New Roman" w:hAnsi="Times New Roman" w:cs="Times New Roman"/>
          <w:b/>
        </w:rPr>
        <w:t xml:space="preserve"> </w:t>
      </w:r>
      <w:r w:rsidR="003E2D35">
        <w:rPr>
          <w:rFonts w:ascii="Times New Roman" w:eastAsia="Times New Roman" w:hAnsi="Times New Roman" w:cs="Times New Roman"/>
          <w:b/>
        </w:rPr>
        <w:t>3</w:t>
      </w:r>
      <w:r w:rsidRPr="000F744B">
        <w:rPr>
          <w:rFonts w:ascii="Times New Roman" w:eastAsia="Times New Roman" w:hAnsi="Times New Roman" w:cs="Times New Roman"/>
          <w:b/>
        </w:rPr>
        <w:t>. Key characteristics of included trials</w:t>
      </w:r>
    </w:p>
    <w:p w14:paraId="62C6FEAD" w14:textId="77777777" w:rsidR="00FF0074" w:rsidRPr="00EF24D8" w:rsidRDefault="00FF0074">
      <w:pPr>
        <w:rPr>
          <w:rFonts w:ascii="Times New Roman" w:hAnsi="Times New Roman" w:cs="Times New Roman"/>
        </w:rPr>
      </w:pPr>
    </w:p>
    <w:p w14:paraId="072523FE" w14:textId="77777777" w:rsidR="00FF0074" w:rsidRPr="00EF24D8" w:rsidRDefault="00FF0074">
      <w:pPr>
        <w:rPr>
          <w:rFonts w:ascii="Times New Roman" w:hAnsi="Times New Roman" w:cs="Times New Roman"/>
        </w:rPr>
      </w:pPr>
    </w:p>
    <w:p w14:paraId="36E28564" w14:textId="037421E3" w:rsidR="00FF0074" w:rsidRPr="00EF24D8" w:rsidRDefault="00000000">
      <w:pPr>
        <w:spacing w:line="276" w:lineRule="auto"/>
        <w:rPr>
          <w:rFonts w:ascii="Times New Roman" w:eastAsia="Times New Roman" w:hAnsi="Times New Roman" w:cs="Times New Roman"/>
        </w:rPr>
      </w:pPr>
      <w:proofErr w:type="spellStart"/>
      <w:r w:rsidRPr="00EF24D8">
        <w:rPr>
          <w:rFonts w:ascii="Times New Roman" w:eastAsia="Times New Roman" w:hAnsi="Times New Roman" w:cs="Times New Roman"/>
          <w:color w:val="374151"/>
        </w:rPr>
        <w:t>eT</w:t>
      </w:r>
      <w:r w:rsidRPr="00EF24D8">
        <w:rPr>
          <w:rFonts w:ascii="Times New Roman" w:eastAsia="Times New Roman" w:hAnsi="Times New Roman" w:cs="Times New Roman"/>
        </w:rPr>
        <w:t>able</w:t>
      </w:r>
      <w:proofErr w:type="spellEnd"/>
      <w:r w:rsidRPr="00EF24D8">
        <w:rPr>
          <w:rFonts w:ascii="Times New Roman" w:eastAsia="Times New Roman" w:hAnsi="Times New Roman" w:cs="Times New Roman"/>
        </w:rPr>
        <w:t xml:space="preserve"> </w:t>
      </w:r>
      <w:r w:rsidR="003E2D35">
        <w:rPr>
          <w:rFonts w:ascii="Times New Roman" w:eastAsia="Times New Roman" w:hAnsi="Times New Roman" w:cs="Times New Roman"/>
        </w:rPr>
        <w:t>3</w:t>
      </w:r>
      <w:r w:rsidRPr="00EF24D8">
        <w:rPr>
          <w:rFonts w:ascii="Times New Roman" w:eastAsia="Times New Roman" w:hAnsi="Times New Roman" w:cs="Times New Roman"/>
        </w:rPr>
        <w:t xml:space="preserve">. Key characteristics of all included trials. </w:t>
      </w:r>
    </w:p>
    <w:tbl>
      <w:tblPr>
        <w:tblStyle w:val="a1"/>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709"/>
        <w:gridCol w:w="1134"/>
        <w:gridCol w:w="1134"/>
        <w:gridCol w:w="1072"/>
        <w:gridCol w:w="912"/>
        <w:gridCol w:w="1560"/>
        <w:gridCol w:w="1548"/>
      </w:tblGrid>
      <w:tr w:rsidR="00FF0074" w:rsidRPr="00EF24D8" w14:paraId="5E598562" w14:textId="77777777" w:rsidTr="00EF24D8">
        <w:tc>
          <w:tcPr>
            <w:tcW w:w="1276"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2B24170F" w14:textId="77777777" w:rsidR="00FF0074" w:rsidRPr="00EF24D8" w:rsidRDefault="00FF0074">
            <w:pPr>
              <w:widowControl w:val="0"/>
              <w:rPr>
                <w:rFonts w:ascii="Times New Roman" w:eastAsia="Times New Roman" w:hAnsi="Times New Roman" w:cs="Times New Roman"/>
                <w:sz w:val="20"/>
                <w:szCs w:val="20"/>
              </w:rPr>
            </w:pPr>
          </w:p>
        </w:tc>
        <w:tc>
          <w:tcPr>
            <w:tcW w:w="709"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22956A1A"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Trials</w:t>
            </w:r>
          </w:p>
          <w:p w14:paraId="59141E24"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(n)</w:t>
            </w:r>
          </w:p>
        </w:tc>
        <w:tc>
          <w:tcPr>
            <w:tcW w:w="1134"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73D53BD8"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Outcomes</w:t>
            </w:r>
          </w:p>
          <w:p w14:paraId="5665B578"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(n)</w:t>
            </w:r>
          </w:p>
        </w:tc>
        <w:tc>
          <w:tcPr>
            <w:tcW w:w="1134"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16EF9AEE" w14:textId="77777777" w:rsidR="00FF0074" w:rsidRPr="00EF24D8" w:rsidRDefault="00FF0074">
            <w:pPr>
              <w:widowControl w:val="0"/>
              <w:rPr>
                <w:rFonts w:ascii="Times New Roman" w:eastAsia="Times New Roman" w:hAnsi="Times New Roman" w:cs="Times New Roman"/>
                <w:sz w:val="20"/>
                <w:szCs w:val="20"/>
              </w:rPr>
            </w:pPr>
          </w:p>
        </w:tc>
        <w:tc>
          <w:tcPr>
            <w:tcW w:w="1072"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01176A3E" w14:textId="28506E20"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Measure type</w:t>
            </w:r>
            <w:r w:rsidR="00EF24D8" w:rsidRPr="00EF24D8">
              <w:rPr>
                <w:rFonts w:ascii="Times New Roman" w:eastAsia="Times New Roman" w:hAnsi="Times New Roman" w:cs="Times New Roman"/>
                <w:sz w:val="20"/>
                <w:szCs w:val="20"/>
              </w:rPr>
              <w:t xml:space="preserve"> </w:t>
            </w:r>
            <w:r w:rsidRPr="00EF24D8">
              <w:rPr>
                <w:rFonts w:ascii="Times New Roman" w:eastAsia="Times New Roman" w:hAnsi="Times New Roman" w:cs="Times New Roman"/>
                <w:sz w:val="20"/>
                <w:szCs w:val="20"/>
              </w:rPr>
              <w:t>(n</w:t>
            </w:r>
            <w:r w:rsidR="00EF24D8" w:rsidRPr="00EF24D8">
              <w:rPr>
                <w:rFonts w:ascii="Times New Roman" w:eastAsia="Times New Roman" w:hAnsi="Times New Roman" w:cs="Times New Roman"/>
                <w:sz w:val="20"/>
                <w:szCs w:val="20"/>
              </w:rPr>
              <w:t xml:space="preserve"> </w:t>
            </w:r>
            <w:r w:rsidRPr="00EF24D8">
              <w:rPr>
                <w:rFonts w:ascii="Times New Roman" w:eastAsia="Times New Roman" w:hAnsi="Times New Roman" w:cs="Times New Roman"/>
                <w:sz w:val="20"/>
                <w:szCs w:val="20"/>
              </w:rPr>
              <w:t>outcomes)</w:t>
            </w:r>
          </w:p>
        </w:tc>
        <w:tc>
          <w:tcPr>
            <w:tcW w:w="912"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7A536E76" w14:textId="77777777" w:rsidR="00FF0074" w:rsidRPr="00EF24D8" w:rsidRDefault="00FF0074">
            <w:pPr>
              <w:widowControl w:val="0"/>
              <w:rPr>
                <w:rFonts w:ascii="Times New Roman" w:eastAsia="Times New Roman" w:hAnsi="Times New Roman" w:cs="Times New Roman"/>
                <w:sz w:val="20"/>
                <w:szCs w:val="20"/>
              </w:rPr>
            </w:pPr>
          </w:p>
        </w:tc>
        <w:tc>
          <w:tcPr>
            <w:tcW w:w="1560"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6DC1AFEF"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Route of administration (n outcomes)</w:t>
            </w:r>
          </w:p>
        </w:tc>
        <w:tc>
          <w:tcPr>
            <w:tcW w:w="1548"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3A874E00"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CBD dose (mg)</w:t>
            </w:r>
          </w:p>
          <w:p w14:paraId="73C8184F" w14:textId="6D1A40F5"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 xml:space="preserve">(Mean, </w:t>
            </w:r>
            <w:r w:rsidR="00EF24D8" w:rsidRPr="00EF24D8">
              <w:rPr>
                <w:rFonts w:ascii="Times New Roman" w:eastAsia="Times New Roman" w:hAnsi="Times New Roman" w:cs="Times New Roman"/>
                <w:sz w:val="20"/>
                <w:szCs w:val="20"/>
              </w:rPr>
              <w:t>+/ SD</w:t>
            </w:r>
            <w:r w:rsidRPr="00EF24D8">
              <w:rPr>
                <w:rFonts w:ascii="Times New Roman" w:eastAsia="Times New Roman" w:hAnsi="Times New Roman" w:cs="Times New Roman"/>
                <w:sz w:val="20"/>
                <w:szCs w:val="20"/>
              </w:rPr>
              <w:t>)</w:t>
            </w:r>
          </w:p>
        </w:tc>
      </w:tr>
      <w:tr w:rsidR="00FF0074" w:rsidRPr="00EF24D8" w14:paraId="26D3D1B0" w14:textId="77777777" w:rsidTr="00EF24D8">
        <w:tc>
          <w:tcPr>
            <w:tcW w:w="1276" w:type="dxa"/>
            <w:tcBorders>
              <w:top w:val="single" w:sz="4" w:space="0" w:color="auto"/>
              <w:left w:val="nil"/>
              <w:bottom w:val="nil"/>
              <w:right w:val="nil"/>
            </w:tcBorders>
            <w:shd w:val="clear" w:color="auto" w:fill="auto"/>
            <w:tcMar>
              <w:top w:w="100" w:type="dxa"/>
              <w:left w:w="100" w:type="dxa"/>
              <w:bottom w:w="100" w:type="dxa"/>
              <w:right w:w="100" w:type="dxa"/>
            </w:tcMar>
          </w:tcPr>
          <w:p w14:paraId="2B5EF604"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All trials</w:t>
            </w:r>
          </w:p>
        </w:tc>
        <w:tc>
          <w:tcPr>
            <w:tcW w:w="709" w:type="dxa"/>
            <w:tcBorders>
              <w:top w:val="single" w:sz="4" w:space="0" w:color="auto"/>
              <w:left w:val="nil"/>
              <w:bottom w:val="nil"/>
              <w:right w:val="nil"/>
            </w:tcBorders>
            <w:shd w:val="clear" w:color="auto" w:fill="auto"/>
            <w:tcMar>
              <w:top w:w="100" w:type="dxa"/>
              <w:left w:w="100" w:type="dxa"/>
              <w:bottom w:w="100" w:type="dxa"/>
              <w:right w:w="100" w:type="dxa"/>
            </w:tcMar>
          </w:tcPr>
          <w:p w14:paraId="7510C321"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20</w:t>
            </w:r>
          </w:p>
        </w:tc>
        <w:tc>
          <w:tcPr>
            <w:tcW w:w="1134" w:type="dxa"/>
            <w:tcBorders>
              <w:top w:val="single" w:sz="4" w:space="0" w:color="auto"/>
              <w:left w:val="nil"/>
              <w:bottom w:val="nil"/>
              <w:right w:val="nil"/>
            </w:tcBorders>
            <w:shd w:val="clear" w:color="auto" w:fill="auto"/>
            <w:tcMar>
              <w:top w:w="100" w:type="dxa"/>
              <w:left w:w="100" w:type="dxa"/>
              <w:bottom w:w="100" w:type="dxa"/>
              <w:right w:w="100" w:type="dxa"/>
            </w:tcMar>
          </w:tcPr>
          <w:p w14:paraId="1F1AB45D"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427</w:t>
            </w:r>
          </w:p>
        </w:tc>
        <w:tc>
          <w:tcPr>
            <w:tcW w:w="1134" w:type="dxa"/>
            <w:tcBorders>
              <w:top w:val="single" w:sz="4" w:space="0" w:color="auto"/>
              <w:left w:val="nil"/>
              <w:bottom w:val="nil"/>
              <w:right w:val="nil"/>
            </w:tcBorders>
            <w:shd w:val="clear" w:color="auto" w:fill="auto"/>
            <w:tcMar>
              <w:top w:w="100" w:type="dxa"/>
              <w:left w:w="100" w:type="dxa"/>
              <w:bottom w:w="100" w:type="dxa"/>
              <w:right w:w="100" w:type="dxa"/>
            </w:tcMar>
          </w:tcPr>
          <w:p w14:paraId="5E861280"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Subjective:</w:t>
            </w:r>
          </w:p>
        </w:tc>
        <w:tc>
          <w:tcPr>
            <w:tcW w:w="1072" w:type="dxa"/>
            <w:tcBorders>
              <w:top w:val="single" w:sz="4" w:space="0" w:color="auto"/>
              <w:left w:val="nil"/>
              <w:bottom w:val="nil"/>
              <w:right w:val="nil"/>
            </w:tcBorders>
            <w:shd w:val="clear" w:color="auto" w:fill="auto"/>
            <w:tcMar>
              <w:top w:w="100" w:type="dxa"/>
              <w:left w:w="100" w:type="dxa"/>
              <w:bottom w:w="100" w:type="dxa"/>
              <w:right w:w="100" w:type="dxa"/>
            </w:tcMar>
          </w:tcPr>
          <w:p w14:paraId="5880939D"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113</w:t>
            </w:r>
          </w:p>
        </w:tc>
        <w:tc>
          <w:tcPr>
            <w:tcW w:w="912" w:type="dxa"/>
            <w:tcBorders>
              <w:top w:val="single" w:sz="4" w:space="0" w:color="auto"/>
              <w:left w:val="nil"/>
              <w:bottom w:val="nil"/>
              <w:right w:val="nil"/>
            </w:tcBorders>
            <w:shd w:val="clear" w:color="auto" w:fill="auto"/>
            <w:tcMar>
              <w:top w:w="100" w:type="dxa"/>
              <w:left w:w="100" w:type="dxa"/>
              <w:bottom w:w="100" w:type="dxa"/>
              <w:right w:w="100" w:type="dxa"/>
            </w:tcMar>
          </w:tcPr>
          <w:p w14:paraId="57ABC314"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Oral:</w:t>
            </w:r>
          </w:p>
          <w:p w14:paraId="7367B652" w14:textId="77777777" w:rsidR="00FF0074" w:rsidRPr="00EF24D8" w:rsidRDefault="00FF0074">
            <w:pPr>
              <w:widowControl w:val="0"/>
              <w:rPr>
                <w:rFonts w:ascii="Times New Roman" w:eastAsia="Times New Roman" w:hAnsi="Times New Roman" w:cs="Times New Roman"/>
                <w:sz w:val="20"/>
                <w:szCs w:val="20"/>
              </w:rPr>
            </w:pPr>
          </w:p>
          <w:p w14:paraId="6CCA62BE"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Inhaled:</w:t>
            </w:r>
          </w:p>
        </w:tc>
        <w:tc>
          <w:tcPr>
            <w:tcW w:w="1560" w:type="dxa"/>
            <w:tcBorders>
              <w:top w:val="single" w:sz="4" w:space="0" w:color="auto"/>
              <w:left w:val="nil"/>
              <w:bottom w:val="nil"/>
              <w:right w:val="nil"/>
            </w:tcBorders>
            <w:shd w:val="clear" w:color="auto" w:fill="auto"/>
            <w:tcMar>
              <w:top w:w="100" w:type="dxa"/>
              <w:left w:w="100" w:type="dxa"/>
              <w:bottom w:w="100" w:type="dxa"/>
              <w:right w:w="100" w:type="dxa"/>
            </w:tcMar>
          </w:tcPr>
          <w:p w14:paraId="2B3B1613"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92</w:t>
            </w:r>
          </w:p>
          <w:p w14:paraId="14CAA4E8" w14:textId="77777777" w:rsidR="00FF0074" w:rsidRPr="00EF24D8" w:rsidRDefault="00FF0074">
            <w:pPr>
              <w:widowControl w:val="0"/>
              <w:rPr>
                <w:rFonts w:ascii="Times New Roman" w:eastAsia="Times New Roman" w:hAnsi="Times New Roman" w:cs="Times New Roman"/>
                <w:sz w:val="20"/>
                <w:szCs w:val="20"/>
              </w:rPr>
            </w:pPr>
          </w:p>
          <w:p w14:paraId="3D250F21"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21</w:t>
            </w:r>
          </w:p>
        </w:tc>
        <w:tc>
          <w:tcPr>
            <w:tcW w:w="1548" w:type="dxa"/>
            <w:tcBorders>
              <w:top w:val="single" w:sz="4" w:space="0" w:color="auto"/>
              <w:left w:val="nil"/>
              <w:bottom w:val="nil"/>
              <w:right w:val="nil"/>
            </w:tcBorders>
            <w:shd w:val="clear" w:color="auto" w:fill="auto"/>
            <w:tcMar>
              <w:top w:w="100" w:type="dxa"/>
              <w:left w:w="100" w:type="dxa"/>
              <w:bottom w:w="100" w:type="dxa"/>
              <w:right w:w="100" w:type="dxa"/>
            </w:tcMar>
          </w:tcPr>
          <w:p w14:paraId="51C23D54"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1115 +/ 1307</w:t>
            </w:r>
          </w:p>
          <w:p w14:paraId="23B79F47" w14:textId="77777777" w:rsidR="00FF0074" w:rsidRPr="00EF24D8" w:rsidRDefault="00FF0074">
            <w:pPr>
              <w:widowControl w:val="0"/>
              <w:rPr>
                <w:rFonts w:ascii="Times New Roman" w:eastAsia="Times New Roman" w:hAnsi="Times New Roman" w:cs="Times New Roman"/>
                <w:sz w:val="20"/>
                <w:szCs w:val="20"/>
              </w:rPr>
            </w:pPr>
          </w:p>
          <w:p w14:paraId="56661F83"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77 +/ 114</w:t>
            </w:r>
          </w:p>
        </w:tc>
      </w:tr>
      <w:tr w:rsidR="00FF0074" w:rsidRPr="00EF24D8" w14:paraId="60CF2743" w14:textId="77777777" w:rsidTr="00EF24D8">
        <w:tc>
          <w:tcPr>
            <w:tcW w:w="1276" w:type="dxa"/>
            <w:tcBorders>
              <w:top w:val="nil"/>
              <w:left w:val="nil"/>
              <w:bottom w:val="nil"/>
              <w:right w:val="nil"/>
            </w:tcBorders>
            <w:shd w:val="clear" w:color="auto" w:fill="auto"/>
            <w:tcMar>
              <w:top w:w="100" w:type="dxa"/>
              <w:left w:w="100" w:type="dxa"/>
              <w:bottom w:w="100" w:type="dxa"/>
              <w:right w:w="100" w:type="dxa"/>
            </w:tcMar>
          </w:tcPr>
          <w:p w14:paraId="27201266" w14:textId="77777777" w:rsidR="00FF0074" w:rsidRPr="00EF24D8" w:rsidRDefault="00FF0074">
            <w:pPr>
              <w:widowControl w:val="0"/>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Mar>
              <w:top w:w="100" w:type="dxa"/>
              <w:left w:w="100" w:type="dxa"/>
              <w:bottom w:w="100" w:type="dxa"/>
              <w:right w:w="100" w:type="dxa"/>
            </w:tcMar>
          </w:tcPr>
          <w:p w14:paraId="146E9525" w14:textId="77777777" w:rsidR="00FF0074" w:rsidRPr="00EF24D8" w:rsidRDefault="00FF0074">
            <w:pPr>
              <w:widowControl w:val="0"/>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715C67DB" w14:textId="77777777" w:rsidR="00FF0074" w:rsidRPr="00EF24D8" w:rsidRDefault="00FF0074">
            <w:pPr>
              <w:widowControl w:val="0"/>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01093E57"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Objective:</w:t>
            </w:r>
          </w:p>
        </w:tc>
        <w:tc>
          <w:tcPr>
            <w:tcW w:w="1072" w:type="dxa"/>
            <w:tcBorders>
              <w:top w:val="nil"/>
              <w:left w:val="nil"/>
              <w:bottom w:val="nil"/>
              <w:right w:val="nil"/>
            </w:tcBorders>
            <w:shd w:val="clear" w:color="auto" w:fill="auto"/>
            <w:tcMar>
              <w:top w:w="100" w:type="dxa"/>
              <w:left w:w="100" w:type="dxa"/>
              <w:bottom w:w="100" w:type="dxa"/>
              <w:right w:w="100" w:type="dxa"/>
            </w:tcMar>
          </w:tcPr>
          <w:p w14:paraId="5AA933CB"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314</w:t>
            </w:r>
          </w:p>
        </w:tc>
        <w:tc>
          <w:tcPr>
            <w:tcW w:w="912" w:type="dxa"/>
            <w:tcBorders>
              <w:top w:val="nil"/>
              <w:left w:val="nil"/>
              <w:bottom w:val="nil"/>
              <w:right w:val="nil"/>
            </w:tcBorders>
            <w:shd w:val="clear" w:color="auto" w:fill="auto"/>
            <w:tcMar>
              <w:top w:w="100" w:type="dxa"/>
              <w:left w:w="100" w:type="dxa"/>
              <w:bottom w:w="100" w:type="dxa"/>
              <w:right w:w="100" w:type="dxa"/>
            </w:tcMar>
          </w:tcPr>
          <w:p w14:paraId="2834E8B0"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Oral:</w:t>
            </w:r>
          </w:p>
          <w:p w14:paraId="10CF6322" w14:textId="77777777" w:rsidR="00FF0074" w:rsidRPr="00EF24D8" w:rsidRDefault="00FF0074">
            <w:pPr>
              <w:widowControl w:val="0"/>
              <w:rPr>
                <w:rFonts w:ascii="Times New Roman" w:eastAsia="Times New Roman" w:hAnsi="Times New Roman" w:cs="Times New Roman"/>
                <w:sz w:val="20"/>
                <w:szCs w:val="20"/>
              </w:rPr>
            </w:pPr>
          </w:p>
          <w:p w14:paraId="7F1AD5DB"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Inhaled:</w:t>
            </w:r>
          </w:p>
        </w:tc>
        <w:tc>
          <w:tcPr>
            <w:tcW w:w="1560" w:type="dxa"/>
            <w:tcBorders>
              <w:top w:val="nil"/>
              <w:left w:val="nil"/>
              <w:bottom w:val="nil"/>
              <w:right w:val="nil"/>
            </w:tcBorders>
            <w:shd w:val="clear" w:color="auto" w:fill="auto"/>
            <w:tcMar>
              <w:top w:w="100" w:type="dxa"/>
              <w:left w:w="100" w:type="dxa"/>
              <w:bottom w:w="100" w:type="dxa"/>
              <w:right w:w="100" w:type="dxa"/>
            </w:tcMar>
          </w:tcPr>
          <w:p w14:paraId="438B2FD7"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272</w:t>
            </w:r>
          </w:p>
          <w:p w14:paraId="4DB7198E" w14:textId="77777777" w:rsidR="00FF0074" w:rsidRPr="00EF24D8" w:rsidRDefault="00FF0074">
            <w:pPr>
              <w:widowControl w:val="0"/>
              <w:rPr>
                <w:rFonts w:ascii="Times New Roman" w:eastAsia="Times New Roman" w:hAnsi="Times New Roman" w:cs="Times New Roman"/>
                <w:sz w:val="20"/>
                <w:szCs w:val="20"/>
              </w:rPr>
            </w:pPr>
          </w:p>
          <w:p w14:paraId="045C3D3F" w14:textId="77777777" w:rsidR="00FF0074" w:rsidRPr="00EF24D8" w:rsidRDefault="00000000">
            <w:pPr>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42</w:t>
            </w:r>
          </w:p>
        </w:tc>
        <w:tc>
          <w:tcPr>
            <w:tcW w:w="1548" w:type="dxa"/>
            <w:tcBorders>
              <w:top w:val="nil"/>
              <w:left w:val="nil"/>
              <w:bottom w:val="nil"/>
              <w:right w:val="nil"/>
            </w:tcBorders>
            <w:shd w:val="clear" w:color="auto" w:fill="auto"/>
            <w:tcMar>
              <w:top w:w="100" w:type="dxa"/>
              <w:left w:w="100" w:type="dxa"/>
              <w:bottom w:w="100" w:type="dxa"/>
              <w:right w:w="100" w:type="dxa"/>
            </w:tcMar>
          </w:tcPr>
          <w:p w14:paraId="61A65980"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 xml:space="preserve">1590 +/1546, </w:t>
            </w:r>
          </w:p>
          <w:p w14:paraId="45C46582" w14:textId="77777777" w:rsidR="00FF0074" w:rsidRPr="00EF24D8" w:rsidRDefault="00FF0074">
            <w:pPr>
              <w:widowControl w:val="0"/>
              <w:rPr>
                <w:rFonts w:ascii="Times New Roman" w:eastAsia="Times New Roman" w:hAnsi="Times New Roman" w:cs="Times New Roman"/>
                <w:sz w:val="20"/>
                <w:szCs w:val="20"/>
              </w:rPr>
            </w:pPr>
          </w:p>
          <w:p w14:paraId="1A76F62F"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39 +/39</w:t>
            </w:r>
          </w:p>
        </w:tc>
      </w:tr>
      <w:tr w:rsidR="00FF0074" w:rsidRPr="00EF24D8" w14:paraId="7446A1E1" w14:textId="77777777" w:rsidTr="00EF24D8">
        <w:tc>
          <w:tcPr>
            <w:tcW w:w="1276" w:type="dxa"/>
            <w:tcBorders>
              <w:top w:val="nil"/>
              <w:left w:val="nil"/>
              <w:bottom w:val="nil"/>
              <w:right w:val="nil"/>
            </w:tcBorders>
            <w:shd w:val="clear" w:color="auto" w:fill="auto"/>
            <w:tcMar>
              <w:top w:w="100" w:type="dxa"/>
              <w:left w:w="100" w:type="dxa"/>
              <w:bottom w:w="100" w:type="dxa"/>
              <w:right w:w="100" w:type="dxa"/>
            </w:tcMar>
          </w:tcPr>
          <w:p w14:paraId="06222C68"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Trials eligible for primary quantitative synthesis</w:t>
            </w:r>
          </w:p>
        </w:tc>
        <w:tc>
          <w:tcPr>
            <w:tcW w:w="709" w:type="dxa"/>
            <w:tcBorders>
              <w:top w:val="nil"/>
              <w:left w:val="nil"/>
              <w:bottom w:val="nil"/>
              <w:right w:val="nil"/>
            </w:tcBorders>
            <w:shd w:val="clear" w:color="auto" w:fill="auto"/>
            <w:tcMar>
              <w:top w:w="100" w:type="dxa"/>
              <w:left w:w="100" w:type="dxa"/>
              <w:bottom w:w="100" w:type="dxa"/>
              <w:right w:w="100" w:type="dxa"/>
            </w:tcMar>
          </w:tcPr>
          <w:p w14:paraId="680E36F2"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16</w:t>
            </w:r>
          </w:p>
        </w:tc>
        <w:tc>
          <w:tcPr>
            <w:tcW w:w="1134" w:type="dxa"/>
            <w:tcBorders>
              <w:top w:val="nil"/>
              <w:left w:val="nil"/>
              <w:bottom w:val="nil"/>
              <w:right w:val="nil"/>
            </w:tcBorders>
            <w:shd w:val="clear" w:color="auto" w:fill="auto"/>
            <w:tcMar>
              <w:top w:w="100" w:type="dxa"/>
              <w:left w:w="100" w:type="dxa"/>
              <w:bottom w:w="100" w:type="dxa"/>
              <w:right w:w="100" w:type="dxa"/>
            </w:tcMar>
          </w:tcPr>
          <w:p w14:paraId="045EBF5B"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155</w:t>
            </w:r>
          </w:p>
        </w:tc>
        <w:tc>
          <w:tcPr>
            <w:tcW w:w="1134" w:type="dxa"/>
            <w:tcBorders>
              <w:top w:val="nil"/>
              <w:left w:val="nil"/>
              <w:bottom w:val="nil"/>
              <w:right w:val="nil"/>
            </w:tcBorders>
            <w:shd w:val="clear" w:color="auto" w:fill="auto"/>
            <w:tcMar>
              <w:top w:w="100" w:type="dxa"/>
              <w:left w:w="100" w:type="dxa"/>
              <w:bottom w:w="100" w:type="dxa"/>
              <w:right w:w="100" w:type="dxa"/>
            </w:tcMar>
          </w:tcPr>
          <w:p w14:paraId="41DFA694"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Subjective:</w:t>
            </w:r>
          </w:p>
        </w:tc>
        <w:tc>
          <w:tcPr>
            <w:tcW w:w="1072" w:type="dxa"/>
            <w:tcBorders>
              <w:top w:val="nil"/>
              <w:left w:val="nil"/>
              <w:bottom w:val="nil"/>
              <w:right w:val="nil"/>
            </w:tcBorders>
            <w:shd w:val="clear" w:color="auto" w:fill="auto"/>
            <w:tcMar>
              <w:top w:w="100" w:type="dxa"/>
              <w:left w:w="100" w:type="dxa"/>
              <w:bottom w:w="100" w:type="dxa"/>
              <w:right w:w="100" w:type="dxa"/>
            </w:tcMar>
          </w:tcPr>
          <w:p w14:paraId="3C064F29"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33</w:t>
            </w:r>
          </w:p>
        </w:tc>
        <w:tc>
          <w:tcPr>
            <w:tcW w:w="912" w:type="dxa"/>
            <w:tcBorders>
              <w:top w:val="nil"/>
              <w:left w:val="nil"/>
              <w:bottom w:val="nil"/>
              <w:right w:val="nil"/>
            </w:tcBorders>
            <w:shd w:val="clear" w:color="auto" w:fill="auto"/>
            <w:tcMar>
              <w:top w:w="100" w:type="dxa"/>
              <w:left w:w="100" w:type="dxa"/>
              <w:bottom w:w="100" w:type="dxa"/>
              <w:right w:w="100" w:type="dxa"/>
            </w:tcMar>
          </w:tcPr>
          <w:p w14:paraId="5917B81A"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Oral:</w:t>
            </w:r>
          </w:p>
          <w:p w14:paraId="7DFE9FF9" w14:textId="77777777" w:rsidR="00FF0074" w:rsidRPr="00EF24D8" w:rsidRDefault="00FF0074">
            <w:pPr>
              <w:widowControl w:val="0"/>
              <w:rPr>
                <w:rFonts w:ascii="Times New Roman" w:eastAsia="Times New Roman" w:hAnsi="Times New Roman" w:cs="Times New Roman"/>
                <w:sz w:val="20"/>
                <w:szCs w:val="20"/>
              </w:rPr>
            </w:pPr>
          </w:p>
          <w:p w14:paraId="2C4C0E31"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Inhaled:</w:t>
            </w:r>
          </w:p>
        </w:tc>
        <w:tc>
          <w:tcPr>
            <w:tcW w:w="1560" w:type="dxa"/>
            <w:tcBorders>
              <w:top w:val="nil"/>
              <w:left w:val="nil"/>
              <w:bottom w:val="nil"/>
              <w:right w:val="nil"/>
            </w:tcBorders>
            <w:shd w:val="clear" w:color="auto" w:fill="auto"/>
            <w:tcMar>
              <w:top w:w="100" w:type="dxa"/>
              <w:left w:w="100" w:type="dxa"/>
              <w:bottom w:w="100" w:type="dxa"/>
              <w:right w:w="100" w:type="dxa"/>
            </w:tcMar>
          </w:tcPr>
          <w:p w14:paraId="7CC93581"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22</w:t>
            </w:r>
          </w:p>
          <w:p w14:paraId="4E168F8C" w14:textId="77777777" w:rsidR="00FF0074" w:rsidRPr="00EF24D8" w:rsidRDefault="00FF0074">
            <w:pPr>
              <w:widowControl w:val="0"/>
              <w:rPr>
                <w:rFonts w:ascii="Times New Roman" w:eastAsia="Times New Roman" w:hAnsi="Times New Roman" w:cs="Times New Roman"/>
                <w:sz w:val="20"/>
                <w:szCs w:val="20"/>
              </w:rPr>
            </w:pPr>
          </w:p>
          <w:p w14:paraId="528DC719"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11</w:t>
            </w:r>
          </w:p>
        </w:tc>
        <w:tc>
          <w:tcPr>
            <w:tcW w:w="1548" w:type="dxa"/>
            <w:tcBorders>
              <w:top w:val="nil"/>
              <w:left w:val="nil"/>
              <w:bottom w:val="nil"/>
              <w:right w:val="nil"/>
            </w:tcBorders>
            <w:shd w:val="clear" w:color="auto" w:fill="auto"/>
            <w:tcMar>
              <w:top w:w="100" w:type="dxa"/>
              <w:left w:w="100" w:type="dxa"/>
              <w:bottom w:w="100" w:type="dxa"/>
              <w:right w:w="100" w:type="dxa"/>
            </w:tcMar>
          </w:tcPr>
          <w:p w14:paraId="241BF0BC"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722 +/922</w:t>
            </w:r>
          </w:p>
          <w:p w14:paraId="5EEF304A" w14:textId="77777777" w:rsidR="00FF0074" w:rsidRPr="00EF24D8" w:rsidRDefault="00FF0074">
            <w:pPr>
              <w:widowControl w:val="0"/>
              <w:rPr>
                <w:rFonts w:ascii="Times New Roman" w:eastAsia="Times New Roman" w:hAnsi="Times New Roman" w:cs="Times New Roman"/>
                <w:sz w:val="20"/>
                <w:szCs w:val="20"/>
              </w:rPr>
            </w:pPr>
          </w:p>
          <w:p w14:paraId="191C787A"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131 +/138</w:t>
            </w:r>
          </w:p>
        </w:tc>
      </w:tr>
      <w:tr w:rsidR="00FF0074" w:rsidRPr="00EF24D8" w14:paraId="3D512CCB" w14:textId="77777777" w:rsidTr="00EF24D8">
        <w:tc>
          <w:tcPr>
            <w:tcW w:w="1276" w:type="dxa"/>
            <w:tcBorders>
              <w:top w:val="nil"/>
              <w:left w:val="nil"/>
              <w:bottom w:val="nil"/>
              <w:right w:val="nil"/>
            </w:tcBorders>
            <w:shd w:val="clear" w:color="auto" w:fill="auto"/>
            <w:tcMar>
              <w:top w:w="100" w:type="dxa"/>
              <w:left w:w="100" w:type="dxa"/>
              <w:bottom w:w="100" w:type="dxa"/>
              <w:right w:w="100" w:type="dxa"/>
            </w:tcMar>
          </w:tcPr>
          <w:p w14:paraId="54BD3278" w14:textId="77777777" w:rsidR="00FF0074" w:rsidRPr="00EF24D8" w:rsidRDefault="00FF0074">
            <w:pPr>
              <w:widowControl w:val="0"/>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Mar>
              <w:top w:w="100" w:type="dxa"/>
              <w:left w:w="100" w:type="dxa"/>
              <w:bottom w:w="100" w:type="dxa"/>
              <w:right w:w="100" w:type="dxa"/>
            </w:tcMar>
          </w:tcPr>
          <w:p w14:paraId="7945F77D" w14:textId="77777777" w:rsidR="00FF0074" w:rsidRPr="00EF24D8" w:rsidRDefault="00FF0074">
            <w:pPr>
              <w:widowControl w:val="0"/>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0C3464B5" w14:textId="77777777" w:rsidR="00FF0074" w:rsidRPr="00EF24D8" w:rsidRDefault="00FF0074">
            <w:pPr>
              <w:widowControl w:val="0"/>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5108359D"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Objective:</w:t>
            </w:r>
          </w:p>
        </w:tc>
        <w:tc>
          <w:tcPr>
            <w:tcW w:w="1072" w:type="dxa"/>
            <w:tcBorders>
              <w:top w:val="nil"/>
              <w:left w:val="nil"/>
              <w:bottom w:val="nil"/>
              <w:right w:val="nil"/>
            </w:tcBorders>
            <w:shd w:val="clear" w:color="auto" w:fill="auto"/>
            <w:tcMar>
              <w:top w:w="100" w:type="dxa"/>
              <w:left w:w="100" w:type="dxa"/>
              <w:bottom w:w="100" w:type="dxa"/>
              <w:right w:w="100" w:type="dxa"/>
            </w:tcMar>
          </w:tcPr>
          <w:p w14:paraId="42FDBB46"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122</w:t>
            </w:r>
          </w:p>
        </w:tc>
        <w:tc>
          <w:tcPr>
            <w:tcW w:w="912" w:type="dxa"/>
            <w:tcBorders>
              <w:top w:val="nil"/>
              <w:left w:val="nil"/>
              <w:bottom w:val="nil"/>
              <w:right w:val="nil"/>
            </w:tcBorders>
            <w:shd w:val="clear" w:color="auto" w:fill="auto"/>
            <w:tcMar>
              <w:top w:w="100" w:type="dxa"/>
              <w:left w:w="100" w:type="dxa"/>
              <w:bottom w:w="100" w:type="dxa"/>
              <w:right w:w="100" w:type="dxa"/>
            </w:tcMar>
          </w:tcPr>
          <w:p w14:paraId="1B065435"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Oral:</w:t>
            </w:r>
          </w:p>
          <w:p w14:paraId="5CD93EAF" w14:textId="77777777" w:rsidR="00FF0074" w:rsidRPr="00EF24D8" w:rsidRDefault="00FF0074">
            <w:pPr>
              <w:widowControl w:val="0"/>
              <w:rPr>
                <w:rFonts w:ascii="Times New Roman" w:eastAsia="Times New Roman" w:hAnsi="Times New Roman" w:cs="Times New Roman"/>
                <w:sz w:val="20"/>
                <w:szCs w:val="20"/>
              </w:rPr>
            </w:pPr>
          </w:p>
          <w:p w14:paraId="154699B7"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Inhaled:</w:t>
            </w:r>
          </w:p>
        </w:tc>
        <w:tc>
          <w:tcPr>
            <w:tcW w:w="1560" w:type="dxa"/>
            <w:tcBorders>
              <w:top w:val="nil"/>
              <w:left w:val="nil"/>
              <w:bottom w:val="nil"/>
              <w:right w:val="nil"/>
            </w:tcBorders>
            <w:shd w:val="clear" w:color="auto" w:fill="auto"/>
            <w:tcMar>
              <w:top w:w="100" w:type="dxa"/>
              <w:left w:w="100" w:type="dxa"/>
              <w:bottom w:w="100" w:type="dxa"/>
              <w:right w:w="100" w:type="dxa"/>
            </w:tcMar>
          </w:tcPr>
          <w:p w14:paraId="5083C8A9"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90</w:t>
            </w:r>
          </w:p>
          <w:p w14:paraId="6AB5EAA9" w14:textId="77777777" w:rsidR="00FF0074" w:rsidRPr="00EF24D8" w:rsidRDefault="00FF0074">
            <w:pPr>
              <w:widowControl w:val="0"/>
              <w:rPr>
                <w:rFonts w:ascii="Times New Roman" w:eastAsia="Times New Roman" w:hAnsi="Times New Roman" w:cs="Times New Roman"/>
                <w:sz w:val="20"/>
                <w:szCs w:val="20"/>
              </w:rPr>
            </w:pPr>
          </w:p>
          <w:p w14:paraId="5FF84B7B"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32</w:t>
            </w:r>
          </w:p>
        </w:tc>
        <w:tc>
          <w:tcPr>
            <w:tcW w:w="1548" w:type="dxa"/>
            <w:tcBorders>
              <w:top w:val="nil"/>
              <w:left w:val="nil"/>
              <w:bottom w:val="nil"/>
              <w:right w:val="nil"/>
            </w:tcBorders>
            <w:shd w:val="clear" w:color="auto" w:fill="auto"/>
            <w:tcMar>
              <w:top w:w="100" w:type="dxa"/>
              <w:left w:w="100" w:type="dxa"/>
              <w:bottom w:w="100" w:type="dxa"/>
              <w:right w:w="100" w:type="dxa"/>
            </w:tcMar>
          </w:tcPr>
          <w:p w14:paraId="537491B6"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1101 +/ 1311</w:t>
            </w:r>
          </w:p>
          <w:p w14:paraId="3A06DFC4" w14:textId="77777777" w:rsidR="00FF0074" w:rsidRPr="00EF24D8" w:rsidRDefault="00FF0074">
            <w:pPr>
              <w:widowControl w:val="0"/>
              <w:rPr>
                <w:rFonts w:ascii="Times New Roman" w:eastAsia="Times New Roman" w:hAnsi="Times New Roman" w:cs="Times New Roman"/>
                <w:sz w:val="20"/>
                <w:szCs w:val="20"/>
              </w:rPr>
            </w:pPr>
          </w:p>
          <w:p w14:paraId="34C32437"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47 +/42</w:t>
            </w:r>
          </w:p>
        </w:tc>
      </w:tr>
      <w:tr w:rsidR="00FF0074" w:rsidRPr="00EF24D8" w14:paraId="67DF7ACD" w14:textId="77777777" w:rsidTr="00EF24D8">
        <w:tc>
          <w:tcPr>
            <w:tcW w:w="1276" w:type="dxa"/>
            <w:tcBorders>
              <w:top w:val="nil"/>
              <w:left w:val="nil"/>
              <w:bottom w:val="nil"/>
              <w:right w:val="nil"/>
            </w:tcBorders>
            <w:shd w:val="clear" w:color="auto" w:fill="auto"/>
            <w:tcMar>
              <w:top w:w="100" w:type="dxa"/>
              <w:left w:w="100" w:type="dxa"/>
              <w:bottom w:w="100" w:type="dxa"/>
              <w:right w:w="100" w:type="dxa"/>
            </w:tcMar>
          </w:tcPr>
          <w:p w14:paraId="6E304747"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Trials ineligible for primary quantitative synthesis</w:t>
            </w:r>
          </w:p>
        </w:tc>
        <w:tc>
          <w:tcPr>
            <w:tcW w:w="709" w:type="dxa"/>
            <w:tcBorders>
              <w:top w:val="nil"/>
              <w:left w:val="nil"/>
              <w:bottom w:val="nil"/>
              <w:right w:val="nil"/>
            </w:tcBorders>
            <w:shd w:val="clear" w:color="auto" w:fill="auto"/>
            <w:tcMar>
              <w:top w:w="100" w:type="dxa"/>
              <w:left w:w="100" w:type="dxa"/>
              <w:bottom w:w="100" w:type="dxa"/>
              <w:right w:w="100" w:type="dxa"/>
            </w:tcMar>
          </w:tcPr>
          <w:p w14:paraId="4D2B5F56"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4</w:t>
            </w:r>
          </w:p>
        </w:tc>
        <w:tc>
          <w:tcPr>
            <w:tcW w:w="1134" w:type="dxa"/>
            <w:tcBorders>
              <w:top w:val="nil"/>
              <w:left w:val="nil"/>
              <w:bottom w:val="nil"/>
              <w:right w:val="nil"/>
            </w:tcBorders>
            <w:shd w:val="clear" w:color="auto" w:fill="auto"/>
            <w:tcMar>
              <w:top w:w="100" w:type="dxa"/>
              <w:left w:w="100" w:type="dxa"/>
              <w:bottom w:w="100" w:type="dxa"/>
              <w:right w:w="100" w:type="dxa"/>
            </w:tcMar>
          </w:tcPr>
          <w:p w14:paraId="13F53957"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7</w:t>
            </w:r>
          </w:p>
        </w:tc>
        <w:tc>
          <w:tcPr>
            <w:tcW w:w="1134" w:type="dxa"/>
            <w:tcBorders>
              <w:top w:val="nil"/>
              <w:left w:val="nil"/>
              <w:bottom w:val="nil"/>
              <w:right w:val="nil"/>
            </w:tcBorders>
            <w:shd w:val="clear" w:color="auto" w:fill="auto"/>
            <w:tcMar>
              <w:top w:w="100" w:type="dxa"/>
              <w:left w:w="100" w:type="dxa"/>
              <w:bottom w:w="100" w:type="dxa"/>
              <w:right w:w="100" w:type="dxa"/>
            </w:tcMar>
          </w:tcPr>
          <w:p w14:paraId="41A582F1"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Subjective:</w:t>
            </w:r>
          </w:p>
        </w:tc>
        <w:tc>
          <w:tcPr>
            <w:tcW w:w="1072" w:type="dxa"/>
            <w:tcBorders>
              <w:top w:val="nil"/>
              <w:left w:val="nil"/>
              <w:bottom w:val="nil"/>
              <w:right w:val="nil"/>
            </w:tcBorders>
            <w:shd w:val="clear" w:color="auto" w:fill="auto"/>
            <w:tcMar>
              <w:top w:w="100" w:type="dxa"/>
              <w:left w:w="100" w:type="dxa"/>
              <w:bottom w:w="100" w:type="dxa"/>
              <w:right w:w="100" w:type="dxa"/>
            </w:tcMar>
          </w:tcPr>
          <w:p w14:paraId="059D2435"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3</w:t>
            </w:r>
          </w:p>
        </w:tc>
        <w:tc>
          <w:tcPr>
            <w:tcW w:w="912" w:type="dxa"/>
            <w:tcBorders>
              <w:top w:val="nil"/>
              <w:left w:val="nil"/>
              <w:bottom w:val="nil"/>
              <w:right w:val="nil"/>
            </w:tcBorders>
            <w:shd w:val="clear" w:color="auto" w:fill="auto"/>
            <w:tcMar>
              <w:top w:w="100" w:type="dxa"/>
              <w:left w:w="100" w:type="dxa"/>
              <w:bottom w:w="100" w:type="dxa"/>
              <w:right w:w="100" w:type="dxa"/>
            </w:tcMar>
          </w:tcPr>
          <w:p w14:paraId="7882B1C2"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Oral:</w:t>
            </w:r>
          </w:p>
          <w:p w14:paraId="48EA5BA2" w14:textId="77777777" w:rsidR="00FF0074" w:rsidRPr="00EF24D8" w:rsidRDefault="00FF0074">
            <w:pPr>
              <w:widowControl w:val="0"/>
              <w:rPr>
                <w:rFonts w:ascii="Times New Roman" w:eastAsia="Times New Roman" w:hAnsi="Times New Roman" w:cs="Times New Roman"/>
                <w:sz w:val="20"/>
                <w:szCs w:val="20"/>
              </w:rPr>
            </w:pPr>
          </w:p>
          <w:p w14:paraId="61CA2EF1"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Inhaled:</w:t>
            </w:r>
          </w:p>
        </w:tc>
        <w:tc>
          <w:tcPr>
            <w:tcW w:w="1560" w:type="dxa"/>
            <w:tcBorders>
              <w:top w:val="nil"/>
              <w:left w:val="nil"/>
              <w:bottom w:val="nil"/>
              <w:right w:val="nil"/>
            </w:tcBorders>
            <w:shd w:val="clear" w:color="auto" w:fill="auto"/>
            <w:tcMar>
              <w:top w:w="100" w:type="dxa"/>
              <w:left w:w="100" w:type="dxa"/>
              <w:bottom w:w="100" w:type="dxa"/>
              <w:right w:w="100" w:type="dxa"/>
            </w:tcMar>
          </w:tcPr>
          <w:p w14:paraId="2477AC45"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3</w:t>
            </w:r>
          </w:p>
          <w:p w14:paraId="1E1888F1" w14:textId="77777777" w:rsidR="00FF0074" w:rsidRPr="00EF24D8" w:rsidRDefault="00FF0074">
            <w:pPr>
              <w:widowControl w:val="0"/>
              <w:rPr>
                <w:rFonts w:ascii="Times New Roman" w:eastAsia="Times New Roman" w:hAnsi="Times New Roman" w:cs="Times New Roman"/>
                <w:sz w:val="20"/>
                <w:szCs w:val="20"/>
              </w:rPr>
            </w:pPr>
          </w:p>
          <w:p w14:paraId="2E4A5008"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0</w:t>
            </w:r>
          </w:p>
        </w:tc>
        <w:tc>
          <w:tcPr>
            <w:tcW w:w="1548" w:type="dxa"/>
            <w:tcBorders>
              <w:top w:val="nil"/>
              <w:left w:val="nil"/>
              <w:bottom w:val="nil"/>
              <w:right w:val="nil"/>
            </w:tcBorders>
            <w:shd w:val="clear" w:color="auto" w:fill="auto"/>
            <w:tcMar>
              <w:top w:w="100" w:type="dxa"/>
              <w:left w:w="100" w:type="dxa"/>
              <w:bottom w:w="100" w:type="dxa"/>
              <w:right w:w="100" w:type="dxa"/>
            </w:tcMar>
          </w:tcPr>
          <w:p w14:paraId="73ED0B82"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600 +/ 0</w:t>
            </w:r>
          </w:p>
        </w:tc>
      </w:tr>
      <w:tr w:rsidR="00FF0074" w:rsidRPr="00EF24D8" w14:paraId="42A9F9F3" w14:textId="77777777" w:rsidTr="00EF24D8">
        <w:tc>
          <w:tcPr>
            <w:tcW w:w="1276" w:type="dxa"/>
            <w:tcBorders>
              <w:top w:val="nil"/>
              <w:left w:val="nil"/>
              <w:bottom w:val="single" w:sz="4" w:space="0" w:color="auto"/>
              <w:right w:val="nil"/>
            </w:tcBorders>
            <w:shd w:val="clear" w:color="auto" w:fill="auto"/>
            <w:tcMar>
              <w:top w:w="100" w:type="dxa"/>
              <w:left w:w="100" w:type="dxa"/>
              <w:bottom w:w="100" w:type="dxa"/>
              <w:right w:w="100" w:type="dxa"/>
            </w:tcMar>
          </w:tcPr>
          <w:p w14:paraId="0376FEFD" w14:textId="77777777" w:rsidR="00FF0074" w:rsidRPr="00EF24D8" w:rsidRDefault="00FF0074">
            <w:pPr>
              <w:widowControl w:val="0"/>
              <w:rPr>
                <w:rFonts w:ascii="Times New Roman" w:eastAsia="Times New Roman" w:hAnsi="Times New Roman" w:cs="Times New Roman"/>
                <w:sz w:val="20"/>
                <w:szCs w:val="20"/>
              </w:rPr>
            </w:pPr>
          </w:p>
        </w:tc>
        <w:tc>
          <w:tcPr>
            <w:tcW w:w="709" w:type="dxa"/>
            <w:tcBorders>
              <w:top w:val="nil"/>
              <w:left w:val="nil"/>
              <w:bottom w:val="single" w:sz="4" w:space="0" w:color="auto"/>
              <w:right w:val="nil"/>
            </w:tcBorders>
            <w:shd w:val="clear" w:color="auto" w:fill="auto"/>
            <w:tcMar>
              <w:top w:w="100" w:type="dxa"/>
              <w:left w:w="100" w:type="dxa"/>
              <w:bottom w:w="100" w:type="dxa"/>
              <w:right w:w="100" w:type="dxa"/>
            </w:tcMar>
          </w:tcPr>
          <w:p w14:paraId="0720F4B3" w14:textId="77777777" w:rsidR="00FF0074" w:rsidRPr="00EF24D8" w:rsidRDefault="00FF0074">
            <w:pPr>
              <w:widowControl w:val="0"/>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tcMar>
              <w:top w:w="100" w:type="dxa"/>
              <w:left w:w="100" w:type="dxa"/>
              <w:bottom w:w="100" w:type="dxa"/>
              <w:right w:w="100" w:type="dxa"/>
            </w:tcMar>
          </w:tcPr>
          <w:p w14:paraId="165820C4" w14:textId="77777777" w:rsidR="00FF0074" w:rsidRPr="00EF24D8" w:rsidRDefault="00FF0074">
            <w:pPr>
              <w:widowControl w:val="0"/>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tcMar>
              <w:top w:w="100" w:type="dxa"/>
              <w:left w:w="100" w:type="dxa"/>
              <w:bottom w:w="100" w:type="dxa"/>
              <w:right w:w="100" w:type="dxa"/>
            </w:tcMar>
          </w:tcPr>
          <w:p w14:paraId="4DEDB959"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Objective:</w:t>
            </w:r>
          </w:p>
        </w:tc>
        <w:tc>
          <w:tcPr>
            <w:tcW w:w="1072" w:type="dxa"/>
            <w:tcBorders>
              <w:top w:val="nil"/>
              <w:left w:val="nil"/>
              <w:bottom w:val="single" w:sz="4" w:space="0" w:color="auto"/>
              <w:right w:val="nil"/>
            </w:tcBorders>
            <w:shd w:val="clear" w:color="auto" w:fill="auto"/>
            <w:tcMar>
              <w:top w:w="100" w:type="dxa"/>
              <w:left w:w="100" w:type="dxa"/>
              <w:bottom w:w="100" w:type="dxa"/>
              <w:right w:w="100" w:type="dxa"/>
            </w:tcMar>
          </w:tcPr>
          <w:p w14:paraId="33EC6360"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4</w:t>
            </w:r>
          </w:p>
        </w:tc>
        <w:tc>
          <w:tcPr>
            <w:tcW w:w="912" w:type="dxa"/>
            <w:tcBorders>
              <w:top w:val="nil"/>
              <w:left w:val="nil"/>
              <w:bottom w:val="single" w:sz="4" w:space="0" w:color="auto"/>
              <w:right w:val="nil"/>
            </w:tcBorders>
            <w:shd w:val="clear" w:color="auto" w:fill="auto"/>
            <w:tcMar>
              <w:top w:w="100" w:type="dxa"/>
              <w:left w:w="100" w:type="dxa"/>
              <w:bottom w:w="100" w:type="dxa"/>
              <w:right w:w="100" w:type="dxa"/>
            </w:tcMar>
          </w:tcPr>
          <w:p w14:paraId="0EAD1DC3"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Oral:</w:t>
            </w:r>
          </w:p>
          <w:p w14:paraId="225B8B0C" w14:textId="77777777" w:rsidR="00FF0074" w:rsidRPr="00EF24D8" w:rsidRDefault="00FF0074">
            <w:pPr>
              <w:widowControl w:val="0"/>
              <w:rPr>
                <w:rFonts w:ascii="Times New Roman" w:eastAsia="Times New Roman" w:hAnsi="Times New Roman" w:cs="Times New Roman"/>
                <w:sz w:val="20"/>
                <w:szCs w:val="20"/>
              </w:rPr>
            </w:pPr>
          </w:p>
          <w:p w14:paraId="2CF21098"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Inhaled:</w:t>
            </w:r>
          </w:p>
        </w:tc>
        <w:tc>
          <w:tcPr>
            <w:tcW w:w="1560" w:type="dxa"/>
            <w:tcBorders>
              <w:top w:val="nil"/>
              <w:left w:val="nil"/>
              <w:bottom w:val="single" w:sz="4" w:space="0" w:color="auto"/>
              <w:right w:val="nil"/>
            </w:tcBorders>
            <w:shd w:val="clear" w:color="auto" w:fill="auto"/>
            <w:tcMar>
              <w:top w:w="100" w:type="dxa"/>
              <w:left w:w="100" w:type="dxa"/>
              <w:bottom w:w="100" w:type="dxa"/>
              <w:right w:w="100" w:type="dxa"/>
            </w:tcMar>
          </w:tcPr>
          <w:p w14:paraId="5D736AC3"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4</w:t>
            </w:r>
          </w:p>
          <w:p w14:paraId="2FD3A8FC" w14:textId="77777777" w:rsidR="00FF0074" w:rsidRPr="00EF24D8" w:rsidRDefault="00FF0074">
            <w:pPr>
              <w:widowControl w:val="0"/>
              <w:rPr>
                <w:rFonts w:ascii="Times New Roman" w:eastAsia="Times New Roman" w:hAnsi="Times New Roman" w:cs="Times New Roman"/>
                <w:sz w:val="20"/>
                <w:szCs w:val="20"/>
              </w:rPr>
            </w:pPr>
          </w:p>
          <w:p w14:paraId="6606A5D5"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0</w:t>
            </w:r>
          </w:p>
        </w:tc>
        <w:tc>
          <w:tcPr>
            <w:tcW w:w="1548" w:type="dxa"/>
            <w:tcBorders>
              <w:top w:val="nil"/>
              <w:left w:val="nil"/>
              <w:bottom w:val="single" w:sz="4" w:space="0" w:color="auto"/>
              <w:right w:val="nil"/>
            </w:tcBorders>
            <w:shd w:val="clear" w:color="auto" w:fill="auto"/>
            <w:tcMar>
              <w:top w:w="100" w:type="dxa"/>
              <w:left w:w="100" w:type="dxa"/>
              <w:bottom w:w="100" w:type="dxa"/>
              <w:right w:w="100" w:type="dxa"/>
            </w:tcMar>
          </w:tcPr>
          <w:p w14:paraId="2814D7DD" w14:textId="77777777" w:rsidR="00FF0074" w:rsidRPr="00EF24D8" w:rsidRDefault="00000000">
            <w:pPr>
              <w:widowControl w:val="0"/>
              <w:rPr>
                <w:rFonts w:ascii="Times New Roman" w:eastAsia="Times New Roman" w:hAnsi="Times New Roman" w:cs="Times New Roman"/>
                <w:sz w:val="20"/>
                <w:szCs w:val="20"/>
              </w:rPr>
            </w:pPr>
            <w:r w:rsidRPr="00EF24D8">
              <w:rPr>
                <w:rFonts w:ascii="Times New Roman" w:eastAsia="Times New Roman" w:hAnsi="Times New Roman" w:cs="Times New Roman"/>
                <w:sz w:val="20"/>
                <w:szCs w:val="20"/>
              </w:rPr>
              <w:t>750 +/ 100</w:t>
            </w:r>
          </w:p>
        </w:tc>
      </w:tr>
    </w:tbl>
    <w:p w14:paraId="0DE6AFC1" w14:textId="4EFBCFB6" w:rsidR="00FF0074" w:rsidRPr="00EF24D8" w:rsidRDefault="00FF0074">
      <w:pPr>
        <w:spacing w:line="276" w:lineRule="auto"/>
        <w:rPr>
          <w:rFonts w:ascii="Times New Roman" w:eastAsia="Times New Roman" w:hAnsi="Times New Roman" w:cs="Times New Roman"/>
          <w:color w:val="374151"/>
        </w:rPr>
      </w:pPr>
    </w:p>
    <w:p w14:paraId="7630BF97" w14:textId="5CA78A76" w:rsidR="003E2D35" w:rsidRDefault="003E2D35">
      <w:pPr>
        <w:numPr>
          <w:ilvl w:val="0"/>
          <w:numId w:val="2"/>
        </w:numPr>
        <w:rPr>
          <w:rFonts w:ascii="Times New Roman" w:hAnsi="Times New Roman" w:cs="Times New Roman"/>
          <w:b/>
          <w:bCs/>
        </w:rPr>
      </w:pPr>
      <w:proofErr w:type="spellStart"/>
      <w:r>
        <w:rPr>
          <w:rFonts w:ascii="Times New Roman" w:hAnsi="Times New Roman" w:cs="Times New Roman"/>
          <w:b/>
          <w:bCs/>
        </w:rPr>
        <w:t>eTable</w:t>
      </w:r>
      <w:proofErr w:type="spellEnd"/>
      <w:r>
        <w:rPr>
          <w:rFonts w:ascii="Times New Roman" w:hAnsi="Times New Roman" w:cs="Times New Roman"/>
          <w:b/>
          <w:bCs/>
        </w:rPr>
        <w:t xml:space="preserve"> 4. </w:t>
      </w:r>
      <w:r w:rsidRPr="003E2D35">
        <w:rPr>
          <w:rFonts w:ascii="Times New Roman" w:hAnsi="Times New Roman" w:cs="Times New Roman"/>
          <w:b/>
          <w:bCs/>
        </w:rPr>
        <w:t xml:space="preserve">Studies by outcome measure included in the quantitative </w:t>
      </w:r>
      <w:proofErr w:type="gramStart"/>
      <w:r w:rsidRPr="003E2D35">
        <w:rPr>
          <w:rFonts w:ascii="Times New Roman" w:hAnsi="Times New Roman" w:cs="Times New Roman"/>
          <w:b/>
          <w:bCs/>
        </w:rPr>
        <w:t>synthesis</w:t>
      </w:r>
      <w:proofErr w:type="gramEnd"/>
    </w:p>
    <w:p w14:paraId="78F8282F" w14:textId="77777777" w:rsidR="00374947" w:rsidRDefault="00374947" w:rsidP="00374947">
      <w:pPr>
        <w:rPr>
          <w:rFonts w:ascii="Times New Roman" w:hAnsi="Times New Roman" w:cs="Times New Roman"/>
          <w:b/>
          <w:bCs/>
        </w:rPr>
      </w:pPr>
    </w:p>
    <w:p w14:paraId="2D04B1B9" w14:textId="107BD071" w:rsidR="00374947" w:rsidRDefault="00374947" w:rsidP="00374947">
      <w:pPr>
        <w:rPr>
          <w:rFonts w:ascii="Times New Roman" w:hAnsi="Times New Roman" w:cs="Times New Roman"/>
          <w:b/>
          <w:bCs/>
        </w:rPr>
      </w:pPr>
      <w:proofErr w:type="spellStart"/>
      <w:r>
        <w:rPr>
          <w:rFonts w:ascii="Times New Roman" w:hAnsi="Times New Roman" w:cs="Times New Roman"/>
          <w:b/>
          <w:bCs/>
        </w:rPr>
        <w:t>eTable</w:t>
      </w:r>
      <w:proofErr w:type="spellEnd"/>
      <w:r>
        <w:rPr>
          <w:rFonts w:ascii="Times New Roman" w:hAnsi="Times New Roman" w:cs="Times New Roman"/>
          <w:b/>
          <w:bCs/>
        </w:rPr>
        <w:t xml:space="preserve"> 4. </w:t>
      </w:r>
      <w:r w:rsidRPr="003E2D35">
        <w:rPr>
          <w:rFonts w:ascii="Times New Roman" w:hAnsi="Times New Roman" w:cs="Times New Roman"/>
          <w:b/>
          <w:bCs/>
        </w:rPr>
        <w:t xml:space="preserve">Studies by outcome measure included in the quantitative </w:t>
      </w:r>
      <w:proofErr w:type="gramStart"/>
      <w:r w:rsidRPr="003E2D35">
        <w:rPr>
          <w:rFonts w:ascii="Times New Roman" w:hAnsi="Times New Roman" w:cs="Times New Roman"/>
          <w:b/>
          <w:bCs/>
        </w:rPr>
        <w:t>synthesis</w:t>
      </w:r>
      <w:proofErr w:type="gramEnd"/>
    </w:p>
    <w:p w14:paraId="20A2E26D" w14:textId="7728431F" w:rsidR="0069712A" w:rsidRPr="00374947" w:rsidRDefault="0069712A" w:rsidP="00374947">
      <w:pPr>
        <w:ind w:left="360"/>
        <w:rPr>
          <w:rFonts w:ascii="Times New Roman" w:hAnsi="Times New Roman" w:cs="Times New Roman"/>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820"/>
      </w:tblGrid>
      <w:tr w:rsidR="0069712A" w:rsidRPr="0069712A" w14:paraId="395D670D" w14:textId="77777777" w:rsidTr="0069712A">
        <w:trPr>
          <w:trHeight w:val="397"/>
          <w:jc w:val="center"/>
        </w:trPr>
        <w:tc>
          <w:tcPr>
            <w:tcW w:w="4111" w:type="dxa"/>
            <w:tcBorders>
              <w:left w:val="nil"/>
              <w:bottom w:val="single" w:sz="4" w:space="0" w:color="auto"/>
              <w:right w:val="nil"/>
            </w:tcBorders>
            <w:shd w:val="clear" w:color="auto" w:fill="auto"/>
            <w:noWrap/>
            <w:vAlign w:val="bottom"/>
            <w:hideMark/>
          </w:tcPr>
          <w:p w14:paraId="23D5453E"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Outcome measure</w:t>
            </w:r>
          </w:p>
        </w:tc>
        <w:tc>
          <w:tcPr>
            <w:tcW w:w="4820" w:type="dxa"/>
            <w:tcBorders>
              <w:left w:val="nil"/>
              <w:bottom w:val="single" w:sz="4" w:space="0" w:color="auto"/>
              <w:right w:val="nil"/>
            </w:tcBorders>
            <w:shd w:val="clear" w:color="auto" w:fill="auto"/>
            <w:noWrap/>
            <w:vAlign w:val="bottom"/>
            <w:hideMark/>
          </w:tcPr>
          <w:p w14:paraId="47CE269A"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Study</w:t>
            </w:r>
          </w:p>
        </w:tc>
      </w:tr>
      <w:tr w:rsidR="0069712A" w:rsidRPr="0069712A" w14:paraId="2A3B09BC" w14:textId="77777777" w:rsidTr="0069712A">
        <w:trPr>
          <w:trHeight w:val="397"/>
          <w:jc w:val="center"/>
        </w:trPr>
        <w:tc>
          <w:tcPr>
            <w:tcW w:w="4111" w:type="dxa"/>
            <w:tcBorders>
              <w:top w:val="single" w:sz="4" w:space="0" w:color="auto"/>
              <w:left w:val="nil"/>
              <w:bottom w:val="nil"/>
              <w:right w:val="nil"/>
            </w:tcBorders>
            <w:shd w:val="clear" w:color="auto" w:fill="auto"/>
            <w:noWrap/>
            <w:vAlign w:val="bottom"/>
            <w:hideMark/>
          </w:tcPr>
          <w:p w14:paraId="39559F6F"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Cancellation test</w:t>
            </w:r>
          </w:p>
        </w:tc>
        <w:tc>
          <w:tcPr>
            <w:tcW w:w="4820" w:type="dxa"/>
            <w:tcBorders>
              <w:top w:val="single" w:sz="4" w:space="0" w:color="auto"/>
              <w:left w:val="nil"/>
              <w:bottom w:val="nil"/>
              <w:right w:val="nil"/>
            </w:tcBorders>
            <w:shd w:val="clear" w:color="auto" w:fill="auto"/>
            <w:noWrap/>
            <w:vAlign w:val="bottom"/>
            <w:hideMark/>
          </w:tcPr>
          <w:p w14:paraId="24D23679" w14:textId="77777777" w:rsidR="0069712A" w:rsidRPr="0069712A" w:rsidRDefault="0069712A" w:rsidP="00C15575">
            <w:pPr>
              <w:spacing w:after="240"/>
              <w:rPr>
                <w:rFonts w:ascii="Times New Roman" w:eastAsia="Times New Roman" w:hAnsi="Times New Roman" w:cs="Times New Roman"/>
                <w:color w:val="000000"/>
                <w:sz w:val="20"/>
                <w:szCs w:val="20"/>
              </w:rPr>
            </w:pPr>
            <w:proofErr w:type="spellStart"/>
            <w:r w:rsidRPr="0069712A">
              <w:rPr>
                <w:rFonts w:ascii="Times New Roman" w:eastAsia="Times New Roman" w:hAnsi="Times New Roman" w:cs="Times New Roman"/>
                <w:color w:val="000000" w:themeColor="text1"/>
                <w:sz w:val="20"/>
                <w:szCs w:val="20"/>
              </w:rPr>
              <w:t>Consroe</w:t>
            </w:r>
            <w:proofErr w:type="spellEnd"/>
            <w:r w:rsidRPr="0069712A">
              <w:rPr>
                <w:rFonts w:ascii="Times New Roman" w:eastAsia="Times New Roman" w:hAnsi="Times New Roman" w:cs="Times New Roman"/>
                <w:color w:val="000000" w:themeColor="text1"/>
                <w:sz w:val="20"/>
                <w:szCs w:val="20"/>
              </w:rPr>
              <w:t xml:space="preserve"> et al., 1979</w:t>
            </w:r>
          </w:p>
        </w:tc>
      </w:tr>
      <w:tr w:rsidR="0069712A" w:rsidRPr="0069712A" w14:paraId="7F5D0549"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71F82B88"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lastRenderedPageBreak/>
              <w:t>Divided attention task (DAT)</w:t>
            </w:r>
          </w:p>
        </w:tc>
        <w:tc>
          <w:tcPr>
            <w:tcW w:w="4820" w:type="dxa"/>
            <w:tcBorders>
              <w:top w:val="nil"/>
              <w:left w:val="nil"/>
              <w:bottom w:val="nil"/>
              <w:right w:val="nil"/>
            </w:tcBorders>
            <w:shd w:val="clear" w:color="auto" w:fill="auto"/>
            <w:noWrap/>
            <w:vAlign w:val="bottom"/>
            <w:hideMark/>
          </w:tcPr>
          <w:p w14:paraId="58AAEFE6" w14:textId="77777777" w:rsidR="0069712A" w:rsidRPr="0069712A" w:rsidRDefault="0069712A" w:rsidP="00C15575">
            <w:pPr>
              <w:spacing w:after="240"/>
              <w:rPr>
                <w:rFonts w:ascii="Times New Roman" w:eastAsia="Times New Roman" w:hAnsi="Times New Roman" w:cs="Times New Roman"/>
                <w:color w:val="000000" w:themeColor="text1"/>
                <w:sz w:val="20"/>
                <w:szCs w:val="20"/>
              </w:rPr>
            </w:pPr>
            <w:r w:rsidRPr="0069712A">
              <w:rPr>
                <w:rFonts w:ascii="Times New Roman" w:eastAsia="Times New Roman" w:hAnsi="Times New Roman" w:cs="Times New Roman"/>
                <w:color w:val="000000" w:themeColor="text1"/>
                <w:sz w:val="20"/>
                <w:szCs w:val="20"/>
              </w:rPr>
              <w:t>Arkell et al., 2020</w:t>
            </w:r>
            <w:r w:rsidRPr="0069712A">
              <w:rPr>
                <w:rFonts w:ascii="Times New Roman" w:eastAsia="Times New Roman" w:hAnsi="Times New Roman" w:cs="Times New Roman"/>
                <w:color w:val="000000"/>
                <w:sz w:val="20"/>
                <w:szCs w:val="20"/>
              </w:rPr>
              <w:t xml:space="preserve">, </w:t>
            </w:r>
            <w:r w:rsidRPr="0069712A">
              <w:rPr>
                <w:rFonts w:ascii="Times New Roman" w:eastAsia="Times New Roman" w:hAnsi="Times New Roman" w:cs="Times New Roman"/>
                <w:color w:val="000000" w:themeColor="text1"/>
                <w:sz w:val="20"/>
                <w:szCs w:val="20"/>
              </w:rPr>
              <w:t>McCartney et al., 2022</w:t>
            </w:r>
            <w:r w:rsidRPr="0069712A">
              <w:rPr>
                <w:rFonts w:ascii="Times New Roman" w:eastAsia="Times New Roman" w:hAnsi="Times New Roman" w:cs="Times New Roman"/>
                <w:color w:val="000000"/>
                <w:sz w:val="20"/>
                <w:szCs w:val="20"/>
              </w:rPr>
              <w:t xml:space="preserve">, </w:t>
            </w:r>
            <w:proofErr w:type="spellStart"/>
            <w:r w:rsidRPr="0069712A">
              <w:rPr>
                <w:rFonts w:ascii="Times New Roman" w:eastAsia="Times New Roman" w:hAnsi="Times New Roman" w:cs="Times New Roman"/>
                <w:color w:val="000000" w:themeColor="text1"/>
                <w:sz w:val="20"/>
                <w:szCs w:val="20"/>
              </w:rPr>
              <w:t>Schoedel</w:t>
            </w:r>
            <w:proofErr w:type="spellEnd"/>
            <w:r w:rsidRPr="0069712A">
              <w:rPr>
                <w:rFonts w:ascii="Times New Roman" w:eastAsia="Times New Roman" w:hAnsi="Times New Roman" w:cs="Times New Roman"/>
                <w:color w:val="000000" w:themeColor="text1"/>
                <w:sz w:val="20"/>
                <w:szCs w:val="20"/>
              </w:rPr>
              <w:t xml:space="preserve"> et al., 2018</w:t>
            </w:r>
            <w:r w:rsidRPr="0069712A">
              <w:rPr>
                <w:rFonts w:ascii="Times New Roman" w:eastAsia="Times New Roman" w:hAnsi="Times New Roman" w:cs="Times New Roman"/>
                <w:color w:val="000000"/>
                <w:sz w:val="20"/>
                <w:szCs w:val="20"/>
              </w:rPr>
              <w:t xml:space="preserve">, </w:t>
            </w:r>
            <w:r w:rsidRPr="0069712A">
              <w:rPr>
                <w:rFonts w:ascii="Times New Roman" w:eastAsia="Times New Roman" w:hAnsi="Times New Roman" w:cs="Times New Roman"/>
                <w:color w:val="000000" w:themeColor="text1"/>
                <w:sz w:val="20"/>
                <w:szCs w:val="20"/>
              </w:rPr>
              <w:t>Spindle et al., 2020</w:t>
            </w:r>
          </w:p>
        </w:tc>
      </w:tr>
      <w:tr w:rsidR="0069712A" w:rsidRPr="0069712A" w14:paraId="44645147"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2498F5BE"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Delayed free recall</w:t>
            </w:r>
          </w:p>
        </w:tc>
        <w:tc>
          <w:tcPr>
            <w:tcW w:w="4820" w:type="dxa"/>
            <w:tcBorders>
              <w:top w:val="nil"/>
              <w:left w:val="nil"/>
              <w:bottom w:val="nil"/>
              <w:right w:val="nil"/>
            </w:tcBorders>
            <w:shd w:val="clear" w:color="auto" w:fill="auto"/>
            <w:noWrap/>
            <w:vAlign w:val="bottom"/>
            <w:hideMark/>
          </w:tcPr>
          <w:p w14:paraId="1B18416F" w14:textId="77777777" w:rsidR="0069712A" w:rsidRPr="0069712A" w:rsidRDefault="0069712A" w:rsidP="00C15575">
            <w:pPr>
              <w:spacing w:after="240"/>
              <w:rPr>
                <w:rFonts w:ascii="Times New Roman" w:eastAsia="Times New Roman" w:hAnsi="Times New Roman" w:cs="Times New Roman"/>
                <w:color w:val="000000" w:themeColor="text1"/>
                <w:sz w:val="20"/>
                <w:szCs w:val="20"/>
              </w:rPr>
            </w:pPr>
            <w:proofErr w:type="spellStart"/>
            <w:r w:rsidRPr="0069712A">
              <w:rPr>
                <w:rFonts w:ascii="Times New Roman" w:eastAsia="Times New Roman" w:hAnsi="Times New Roman" w:cs="Times New Roman"/>
                <w:color w:val="000000" w:themeColor="text1"/>
                <w:sz w:val="20"/>
                <w:szCs w:val="20"/>
              </w:rPr>
              <w:t>Hotz</w:t>
            </w:r>
            <w:proofErr w:type="spellEnd"/>
            <w:r w:rsidRPr="0069712A">
              <w:rPr>
                <w:rFonts w:ascii="Times New Roman" w:eastAsia="Times New Roman" w:hAnsi="Times New Roman" w:cs="Times New Roman"/>
                <w:color w:val="000000" w:themeColor="text1"/>
                <w:sz w:val="20"/>
                <w:szCs w:val="20"/>
              </w:rPr>
              <w:t xml:space="preserve"> et al., 2021</w:t>
            </w:r>
          </w:p>
        </w:tc>
      </w:tr>
      <w:tr w:rsidR="0069712A" w:rsidRPr="0069712A" w14:paraId="4A11C9A7"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7D11CD49"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Differential aptitude test</w:t>
            </w:r>
          </w:p>
        </w:tc>
        <w:tc>
          <w:tcPr>
            <w:tcW w:w="4820" w:type="dxa"/>
            <w:tcBorders>
              <w:top w:val="nil"/>
              <w:left w:val="nil"/>
              <w:bottom w:val="nil"/>
              <w:right w:val="nil"/>
            </w:tcBorders>
            <w:shd w:val="clear" w:color="auto" w:fill="auto"/>
            <w:noWrap/>
            <w:vAlign w:val="bottom"/>
            <w:hideMark/>
          </w:tcPr>
          <w:p w14:paraId="2EFD750A" w14:textId="77777777" w:rsidR="0069712A" w:rsidRPr="0069712A" w:rsidRDefault="0069712A" w:rsidP="00C15575">
            <w:pPr>
              <w:spacing w:after="240"/>
              <w:rPr>
                <w:rFonts w:ascii="Times New Roman" w:eastAsia="Times New Roman" w:hAnsi="Times New Roman" w:cs="Times New Roman"/>
                <w:color w:val="000000"/>
                <w:sz w:val="20"/>
                <w:szCs w:val="20"/>
              </w:rPr>
            </w:pPr>
            <w:proofErr w:type="spellStart"/>
            <w:r w:rsidRPr="0069712A">
              <w:rPr>
                <w:rFonts w:ascii="Times New Roman" w:eastAsia="Times New Roman" w:hAnsi="Times New Roman" w:cs="Times New Roman"/>
                <w:color w:val="000000" w:themeColor="text1"/>
                <w:sz w:val="20"/>
                <w:szCs w:val="20"/>
              </w:rPr>
              <w:t>Consroe</w:t>
            </w:r>
            <w:proofErr w:type="spellEnd"/>
            <w:r w:rsidRPr="0069712A">
              <w:rPr>
                <w:rFonts w:ascii="Times New Roman" w:eastAsia="Times New Roman" w:hAnsi="Times New Roman" w:cs="Times New Roman"/>
                <w:color w:val="000000" w:themeColor="text1"/>
                <w:sz w:val="20"/>
                <w:szCs w:val="20"/>
              </w:rPr>
              <w:t xml:space="preserve"> et al., 1979</w:t>
            </w:r>
          </w:p>
        </w:tc>
      </w:tr>
      <w:tr w:rsidR="0069712A" w:rsidRPr="0069712A" w14:paraId="6B199C51"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5B69999E"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Digit span task (DST)</w:t>
            </w:r>
          </w:p>
        </w:tc>
        <w:tc>
          <w:tcPr>
            <w:tcW w:w="4820" w:type="dxa"/>
            <w:tcBorders>
              <w:top w:val="nil"/>
              <w:left w:val="nil"/>
              <w:bottom w:val="nil"/>
              <w:right w:val="nil"/>
            </w:tcBorders>
            <w:shd w:val="clear" w:color="auto" w:fill="auto"/>
            <w:noWrap/>
            <w:vAlign w:val="bottom"/>
            <w:hideMark/>
          </w:tcPr>
          <w:p w14:paraId="7D3722D4"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themeColor="text1"/>
                <w:sz w:val="20"/>
                <w:szCs w:val="20"/>
              </w:rPr>
              <w:t>Bloomfield et al., 2020</w:t>
            </w:r>
          </w:p>
        </w:tc>
      </w:tr>
      <w:tr w:rsidR="0069712A" w:rsidRPr="0069712A" w14:paraId="27D9D1B9"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00AA2827"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Driving: on-road</w:t>
            </w:r>
          </w:p>
        </w:tc>
        <w:tc>
          <w:tcPr>
            <w:tcW w:w="4820" w:type="dxa"/>
            <w:tcBorders>
              <w:top w:val="nil"/>
              <w:left w:val="nil"/>
              <w:bottom w:val="nil"/>
              <w:right w:val="nil"/>
            </w:tcBorders>
            <w:shd w:val="clear" w:color="auto" w:fill="auto"/>
            <w:noWrap/>
            <w:vAlign w:val="bottom"/>
            <w:hideMark/>
          </w:tcPr>
          <w:p w14:paraId="1AD302A3"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themeColor="text1"/>
                <w:sz w:val="20"/>
                <w:szCs w:val="20"/>
              </w:rPr>
              <w:t>Arkell et al., 2020</w:t>
            </w:r>
            <w:r w:rsidRPr="0069712A">
              <w:rPr>
                <w:rFonts w:ascii="Times New Roman" w:eastAsia="Times New Roman" w:hAnsi="Times New Roman" w:cs="Times New Roman"/>
                <w:color w:val="000000"/>
                <w:sz w:val="20"/>
                <w:szCs w:val="20"/>
              </w:rPr>
              <w:t xml:space="preserve">, </w:t>
            </w:r>
            <w:r w:rsidRPr="0069712A">
              <w:rPr>
                <w:rFonts w:ascii="Times New Roman" w:eastAsia="Times New Roman" w:hAnsi="Times New Roman" w:cs="Times New Roman"/>
                <w:color w:val="000000" w:themeColor="text1"/>
                <w:sz w:val="20"/>
                <w:szCs w:val="20"/>
              </w:rPr>
              <w:t>McCartney et al., 2022</w:t>
            </w:r>
          </w:p>
        </w:tc>
      </w:tr>
      <w:tr w:rsidR="0069712A" w:rsidRPr="0069712A" w14:paraId="72E371D5"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53BAF0BF"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DRUID test</w:t>
            </w:r>
          </w:p>
        </w:tc>
        <w:tc>
          <w:tcPr>
            <w:tcW w:w="4820" w:type="dxa"/>
            <w:tcBorders>
              <w:top w:val="nil"/>
              <w:left w:val="nil"/>
              <w:bottom w:val="nil"/>
              <w:right w:val="nil"/>
            </w:tcBorders>
            <w:shd w:val="clear" w:color="auto" w:fill="auto"/>
            <w:noWrap/>
            <w:vAlign w:val="bottom"/>
            <w:hideMark/>
          </w:tcPr>
          <w:p w14:paraId="45B2A3F1"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themeColor="text1"/>
                <w:sz w:val="20"/>
                <w:szCs w:val="20"/>
              </w:rPr>
              <w:t>McCartney et al., 2022</w:t>
            </w:r>
          </w:p>
        </w:tc>
      </w:tr>
      <w:tr w:rsidR="0069712A" w:rsidRPr="0069712A" w14:paraId="1203B806"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7BEE840E"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Digit symbol substitution task (DSST)</w:t>
            </w:r>
          </w:p>
        </w:tc>
        <w:tc>
          <w:tcPr>
            <w:tcW w:w="4820" w:type="dxa"/>
            <w:tcBorders>
              <w:top w:val="nil"/>
              <w:left w:val="nil"/>
              <w:bottom w:val="nil"/>
              <w:right w:val="nil"/>
            </w:tcBorders>
            <w:shd w:val="clear" w:color="auto" w:fill="auto"/>
            <w:noWrap/>
            <w:vAlign w:val="bottom"/>
            <w:hideMark/>
          </w:tcPr>
          <w:p w14:paraId="084CF876" w14:textId="77777777" w:rsidR="0069712A" w:rsidRPr="0069712A" w:rsidRDefault="0069712A" w:rsidP="00C15575">
            <w:pPr>
              <w:spacing w:after="240"/>
              <w:rPr>
                <w:rFonts w:ascii="Times New Roman" w:eastAsia="Times New Roman" w:hAnsi="Times New Roman" w:cs="Times New Roman"/>
                <w:color w:val="000000" w:themeColor="text1"/>
                <w:sz w:val="20"/>
                <w:szCs w:val="20"/>
              </w:rPr>
            </w:pPr>
            <w:r w:rsidRPr="0069712A">
              <w:rPr>
                <w:rFonts w:ascii="Times New Roman" w:eastAsia="Times New Roman" w:hAnsi="Times New Roman" w:cs="Times New Roman"/>
                <w:color w:val="000000" w:themeColor="text1"/>
                <w:sz w:val="20"/>
                <w:szCs w:val="20"/>
              </w:rPr>
              <w:t>Arkell et al., 2020</w:t>
            </w:r>
            <w:r w:rsidRPr="0069712A">
              <w:rPr>
                <w:rFonts w:ascii="Times New Roman" w:eastAsia="Times New Roman" w:hAnsi="Times New Roman" w:cs="Times New Roman"/>
                <w:color w:val="000000"/>
                <w:sz w:val="20"/>
                <w:szCs w:val="20"/>
              </w:rPr>
              <w:t xml:space="preserve">, </w:t>
            </w:r>
            <w:r w:rsidRPr="0069712A">
              <w:rPr>
                <w:rFonts w:ascii="Times New Roman" w:eastAsia="Times New Roman" w:hAnsi="Times New Roman" w:cs="Times New Roman"/>
                <w:color w:val="000000" w:themeColor="text1"/>
                <w:sz w:val="20"/>
                <w:szCs w:val="20"/>
              </w:rPr>
              <w:t>McCartney et al., 2022</w:t>
            </w:r>
            <w:r w:rsidRPr="0069712A">
              <w:rPr>
                <w:rFonts w:ascii="Times New Roman" w:eastAsia="Times New Roman" w:hAnsi="Times New Roman" w:cs="Times New Roman"/>
                <w:color w:val="000000"/>
                <w:sz w:val="20"/>
                <w:szCs w:val="20"/>
              </w:rPr>
              <w:t xml:space="preserve">, </w:t>
            </w:r>
            <w:r w:rsidRPr="0069712A">
              <w:rPr>
                <w:rFonts w:ascii="Times New Roman" w:eastAsia="Times New Roman" w:hAnsi="Times New Roman" w:cs="Times New Roman"/>
                <w:color w:val="000000" w:themeColor="text1"/>
                <w:sz w:val="20"/>
                <w:szCs w:val="20"/>
              </w:rPr>
              <w:t>Spindle et al., 2020</w:t>
            </w:r>
            <w:r w:rsidRPr="0069712A">
              <w:rPr>
                <w:rFonts w:ascii="Times New Roman" w:eastAsia="Times New Roman" w:hAnsi="Times New Roman" w:cs="Times New Roman"/>
                <w:color w:val="000000"/>
                <w:sz w:val="20"/>
                <w:szCs w:val="20"/>
              </w:rPr>
              <w:t xml:space="preserve">, </w:t>
            </w:r>
            <w:proofErr w:type="spellStart"/>
            <w:r w:rsidRPr="0069712A">
              <w:rPr>
                <w:rFonts w:ascii="Times New Roman" w:eastAsia="Times New Roman" w:hAnsi="Times New Roman" w:cs="Times New Roman"/>
                <w:color w:val="000000" w:themeColor="text1"/>
                <w:sz w:val="20"/>
                <w:szCs w:val="20"/>
              </w:rPr>
              <w:t>Schoedel</w:t>
            </w:r>
            <w:proofErr w:type="spellEnd"/>
            <w:r w:rsidRPr="0069712A">
              <w:rPr>
                <w:rFonts w:ascii="Times New Roman" w:eastAsia="Times New Roman" w:hAnsi="Times New Roman" w:cs="Times New Roman"/>
                <w:color w:val="000000" w:themeColor="text1"/>
                <w:sz w:val="20"/>
                <w:szCs w:val="20"/>
              </w:rPr>
              <w:t xml:space="preserve"> et al., 2018</w:t>
            </w:r>
          </w:p>
        </w:tc>
      </w:tr>
      <w:tr w:rsidR="0069712A" w:rsidRPr="0069712A" w14:paraId="7010CF76"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58E5803E"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 xml:space="preserve">Finger </w:t>
            </w:r>
            <w:proofErr w:type="gramStart"/>
            <w:r w:rsidRPr="0069712A">
              <w:rPr>
                <w:rFonts w:ascii="Times New Roman" w:eastAsia="Times New Roman" w:hAnsi="Times New Roman" w:cs="Times New Roman"/>
                <w:color w:val="000000"/>
                <w:sz w:val="20"/>
                <w:szCs w:val="20"/>
              </w:rPr>
              <w:t>tap</w:t>
            </w:r>
            <w:proofErr w:type="gramEnd"/>
            <w:r w:rsidRPr="0069712A">
              <w:rPr>
                <w:rFonts w:ascii="Times New Roman" w:eastAsia="Times New Roman" w:hAnsi="Times New Roman" w:cs="Times New Roman"/>
                <w:color w:val="000000"/>
                <w:sz w:val="20"/>
                <w:szCs w:val="20"/>
              </w:rPr>
              <w:t xml:space="preserve"> test</w:t>
            </w:r>
          </w:p>
        </w:tc>
        <w:tc>
          <w:tcPr>
            <w:tcW w:w="4820" w:type="dxa"/>
            <w:tcBorders>
              <w:top w:val="nil"/>
              <w:left w:val="nil"/>
              <w:bottom w:val="nil"/>
              <w:right w:val="nil"/>
            </w:tcBorders>
            <w:shd w:val="clear" w:color="auto" w:fill="auto"/>
            <w:noWrap/>
            <w:vAlign w:val="bottom"/>
            <w:hideMark/>
          </w:tcPr>
          <w:p w14:paraId="77759F90" w14:textId="77777777" w:rsidR="0069712A" w:rsidRPr="0069712A" w:rsidRDefault="0069712A" w:rsidP="00C15575">
            <w:pPr>
              <w:spacing w:after="240"/>
              <w:rPr>
                <w:rFonts w:ascii="Times New Roman" w:eastAsia="Times New Roman" w:hAnsi="Times New Roman" w:cs="Times New Roman"/>
                <w:color w:val="000000"/>
                <w:sz w:val="20"/>
                <w:szCs w:val="20"/>
              </w:rPr>
            </w:pPr>
            <w:proofErr w:type="spellStart"/>
            <w:r w:rsidRPr="0069712A">
              <w:rPr>
                <w:rFonts w:ascii="Times New Roman" w:eastAsia="Times New Roman" w:hAnsi="Times New Roman" w:cs="Times New Roman"/>
                <w:color w:val="000000" w:themeColor="text1"/>
                <w:sz w:val="20"/>
                <w:szCs w:val="20"/>
              </w:rPr>
              <w:t>Consroe</w:t>
            </w:r>
            <w:proofErr w:type="spellEnd"/>
            <w:r w:rsidRPr="0069712A">
              <w:rPr>
                <w:rFonts w:ascii="Times New Roman" w:eastAsia="Times New Roman" w:hAnsi="Times New Roman" w:cs="Times New Roman"/>
                <w:color w:val="000000" w:themeColor="text1"/>
                <w:sz w:val="20"/>
                <w:szCs w:val="20"/>
              </w:rPr>
              <w:t xml:space="preserve"> et al., 1979</w:t>
            </w:r>
          </w:p>
        </w:tc>
      </w:tr>
      <w:tr w:rsidR="0069712A" w:rsidRPr="0069712A" w14:paraId="4BAEA6EF"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5C53C9E4"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Fluency test</w:t>
            </w:r>
          </w:p>
        </w:tc>
        <w:tc>
          <w:tcPr>
            <w:tcW w:w="4820" w:type="dxa"/>
            <w:tcBorders>
              <w:top w:val="nil"/>
              <w:left w:val="nil"/>
              <w:bottom w:val="nil"/>
              <w:right w:val="nil"/>
            </w:tcBorders>
            <w:shd w:val="clear" w:color="auto" w:fill="auto"/>
            <w:noWrap/>
            <w:vAlign w:val="bottom"/>
            <w:hideMark/>
          </w:tcPr>
          <w:p w14:paraId="15750C84"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themeColor="text1"/>
                <w:sz w:val="20"/>
                <w:szCs w:val="20"/>
              </w:rPr>
              <w:t>Morgan et al., 2018</w:t>
            </w:r>
          </w:p>
        </w:tc>
      </w:tr>
      <w:tr w:rsidR="0069712A" w:rsidRPr="0069712A" w14:paraId="612BBE4C"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02E51AFC"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Go/No-Go task</w:t>
            </w:r>
          </w:p>
        </w:tc>
        <w:tc>
          <w:tcPr>
            <w:tcW w:w="4820" w:type="dxa"/>
            <w:tcBorders>
              <w:top w:val="nil"/>
              <w:left w:val="nil"/>
              <w:bottom w:val="nil"/>
              <w:right w:val="nil"/>
            </w:tcBorders>
            <w:shd w:val="clear" w:color="auto" w:fill="auto"/>
            <w:noWrap/>
            <w:vAlign w:val="bottom"/>
            <w:hideMark/>
          </w:tcPr>
          <w:p w14:paraId="2A48EBA6" w14:textId="77777777" w:rsidR="0069712A" w:rsidRPr="0069712A" w:rsidRDefault="0069712A" w:rsidP="00C15575">
            <w:pPr>
              <w:spacing w:after="240"/>
              <w:rPr>
                <w:rFonts w:ascii="Times New Roman" w:eastAsia="Times New Roman" w:hAnsi="Times New Roman" w:cs="Times New Roman"/>
                <w:color w:val="000000"/>
                <w:sz w:val="20"/>
                <w:szCs w:val="20"/>
              </w:rPr>
            </w:pPr>
            <w:proofErr w:type="spellStart"/>
            <w:r w:rsidRPr="0069712A">
              <w:rPr>
                <w:rFonts w:ascii="Times New Roman" w:eastAsia="Times New Roman" w:hAnsi="Times New Roman" w:cs="Times New Roman"/>
                <w:color w:val="000000" w:themeColor="text1"/>
                <w:sz w:val="20"/>
                <w:szCs w:val="20"/>
              </w:rPr>
              <w:t>Borgwardt</w:t>
            </w:r>
            <w:proofErr w:type="spellEnd"/>
            <w:r w:rsidRPr="0069712A">
              <w:rPr>
                <w:rFonts w:ascii="Times New Roman" w:eastAsia="Times New Roman" w:hAnsi="Times New Roman" w:cs="Times New Roman"/>
                <w:color w:val="000000" w:themeColor="text1"/>
                <w:sz w:val="20"/>
                <w:szCs w:val="20"/>
              </w:rPr>
              <w:t xml:space="preserve"> et al., 2008</w:t>
            </w:r>
            <w:r w:rsidRPr="0069712A">
              <w:rPr>
                <w:rFonts w:ascii="Times New Roman" w:eastAsia="Times New Roman" w:hAnsi="Times New Roman" w:cs="Times New Roman"/>
                <w:color w:val="000000"/>
                <w:sz w:val="20"/>
                <w:szCs w:val="20"/>
              </w:rPr>
              <w:t xml:space="preserve">, </w:t>
            </w:r>
            <w:proofErr w:type="spellStart"/>
            <w:r w:rsidRPr="0069712A">
              <w:rPr>
                <w:rFonts w:ascii="Times New Roman" w:eastAsia="Times New Roman" w:hAnsi="Times New Roman" w:cs="Times New Roman"/>
                <w:color w:val="000000" w:themeColor="text1"/>
                <w:sz w:val="20"/>
                <w:szCs w:val="20"/>
              </w:rPr>
              <w:t>Hindocha</w:t>
            </w:r>
            <w:proofErr w:type="spellEnd"/>
            <w:r w:rsidRPr="0069712A">
              <w:rPr>
                <w:rFonts w:ascii="Times New Roman" w:eastAsia="Times New Roman" w:hAnsi="Times New Roman" w:cs="Times New Roman"/>
                <w:color w:val="000000" w:themeColor="text1"/>
                <w:sz w:val="20"/>
                <w:szCs w:val="20"/>
              </w:rPr>
              <w:t xml:space="preserve"> et al., 2018</w:t>
            </w:r>
          </w:p>
        </w:tc>
      </w:tr>
      <w:tr w:rsidR="0069712A" w:rsidRPr="0069712A" w14:paraId="1975AD3B"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6A3781C2"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Hopkins verbal learning test – revised (HVLT-R)</w:t>
            </w:r>
          </w:p>
        </w:tc>
        <w:tc>
          <w:tcPr>
            <w:tcW w:w="4820" w:type="dxa"/>
            <w:tcBorders>
              <w:top w:val="nil"/>
              <w:left w:val="nil"/>
              <w:bottom w:val="nil"/>
              <w:right w:val="nil"/>
            </w:tcBorders>
            <w:shd w:val="clear" w:color="auto" w:fill="auto"/>
            <w:noWrap/>
            <w:hideMark/>
          </w:tcPr>
          <w:p w14:paraId="6E79E81C" w14:textId="77777777" w:rsidR="0069712A" w:rsidRPr="0069712A" w:rsidRDefault="0069712A" w:rsidP="00C15575">
            <w:pPr>
              <w:spacing w:after="240"/>
              <w:rPr>
                <w:rFonts w:ascii="Times New Roman" w:eastAsia="Times New Roman" w:hAnsi="Times New Roman" w:cs="Times New Roman"/>
                <w:color w:val="000000" w:themeColor="text1"/>
                <w:sz w:val="20"/>
                <w:szCs w:val="20"/>
              </w:rPr>
            </w:pPr>
            <w:proofErr w:type="spellStart"/>
            <w:r w:rsidRPr="0069712A">
              <w:rPr>
                <w:rFonts w:ascii="Times New Roman" w:eastAsia="Times New Roman" w:hAnsi="Times New Roman" w:cs="Times New Roman"/>
                <w:color w:val="000000" w:themeColor="text1"/>
                <w:sz w:val="20"/>
                <w:szCs w:val="20"/>
              </w:rPr>
              <w:t>Schoedel</w:t>
            </w:r>
            <w:proofErr w:type="spellEnd"/>
            <w:r w:rsidRPr="0069712A">
              <w:rPr>
                <w:rFonts w:ascii="Times New Roman" w:eastAsia="Times New Roman" w:hAnsi="Times New Roman" w:cs="Times New Roman"/>
                <w:color w:val="000000" w:themeColor="text1"/>
                <w:sz w:val="20"/>
                <w:szCs w:val="20"/>
              </w:rPr>
              <w:t xml:space="preserve"> et al., 2018</w:t>
            </w:r>
          </w:p>
        </w:tc>
      </w:tr>
      <w:tr w:rsidR="0069712A" w:rsidRPr="0069712A" w14:paraId="7B68CB4B"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508F6B9C"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N-back</w:t>
            </w:r>
          </w:p>
        </w:tc>
        <w:tc>
          <w:tcPr>
            <w:tcW w:w="4820" w:type="dxa"/>
            <w:tcBorders>
              <w:top w:val="nil"/>
              <w:left w:val="nil"/>
              <w:bottom w:val="nil"/>
              <w:right w:val="nil"/>
            </w:tcBorders>
            <w:shd w:val="clear" w:color="auto" w:fill="auto"/>
            <w:noWrap/>
            <w:vAlign w:val="bottom"/>
            <w:hideMark/>
          </w:tcPr>
          <w:p w14:paraId="29201564" w14:textId="77777777" w:rsidR="0069712A" w:rsidRPr="0069712A" w:rsidRDefault="0069712A" w:rsidP="00C15575">
            <w:pPr>
              <w:spacing w:after="240"/>
              <w:rPr>
                <w:rFonts w:ascii="Times New Roman" w:eastAsia="Times New Roman" w:hAnsi="Times New Roman" w:cs="Times New Roman"/>
                <w:color w:val="000000" w:themeColor="text1"/>
                <w:sz w:val="20"/>
                <w:szCs w:val="20"/>
              </w:rPr>
            </w:pPr>
            <w:r w:rsidRPr="0069712A">
              <w:rPr>
                <w:rFonts w:ascii="Times New Roman" w:eastAsia="Times New Roman" w:hAnsi="Times New Roman" w:cs="Times New Roman"/>
                <w:color w:val="000000" w:themeColor="text1"/>
                <w:sz w:val="20"/>
                <w:szCs w:val="20"/>
              </w:rPr>
              <w:t>Bloomfield et al., 2020</w:t>
            </w:r>
            <w:r w:rsidRPr="0069712A">
              <w:rPr>
                <w:rFonts w:ascii="Times New Roman" w:eastAsia="Times New Roman" w:hAnsi="Times New Roman" w:cs="Times New Roman"/>
                <w:color w:val="000000"/>
                <w:sz w:val="20"/>
                <w:szCs w:val="20"/>
              </w:rPr>
              <w:t xml:space="preserve">, </w:t>
            </w:r>
            <w:proofErr w:type="spellStart"/>
            <w:r w:rsidRPr="0069712A">
              <w:rPr>
                <w:rFonts w:ascii="Times New Roman" w:eastAsia="Times New Roman" w:hAnsi="Times New Roman" w:cs="Times New Roman"/>
                <w:color w:val="000000" w:themeColor="text1"/>
                <w:sz w:val="20"/>
                <w:szCs w:val="20"/>
              </w:rPr>
              <w:t>Hotz</w:t>
            </w:r>
            <w:proofErr w:type="spellEnd"/>
            <w:r w:rsidRPr="0069712A">
              <w:rPr>
                <w:rFonts w:ascii="Times New Roman" w:eastAsia="Times New Roman" w:hAnsi="Times New Roman" w:cs="Times New Roman"/>
                <w:color w:val="000000" w:themeColor="text1"/>
                <w:sz w:val="20"/>
                <w:szCs w:val="20"/>
              </w:rPr>
              <w:t xml:space="preserve"> et al., 2021</w:t>
            </w:r>
            <w:r w:rsidRPr="0069712A">
              <w:rPr>
                <w:rFonts w:ascii="Times New Roman" w:eastAsia="Times New Roman" w:hAnsi="Times New Roman" w:cs="Times New Roman"/>
                <w:color w:val="000000"/>
                <w:sz w:val="20"/>
                <w:szCs w:val="20"/>
              </w:rPr>
              <w:t xml:space="preserve">, </w:t>
            </w:r>
            <w:proofErr w:type="spellStart"/>
            <w:r w:rsidRPr="0069712A">
              <w:rPr>
                <w:rFonts w:ascii="Times New Roman" w:eastAsia="Times New Roman" w:hAnsi="Times New Roman" w:cs="Times New Roman"/>
                <w:color w:val="000000" w:themeColor="text1"/>
                <w:sz w:val="20"/>
                <w:szCs w:val="20"/>
              </w:rPr>
              <w:t>Hindocha</w:t>
            </w:r>
            <w:proofErr w:type="spellEnd"/>
            <w:r w:rsidRPr="0069712A">
              <w:rPr>
                <w:rFonts w:ascii="Times New Roman" w:eastAsia="Times New Roman" w:hAnsi="Times New Roman" w:cs="Times New Roman"/>
                <w:color w:val="000000" w:themeColor="text1"/>
                <w:sz w:val="20"/>
                <w:szCs w:val="20"/>
              </w:rPr>
              <w:t xml:space="preserve"> et al., 2018, Morgan et al., 2018</w:t>
            </w:r>
          </w:p>
        </w:tc>
      </w:tr>
      <w:tr w:rsidR="0069712A" w:rsidRPr="0069712A" w14:paraId="57C4E153"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397A8BBE"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Paced serial addition task (PSAT)</w:t>
            </w:r>
          </w:p>
        </w:tc>
        <w:tc>
          <w:tcPr>
            <w:tcW w:w="4820" w:type="dxa"/>
            <w:tcBorders>
              <w:top w:val="nil"/>
              <w:left w:val="nil"/>
              <w:bottom w:val="nil"/>
              <w:right w:val="nil"/>
            </w:tcBorders>
            <w:shd w:val="clear" w:color="auto" w:fill="auto"/>
            <w:noWrap/>
            <w:vAlign w:val="bottom"/>
            <w:hideMark/>
          </w:tcPr>
          <w:p w14:paraId="2D4FD802"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themeColor="text1"/>
                <w:sz w:val="20"/>
                <w:szCs w:val="20"/>
              </w:rPr>
              <w:t>Arkell et al., 2020</w:t>
            </w:r>
            <w:r w:rsidRPr="0069712A">
              <w:rPr>
                <w:rFonts w:ascii="Times New Roman" w:eastAsia="Times New Roman" w:hAnsi="Times New Roman" w:cs="Times New Roman"/>
                <w:color w:val="000000"/>
                <w:sz w:val="20"/>
                <w:szCs w:val="20"/>
              </w:rPr>
              <w:t xml:space="preserve">, </w:t>
            </w:r>
            <w:r w:rsidRPr="0069712A">
              <w:rPr>
                <w:rFonts w:ascii="Times New Roman" w:eastAsia="Times New Roman" w:hAnsi="Times New Roman" w:cs="Times New Roman"/>
                <w:color w:val="000000" w:themeColor="text1"/>
                <w:sz w:val="20"/>
                <w:szCs w:val="20"/>
              </w:rPr>
              <w:t>McCartney et al., 2022</w:t>
            </w:r>
            <w:r w:rsidRPr="0069712A">
              <w:rPr>
                <w:rFonts w:ascii="Times New Roman" w:eastAsia="Times New Roman" w:hAnsi="Times New Roman" w:cs="Times New Roman"/>
                <w:color w:val="000000"/>
                <w:sz w:val="20"/>
                <w:szCs w:val="20"/>
              </w:rPr>
              <w:t xml:space="preserve">, </w:t>
            </w:r>
            <w:r w:rsidRPr="0069712A">
              <w:rPr>
                <w:rFonts w:ascii="Times New Roman" w:eastAsia="Times New Roman" w:hAnsi="Times New Roman" w:cs="Times New Roman"/>
                <w:color w:val="000000" w:themeColor="text1"/>
                <w:sz w:val="20"/>
                <w:szCs w:val="20"/>
              </w:rPr>
              <w:t>Spindle et al., 2020</w:t>
            </w:r>
          </w:p>
        </w:tc>
      </w:tr>
      <w:tr w:rsidR="0069712A" w:rsidRPr="0069712A" w14:paraId="09A0C45F"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0EE1676E"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Prose recall</w:t>
            </w:r>
          </w:p>
        </w:tc>
        <w:tc>
          <w:tcPr>
            <w:tcW w:w="4820" w:type="dxa"/>
            <w:tcBorders>
              <w:top w:val="nil"/>
              <w:left w:val="nil"/>
              <w:bottom w:val="nil"/>
              <w:right w:val="nil"/>
            </w:tcBorders>
            <w:shd w:val="clear" w:color="auto" w:fill="auto"/>
            <w:noWrap/>
            <w:vAlign w:val="bottom"/>
            <w:hideMark/>
          </w:tcPr>
          <w:p w14:paraId="7849AD9D"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themeColor="text1"/>
                <w:sz w:val="20"/>
                <w:szCs w:val="20"/>
              </w:rPr>
              <w:t>Bloomfield et al., 2020</w:t>
            </w:r>
            <w:r w:rsidRPr="0069712A">
              <w:rPr>
                <w:rFonts w:ascii="Times New Roman" w:eastAsia="Times New Roman" w:hAnsi="Times New Roman" w:cs="Times New Roman"/>
                <w:color w:val="000000"/>
                <w:sz w:val="20"/>
                <w:szCs w:val="20"/>
              </w:rPr>
              <w:t xml:space="preserve">, </w:t>
            </w:r>
            <w:r w:rsidRPr="0069712A">
              <w:rPr>
                <w:rFonts w:ascii="Times New Roman" w:eastAsia="Times New Roman" w:hAnsi="Times New Roman" w:cs="Times New Roman"/>
                <w:color w:val="000000" w:themeColor="text1"/>
                <w:sz w:val="20"/>
                <w:szCs w:val="20"/>
              </w:rPr>
              <w:t>Morgan et al., 2018</w:t>
            </w:r>
            <w:r w:rsidRPr="0069712A">
              <w:rPr>
                <w:rFonts w:ascii="Times New Roman" w:eastAsia="Times New Roman" w:hAnsi="Times New Roman" w:cs="Times New Roman"/>
                <w:color w:val="000000"/>
                <w:sz w:val="20"/>
                <w:szCs w:val="20"/>
              </w:rPr>
              <w:t xml:space="preserve">, </w:t>
            </w:r>
            <w:proofErr w:type="spellStart"/>
            <w:r w:rsidRPr="0069712A">
              <w:rPr>
                <w:rFonts w:ascii="Times New Roman" w:eastAsia="Times New Roman" w:hAnsi="Times New Roman" w:cs="Times New Roman"/>
                <w:color w:val="000000" w:themeColor="text1"/>
                <w:sz w:val="20"/>
                <w:szCs w:val="20"/>
              </w:rPr>
              <w:t>Hindocha</w:t>
            </w:r>
            <w:proofErr w:type="spellEnd"/>
            <w:r w:rsidRPr="0069712A">
              <w:rPr>
                <w:rFonts w:ascii="Times New Roman" w:eastAsia="Times New Roman" w:hAnsi="Times New Roman" w:cs="Times New Roman"/>
                <w:color w:val="000000" w:themeColor="text1"/>
                <w:sz w:val="20"/>
                <w:szCs w:val="20"/>
              </w:rPr>
              <w:t xml:space="preserve"> et al., 2018</w:t>
            </w:r>
          </w:p>
        </w:tc>
      </w:tr>
      <w:tr w:rsidR="0069712A" w:rsidRPr="0069712A" w14:paraId="00B7EFFF"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4E9D62D2"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Psychomotor vigilance task (PVT)</w:t>
            </w:r>
          </w:p>
        </w:tc>
        <w:tc>
          <w:tcPr>
            <w:tcW w:w="4820" w:type="dxa"/>
            <w:tcBorders>
              <w:top w:val="nil"/>
              <w:left w:val="nil"/>
              <w:bottom w:val="nil"/>
              <w:right w:val="nil"/>
            </w:tcBorders>
            <w:shd w:val="clear" w:color="auto" w:fill="auto"/>
            <w:noWrap/>
            <w:vAlign w:val="bottom"/>
            <w:hideMark/>
          </w:tcPr>
          <w:p w14:paraId="06E4F3B3"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themeColor="text1"/>
                <w:sz w:val="20"/>
                <w:szCs w:val="20"/>
              </w:rPr>
              <w:t>McCartney et al., 2022</w:t>
            </w:r>
          </w:p>
        </w:tc>
      </w:tr>
      <w:tr w:rsidR="0069712A" w:rsidRPr="0069712A" w14:paraId="55953762"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154D16BE"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Time production task</w:t>
            </w:r>
          </w:p>
        </w:tc>
        <w:tc>
          <w:tcPr>
            <w:tcW w:w="4820" w:type="dxa"/>
            <w:tcBorders>
              <w:top w:val="nil"/>
              <w:left w:val="nil"/>
              <w:bottom w:val="nil"/>
              <w:right w:val="nil"/>
            </w:tcBorders>
            <w:shd w:val="clear" w:color="auto" w:fill="auto"/>
            <w:noWrap/>
            <w:vAlign w:val="bottom"/>
            <w:hideMark/>
          </w:tcPr>
          <w:p w14:paraId="496E44B9" w14:textId="77777777" w:rsidR="0069712A" w:rsidRPr="0069712A" w:rsidRDefault="0069712A" w:rsidP="00C15575">
            <w:pPr>
              <w:spacing w:after="240"/>
              <w:rPr>
                <w:rFonts w:ascii="Times New Roman" w:eastAsia="Times New Roman" w:hAnsi="Times New Roman" w:cs="Times New Roman"/>
                <w:color w:val="000000"/>
                <w:sz w:val="20"/>
                <w:szCs w:val="20"/>
              </w:rPr>
            </w:pPr>
            <w:proofErr w:type="spellStart"/>
            <w:r w:rsidRPr="0069712A">
              <w:rPr>
                <w:rFonts w:ascii="Times New Roman" w:eastAsia="Times New Roman" w:hAnsi="Times New Roman" w:cs="Times New Roman"/>
                <w:color w:val="000000" w:themeColor="text1"/>
                <w:sz w:val="20"/>
                <w:szCs w:val="20"/>
              </w:rPr>
              <w:t>Consroe</w:t>
            </w:r>
            <w:proofErr w:type="spellEnd"/>
            <w:r w:rsidRPr="0069712A">
              <w:rPr>
                <w:rFonts w:ascii="Times New Roman" w:eastAsia="Times New Roman" w:hAnsi="Times New Roman" w:cs="Times New Roman"/>
                <w:color w:val="000000" w:themeColor="text1"/>
                <w:sz w:val="20"/>
                <w:szCs w:val="20"/>
              </w:rPr>
              <w:t xml:space="preserve"> et al., 1979</w:t>
            </w:r>
          </w:p>
        </w:tc>
      </w:tr>
      <w:tr w:rsidR="0069712A" w:rsidRPr="0069712A" w14:paraId="1086BEA9"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4C79311B"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sz w:val="20"/>
                <w:szCs w:val="20"/>
              </w:rPr>
              <w:t>Tower of London (TOL)</w:t>
            </w:r>
          </w:p>
        </w:tc>
        <w:tc>
          <w:tcPr>
            <w:tcW w:w="4820" w:type="dxa"/>
            <w:tcBorders>
              <w:top w:val="nil"/>
              <w:left w:val="nil"/>
              <w:bottom w:val="nil"/>
              <w:right w:val="nil"/>
            </w:tcBorders>
            <w:shd w:val="clear" w:color="auto" w:fill="auto"/>
            <w:noWrap/>
            <w:vAlign w:val="bottom"/>
            <w:hideMark/>
          </w:tcPr>
          <w:p w14:paraId="605DB711"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themeColor="text1"/>
                <w:sz w:val="20"/>
                <w:szCs w:val="20"/>
              </w:rPr>
              <w:t>Arkell et al., 2020</w:t>
            </w:r>
          </w:p>
        </w:tc>
      </w:tr>
      <w:tr w:rsidR="0069712A" w:rsidRPr="0069712A" w14:paraId="14721559"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1E5EC6C3" w14:textId="77777777" w:rsidR="0069712A" w:rsidRPr="0069712A" w:rsidRDefault="0069712A" w:rsidP="00C15575">
            <w:pPr>
              <w:spacing w:after="240"/>
              <w:rPr>
                <w:rFonts w:ascii="Times New Roman" w:eastAsia="Times New Roman" w:hAnsi="Times New Roman" w:cs="Times New Roman"/>
                <w:color w:val="000000"/>
                <w:sz w:val="20"/>
                <w:szCs w:val="20"/>
              </w:rPr>
            </w:pPr>
            <w:proofErr w:type="spellStart"/>
            <w:r w:rsidRPr="0069712A">
              <w:rPr>
                <w:rFonts w:ascii="Times New Roman" w:eastAsia="Times New Roman" w:hAnsi="Times New Roman" w:cs="Times New Roman"/>
                <w:color w:val="000000"/>
                <w:sz w:val="20"/>
                <w:szCs w:val="20"/>
              </w:rPr>
              <w:t>Trailmaking</w:t>
            </w:r>
            <w:proofErr w:type="spellEnd"/>
            <w:r w:rsidRPr="0069712A">
              <w:rPr>
                <w:rFonts w:ascii="Times New Roman" w:eastAsia="Times New Roman" w:hAnsi="Times New Roman" w:cs="Times New Roman"/>
                <w:color w:val="000000"/>
                <w:sz w:val="20"/>
                <w:szCs w:val="20"/>
              </w:rPr>
              <w:t xml:space="preserve"> test part a (TMT-A)</w:t>
            </w:r>
          </w:p>
        </w:tc>
        <w:tc>
          <w:tcPr>
            <w:tcW w:w="4820" w:type="dxa"/>
            <w:tcBorders>
              <w:top w:val="nil"/>
              <w:left w:val="nil"/>
              <w:bottom w:val="nil"/>
              <w:right w:val="nil"/>
            </w:tcBorders>
            <w:shd w:val="clear" w:color="auto" w:fill="auto"/>
            <w:noWrap/>
            <w:vAlign w:val="bottom"/>
            <w:hideMark/>
          </w:tcPr>
          <w:p w14:paraId="34FBE4CE"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themeColor="text1"/>
                <w:sz w:val="20"/>
                <w:szCs w:val="20"/>
              </w:rPr>
              <w:t>Morgan et al., 2018</w:t>
            </w:r>
          </w:p>
        </w:tc>
      </w:tr>
      <w:tr w:rsidR="0069712A" w:rsidRPr="0069712A" w14:paraId="615DE97C"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25B1AC2B" w14:textId="77777777" w:rsidR="0069712A" w:rsidRPr="0069712A" w:rsidRDefault="0069712A" w:rsidP="00C15575">
            <w:pPr>
              <w:spacing w:after="240"/>
              <w:rPr>
                <w:rFonts w:ascii="Times New Roman" w:eastAsia="Times New Roman" w:hAnsi="Times New Roman" w:cs="Times New Roman"/>
                <w:color w:val="000000"/>
                <w:sz w:val="20"/>
                <w:szCs w:val="20"/>
              </w:rPr>
            </w:pPr>
            <w:proofErr w:type="spellStart"/>
            <w:r w:rsidRPr="0069712A">
              <w:rPr>
                <w:rFonts w:ascii="Times New Roman" w:eastAsia="Times New Roman" w:hAnsi="Times New Roman" w:cs="Times New Roman"/>
                <w:color w:val="000000"/>
                <w:sz w:val="20"/>
                <w:szCs w:val="20"/>
              </w:rPr>
              <w:t>Trailmaking</w:t>
            </w:r>
            <w:proofErr w:type="spellEnd"/>
            <w:r w:rsidRPr="0069712A">
              <w:rPr>
                <w:rFonts w:ascii="Times New Roman" w:eastAsia="Times New Roman" w:hAnsi="Times New Roman" w:cs="Times New Roman"/>
                <w:color w:val="000000"/>
                <w:sz w:val="20"/>
                <w:szCs w:val="20"/>
              </w:rPr>
              <w:t xml:space="preserve"> test part b (TMT-B)</w:t>
            </w:r>
          </w:p>
        </w:tc>
        <w:tc>
          <w:tcPr>
            <w:tcW w:w="4820" w:type="dxa"/>
            <w:tcBorders>
              <w:top w:val="nil"/>
              <w:left w:val="nil"/>
              <w:bottom w:val="nil"/>
              <w:right w:val="nil"/>
            </w:tcBorders>
            <w:shd w:val="clear" w:color="auto" w:fill="auto"/>
            <w:noWrap/>
            <w:vAlign w:val="bottom"/>
            <w:hideMark/>
          </w:tcPr>
          <w:p w14:paraId="2C26A392" w14:textId="77777777" w:rsidR="0069712A" w:rsidRPr="0069712A" w:rsidRDefault="0069712A" w:rsidP="00C15575">
            <w:pPr>
              <w:spacing w:after="240"/>
              <w:rPr>
                <w:rFonts w:ascii="Times New Roman" w:eastAsia="Times New Roman" w:hAnsi="Times New Roman" w:cs="Times New Roman"/>
                <w:color w:val="000000"/>
                <w:sz w:val="20"/>
                <w:szCs w:val="20"/>
              </w:rPr>
            </w:pPr>
            <w:r w:rsidRPr="0069712A">
              <w:rPr>
                <w:rFonts w:ascii="Times New Roman" w:eastAsia="Times New Roman" w:hAnsi="Times New Roman" w:cs="Times New Roman"/>
                <w:color w:val="000000" w:themeColor="text1"/>
                <w:sz w:val="20"/>
                <w:szCs w:val="20"/>
              </w:rPr>
              <w:t>Morgan et al., 2018</w:t>
            </w:r>
          </w:p>
        </w:tc>
      </w:tr>
      <w:tr w:rsidR="0069712A" w:rsidRPr="004171A7" w14:paraId="70B2F370" w14:textId="77777777" w:rsidTr="004171A7">
        <w:trPr>
          <w:trHeight w:val="397"/>
          <w:jc w:val="center"/>
        </w:trPr>
        <w:tc>
          <w:tcPr>
            <w:tcW w:w="4111" w:type="dxa"/>
            <w:tcBorders>
              <w:top w:val="nil"/>
              <w:left w:val="nil"/>
              <w:bottom w:val="nil"/>
              <w:right w:val="nil"/>
            </w:tcBorders>
            <w:shd w:val="clear" w:color="auto" w:fill="auto"/>
            <w:noWrap/>
            <w:vAlign w:val="bottom"/>
            <w:hideMark/>
          </w:tcPr>
          <w:p w14:paraId="6AD324E4" w14:textId="77777777" w:rsidR="0069712A" w:rsidRPr="004171A7" w:rsidRDefault="0069712A" w:rsidP="00C15575">
            <w:pPr>
              <w:spacing w:after="240"/>
              <w:rPr>
                <w:rFonts w:ascii="Times New Roman" w:eastAsia="Times New Roman" w:hAnsi="Times New Roman" w:cs="Times New Roman"/>
                <w:color w:val="000000"/>
                <w:sz w:val="20"/>
                <w:szCs w:val="20"/>
              </w:rPr>
            </w:pPr>
            <w:r w:rsidRPr="004171A7">
              <w:rPr>
                <w:rFonts w:ascii="Times New Roman" w:eastAsia="Times New Roman" w:hAnsi="Times New Roman" w:cs="Times New Roman"/>
                <w:color w:val="000000"/>
                <w:sz w:val="20"/>
                <w:szCs w:val="20"/>
              </w:rPr>
              <w:t>Visual analog scale (VAS)/ Visual analog mood scale (VAMS) - sedation/tired/fatigue</w:t>
            </w:r>
          </w:p>
        </w:tc>
        <w:tc>
          <w:tcPr>
            <w:tcW w:w="4820" w:type="dxa"/>
            <w:tcBorders>
              <w:top w:val="nil"/>
              <w:left w:val="nil"/>
              <w:bottom w:val="nil"/>
              <w:right w:val="nil"/>
            </w:tcBorders>
            <w:shd w:val="clear" w:color="auto" w:fill="auto"/>
            <w:noWrap/>
            <w:vAlign w:val="bottom"/>
            <w:hideMark/>
          </w:tcPr>
          <w:p w14:paraId="413B3FC8" w14:textId="77777777" w:rsidR="0069712A" w:rsidRPr="004171A7" w:rsidRDefault="0069712A" w:rsidP="00C15575">
            <w:pPr>
              <w:spacing w:after="240"/>
              <w:rPr>
                <w:rFonts w:ascii="Times New Roman" w:eastAsia="Times New Roman" w:hAnsi="Times New Roman" w:cs="Times New Roman"/>
                <w:color w:val="000000" w:themeColor="text1"/>
                <w:sz w:val="20"/>
                <w:szCs w:val="20"/>
              </w:rPr>
            </w:pPr>
            <w:r w:rsidRPr="004171A7">
              <w:rPr>
                <w:rFonts w:ascii="Times New Roman" w:eastAsia="Times New Roman" w:hAnsi="Times New Roman" w:cs="Times New Roman"/>
                <w:color w:val="000000" w:themeColor="text1"/>
                <w:sz w:val="20"/>
                <w:szCs w:val="20"/>
              </w:rPr>
              <w:t>Arkell et al., 2020</w:t>
            </w:r>
            <w:r w:rsidRPr="004171A7">
              <w:rPr>
                <w:rFonts w:ascii="Times New Roman" w:eastAsia="Times New Roman" w:hAnsi="Times New Roman" w:cs="Times New Roman"/>
                <w:color w:val="000000"/>
                <w:sz w:val="20"/>
                <w:szCs w:val="20"/>
              </w:rPr>
              <w:t xml:space="preserve">, </w:t>
            </w:r>
            <w:proofErr w:type="spellStart"/>
            <w:r w:rsidRPr="004171A7">
              <w:rPr>
                <w:rFonts w:ascii="Times New Roman" w:eastAsia="Times New Roman" w:hAnsi="Times New Roman" w:cs="Times New Roman"/>
                <w:color w:val="000000" w:themeColor="text1"/>
                <w:sz w:val="20"/>
                <w:szCs w:val="20"/>
              </w:rPr>
              <w:t>Arout</w:t>
            </w:r>
            <w:proofErr w:type="spellEnd"/>
            <w:r w:rsidRPr="004171A7">
              <w:rPr>
                <w:rFonts w:ascii="Times New Roman" w:eastAsia="Times New Roman" w:hAnsi="Times New Roman" w:cs="Times New Roman"/>
                <w:color w:val="000000" w:themeColor="text1"/>
                <w:sz w:val="20"/>
                <w:szCs w:val="20"/>
              </w:rPr>
              <w:t xml:space="preserve"> et al., 2022</w:t>
            </w:r>
            <w:r w:rsidRPr="004171A7">
              <w:rPr>
                <w:rFonts w:ascii="Times New Roman" w:eastAsia="Times New Roman" w:hAnsi="Times New Roman" w:cs="Times New Roman"/>
                <w:color w:val="000000"/>
                <w:sz w:val="20"/>
                <w:szCs w:val="20"/>
              </w:rPr>
              <w:t xml:space="preserve">, </w:t>
            </w:r>
            <w:r w:rsidRPr="004171A7">
              <w:rPr>
                <w:rFonts w:ascii="Times New Roman" w:eastAsia="Times New Roman" w:hAnsi="Times New Roman" w:cs="Times New Roman"/>
                <w:color w:val="000000" w:themeColor="text1"/>
                <w:sz w:val="20"/>
                <w:szCs w:val="20"/>
              </w:rPr>
              <w:t>Bhattacharyya et al., 2009</w:t>
            </w:r>
            <w:r w:rsidRPr="004171A7">
              <w:rPr>
                <w:rFonts w:ascii="Times New Roman" w:eastAsia="Times New Roman" w:hAnsi="Times New Roman" w:cs="Times New Roman"/>
                <w:color w:val="000000"/>
                <w:sz w:val="20"/>
                <w:szCs w:val="20"/>
              </w:rPr>
              <w:t xml:space="preserve">, </w:t>
            </w:r>
            <w:proofErr w:type="spellStart"/>
            <w:r w:rsidRPr="004171A7">
              <w:rPr>
                <w:rFonts w:ascii="Times New Roman" w:eastAsia="Times New Roman" w:hAnsi="Times New Roman" w:cs="Times New Roman"/>
                <w:color w:val="000000" w:themeColor="text1"/>
                <w:sz w:val="20"/>
                <w:szCs w:val="20"/>
              </w:rPr>
              <w:t>Borgwardt</w:t>
            </w:r>
            <w:proofErr w:type="spellEnd"/>
            <w:r w:rsidRPr="004171A7">
              <w:rPr>
                <w:rFonts w:ascii="Times New Roman" w:eastAsia="Times New Roman" w:hAnsi="Times New Roman" w:cs="Times New Roman"/>
                <w:color w:val="000000" w:themeColor="text1"/>
                <w:sz w:val="20"/>
                <w:szCs w:val="20"/>
              </w:rPr>
              <w:t xml:space="preserve"> et al., 2008</w:t>
            </w:r>
            <w:r w:rsidRPr="004171A7">
              <w:rPr>
                <w:rFonts w:ascii="Times New Roman" w:eastAsia="Times New Roman" w:hAnsi="Times New Roman" w:cs="Times New Roman"/>
                <w:color w:val="000000"/>
                <w:sz w:val="20"/>
                <w:szCs w:val="20"/>
              </w:rPr>
              <w:t xml:space="preserve"> </w:t>
            </w:r>
            <w:proofErr w:type="spellStart"/>
            <w:r w:rsidRPr="004171A7">
              <w:rPr>
                <w:rFonts w:ascii="Times New Roman" w:eastAsia="Times New Roman" w:hAnsi="Times New Roman" w:cs="Times New Roman"/>
                <w:color w:val="000000" w:themeColor="text1"/>
                <w:sz w:val="20"/>
                <w:szCs w:val="20"/>
              </w:rPr>
              <w:t>Hotz</w:t>
            </w:r>
            <w:proofErr w:type="spellEnd"/>
            <w:r w:rsidRPr="004171A7">
              <w:rPr>
                <w:rFonts w:ascii="Times New Roman" w:eastAsia="Times New Roman" w:hAnsi="Times New Roman" w:cs="Times New Roman"/>
                <w:color w:val="000000" w:themeColor="text1"/>
                <w:sz w:val="20"/>
                <w:szCs w:val="20"/>
              </w:rPr>
              <w:t xml:space="preserve"> et al., 2021</w:t>
            </w:r>
            <w:r w:rsidRPr="004171A7">
              <w:rPr>
                <w:rFonts w:ascii="Times New Roman" w:eastAsia="Times New Roman" w:hAnsi="Times New Roman" w:cs="Times New Roman"/>
                <w:color w:val="000000"/>
                <w:sz w:val="20"/>
                <w:szCs w:val="20"/>
              </w:rPr>
              <w:t xml:space="preserve">, </w:t>
            </w:r>
            <w:r w:rsidRPr="004171A7">
              <w:rPr>
                <w:rFonts w:ascii="Times New Roman" w:eastAsia="Times New Roman" w:hAnsi="Times New Roman" w:cs="Times New Roman"/>
                <w:color w:val="000000" w:themeColor="text1"/>
                <w:sz w:val="20"/>
                <w:szCs w:val="20"/>
              </w:rPr>
              <w:t>McCartney et al., 2022</w:t>
            </w:r>
            <w:r w:rsidRPr="004171A7">
              <w:rPr>
                <w:rFonts w:ascii="Times New Roman" w:eastAsia="Times New Roman" w:hAnsi="Times New Roman" w:cs="Times New Roman"/>
                <w:color w:val="000000"/>
                <w:sz w:val="20"/>
                <w:szCs w:val="20"/>
              </w:rPr>
              <w:t xml:space="preserve">, </w:t>
            </w:r>
            <w:proofErr w:type="spellStart"/>
            <w:r w:rsidRPr="004171A7">
              <w:rPr>
                <w:rFonts w:ascii="Times New Roman" w:eastAsia="Times New Roman" w:hAnsi="Times New Roman" w:cs="Times New Roman"/>
                <w:color w:val="000000" w:themeColor="text1"/>
                <w:sz w:val="20"/>
                <w:szCs w:val="20"/>
              </w:rPr>
              <w:t>Schoedel</w:t>
            </w:r>
            <w:proofErr w:type="spellEnd"/>
            <w:r w:rsidRPr="004171A7">
              <w:rPr>
                <w:rFonts w:ascii="Times New Roman" w:eastAsia="Times New Roman" w:hAnsi="Times New Roman" w:cs="Times New Roman"/>
                <w:color w:val="000000" w:themeColor="text1"/>
                <w:sz w:val="20"/>
                <w:szCs w:val="20"/>
              </w:rPr>
              <w:t xml:space="preserve"> et al., 2018</w:t>
            </w:r>
            <w:r w:rsidRPr="004171A7">
              <w:rPr>
                <w:rFonts w:ascii="Times New Roman" w:eastAsia="Times New Roman" w:hAnsi="Times New Roman" w:cs="Times New Roman"/>
                <w:color w:val="000000"/>
                <w:sz w:val="20"/>
                <w:szCs w:val="20"/>
              </w:rPr>
              <w:t xml:space="preserve">, </w:t>
            </w:r>
            <w:proofErr w:type="spellStart"/>
            <w:r w:rsidRPr="004171A7">
              <w:rPr>
                <w:rFonts w:ascii="Times New Roman" w:eastAsia="Times New Roman" w:hAnsi="Times New Roman" w:cs="Times New Roman"/>
                <w:color w:val="000000" w:themeColor="text1"/>
                <w:sz w:val="20"/>
                <w:szCs w:val="20"/>
              </w:rPr>
              <w:t>Solowij</w:t>
            </w:r>
            <w:proofErr w:type="spellEnd"/>
            <w:r w:rsidRPr="004171A7">
              <w:rPr>
                <w:rFonts w:ascii="Times New Roman" w:eastAsia="Times New Roman" w:hAnsi="Times New Roman" w:cs="Times New Roman"/>
                <w:color w:val="000000" w:themeColor="text1"/>
                <w:sz w:val="20"/>
                <w:szCs w:val="20"/>
              </w:rPr>
              <w:t xml:space="preserve"> et al., 2019</w:t>
            </w:r>
            <w:r w:rsidRPr="004171A7">
              <w:rPr>
                <w:rFonts w:ascii="Times New Roman" w:eastAsia="Times New Roman" w:hAnsi="Times New Roman" w:cs="Times New Roman"/>
                <w:color w:val="000000"/>
                <w:sz w:val="20"/>
                <w:szCs w:val="20"/>
              </w:rPr>
              <w:t xml:space="preserve">, </w:t>
            </w:r>
            <w:r w:rsidRPr="004171A7">
              <w:rPr>
                <w:rFonts w:ascii="Times New Roman" w:eastAsia="Times New Roman" w:hAnsi="Times New Roman" w:cs="Times New Roman"/>
                <w:color w:val="000000" w:themeColor="text1"/>
                <w:sz w:val="20"/>
                <w:szCs w:val="20"/>
              </w:rPr>
              <w:t>Spindle et al., 2020</w:t>
            </w:r>
            <w:r w:rsidRPr="004171A7">
              <w:rPr>
                <w:rFonts w:ascii="Times New Roman" w:eastAsia="Times New Roman" w:hAnsi="Times New Roman" w:cs="Times New Roman"/>
                <w:color w:val="000000"/>
                <w:sz w:val="20"/>
                <w:szCs w:val="20"/>
              </w:rPr>
              <w:t xml:space="preserve">, </w:t>
            </w:r>
            <w:r w:rsidRPr="004171A7">
              <w:rPr>
                <w:rFonts w:ascii="Times New Roman" w:eastAsia="Times New Roman" w:hAnsi="Times New Roman" w:cs="Times New Roman"/>
                <w:color w:val="000000" w:themeColor="text1"/>
                <w:sz w:val="20"/>
                <w:szCs w:val="20"/>
                <w:lang w:val="nl-NL"/>
              </w:rPr>
              <w:t xml:space="preserve">van de Donk et al., </w:t>
            </w:r>
            <w:r w:rsidRPr="004171A7">
              <w:rPr>
                <w:rFonts w:ascii="Times New Roman" w:eastAsia="Times New Roman" w:hAnsi="Times New Roman" w:cs="Times New Roman"/>
                <w:color w:val="000000" w:themeColor="text1"/>
                <w:sz w:val="20"/>
                <w:szCs w:val="20"/>
              </w:rPr>
              <w:t>2019</w:t>
            </w:r>
          </w:p>
        </w:tc>
      </w:tr>
      <w:tr w:rsidR="0069712A" w:rsidRPr="004171A7" w14:paraId="4DB0CFB3" w14:textId="77777777" w:rsidTr="004171A7">
        <w:trPr>
          <w:trHeight w:val="397"/>
          <w:jc w:val="center"/>
        </w:trPr>
        <w:tc>
          <w:tcPr>
            <w:tcW w:w="4111" w:type="dxa"/>
            <w:tcBorders>
              <w:top w:val="nil"/>
              <w:left w:val="nil"/>
              <w:bottom w:val="nil"/>
              <w:right w:val="nil"/>
            </w:tcBorders>
            <w:shd w:val="clear" w:color="auto" w:fill="auto"/>
            <w:noWrap/>
            <w:vAlign w:val="bottom"/>
            <w:hideMark/>
          </w:tcPr>
          <w:p w14:paraId="489CF4EF" w14:textId="77777777" w:rsidR="0069712A" w:rsidRPr="004171A7" w:rsidRDefault="0069712A" w:rsidP="00C15575">
            <w:pPr>
              <w:spacing w:after="240"/>
              <w:rPr>
                <w:rFonts w:ascii="Times New Roman" w:eastAsia="Times New Roman" w:hAnsi="Times New Roman" w:cs="Times New Roman"/>
                <w:color w:val="000000"/>
                <w:sz w:val="20"/>
                <w:szCs w:val="20"/>
              </w:rPr>
            </w:pPr>
            <w:r w:rsidRPr="004171A7">
              <w:rPr>
                <w:rFonts w:ascii="Times New Roman" w:eastAsia="Times New Roman" w:hAnsi="Times New Roman" w:cs="Times New Roman"/>
                <w:color w:val="000000"/>
                <w:sz w:val="20"/>
                <w:szCs w:val="20"/>
              </w:rPr>
              <w:t>Visual analog scale (VAS) -  alert/stimulated</w:t>
            </w:r>
          </w:p>
        </w:tc>
        <w:tc>
          <w:tcPr>
            <w:tcW w:w="4820" w:type="dxa"/>
            <w:tcBorders>
              <w:top w:val="nil"/>
              <w:left w:val="nil"/>
              <w:bottom w:val="nil"/>
              <w:right w:val="nil"/>
            </w:tcBorders>
            <w:shd w:val="clear" w:color="auto" w:fill="auto"/>
            <w:noWrap/>
            <w:hideMark/>
          </w:tcPr>
          <w:p w14:paraId="486D42AD" w14:textId="77777777" w:rsidR="0069712A" w:rsidRPr="004171A7" w:rsidRDefault="0069712A" w:rsidP="00C15575">
            <w:pPr>
              <w:spacing w:after="240"/>
              <w:rPr>
                <w:rFonts w:ascii="Times New Roman" w:eastAsia="Times New Roman" w:hAnsi="Times New Roman" w:cs="Times New Roman"/>
                <w:color w:val="000000"/>
                <w:sz w:val="20"/>
                <w:szCs w:val="20"/>
              </w:rPr>
            </w:pPr>
            <w:proofErr w:type="spellStart"/>
            <w:r w:rsidRPr="004171A7">
              <w:rPr>
                <w:rFonts w:ascii="Times New Roman" w:eastAsia="Times New Roman" w:hAnsi="Times New Roman" w:cs="Times New Roman"/>
                <w:color w:val="000000" w:themeColor="text1"/>
                <w:sz w:val="20"/>
                <w:szCs w:val="20"/>
              </w:rPr>
              <w:t>Arout</w:t>
            </w:r>
            <w:proofErr w:type="spellEnd"/>
            <w:r w:rsidRPr="004171A7">
              <w:rPr>
                <w:rFonts w:ascii="Times New Roman" w:eastAsia="Times New Roman" w:hAnsi="Times New Roman" w:cs="Times New Roman"/>
                <w:color w:val="000000" w:themeColor="text1"/>
                <w:sz w:val="20"/>
                <w:szCs w:val="20"/>
              </w:rPr>
              <w:t xml:space="preserve"> et al., 2022</w:t>
            </w:r>
            <w:r w:rsidRPr="004171A7">
              <w:rPr>
                <w:rFonts w:ascii="Times New Roman" w:eastAsia="Times New Roman" w:hAnsi="Times New Roman" w:cs="Times New Roman"/>
                <w:color w:val="000000"/>
                <w:sz w:val="20"/>
                <w:szCs w:val="20"/>
              </w:rPr>
              <w:t xml:space="preserve">, </w:t>
            </w:r>
            <w:r w:rsidRPr="004171A7">
              <w:rPr>
                <w:rFonts w:ascii="Times New Roman" w:eastAsia="Times New Roman" w:hAnsi="Times New Roman" w:cs="Times New Roman"/>
                <w:color w:val="000000" w:themeColor="text1"/>
                <w:sz w:val="20"/>
                <w:szCs w:val="20"/>
              </w:rPr>
              <w:t>McCartney et al., 2022</w:t>
            </w:r>
            <w:r w:rsidRPr="004171A7">
              <w:rPr>
                <w:rFonts w:ascii="Times New Roman" w:eastAsia="Times New Roman" w:hAnsi="Times New Roman" w:cs="Times New Roman"/>
                <w:color w:val="000000"/>
                <w:sz w:val="20"/>
                <w:szCs w:val="20"/>
              </w:rPr>
              <w:t xml:space="preserve">, </w:t>
            </w:r>
            <w:r w:rsidRPr="004171A7">
              <w:rPr>
                <w:rFonts w:ascii="Times New Roman" w:eastAsia="Times New Roman" w:hAnsi="Times New Roman" w:cs="Times New Roman"/>
                <w:color w:val="000000" w:themeColor="text1"/>
                <w:sz w:val="20"/>
                <w:szCs w:val="20"/>
              </w:rPr>
              <w:t>Spindle et al., 2020</w:t>
            </w:r>
          </w:p>
        </w:tc>
      </w:tr>
      <w:tr w:rsidR="0069712A" w:rsidRPr="0069712A" w14:paraId="31F15273" w14:textId="77777777" w:rsidTr="0069712A">
        <w:trPr>
          <w:trHeight w:val="397"/>
          <w:jc w:val="center"/>
        </w:trPr>
        <w:tc>
          <w:tcPr>
            <w:tcW w:w="4111" w:type="dxa"/>
            <w:tcBorders>
              <w:top w:val="nil"/>
              <w:left w:val="nil"/>
              <w:bottom w:val="nil"/>
              <w:right w:val="nil"/>
            </w:tcBorders>
            <w:shd w:val="clear" w:color="auto" w:fill="auto"/>
            <w:noWrap/>
            <w:vAlign w:val="bottom"/>
            <w:hideMark/>
          </w:tcPr>
          <w:p w14:paraId="7D8EA3D7" w14:textId="77777777" w:rsidR="0069712A" w:rsidRPr="004171A7" w:rsidRDefault="0069712A" w:rsidP="00C15575">
            <w:pPr>
              <w:spacing w:after="240"/>
              <w:rPr>
                <w:rFonts w:ascii="Times New Roman" w:eastAsia="Times New Roman" w:hAnsi="Times New Roman" w:cs="Times New Roman"/>
                <w:color w:val="000000"/>
                <w:sz w:val="20"/>
                <w:szCs w:val="20"/>
              </w:rPr>
            </w:pPr>
            <w:r w:rsidRPr="004171A7">
              <w:rPr>
                <w:rFonts w:ascii="Times New Roman" w:eastAsia="Times New Roman" w:hAnsi="Times New Roman" w:cs="Times New Roman"/>
                <w:color w:val="000000"/>
                <w:sz w:val="20"/>
                <w:szCs w:val="20"/>
              </w:rPr>
              <w:t>Visual oddball task (VOT)</w:t>
            </w:r>
          </w:p>
        </w:tc>
        <w:tc>
          <w:tcPr>
            <w:tcW w:w="4820" w:type="dxa"/>
            <w:tcBorders>
              <w:top w:val="nil"/>
              <w:left w:val="nil"/>
              <w:bottom w:val="nil"/>
              <w:right w:val="nil"/>
            </w:tcBorders>
            <w:shd w:val="clear" w:color="auto" w:fill="auto"/>
            <w:noWrap/>
            <w:vAlign w:val="bottom"/>
            <w:hideMark/>
          </w:tcPr>
          <w:p w14:paraId="6430747A" w14:textId="77777777" w:rsidR="0069712A" w:rsidRPr="004171A7" w:rsidRDefault="0069712A" w:rsidP="00C15575">
            <w:pPr>
              <w:spacing w:after="240"/>
              <w:rPr>
                <w:rFonts w:ascii="Times New Roman" w:eastAsia="Times New Roman" w:hAnsi="Times New Roman" w:cs="Times New Roman"/>
                <w:color w:val="000000"/>
                <w:sz w:val="20"/>
                <w:szCs w:val="20"/>
              </w:rPr>
            </w:pPr>
            <w:r w:rsidRPr="004171A7">
              <w:rPr>
                <w:rFonts w:ascii="Times New Roman" w:eastAsia="Times New Roman" w:hAnsi="Times New Roman" w:cs="Times New Roman"/>
                <w:color w:val="000000" w:themeColor="text1"/>
                <w:sz w:val="20"/>
                <w:szCs w:val="20"/>
              </w:rPr>
              <w:t>Bhattacharyya et al., 2012</w:t>
            </w:r>
          </w:p>
        </w:tc>
      </w:tr>
      <w:tr w:rsidR="0069712A" w:rsidRPr="0069712A" w14:paraId="2B6203A8" w14:textId="77777777" w:rsidTr="0069712A">
        <w:trPr>
          <w:trHeight w:val="397"/>
          <w:jc w:val="center"/>
        </w:trPr>
        <w:tc>
          <w:tcPr>
            <w:tcW w:w="4111" w:type="dxa"/>
            <w:tcBorders>
              <w:top w:val="nil"/>
              <w:left w:val="nil"/>
              <w:right w:val="nil"/>
            </w:tcBorders>
            <w:shd w:val="clear" w:color="auto" w:fill="auto"/>
            <w:noWrap/>
            <w:vAlign w:val="bottom"/>
            <w:hideMark/>
          </w:tcPr>
          <w:p w14:paraId="11F4CF5C" w14:textId="77777777" w:rsidR="0069712A" w:rsidRPr="004171A7" w:rsidRDefault="0069712A" w:rsidP="00C15575">
            <w:pPr>
              <w:spacing w:after="240"/>
              <w:rPr>
                <w:rFonts w:ascii="Times New Roman" w:eastAsia="Times New Roman" w:hAnsi="Times New Roman" w:cs="Times New Roman"/>
                <w:color w:val="000000"/>
                <w:sz w:val="20"/>
                <w:szCs w:val="20"/>
              </w:rPr>
            </w:pPr>
            <w:r w:rsidRPr="004171A7">
              <w:rPr>
                <w:rFonts w:ascii="Times New Roman" w:eastAsia="Times New Roman" w:hAnsi="Times New Roman" w:cs="Times New Roman"/>
                <w:color w:val="000000"/>
                <w:sz w:val="20"/>
                <w:szCs w:val="20"/>
              </w:rPr>
              <w:lastRenderedPageBreak/>
              <w:t>Verbal paired associate learning (VPAL)</w:t>
            </w:r>
          </w:p>
        </w:tc>
        <w:tc>
          <w:tcPr>
            <w:tcW w:w="4820" w:type="dxa"/>
            <w:tcBorders>
              <w:top w:val="nil"/>
              <w:left w:val="nil"/>
              <w:right w:val="nil"/>
            </w:tcBorders>
            <w:shd w:val="clear" w:color="auto" w:fill="auto"/>
            <w:noWrap/>
            <w:hideMark/>
          </w:tcPr>
          <w:p w14:paraId="77C3BE22" w14:textId="77777777" w:rsidR="0069712A" w:rsidRPr="004171A7" w:rsidRDefault="0069712A" w:rsidP="00C15575">
            <w:pPr>
              <w:spacing w:after="240"/>
              <w:rPr>
                <w:rFonts w:ascii="Times New Roman" w:eastAsia="Times New Roman" w:hAnsi="Times New Roman" w:cs="Times New Roman"/>
                <w:color w:val="000000"/>
                <w:sz w:val="20"/>
                <w:szCs w:val="20"/>
              </w:rPr>
            </w:pPr>
            <w:r w:rsidRPr="004171A7">
              <w:rPr>
                <w:rFonts w:ascii="Times New Roman" w:eastAsia="Times New Roman" w:hAnsi="Times New Roman" w:cs="Times New Roman"/>
                <w:color w:val="000000" w:themeColor="text1"/>
                <w:sz w:val="20"/>
                <w:szCs w:val="20"/>
              </w:rPr>
              <w:t>Bhattacharyya et al., 2009</w:t>
            </w:r>
            <w:r w:rsidRPr="004171A7">
              <w:rPr>
                <w:rFonts w:ascii="Times New Roman" w:eastAsia="Times New Roman" w:hAnsi="Times New Roman" w:cs="Times New Roman"/>
                <w:color w:val="000000"/>
                <w:sz w:val="20"/>
                <w:szCs w:val="20"/>
              </w:rPr>
              <w:t xml:space="preserve">, </w:t>
            </w:r>
            <w:r w:rsidRPr="004171A7">
              <w:rPr>
                <w:rFonts w:ascii="Times New Roman" w:eastAsia="Times New Roman" w:hAnsi="Times New Roman" w:cs="Times New Roman"/>
                <w:color w:val="000000" w:themeColor="text1"/>
                <w:sz w:val="20"/>
                <w:szCs w:val="20"/>
              </w:rPr>
              <w:t>O’Neill et al., 2021</w:t>
            </w:r>
          </w:p>
        </w:tc>
      </w:tr>
    </w:tbl>
    <w:p w14:paraId="6A330DAF" w14:textId="77777777" w:rsidR="0069712A" w:rsidRDefault="0069712A" w:rsidP="004171A7"/>
    <w:p w14:paraId="672ADE59" w14:textId="77777777" w:rsidR="0069712A" w:rsidRDefault="0069712A" w:rsidP="0069712A">
      <w:pPr>
        <w:rPr>
          <w:rFonts w:ascii="Times New Roman" w:hAnsi="Times New Roman" w:cs="Times New Roman"/>
          <w:b/>
          <w:bCs/>
        </w:rPr>
      </w:pPr>
    </w:p>
    <w:p w14:paraId="7D9B53BA" w14:textId="77777777" w:rsidR="0069712A" w:rsidRDefault="0069712A" w:rsidP="0069712A">
      <w:pPr>
        <w:rPr>
          <w:rFonts w:ascii="Times New Roman" w:hAnsi="Times New Roman" w:cs="Times New Roman"/>
          <w:b/>
          <w:bCs/>
        </w:rPr>
      </w:pPr>
    </w:p>
    <w:p w14:paraId="42D1663F" w14:textId="77777777" w:rsidR="0069712A" w:rsidRDefault="0069712A" w:rsidP="004171A7">
      <w:pPr>
        <w:rPr>
          <w:rFonts w:ascii="Times New Roman" w:hAnsi="Times New Roman" w:cs="Times New Roman"/>
          <w:b/>
          <w:bCs/>
        </w:rPr>
      </w:pPr>
    </w:p>
    <w:p w14:paraId="65F135BC" w14:textId="78F550FC" w:rsidR="00FF0074" w:rsidRPr="000F744B" w:rsidRDefault="00000000">
      <w:pPr>
        <w:numPr>
          <w:ilvl w:val="0"/>
          <w:numId w:val="2"/>
        </w:numPr>
        <w:rPr>
          <w:rFonts w:ascii="Times New Roman" w:hAnsi="Times New Roman" w:cs="Times New Roman"/>
          <w:b/>
          <w:bCs/>
        </w:rPr>
      </w:pPr>
      <w:proofErr w:type="spellStart"/>
      <w:r w:rsidRPr="000F744B">
        <w:rPr>
          <w:rFonts w:ascii="Times New Roman" w:hAnsi="Times New Roman" w:cs="Times New Roman"/>
          <w:b/>
          <w:bCs/>
        </w:rPr>
        <w:t>eFigure</w:t>
      </w:r>
      <w:proofErr w:type="spellEnd"/>
      <w:r w:rsidRPr="000F744B">
        <w:rPr>
          <w:rFonts w:ascii="Times New Roman" w:hAnsi="Times New Roman" w:cs="Times New Roman"/>
          <w:b/>
          <w:bCs/>
        </w:rPr>
        <w:t xml:space="preserve"> 1. Risk of Bias assessment </w:t>
      </w:r>
    </w:p>
    <w:p w14:paraId="71A75718" w14:textId="77777777" w:rsidR="00FF0074" w:rsidRPr="00EF24D8" w:rsidRDefault="00FF0074">
      <w:pPr>
        <w:rPr>
          <w:rFonts w:ascii="Times New Roman" w:hAnsi="Times New Roman" w:cs="Times New Roman"/>
        </w:rPr>
      </w:pPr>
    </w:p>
    <w:p w14:paraId="3BC51FD7" w14:textId="77777777" w:rsidR="00FF0074" w:rsidRPr="00EF24D8" w:rsidRDefault="00FF0074">
      <w:pPr>
        <w:rPr>
          <w:rFonts w:ascii="Times New Roman" w:hAnsi="Times New Roman" w:cs="Times New Roman"/>
        </w:rPr>
      </w:pPr>
    </w:p>
    <w:p w14:paraId="14635925" w14:textId="428EB4B1" w:rsidR="00FF0074" w:rsidRPr="00EF24D8" w:rsidRDefault="00FF0074">
      <w:pPr>
        <w:rPr>
          <w:rFonts w:ascii="Times New Roman" w:hAnsi="Times New Roman" w:cs="Times New Roman"/>
        </w:rPr>
      </w:pPr>
    </w:p>
    <w:p w14:paraId="425F9258" w14:textId="77777777" w:rsidR="00FF0074" w:rsidRPr="00EF24D8" w:rsidRDefault="00FF0074">
      <w:pPr>
        <w:rPr>
          <w:rFonts w:ascii="Times New Roman" w:hAnsi="Times New Roman" w:cs="Times New Roman"/>
        </w:rPr>
      </w:pPr>
    </w:p>
    <w:p w14:paraId="677E12C2" w14:textId="540C58F7" w:rsidR="00FF0074" w:rsidRPr="00EF24D8" w:rsidRDefault="00A75198">
      <w:pPr>
        <w:rPr>
          <w:rFonts w:ascii="Times New Roman" w:hAnsi="Times New Roman" w:cs="Times New Roman"/>
        </w:rPr>
      </w:pPr>
      <w:r w:rsidRPr="00EF24D8">
        <w:rPr>
          <w:rFonts w:ascii="Times New Roman" w:hAnsi="Times New Roman" w:cs="Times New Roman"/>
          <w:noProof/>
        </w:rPr>
        <w:drawing>
          <wp:inline distT="0" distB="0" distL="0" distR="0" wp14:anchorId="5C484671" wp14:editId="1904465F">
            <wp:extent cx="3793490" cy="6075045"/>
            <wp:effectExtent l="0" t="0" r="3810" b="0"/>
            <wp:docPr id="2017492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3490" cy="6075045"/>
                    </a:xfrm>
                    <a:prstGeom prst="rect">
                      <a:avLst/>
                    </a:prstGeom>
                    <a:noFill/>
                    <a:ln>
                      <a:noFill/>
                    </a:ln>
                  </pic:spPr>
                </pic:pic>
              </a:graphicData>
            </a:graphic>
          </wp:inline>
        </w:drawing>
      </w:r>
    </w:p>
    <w:p w14:paraId="29436AD8" w14:textId="5514E444" w:rsidR="00A75198" w:rsidRPr="00EF24D8" w:rsidRDefault="00A75198">
      <w:pPr>
        <w:rPr>
          <w:rFonts w:ascii="Times New Roman" w:hAnsi="Times New Roman" w:cs="Times New Roman"/>
        </w:rPr>
      </w:pPr>
      <w:proofErr w:type="spellStart"/>
      <w:r w:rsidRPr="00EF24D8">
        <w:rPr>
          <w:rFonts w:ascii="Times New Roman" w:hAnsi="Times New Roman" w:cs="Times New Roman"/>
        </w:rPr>
        <w:t>eFigure</w:t>
      </w:r>
      <w:proofErr w:type="spellEnd"/>
      <w:r w:rsidRPr="00EF24D8">
        <w:rPr>
          <w:rFonts w:ascii="Times New Roman" w:hAnsi="Times New Roman" w:cs="Times New Roman"/>
        </w:rPr>
        <w:t xml:space="preserve"> 1. Risk of bias assessments</w:t>
      </w:r>
      <w:r w:rsidR="00DF5E7B" w:rsidRPr="00EF24D8">
        <w:rPr>
          <w:rFonts w:ascii="Times New Roman" w:hAnsi="Times New Roman" w:cs="Times New Roman"/>
        </w:rPr>
        <w:t>. A = crossover trials. B = parallel trials.</w:t>
      </w:r>
    </w:p>
    <w:p w14:paraId="6AA27FAE" w14:textId="77777777" w:rsidR="00FF0074" w:rsidRPr="00EF24D8" w:rsidRDefault="00FF0074">
      <w:pPr>
        <w:rPr>
          <w:rFonts w:ascii="Times New Roman" w:hAnsi="Times New Roman" w:cs="Times New Roman"/>
        </w:rPr>
      </w:pPr>
    </w:p>
    <w:p w14:paraId="770922EE" w14:textId="77777777" w:rsidR="00FF0074" w:rsidRPr="000F744B" w:rsidRDefault="00000000">
      <w:pPr>
        <w:numPr>
          <w:ilvl w:val="0"/>
          <w:numId w:val="2"/>
        </w:numPr>
        <w:rPr>
          <w:rFonts w:ascii="Times New Roman" w:hAnsi="Times New Roman" w:cs="Times New Roman"/>
          <w:b/>
          <w:bCs/>
        </w:rPr>
      </w:pPr>
      <w:proofErr w:type="spellStart"/>
      <w:r w:rsidRPr="000F744B">
        <w:rPr>
          <w:rFonts w:ascii="Times New Roman" w:hAnsi="Times New Roman" w:cs="Times New Roman"/>
          <w:b/>
          <w:bCs/>
        </w:rPr>
        <w:t>eFigure</w:t>
      </w:r>
      <w:proofErr w:type="spellEnd"/>
      <w:r w:rsidRPr="000F744B">
        <w:rPr>
          <w:rFonts w:ascii="Times New Roman" w:hAnsi="Times New Roman" w:cs="Times New Roman"/>
          <w:b/>
          <w:bCs/>
        </w:rPr>
        <w:t xml:space="preserve"> 2. Funnel </w:t>
      </w:r>
      <w:proofErr w:type="gramStart"/>
      <w:r w:rsidRPr="000F744B">
        <w:rPr>
          <w:rFonts w:ascii="Times New Roman" w:hAnsi="Times New Roman" w:cs="Times New Roman"/>
          <w:b/>
          <w:bCs/>
        </w:rPr>
        <w:t>plot</w:t>
      </w:r>
      <w:proofErr w:type="gramEnd"/>
      <w:r w:rsidRPr="000F744B">
        <w:rPr>
          <w:rFonts w:ascii="Times New Roman" w:hAnsi="Times New Roman" w:cs="Times New Roman"/>
          <w:b/>
          <w:bCs/>
        </w:rPr>
        <w:t xml:space="preserve"> </w:t>
      </w:r>
    </w:p>
    <w:p w14:paraId="33093977" w14:textId="58BB5DA0" w:rsidR="00FF0074" w:rsidRPr="00EF24D8" w:rsidRDefault="00FF0074">
      <w:pPr>
        <w:rPr>
          <w:rFonts w:ascii="Times New Roman" w:hAnsi="Times New Roman" w:cs="Times New Roman"/>
        </w:rPr>
      </w:pPr>
    </w:p>
    <w:p w14:paraId="03EE5071" w14:textId="77777777" w:rsidR="00FF0074" w:rsidRPr="00EF24D8" w:rsidRDefault="00000000">
      <w:pPr>
        <w:rPr>
          <w:rFonts w:ascii="Times New Roman" w:hAnsi="Times New Roman" w:cs="Times New Roman"/>
        </w:rPr>
      </w:pPr>
      <w:r w:rsidRPr="00EF24D8">
        <w:rPr>
          <w:rFonts w:ascii="Times New Roman" w:hAnsi="Times New Roman" w:cs="Times New Roman"/>
          <w:noProof/>
        </w:rPr>
        <w:drawing>
          <wp:inline distT="114300" distB="114300" distL="114300" distR="114300" wp14:anchorId="1495B4B7" wp14:editId="4E429CE8">
            <wp:extent cx="4481513" cy="329323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81513" cy="3293233"/>
                    </a:xfrm>
                    <a:prstGeom prst="rect">
                      <a:avLst/>
                    </a:prstGeom>
                    <a:ln/>
                  </pic:spPr>
                </pic:pic>
              </a:graphicData>
            </a:graphic>
          </wp:inline>
        </w:drawing>
      </w:r>
    </w:p>
    <w:p w14:paraId="35FBF20C" w14:textId="500E4863" w:rsidR="00DF5E7B" w:rsidRPr="00EF24D8" w:rsidRDefault="00DF5E7B">
      <w:pPr>
        <w:rPr>
          <w:rFonts w:ascii="Times New Roman" w:hAnsi="Times New Roman" w:cs="Times New Roman"/>
        </w:rPr>
      </w:pPr>
      <w:proofErr w:type="spellStart"/>
      <w:r w:rsidRPr="00EF24D8">
        <w:rPr>
          <w:rFonts w:ascii="Times New Roman" w:hAnsi="Times New Roman" w:cs="Times New Roman"/>
        </w:rPr>
        <w:t>eFigure</w:t>
      </w:r>
      <w:proofErr w:type="spellEnd"/>
      <w:r w:rsidRPr="00EF24D8">
        <w:rPr>
          <w:rFonts w:ascii="Times New Roman" w:hAnsi="Times New Roman" w:cs="Times New Roman"/>
        </w:rPr>
        <w:t xml:space="preserve"> 2. Funnel plot to assess publication bias. </w:t>
      </w:r>
    </w:p>
    <w:p w14:paraId="6890BA18" w14:textId="77777777" w:rsidR="00FF0074" w:rsidRDefault="00FF0074">
      <w:pPr>
        <w:rPr>
          <w:rFonts w:ascii="Times New Roman" w:hAnsi="Times New Roman" w:cs="Times New Roman"/>
        </w:rPr>
      </w:pPr>
    </w:p>
    <w:p w14:paraId="2B7D6945" w14:textId="1CDE611F" w:rsidR="006C0D02" w:rsidRDefault="006C0D02">
      <w:pPr>
        <w:rPr>
          <w:rFonts w:ascii="Times New Roman" w:hAnsi="Times New Roman" w:cs="Times New Roman"/>
        </w:rPr>
      </w:pPr>
      <w:r>
        <w:rPr>
          <w:rFonts w:ascii="Times New Roman" w:hAnsi="Times New Roman" w:cs="Times New Roman"/>
        </w:rPr>
        <w:t>References:</w:t>
      </w:r>
    </w:p>
    <w:p w14:paraId="63DBB968" w14:textId="77777777" w:rsidR="006C0D02" w:rsidRDefault="006C0D02">
      <w:pPr>
        <w:rPr>
          <w:rFonts w:ascii="Times New Roman" w:hAnsi="Times New Roman" w:cs="Times New Roman"/>
        </w:rPr>
      </w:pPr>
    </w:p>
    <w:p w14:paraId="737A59F4" w14:textId="77777777" w:rsidR="006C0D02" w:rsidRPr="006C0D02" w:rsidRDefault="006C0D02" w:rsidP="006C0D02">
      <w:pPr>
        <w:pStyle w:val="Bibliography"/>
        <w:rPr>
          <w:rFonts w:ascii="Times New Roman" w:hAnsi="Times New Roman" w:cs="Times New Roman"/>
          <w:lang w:val="en-US"/>
        </w:rPr>
      </w:pPr>
      <w:r>
        <w:fldChar w:fldCharType="begin"/>
      </w:r>
      <w:r>
        <w:instrText xml:space="preserve"> ADDIN ZOTERO_BIBL {"uncited":[],"omitted":[],"custom":[]} CSL_BIBLIOGRAPHY </w:instrText>
      </w:r>
      <w:r>
        <w:fldChar w:fldCharType="separate"/>
      </w:r>
      <w:r w:rsidRPr="006C0D02">
        <w:rPr>
          <w:rFonts w:ascii="Times New Roman" w:hAnsi="Times New Roman" w:cs="Times New Roman"/>
          <w:lang w:val="en-US"/>
        </w:rPr>
        <w:t xml:space="preserve">1. </w:t>
      </w:r>
      <w:r w:rsidRPr="006C0D02">
        <w:rPr>
          <w:rFonts w:ascii="Times New Roman" w:hAnsi="Times New Roman" w:cs="Times New Roman"/>
          <w:lang w:val="en-US"/>
        </w:rPr>
        <w:tab/>
        <w:t>Spindle TR, Cone EJ, Goffi E, Weerts EM, Mitchell JM, Winecker RE, et al. Pharmacodynamic effects of vaporized and oral cannabidiol (CBD) and vaporized CBD-dominant cannabis in infrequent cannabis users. Drug and Alcohol Dependence. 2020;211:107937.</w:t>
      </w:r>
    </w:p>
    <w:p w14:paraId="37D9DDD4"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2. </w:t>
      </w:r>
      <w:r w:rsidRPr="006C0D02">
        <w:rPr>
          <w:rFonts w:ascii="Times New Roman" w:hAnsi="Times New Roman" w:cs="Times New Roman"/>
          <w:lang w:val="en-US"/>
        </w:rPr>
        <w:tab/>
        <w:t>Vandrey R, Herrmann ES, Mitchell JM, Bigelow GE, Flegel R, LoDico C, et al. Pharmacokinetic Profile of Oral Cannabis in Humans: Blood and Oral Fluid Disposition and Relation to Pharmacodynamic Outcomes. Journal of Analytical Toxicology. 2017;41:83–99.</w:t>
      </w:r>
    </w:p>
    <w:p w14:paraId="3C1FCEFB"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3. </w:t>
      </w:r>
      <w:r w:rsidRPr="006C0D02">
        <w:rPr>
          <w:rFonts w:ascii="Times New Roman" w:hAnsi="Times New Roman" w:cs="Times New Roman"/>
          <w:lang w:val="en-US"/>
        </w:rPr>
        <w:tab/>
        <w:t>Zamarripa CA, Vandrey R, Spindle TR. Factors that Impact the Pharmacokinetic and Pharmacodynamic Effects of Cannabis: a Review of Human Laboratory Studies. Curr Addict Rep. 2022;9:608–621.</w:t>
      </w:r>
    </w:p>
    <w:p w14:paraId="2B54392B"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4. </w:t>
      </w:r>
      <w:r w:rsidRPr="006C0D02">
        <w:rPr>
          <w:rFonts w:ascii="Times New Roman" w:hAnsi="Times New Roman" w:cs="Times New Roman"/>
          <w:lang w:val="en-US"/>
        </w:rPr>
        <w:tab/>
        <w:t>McCartney D, Arkell TR, Irwin C, McGregor IS. Determining the magnitude and duration of acute Δ9-tetrahydrocannabinol (Δ9-THC)-induced driving and cognitive impairment: A systematic and meta-analytic review. Neuroscience &amp; Biobehavioral Reviews. 2021:S0149763421000178.</w:t>
      </w:r>
    </w:p>
    <w:p w14:paraId="5921F31F"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5. </w:t>
      </w:r>
      <w:r w:rsidRPr="006C0D02">
        <w:rPr>
          <w:rFonts w:ascii="Times New Roman" w:hAnsi="Times New Roman" w:cs="Times New Roman"/>
          <w:lang w:val="en-US"/>
        </w:rPr>
        <w:tab/>
        <w:t>Potvin S, Pelletier J, Grot S, Hébert C, Barr AM, Lecomte T. Cognitive deficits in individuals with methamphetamine use disorder: A meta-analysis. Addictive Behaviors. 2018;80:154–160.</w:t>
      </w:r>
    </w:p>
    <w:p w14:paraId="0678D790"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6. </w:t>
      </w:r>
      <w:r w:rsidRPr="006C0D02">
        <w:rPr>
          <w:rFonts w:ascii="Times New Roman" w:hAnsi="Times New Roman" w:cs="Times New Roman"/>
          <w:lang w:val="en-US"/>
        </w:rPr>
        <w:tab/>
        <w:t>Hindocha C, Freeman TP, Grabski M, Crudgington H, Davies AC, Stroud JB, et al. The effects of cannabidiol on impulsivity and memory during abstinence in cigarette dependent smokers. Sci Rep. 2018;8:7568.</w:t>
      </w:r>
    </w:p>
    <w:p w14:paraId="64F266FB"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lastRenderedPageBreak/>
        <w:t xml:space="preserve">7. </w:t>
      </w:r>
      <w:r w:rsidRPr="006C0D02">
        <w:rPr>
          <w:rFonts w:ascii="Times New Roman" w:hAnsi="Times New Roman" w:cs="Times New Roman"/>
          <w:lang w:val="en-US"/>
        </w:rPr>
        <w:tab/>
        <w:t>Schoedel KA, Szeto I, Setnik B, Sellers EM, Levy-Cooperman N, Mills C, et al. Abuse potential assessment of cannabidiol (CBD) in recreational polydrug users: A randomized, double-blind, controlled trial. Epilepsy &amp; Behavior. 2018;88:162–171.</w:t>
      </w:r>
    </w:p>
    <w:p w14:paraId="4265A9D0"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8. </w:t>
      </w:r>
      <w:r w:rsidRPr="006C0D02">
        <w:rPr>
          <w:rFonts w:ascii="Times New Roman" w:hAnsi="Times New Roman" w:cs="Times New Roman"/>
          <w:lang w:val="en-US"/>
        </w:rPr>
        <w:tab/>
        <w:t>Solowij N, Broyd S, Greenwood L, Van Hell H, Martelozzo D, Rueb K, et al. A randomised controlled trial of vaporised Δ9-tetrahydrocannabinol and cannabidiol alone and in combination in frequent and infrequent cannabis users: acute intoxication effects. Eur Arch Psychiatry Clin Neurosci. 2019;269:17–35.</w:t>
      </w:r>
    </w:p>
    <w:p w14:paraId="5130695A"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9. </w:t>
      </w:r>
      <w:r w:rsidRPr="006C0D02">
        <w:rPr>
          <w:rFonts w:ascii="Times New Roman" w:hAnsi="Times New Roman" w:cs="Times New Roman"/>
          <w:lang w:val="en-US"/>
        </w:rPr>
        <w:tab/>
        <w:t>Bhattacharyya S, Crippa JA, Allen P, Martin-Santos R, Borgwardt S, Fusar-Poli P, et al. Induction of Psychosis byΔ9-Tetrahydrocannabinol Reflects Modulation of Prefrontal and Striatal Function During Attentional Salience Processing. Archives of General Psychiatry. 2012;69:27–36.</w:t>
      </w:r>
    </w:p>
    <w:p w14:paraId="494684E6"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10. </w:t>
      </w:r>
      <w:r w:rsidRPr="006C0D02">
        <w:rPr>
          <w:rFonts w:ascii="Times New Roman" w:hAnsi="Times New Roman" w:cs="Times New Roman"/>
          <w:lang w:val="en-US"/>
        </w:rPr>
        <w:tab/>
        <w:t>Morgan CJA, Freeman TP, Hindocha C, Schafer G, Gardner C, Curran HV. Individual and combined effects of acute delta-9-tetrahydrocannabinol and cannabidiol on psychotomimetic symptoms and memory function. Transl Psychiatry. 2018;8:181.</w:t>
      </w:r>
    </w:p>
    <w:p w14:paraId="31655847"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11. </w:t>
      </w:r>
      <w:r w:rsidRPr="006C0D02">
        <w:rPr>
          <w:rFonts w:ascii="Times New Roman" w:hAnsi="Times New Roman" w:cs="Times New Roman"/>
          <w:lang w:val="en-US"/>
        </w:rPr>
        <w:tab/>
        <w:t>Hotz J, Fehlmann B, Papassotiropoulos A, De Quervain DJf, Schicktanz NS. Cannabidiol enhances verbal episodic memory in healthy young participants: A randomized clinical trial. Journal of Psychiatric Research. 2021;143:327–333.</w:t>
      </w:r>
    </w:p>
    <w:p w14:paraId="17F864C7"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12. </w:t>
      </w:r>
      <w:r w:rsidRPr="006C0D02">
        <w:rPr>
          <w:rFonts w:ascii="Times New Roman" w:hAnsi="Times New Roman" w:cs="Times New Roman"/>
          <w:lang w:val="en-US"/>
        </w:rPr>
        <w:tab/>
        <w:t xml:space="preserve">Arkell TR, Vinckenbosch F, Kevin RC, Theunissen EL, McGregor IS, Ramaekers JG. Effect of Cannabidiol and Δ </w:t>
      </w:r>
      <w:r w:rsidRPr="006C0D02">
        <w:rPr>
          <w:rFonts w:ascii="Times New Roman" w:hAnsi="Times New Roman" w:cs="Times New Roman"/>
          <w:vertAlign w:val="superscript"/>
          <w:lang w:val="en-US"/>
        </w:rPr>
        <w:t>9</w:t>
      </w:r>
      <w:r w:rsidRPr="006C0D02">
        <w:rPr>
          <w:rFonts w:ascii="Times New Roman" w:hAnsi="Times New Roman" w:cs="Times New Roman"/>
          <w:lang w:val="en-US"/>
        </w:rPr>
        <w:t xml:space="preserve"> -Tetrahydrocannabinol on Driving Performance: A Randomized Clinical Trial. JAMA. 2020;324:2177.</w:t>
      </w:r>
    </w:p>
    <w:p w14:paraId="2F3ED6A0"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13. </w:t>
      </w:r>
      <w:r w:rsidRPr="006C0D02">
        <w:rPr>
          <w:rFonts w:ascii="Times New Roman" w:hAnsi="Times New Roman" w:cs="Times New Roman"/>
          <w:lang w:val="en-US"/>
        </w:rPr>
        <w:tab/>
        <w:t>Bhattacharyya S, Fusar-Poli P, Borgwardt S, Martin-Santos R, Nosarti C, O’Carroll C, et al. Modulation of Mediotemporal and Ventrostriatal Function in Humans by Δ9-Tetrahydrocannabinol: A Neural Basis for the Effects of Cannabis sativa on Learning and Psychosis. Archives of General Psychiatry. 2009;66:442–451.</w:t>
      </w:r>
    </w:p>
    <w:p w14:paraId="18BC71AC"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14. </w:t>
      </w:r>
      <w:r w:rsidRPr="006C0D02">
        <w:rPr>
          <w:rFonts w:ascii="Times New Roman" w:hAnsi="Times New Roman" w:cs="Times New Roman"/>
          <w:lang w:val="en-US"/>
        </w:rPr>
        <w:tab/>
        <w:t>Borgwardt SJ, Allen P, Bhattacharyya S, Fusar-Poli P, Crippa JA, Seal ML, et al. Neural Basis of Δ-9-Tetrahydrocannabinol and Cannabidiol: Effects During Response Inhibition. Biological Psychiatry. 2008;64:966–973.</w:t>
      </w:r>
    </w:p>
    <w:p w14:paraId="10619A25"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15. </w:t>
      </w:r>
      <w:r w:rsidRPr="006C0D02">
        <w:rPr>
          <w:rFonts w:ascii="Times New Roman" w:hAnsi="Times New Roman" w:cs="Times New Roman"/>
          <w:lang w:val="en-US"/>
        </w:rPr>
        <w:tab/>
        <w:t>van de Donk T, Niesters M, Kowal MA, Olofsen E, Dahan A, van Velzen M. An experimental randomized study on the analgesic effects of pharmaceutical-grade cannabis in chronic pain patients with fibromyalgia. Pain. 2019;160:860–869.</w:t>
      </w:r>
    </w:p>
    <w:p w14:paraId="0B633BEF" w14:textId="77777777" w:rsidR="006C0D02" w:rsidRPr="006C0D02" w:rsidRDefault="006C0D02" w:rsidP="006C0D02">
      <w:pPr>
        <w:pStyle w:val="Bibliography"/>
        <w:rPr>
          <w:rFonts w:ascii="Times New Roman" w:hAnsi="Times New Roman" w:cs="Times New Roman"/>
          <w:lang w:val="en-US"/>
        </w:rPr>
      </w:pPr>
      <w:r w:rsidRPr="006C0D02">
        <w:rPr>
          <w:rFonts w:ascii="Times New Roman" w:hAnsi="Times New Roman" w:cs="Times New Roman"/>
          <w:lang w:val="en-US"/>
        </w:rPr>
        <w:t xml:space="preserve">16. </w:t>
      </w:r>
      <w:r w:rsidRPr="006C0D02">
        <w:rPr>
          <w:rFonts w:ascii="Times New Roman" w:hAnsi="Times New Roman" w:cs="Times New Roman"/>
          <w:lang w:val="en-US"/>
        </w:rPr>
        <w:tab/>
        <w:t>Winton-Brown TT, Allen P, Bhattacharrya S, Borgwardt SJ, Fusar-Poli P, Crippa JA, et al. Modulation of Auditory and Visual Processing by Delta-9-Tetrahydrocannabinol and Cannabidiol: an fMRI Study. Neuropsychopharmacol. 2011;36:1340–1348.</w:t>
      </w:r>
    </w:p>
    <w:p w14:paraId="30B917F3" w14:textId="6A974250" w:rsidR="006C0D02" w:rsidRPr="00EF24D8" w:rsidRDefault="006C0D02">
      <w:pPr>
        <w:rPr>
          <w:rFonts w:ascii="Times New Roman" w:hAnsi="Times New Roman" w:cs="Times New Roman"/>
        </w:rPr>
      </w:pPr>
      <w:r>
        <w:rPr>
          <w:rFonts w:ascii="Times New Roman" w:hAnsi="Times New Roman" w:cs="Times New Roman"/>
        </w:rPr>
        <w:fldChar w:fldCharType="end"/>
      </w:r>
    </w:p>
    <w:sectPr w:rsidR="006C0D02" w:rsidRPr="00EF24D8">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011F9"/>
    <w:multiLevelType w:val="multilevel"/>
    <w:tmpl w:val="647A03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CF67CD"/>
    <w:multiLevelType w:val="multilevel"/>
    <w:tmpl w:val="D70E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68804176">
    <w:abstractNumId w:val="1"/>
  </w:num>
  <w:num w:numId="2" w16cid:durableId="1280990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CA" w:vendorID="64" w:dllVersion="0"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074"/>
    <w:rsid w:val="00021FFF"/>
    <w:rsid w:val="000538E1"/>
    <w:rsid w:val="000F744B"/>
    <w:rsid w:val="00163EC1"/>
    <w:rsid w:val="00374947"/>
    <w:rsid w:val="003B712E"/>
    <w:rsid w:val="003E2D35"/>
    <w:rsid w:val="003E454C"/>
    <w:rsid w:val="003F2BF5"/>
    <w:rsid w:val="004171A7"/>
    <w:rsid w:val="00441748"/>
    <w:rsid w:val="005F7E67"/>
    <w:rsid w:val="006650DE"/>
    <w:rsid w:val="0069712A"/>
    <w:rsid w:val="006C0D02"/>
    <w:rsid w:val="0091613C"/>
    <w:rsid w:val="00A75198"/>
    <w:rsid w:val="00AA29C7"/>
    <w:rsid w:val="00B703E8"/>
    <w:rsid w:val="00CA4CF6"/>
    <w:rsid w:val="00CF499D"/>
    <w:rsid w:val="00DC5BA3"/>
    <w:rsid w:val="00DF5E7B"/>
    <w:rsid w:val="00E17031"/>
    <w:rsid w:val="00EF24D8"/>
    <w:rsid w:val="00F37674"/>
    <w:rsid w:val="00F60B99"/>
    <w:rsid w:val="00FF00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1DCC6D5"/>
  <w15:docId w15:val="{F0DD125B-476A-9840-9E07-97E6C453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C1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A0C1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75198"/>
    <w:rPr>
      <w:sz w:val="16"/>
      <w:szCs w:val="16"/>
    </w:rPr>
  </w:style>
  <w:style w:type="paragraph" w:styleId="CommentText">
    <w:name w:val="annotation text"/>
    <w:basedOn w:val="Normal"/>
    <w:link w:val="CommentTextChar"/>
    <w:uiPriority w:val="99"/>
    <w:semiHidden/>
    <w:unhideWhenUsed/>
    <w:rsid w:val="00A75198"/>
    <w:rPr>
      <w:sz w:val="20"/>
      <w:szCs w:val="20"/>
    </w:rPr>
  </w:style>
  <w:style w:type="character" w:customStyle="1" w:styleId="CommentTextChar">
    <w:name w:val="Comment Text Char"/>
    <w:basedOn w:val="DefaultParagraphFont"/>
    <w:link w:val="CommentText"/>
    <w:uiPriority w:val="99"/>
    <w:semiHidden/>
    <w:rsid w:val="00A75198"/>
    <w:rPr>
      <w:sz w:val="20"/>
      <w:szCs w:val="20"/>
    </w:rPr>
  </w:style>
  <w:style w:type="paragraph" w:styleId="CommentSubject">
    <w:name w:val="annotation subject"/>
    <w:basedOn w:val="CommentText"/>
    <w:next w:val="CommentText"/>
    <w:link w:val="CommentSubjectChar"/>
    <w:uiPriority w:val="99"/>
    <w:semiHidden/>
    <w:unhideWhenUsed/>
    <w:rsid w:val="00A75198"/>
    <w:rPr>
      <w:b/>
      <w:bCs/>
    </w:rPr>
  </w:style>
  <w:style w:type="character" w:customStyle="1" w:styleId="CommentSubjectChar">
    <w:name w:val="Comment Subject Char"/>
    <w:basedOn w:val="CommentTextChar"/>
    <w:link w:val="CommentSubject"/>
    <w:uiPriority w:val="99"/>
    <w:semiHidden/>
    <w:rsid w:val="00A75198"/>
    <w:rPr>
      <w:b/>
      <w:bCs/>
      <w:sz w:val="20"/>
      <w:szCs w:val="20"/>
    </w:rPr>
  </w:style>
  <w:style w:type="paragraph" w:customStyle="1" w:styleId="Default">
    <w:name w:val="Default"/>
    <w:rsid w:val="00441748"/>
    <w:pPr>
      <w:widowControl w:val="0"/>
      <w:autoSpaceDE w:val="0"/>
      <w:autoSpaceDN w:val="0"/>
      <w:adjustRightInd w:val="0"/>
    </w:pPr>
    <w:rPr>
      <w:rFonts w:eastAsia="Times New Roman"/>
      <w:color w:val="000000"/>
      <w:lang w:eastAsia="en-CA"/>
    </w:rPr>
  </w:style>
  <w:style w:type="paragraph" w:styleId="Revision">
    <w:name w:val="Revision"/>
    <w:hidden/>
    <w:uiPriority w:val="99"/>
    <w:semiHidden/>
    <w:rsid w:val="00DC5BA3"/>
  </w:style>
  <w:style w:type="paragraph" w:styleId="Bibliography">
    <w:name w:val="Bibliography"/>
    <w:basedOn w:val="Normal"/>
    <w:next w:val="Normal"/>
    <w:uiPriority w:val="37"/>
    <w:unhideWhenUsed/>
    <w:rsid w:val="006C0D02"/>
    <w:pPr>
      <w:tabs>
        <w:tab w:val="left" w:pos="500"/>
      </w:tabs>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NNtoTrDCDJ3xAPSd86O/luxq3g==">CgMxLjA4AHIhMVBKUTVVMFhaM3p0OGNlemxJOWNLbHY5Mm9RR2VOdHBm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Pages>
  <Words>15972</Words>
  <Characters>91046</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Lo</dc:creator>
  <cp:lastModifiedBy>Lindsay Lo</cp:lastModifiedBy>
  <cp:revision>9</cp:revision>
  <dcterms:created xsi:type="dcterms:W3CDTF">2023-12-19T22:25:00Z</dcterms:created>
  <dcterms:modified xsi:type="dcterms:W3CDTF">2024-02-27T03:46:00Z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id="Zdz3fA8g"/&gt;&lt;style id="http://www.zotero.org/styles/neuropsychopharmacology" hasBibliography="1" bibliographyStyleHasBeenSet="1"/&gt;&lt;prefs&gt;&lt;pref name="fieldType" value="Field"/&gt;&lt;/prefs&gt;&lt;/data&gt;</vt:lpwstr>
  </property>
</Properties>
</file>