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26310" w14:textId="18E0BBB7" w:rsidR="00D52D3C" w:rsidRPr="00506C9D" w:rsidRDefault="00D52D3C" w:rsidP="006B1A16">
      <w:pPr>
        <w:rPr>
          <w:rFonts w:ascii="Calibri" w:hAnsi="Calibri" w:cs="Calibri"/>
          <w:b/>
          <w:bCs/>
          <w:sz w:val="28"/>
          <w:szCs w:val="28"/>
          <w:u w:val="single"/>
          <w:lang w:val="en-CA"/>
        </w:rPr>
      </w:pPr>
      <w:r w:rsidRPr="00506C9D">
        <w:rPr>
          <w:rFonts w:ascii="Calibri" w:hAnsi="Calibri" w:cs="Calibri"/>
          <w:b/>
          <w:bCs/>
          <w:sz w:val="28"/>
          <w:szCs w:val="28"/>
          <w:u w:val="single"/>
          <w:lang w:val="en-CA"/>
        </w:rPr>
        <w:t>Supplementa</w:t>
      </w:r>
      <w:r w:rsidR="00FE2A33" w:rsidRPr="00506C9D">
        <w:rPr>
          <w:rFonts w:ascii="Calibri" w:hAnsi="Calibri" w:cs="Calibri"/>
          <w:b/>
          <w:bCs/>
          <w:sz w:val="28"/>
          <w:szCs w:val="28"/>
          <w:u w:val="single"/>
          <w:lang w:val="en-CA"/>
        </w:rPr>
        <w:t>ry</w:t>
      </w:r>
      <w:r w:rsidRPr="00506C9D">
        <w:rPr>
          <w:rFonts w:ascii="Calibri" w:hAnsi="Calibri" w:cs="Calibri"/>
          <w:b/>
          <w:bCs/>
          <w:sz w:val="28"/>
          <w:szCs w:val="28"/>
          <w:u w:val="single"/>
          <w:lang w:val="en-CA"/>
        </w:rPr>
        <w:t xml:space="preserve"> Information</w:t>
      </w:r>
    </w:p>
    <w:p w14:paraId="04AF28CB" w14:textId="77777777" w:rsidR="00D52D3C" w:rsidRPr="00506C9D" w:rsidRDefault="00D52D3C" w:rsidP="006B1A16">
      <w:pPr>
        <w:rPr>
          <w:rFonts w:ascii="Calibri" w:hAnsi="Calibri" w:cs="Calibri"/>
          <w:b/>
          <w:bCs/>
          <w:lang w:val="en-CA"/>
        </w:rPr>
      </w:pPr>
    </w:p>
    <w:p w14:paraId="6B8F1284" w14:textId="5D0FFE19" w:rsidR="00591C3C" w:rsidRPr="00506C9D" w:rsidRDefault="00591C3C" w:rsidP="006B1A16">
      <w:pPr>
        <w:rPr>
          <w:rFonts w:cs="Arial"/>
          <w:b/>
          <w:sz w:val="28"/>
          <w:szCs w:val="28"/>
          <w:lang w:val="en-CA"/>
        </w:rPr>
      </w:pPr>
      <w:r w:rsidRPr="00506C9D">
        <w:rPr>
          <w:rFonts w:cs="Arial"/>
          <w:b/>
          <w:sz w:val="28"/>
          <w:szCs w:val="28"/>
          <w:lang w:val="en-CA"/>
        </w:rPr>
        <w:t xml:space="preserve">A </w:t>
      </w:r>
      <w:r w:rsidRPr="00537F73">
        <w:rPr>
          <w:rFonts w:cs="Arial"/>
          <w:b/>
          <w:sz w:val="28"/>
          <w:szCs w:val="28"/>
          <w:lang w:val="en-CA"/>
        </w:rPr>
        <w:t>Novel Allosteric Modulator of the Cannabinoid CB</w:t>
      </w:r>
      <w:r w:rsidRPr="00537F73">
        <w:rPr>
          <w:rFonts w:cs="Arial"/>
          <w:b/>
          <w:sz w:val="28"/>
          <w:szCs w:val="28"/>
          <w:vertAlign w:val="subscript"/>
          <w:lang w:val="en-CA"/>
        </w:rPr>
        <w:t>1</w:t>
      </w:r>
      <w:r w:rsidRPr="00537F73">
        <w:rPr>
          <w:rFonts w:cs="Arial"/>
          <w:sz w:val="28"/>
          <w:szCs w:val="28"/>
          <w:lang w:val="en-CA"/>
        </w:rPr>
        <w:t xml:space="preserve"> </w:t>
      </w:r>
      <w:r w:rsidRPr="00537F73">
        <w:rPr>
          <w:rFonts w:cs="Arial"/>
          <w:b/>
          <w:sz w:val="28"/>
          <w:szCs w:val="28"/>
          <w:lang w:val="en-CA"/>
        </w:rPr>
        <w:t xml:space="preserve">Receptor Ameliorates </w:t>
      </w:r>
      <w:proofErr w:type="spellStart"/>
      <w:r w:rsidRPr="00537F73">
        <w:rPr>
          <w:rFonts w:cs="Arial"/>
          <w:b/>
          <w:sz w:val="28"/>
          <w:szCs w:val="28"/>
          <w:lang w:val="en-CA"/>
        </w:rPr>
        <w:t>Hyperdo</w:t>
      </w:r>
      <w:r w:rsidR="00FF1A85" w:rsidRPr="00537F73">
        <w:rPr>
          <w:rFonts w:cs="Arial"/>
          <w:b/>
          <w:sz w:val="28"/>
          <w:szCs w:val="28"/>
          <w:lang w:val="en-CA"/>
        </w:rPr>
        <w:t>pa</w:t>
      </w:r>
      <w:r w:rsidRPr="00537F73">
        <w:rPr>
          <w:rFonts w:cs="Arial"/>
          <w:b/>
          <w:sz w:val="28"/>
          <w:szCs w:val="28"/>
          <w:lang w:val="en-CA"/>
        </w:rPr>
        <w:t>minergia</w:t>
      </w:r>
      <w:proofErr w:type="spellEnd"/>
      <w:r w:rsidRPr="00537F73">
        <w:rPr>
          <w:rFonts w:cs="Arial"/>
          <w:b/>
          <w:sz w:val="28"/>
          <w:szCs w:val="28"/>
          <w:lang w:val="en-CA"/>
        </w:rPr>
        <w:t xml:space="preserve"> Endophenotypes in Rodent Models</w:t>
      </w:r>
    </w:p>
    <w:p w14:paraId="37763B39" w14:textId="77777777" w:rsidR="00D52D3C" w:rsidRPr="00506C9D" w:rsidRDefault="00D52D3C" w:rsidP="006B1A16">
      <w:pPr>
        <w:spacing w:before="120"/>
        <w:rPr>
          <w:rFonts w:cs="Arial"/>
          <w:b/>
          <w:lang w:val="en-CA"/>
        </w:rPr>
      </w:pPr>
    </w:p>
    <w:p w14:paraId="7ADC0A19" w14:textId="63AA57CE" w:rsidR="009603E5" w:rsidRPr="00536541" w:rsidRDefault="009603E5" w:rsidP="006B1A16">
      <w:pPr>
        <w:rPr>
          <w:rFonts w:cs="Arial"/>
        </w:rPr>
      </w:pPr>
      <w:r w:rsidRPr="00536541">
        <w:rPr>
          <w:rFonts w:cs="Arial"/>
        </w:rPr>
        <w:t>Catharine A. Mielnik</w:t>
      </w:r>
      <w:r w:rsidRPr="00536541">
        <w:rPr>
          <w:rFonts w:cs="Arial"/>
          <w:vertAlign w:val="superscript"/>
        </w:rPr>
        <w:t>1</w:t>
      </w:r>
      <w:r w:rsidRPr="00536541">
        <w:rPr>
          <w:rFonts w:cs="Arial"/>
        </w:rPr>
        <w:t xml:space="preserve">, Kim S. </w:t>
      </w:r>
      <w:r w:rsidRPr="00D32FD5">
        <w:rPr>
          <w:rFonts w:cs="Arial"/>
        </w:rPr>
        <w:t>Sugamori</w:t>
      </w:r>
      <w:r w:rsidRPr="00D32FD5">
        <w:rPr>
          <w:rFonts w:cs="Arial"/>
          <w:vertAlign w:val="superscript"/>
        </w:rPr>
        <w:t>1</w:t>
      </w:r>
      <w:r>
        <w:rPr>
          <w:rFonts w:eastAsia="Times New Roman"/>
        </w:rPr>
        <w:t xml:space="preserve">, </w:t>
      </w:r>
      <w:r w:rsidRPr="00D32FD5">
        <w:rPr>
          <w:rFonts w:cs="Arial"/>
        </w:rPr>
        <w:t>David B</w:t>
      </w:r>
      <w:r>
        <w:rPr>
          <w:rFonts w:cs="Arial"/>
        </w:rPr>
        <w:t>.</w:t>
      </w:r>
      <w:r w:rsidRPr="00D32FD5">
        <w:rPr>
          <w:rFonts w:cs="Arial"/>
        </w:rPr>
        <w:t xml:space="preserve"> Finlay</w:t>
      </w:r>
      <w:r>
        <w:rPr>
          <w:rFonts w:cs="Arial"/>
          <w:vertAlign w:val="superscript"/>
        </w:rPr>
        <w:t>2</w:t>
      </w:r>
      <w:r>
        <w:rPr>
          <w:rFonts w:cs="Arial"/>
        </w:rPr>
        <w:t xml:space="preserve">, </w:t>
      </w:r>
      <w:r w:rsidRPr="00D32FD5">
        <w:rPr>
          <w:rFonts w:cs="Arial"/>
        </w:rPr>
        <w:t>Hayley</w:t>
      </w:r>
      <w:r w:rsidRPr="00536541">
        <w:rPr>
          <w:rFonts w:cs="Arial"/>
        </w:rPr>
        <w:t xml:space="preserve"> H</w:t>
      </w:r>
      <w:r>
        <w:rPr>
          <w:rFonts w:cs="Arial"/>
        </w:rPr>
        <w:t>.</w:t>
      </w:r>
      <w:r w:rsidRPr="00536541">
        <w:rPr>
          <w:rFonts w:cs="Arial"/>
        </w:rPr>
        <w:t>A</w:t>
      </w:r>
      <w:r>
        <w:rPr>
          <w:rFonts w:cs="Arial"/>
        </w:rPr>
        <w:t>.</w:t>
      </w:r>
      <w:r w:rsidRPr="00536541">
        <w:rPr>
          <w:rFonts w:cs="Arial"/>
        </w:rPr>
        <w:t xml:space="preserve"> Thorpe</w:t>
      </w:r>
      <w:r>
        <w:rPr>
          <w:rFonts w:cs="Arial"/>
          <w:vertAlign w:val="superscript"/>
        </w:rPr>
        <w:t>3</w:t>
      </w:r>
      <w:r w:rsidRPr="00536541">
        <w:rPr>
          <w:rFonts w:cs="Arial"/>
        </w:rPr>
        <w:t xml:space="preserve">, Matthieu </w:t>
      </w:r>
      <w:r w:rsidRPr="00D32FD5">
        <w:rPr>
          <w:rFonts w:cs="Arial"/>
        </w:rPr>
        <w:t>Schapira</w:t>
      </w:r>
      <w:r>
        <w:rPr>
          <w:rFonts w:cs="Arial"/>
          <w:vertAlign w:val="superscript"/>
        </w:rPr>
        <w:t>4</w:t>
      </w:r>
      <w:r>
        <w:rPr>
          <w:rFonts w:cs="Arial"/>
        </w:rPr>
        <w:t xml:space="preserve">, </w:t>
      </w:r>
      <w:proofErr w:type="spellStart"/>
      <w:r w:rsidRPr="00D32FD5">
        <w:rPr>
          <w:rFonts w:cs="Arial"/>
        </w:rPr>
        <w:t>Nirunthan</w:t>
      </w:r>
      <w:proofErr w:type="spellEnd"/>
      <w:r w:rsidRPr="00536541">
        <w:rPr>
          <w:rFonts w:cs="Arial"/>
        </w:rPr>
        <w:t xml:space="preserve"> Sivananthan</w:t>
      </w:r>
      <w:r w:rsidRPr="00536541">
        <w:rPr>
          <w:rFonts w:cs="Arial"/>
          <w:vertAlign w:val="superscript"/>
        </w:rPr>
        <w:t>1</w:t>
      </w:r>
      <w:r w:rsidRPr="00536541">
        <w:rPr>
          <w:rFonts w:cs="Arial"/>
        </w:rPr>
        <w:t>,</w:t>
      </w:r>
      <w:r w:rsidR="007F0CC9">
        <w:rPr>
          <w:rFonts w:cs="Arial"/>
        </w:rPr>
        <w:t xml:space="preserve"> </w:t>
      </w:r>
      <w:r w:rsidR="007F0CC9" w:rsidRPr="00536541">
        <w:rPr>
          <w:rFonts w:cs="Arial"/>
        </w:rPr>
        <w:t>Chun Kit Li</w:t>
      </w:r>
      <w:r w:rsidR="007F0CC9" w:rsidRPr="00536541">
        <w:rPr>
          <w:rFonts w:cs="Arial"/>
          <w:vertAlign w:val="superscript"/>
        </w:rPr>
        <w:t>1</w:t>
      </w:r>
      <w:r w:rsidR="007F0CC9" w:rsidRPr="00536541">
        <w:rPr>
          <w:rFonts w:cs="Arial"/>
        </w:rPr>
        <w:t xml:space="preserve">, </w:t>
      </w:r>
      <w:r w:rsidRPr="00536541">
        <w:rPr>
          <w:rFonts w:cs="Arial"/>
        </w:rPr>
        <w:t>Vincent M. Lam</w:t>
      </w:r>
      <w:r w:rsidRPr="00536541">
        <w:rPr>
          <w:rFonts w:cs="Arial"/>
          <w:vertAlign w:val="superscript"/>
        </w:rPr>
        <w:t>1</w:t>
      </w:r>
      <w:r>
        <w:t xml:space="preserve">, </w:t>
      </w:r>
      <w:r w:rsidRPr="00536541">
        <w:rPr>
          <w:rFonts w:cs="Arial"/>
        </w:rPr>
        <w:t>Sean Harrington</w:t>
      </w:r>
      <w:r w:rsidRPr="00536541">
        <w:rPr>
          <w:rFonts w:cs="Arial"/>
          <w:vertAlign w:val="superscript"/>
        </w:rPr>
        <w:t>1</w:t>
      </w:r>
      <w:r w:rsidRPr="00536541">
        <w:rPr>
          <w:rFonts w:cs="Arial"/>
        </w:rPr>
        <w:t>, Mostafa H. Abdelrahman</w:t>
      </w:r>
      <w:r>
        <w:rPr>
          <w:rFonts w:cs="Arial"/>
          <w:vertAlign w:val="superscript"/>
        </w:rPr>
        <w:t>5</w:t>
      </w:r>
      <w:r w:rsidRPr="00536541">
        <w:rPr>
          <w:rFonts w:cs="Arial"/>
        </w:rPr>
        <w:t>, Laurent A. Trembleau</w:t>
      </w:r>
      <w:r>
        <w:rPr>
          <w:rFonts w:cs="Arial"/>
          <w:vertAlign w:val="superscript"/>
        </w:rPr>
        <w:t>5</w:t>
      </w:r>
      <w:r w:rsidRPr="00536541">
        <w:rPr>
          <w:rFonts w:cs="Arial"/>
        </w:rPr>
        <w:t xml:space="preserve">, </w:t>
      </w:r>
      <w:r w:rsidR="007F0CC9" w:rsidRPr="00536541">
        <w:rPr>
          <w:rFonts w:cs="Arial"/>
        </w:rPr>
        <w:t>W. McIntyre Burnham</w:t>
      </w:r>
      <w:r w:rsidR="007F0CC9" w:rsidRPr="00536541">
        <w:rPr>
          <w:rFonts w:cs="Arial"/>
          <w:vertAlign w:val="superscript"/>
        </w:rPr>
        <w:t>1</w:t>
      </w:r>
      <w:r w:rsidR="007F0CC9">
        <w:rPr>
          <w:rFonts w:cs="Arial"/>
        </w:rPr>
        <w:t xml:space="preserve">, </w:t>
      </w:r>
      <w:proofErr w:type="spellStart"/>
      <w:r w:rsidRPr="00536541">
        <w:rPr>
          <w:rFonts w:cs="Arial"/>
        </w:rPr>
        <w:t>Jibran</w:t>
      </w:r>
      <w:proofErr w:type="spellEnd"/>
      <w:r w:rsidRPr="00536541">
        <w:rPr>
          <w:rFonts w:cs="Arial"/>
        </w:rPr>
        <w:t xml:space="preserve"> Y Khokhar</w:t>
      </w:r>
      <w:r>
        <w:rPr>
          <w:rFonts w:cs="Arial"/>
          <w:vertAlign w:val="superscript"/>
        </w:rPr>
        <w:t>3</w:t>
      </w:r>
      <w:r w:rsidRPr="00536541">
        <w:rPr>
          <w:rFonts w:cs="Arial"/>
        </w:rPr>
        <w:t>, Ali Salahpour</w:t>
      </w:r>
      <w:r w:rsidRPr="00536541">
        <w:rPr>
          <w:rFonts w:cs="Arial"/>
          <w:vertAlign w:val="superscript"/>
        </w:rPr>
        <w:t>1</w:t>
      </w:r>
      <w:r w:rsidRPr="00536541">
        <w:rPr>
          <w:rFonts w:cs="Arial"/>
        </w:rPr>
        <w:t>, Amy J. Ramsey</w:t>
      </w:r>
      <w:r w:rsidRPr="00536541">
        <w:rPr>
          <w:rFonts w:cs="Arial"/>
          <w:vertAlign w:val="superscript"/>
        </w:rPr>
        <w:t>1</w:t>
      </w:r>
      <w:r w:rsidRPr="00536541">
        <w:rPr>
          <w:rFonts w:cs="Arial"/>
        </w:rPr>
        <w:t xml:space="preserve">, </w:t>
      </w:r>
      <w:r w:rsidRPr="00D32FD5">
        <w:rPr>
          <w:rFonts w:cs="Arial"/>
        </w:rPr>
        <w:t>Michelle Glass</w:t>
      </w:r>
      <w:r>
        <w:rPr>
          <w:rFonts w:cs="Arial"/>
          <w:vertAlign w:val="superscript"/>
        </w:rPr>
        <w:t>2</w:t>
      </w:r>
      <w:r>
        <w:rPr>
          <w:rFonts w:eastAsia="Times New Roman"/>
        </w:rPr>
        <w:t xml:space="preserve">, </w:t>
      </w:r>
      <w:r w:rsidRPr="00536541">
        <w:rPr>
          <w:rFonts w:cs="Arial"/>
        </w:rPr>
        <w:t>Iain R. Greig</w:t>
      </w:r>
      <w:r>
        <w:rPr>
          <w:rFonts w:cs="Arial"/>
          <w:vertAlign w:val="superscript"/>
        </w:rPr>
        <w:t>5</w:t>
      </w:r>
      <w:r w:rsidRPr="00536541">
        <w:rPr>
          <w:rFonts w:cs="Arial"/>
        </w:rPr>
        <w:t>,</w:t>
      </w:r>
      <w:r w:rsidRPr="00463D1E">
        <w:rPr>
          <w:rFonts w:cs="Arial"/>
        </w:rPr>
        <w:t xml:space="preserve"> </w:t>
      </w:r>
      <w:r w:rsidRPr="00536541">
        <w:rPr>
          <w:rFonts w:cs="Arial"/>
        </w:rPr>
        <w:t>Ruth A. Ross</w:t>
      </w:r>
      <w:r w:rsidRPr="00536541">
        <w:rPr>
          <w:rFonts w:cs="Arial"/>
          <w:vertAlign w:val="superscript"/>
        </w:rPr>
        <w:t>1</w:t>
      </w:r>
      <w:r w:rsidRPr="00536541">
        <w:rPr>
          <w:rFonts w:cs="Arial"/>
        </w:rPr>
        <w:t>*</w:t>
      </w:r>
    </w:p>
    <w:p w14:paraId="78817AC5" w14:textId="77777777" w:rsidR="00D52D3C" w:rsidRPr="00537F73" w:rsidRDefault="00D52D3C" w:rsidP="00ED7420">
      <w:pPr>
        <w:spacing w:after="160" w:line="360" w:lineRule="auto"/>
        <w:rPr>
          <w:rFonts w:ascii="Calibri" w:hAnsi="Calibri" w:cs="Calibri"/>
          <w:b/>
        </w:rPr>
      </w:pPr>
    </w:p>
    <w:p w14:paraId="1A4FD7EC" w14:textId="77777777" w:rsidR="00D52D3C" w:rsidRPr="00537F73" w:rsidRDefault="00D52D3C" w:rsidP="00ED7420">
      <w:pPr>
        <w:spacing w:after="160" w:line="360" w:lineRule="auto"/>
        <w:rPr>
          <w:rFonts w:ascii="Calibri" w:hAnsi="Calibri" w:cs="Calibri"/>
          <w:b/>
          <w:lang w:val="en-CA"/>
        </w:rPr>
      </w:pPr>
      <w:r w:rsidRPr="00537F73">
        <w:rPr>
          <w:rFonts w:ascii="Calibri" w:hAnsi="Calibri" w:cs="Calibri"/>
          <w:b/>
        </w:rPr>
        <w:t>METHODS AND MATERIALS</w:t>
      </w:r>
    </w:p>
    <w:p w14:paraId="041B320F" w14:textId="77777777" w:rsidR="00D52D3C" w:rsidRPr="00537F73" w:rsidRDefault="00D52D3C" w:rsidP="00ED7420">
      <w:pPr>
        <w:pStyle w:val="Heading2"/>
        <w:spacing w:line="360" w:lineRule="auto"/>
        <w:jc w:val="left"/>
        <w:rPr>
          <w:rFonts w:ascii="Calibri" w:hAnsi="Calibri" w:cs="Calibri"/>
          <w:b/>
          <w:i w:val="0"/>
          <w:szCs w:val="24"/>
        </w:rPr>
      </w:pPr>
      <w:r w:rsidRPr="00537F73">
        <w:rPr>
          <w:rFonts w:ascii="Calibri" w:eastAsiaTheme="minorHAnsi" w:hAnsi="Calibri" w:cs="Calibri"/>
          <w:b/>
          <w:i w:val="0"/>
          <w:szCs w:val="24"/>
          <w:lang w:val="en-US" w:eastAsia="en-US"/>
        </w:rPr>
        <w:t>Synthesis of ABM300 (5-(5-Chloro-3-ethyl-1H-indol-2-yl)-</w:t>
      </w:r>
      <w:r w:rsidRPr="004D25ED">
        <w:rPr>
          <w:rFonts w:ascii="Calibri" w:eastAsiaTheme="minorHAnsi" w:hAnsi="Calibri" w:cs="Calibri"/>
          <w:b/>
          <w:iCs/>
          <w:szCs w:val="24"/>
          <w:lang w:val="en-US" w:eastAsia="en-US"/>
        </w:rPr>
        <w:t>N</w:t>
      </w:r>
      <w:r w:rsidRPr="00537F73">
        <w:rPr>
          <w:rFonts w:ascii="Calibri" w:eastAsiaTheme="minorHAnsi" w:hAnsi="Calibri" w:cs="Calibri"/>
          <w:b/>
          <w:i w:val="0"/>
          <w:szCs w:val="24"/>
          <w:lang w:val="en-US" w:eastAsia="en-US"/>
        </w:rPr>
        <w:t>-phenyl-1,3,4-oxadiazol-2-amine)</w:t>
      </w:r>
    </w:p>
    <w:p w14:paraId="225C1B34" w14:textId="77777777" w:rsidR="00D52D3C" w:rsidRPr="00537F73" w:rsidRDefault="00D52D3C" w:rsidP="00ED7420">
      <w:pPr>
        <w:pStyle w:val="Heading2"/>
        <w:spacing w:line="360" w:lineRule="auto"/>
        <w:jc w:val="left"/>
        <w:rPr>
          <w:rFonts w:ascii="Calibri" w:eastAsiaTheme="minorHAnsi" w:hAnsi="Calibri" w:cs="Calibri"/>
          <w:bCs/>
          <w:i w:val="0"/>
          <w:szCs w:val="24"/>
          <w:lang w:val="en-US" w:eastAsia="en-US"/>
        </w:rPr>
      </w:pPr>
      <w:r w:rsidRPr="00537F73">
        <w:rPr>
          <w:rFonts w:ascii="Calibri" w:eastAsiaTheme="minorHAnsi" w:hAnsi="Calibri" w:cs="Calibri"/>
          <w:bCs/>
          <w:i w:val="0"/>
          <w:szCs w:val="24"/>
          <w:lang w:val="en-US" w:eastAsia="en-US"/>
        </w:rPr>
        <w:t xml:space="preserve">To a solution of </w:t>
      </w:r>
      <w:proofErr w:type="spellStart"/>
      <w:r w:rsidRPr="00537F73">
        <w:rPr>
          <w:rFonts w:ascii="Calibri" w:eastAsiaTheme="minorHAnsi" w:hAnsi="Calibri" w:cs="Calibri"/>
          <w:bCs/>
          <w:i w:val="0"/>
          <w:szCs w:val="24"/>
          <w:lang w:val="en-US" w:eastAsia="en-US"/>
        </w:rPr>
        <w:t>isothiocyanatobenzene</w:t>
      </w:r>
      <w:proofErr w:type="spellEnd"/>
      <w:r w:rsidRPr="00537F73">
        <w:rPr>
          <w:rFonts w:ascii="Calibri" w:eastAsiaTheme="minorHAnsi" w:hAnsi="Calibri" w:cs="Calibri"/>
          <w:bCs/>
          <w:i w:val="0"/>
          <w:szCs w:val="24"/>
          <w:lang w:val="en-US" w:eastAsia="en-US"/>
        </w:rPr>
        <w:t xml:space="preserve"> (14.36 mmol) in ethanol (25 mL), 60% hydrazine monohydrate (0.96 ml, 17.23 mmol) was added and the mixture was stirred at room temperature for 30 min. The precipitate formed was filtered off, washed with ethanol to provide </w:t>
      </w:r>
      <w:r w:rsidRPr="004D25ED">
        <w:rPr>
          <w:rFonts w:ascii="Calibri" w:eastAsiaTheme="minorHAnsi" w:hAnsi="Calibri" w:cs="Calibri"/>
          <w:bCs/>
          <w:iCs/>
          <w:szCs w:val="24"/>
          <w:lang w:val="en-US" w:eastAsia="en-US"/>
        </w:rPr>
        <w:t>N</w:t>
      </w:r>
      <w:r w:rsidRPr="00537F73">
        <w:rPr>
          <w:rFonts w:ascii="Calibri" w:eastAsiaTheme="minorHAnsi" w:hAnsi="Calibri" w:cs="Calibri"/>
          <w:bCs/>
          <w:i w:val="0"/>
          <w:szCs w:val="24"/>
          <w:lang w:val="en-US" w:eastAsia="en-US"/>
        </w:rPr>
        <w:t>-</w:t>
      </w:r>
      <w:proofErr w:type="spellStart"/>
      <w:r w:rsidRPr="00537F73">
        <w:rPr>
          <w:rFonts w:ascii="Calibri" w:eastAsiaTheme="minorHAnsi" w:hAnsi="Calibri" w:cs="Calibri"/>
          <w:bCs/>
          <w:i w:val="0"/>
          <w:szCs w:val="24"/>
          <w:lang w:val="en-US" w:eastAsia="en-US"/>
        </w:rPr>
        <w:t>phenylhydrazinecarbothioamide</w:t>
      </w:r>
      <w:proofErr w:type="spellEnd"/>
      <w:r w:rsidRPr="00537F73">
        <w:rPr>
          <w:rFonts w:ascii="Calibri" w:eastAsiaTheme="minorHAnsi" w:hAnsi="Calibri" w:cs="Calibri"/>
          <w:bCs/>
          <w:i w:val="0"/>
          <w:szCs w:val="24"/>
          <w:lang w:val="en-US" w:eastAsia="en-US"/>
        </w:rPr>
        <w:t xml:space="preserve"> as a white solid.  </w:t>
      </w:r>
      <w:r w:rsidRPr="004D25ED">
        <w:rPr>
          <w:rFonts w:ascii="Calibri" w:eastAsiaTheme="minorHAnsi" w:hAnsi="Calibri" w:cs="Calibri"/>
          <w:bCs/>
          <w:i w:val="0"/>
          <w:szCs w:val="24"/>
          <w:vertAlign w:val="superscript"/>
          <w:lang w:val="en-US" w:eastAsia="en-US"/>
        </w:rPr>
        <w:t>1</w:t>
      </w:r>
      <w:r w:rsidRPr="00537F73">
        <w:rPr>
          <w:rFonts w:ascii="Calibri" w:eastAsiaTheme="minorHAnsi" w:hAnsi="Calibri" w:cs="Calibri"/>
          <w:bCs/>
          <w:i w:val="0"/>
          <w:szCs w:val="24"/>
          <w:lang w:val="en-US" w:eastAsia="en-US"/>
        </w:rPr>
        <w:t>H NMR (400 MHz, DMSO-</w:t>
      </w:r>
      <w:r w:rsidRPr="004D25ED">
        <w:rPr>
          <w:rFonts w:ascii="Calibri" w:eastAsiaTheme="minorHAnsi" w:hAnsi="Calibri" w:cs="Calibri"/>
          <w:bCs/>
          <w:iCs/>
          <w:szCs w:val="24"/>
          <w:lang w:val="en-US" w:eastAsia="en-US"/>
        </w:rPr>
        <w:t>d</w:t>
      </w:r>
      <w:r w:rsidRPr="004D25ED">
        <w:rPr>
          <w:rFonts w:ascii="Calibri" w:eastAsiaTheme="minorHAnsi" w:hAnsi="Calibri" w:cs="Calibri"/>
          <w:bCs/>
          <w:i w:val="0"/>
          <w:szCs w:val="24"/>
          <w:vertAlign w:val="subscript"/>
          <w:lang w:val="en-US" w:eastAsia="en-US"/>
        </w:rPr>
        <w:t>6</w:t>
      </w:r>
      <w:r w:rsidRPr="00537F73">
        <w:rPr>
          <w:rFonts w:ascii="Calibri" w:eastAsiaTheme="minorHAnsi" w:hAnsi="Calibri" w:cs="Calibri"/>
          <w:bCs/>
          <w:i w:val="0"/>
          <w:szCs w:val="24"/>
          <w:lang w:val="en-US" w:eastAsia="en-US"/>
        </w:rPr>
        <w:t>) δ 9.66 (s, 1H, NHCSNHNH</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 9.13 (s, 1H, NHCSNHNH</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 xml:space="preserve">), 7.65 (d,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8.0 Hz, 2H,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7.30 (t,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7.8 Hz, 2H,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7.09 (t,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7.4 Hz, 1H,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-H), 4.80 (s, 2H, NHCSNHNH</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 xml:space="preserve">). </w:t>
      </w:r>
      <w:r w:rsidRPr="004D25ED">
        <w:rPr>
          <w:rFonts w:ascii="Calibri" w:eastAsiaTheme="minorHAnsi" w:hAnsi="Calibri" w:cs="Calibri"/>
          <w:bCs/>
          <w:i w:val="0"/>
          <w:szCs w:val="24"/>
          <w:vertAlign w:val="superscript"/>
          <w:lang w:val="en-US" w:eastAsia="en-US"/>
        </w:rPr>
        <w:t>13</w:t>
      </w:r>
      <w:r w:rsidRPr="00537F73">
        <w:rPr>
          <w:rFonts w:ascii="Calibri" w:eastAsiaTheme="minorHAnsi" w:hAnsi="Calibri" w:cs="Calibri"/>
          <w:bCs/>
          <w:i w:val="0"/>
          <w:szCs w:val="24"/>
          <w:lang w:val="en-US" w:eastAsia="en-US"/>
        </w:rPr>
        <w:t>C NMR (101 MHz, DMSO-</w:t>
      </w:r>
      <w:r w:rsidRPr="004D25ED">
        <w:rPr>
          <w:rFonts w:ascii="Calibri" w:eastAsiaTheme="minorHAnsi" w:hAnsi="Calibri" w:cs="Calibri"/>
          <w:bCs/>
          <w:iCs/>
          <w:szCs w:val="24"/>
          <w:lang w:val="en-US" w:eastAsia="en-US"/>
        </w:rPr>
        <w:t>d</w:t>
      </w:r>
      <w:r w:rsidRPr="004D25ED">
        <w:rPr>
          <w:rFonts w:ascii="Calibri" w:eastAsiaTheme="minorHAnsi" w:hAnsi="Calibri" w:cs="Calibri"/>
          <w:bCs/>
          <w:i w:val="0"/>
          <w:szCs w:val="24"/>
          <w:vertAlign w:val="subscript"/>
          <w:lang w:val="en-US" w:eastAsia="en-US"/>
        </w:rPr>
        <w:t>6</w:t>
      </w:r>
      <w:r w:rsidRPr="00537F73">
        <w:rPr>
          <w:rFonts w:ascii="Calibri" w:eastAsiaTheme="minorHAnsi" w:hAnsi="Calibri" w:cs="Calibri"/>
          <w:bCs/>
          <w:i w:val="0"/>
          <w:szCs w:val="24"/>
          <w:lang w:val="en-US" w:eastAsia="en-US"/>
        </w:rPr>
        <w:t>) δ 179.38, 139.24, 128.08, 124.14, 123.54.</w:t>
      </w:r>
    </w:p>
    <w:p w14:paraId="428C64BF" w14:textId="77777777" w:rsidR="00D52D3C" w:rsidRPr="00537F73" w:rsidRDefault="00D52D3C" w:rsidP="00ED7420">
      <w:pPr>
        <w:pStyle w:val="Heading2"/>
        <w:spacing w:line="360" w:lineRule="auto"/>
        <w:jc w:val="left"/>
        <w:rPr>
          <w:rFonts w:ascii="Calibri" w:eastAsiaTheme="minorHAnsi" w:hAnsi="Calibri" w:cs="Calibri"/>
          <w:bCs/>
          <w:i w:val="0"/>
          <w:szCs w:val="24"/>
          <w:lang w:val="en-US" w:eastAsia="en-US"/>
        </w:rPr>
      </w:pPr>
    </w:p>
    <w:p w14:paraId="1F01B879" w14:textId="706C8E07" w:rsidR="00D52D3C" w:rsidRPr="00506C9D" w:rsidRDefault="00D52D3C" w:rsidP="00ED7420">
      <w:pPr>
        <w:pStyle w:val="Heading2"/>
        <w:spacing w:line="360" w:lineRule="auto"/>
        <w:jc w:val="left"/>
        <w:rPr>
          <w:rFonts w:ascii="Calibri" w:eastAsiaTheme="minorHAnsi" w:hAnsi="Calibri" w:cs="Calibri"/>
          <w:bCs/>
          <w:i w:val="0"/>
          <w:szCs w:val="24"/>
          <w:lang w:val="en-US" w:eastAsia="en-US"/>
        </w:rPr>
      </w:pPr>
      <w:r w:rsidRPr="00537F73">
        <w:rPr>
          <w:rFonts w:ascii="Calibri" w:eastAsiaTheme="minorHAnsi" w:hAnsi="Calibri" w:cs="Calibri"/>
          <w:bCs/>
          <w:i w:val="0"/>
          <w:szCs w:val="24"/>
          <w:lang w:val="en-US" w:eastAsia="en-US"/>
        </w:rPr>
        <w:t xml:space="preserve">A mixture of 5-chloro-3-ethyl-1H-indole-2-carboxylic acid (0.894 mmol, 1 eq), </w:t>
      </w:r>
      <w:r w:rsidRPr="004D25ED">
        <w:rPr>
          <w:rFonts w:ascii="Calibri" w:eastAsiaTheme="minorHAnsi" w:hAnsi="Calibri" w:cs="Calibri"/>
          <w:bCs/>
          <w:iCs/>
          <w:szCs w:val="24"/>
          <w:lang w:val="en-US" w:eastAsia="en-US"/>
        </w:rPr>
        <w:t>N</w:t>
      </w:r>
      <w:r w:rsidRPr="00537F73">
        <w:rPr>
          <w:rFonts w:ascii="Calibri" w:eastAsiaTheme="minorHAnsi" w:hAnsi="Calibri" w:cs="Calibri"/>
          <w:bCs/>
          <w:i w:val="0"/>
          <w:szCs w:val="24"/>
          <w:lang w:val="en-US" w:eastAsia="en-US"/>
        </w:rPr>
        <w:t>-</w:t>
      </w:r>
      <w:proofErr w:type="spellStart"/>
      <w:r w:rsidRPr="00537F73">
        <w:rPr>
          <w:rFonts w:ascii="Calibri" w:eastAsiaTheme="minorHAnsi" w:hAnsi="Calibri" w:cs="Calibri"/>
          <w:bCs/>
          <w:i w:val="0"/>
          <w:szCs w:val="24"/>
          <w:lang w:val="en-US" w:eastAsia="en-US"/>
        </w:rPr>
        <w:t>phenylhydrazinecarbothioamide</w:t>
      </w:r>
      <w:proofErr w:type="spellEnd"/>
      <w:r w:rsidRPr="00537F73">
        <w:rPr>
          <w:rFonts w:ascii="Calibri" w:eastAsiaTheme="minorHAnsi" w:hAnsi="Calibri" w:cs="Calibri"/>
          <w:bCs/>
          <w:i w:val="0"/>
          <w:szCs w:val="24"/>
          <w:lang w:val="en-US" w:eastAsia="en-US"/>
        </w:rPr>
        <w:t xml:space="preserve"> (1.073 mmol, 1.2 eq) and EDC (0.51 g, 2.682 mmol, 3 eq) in DCM (25 mL) was stirred at room temperature overnight.  The reaction mixture was purified by silica gel column chromatography (</w:t>
      </w:r>
      <w:proofErr w:type="spellStart"/>
      <w:r w:rsidRPr="00537F73">
        <w:rPr>
          <w:rFonts w:ascii="Calibri" w:eastAsiaTheme="minorHAnsi" w:hAnsi="Calibri" w:cs="Calibri"/>
          <w:bCs/>
          <w:i w:val="0"/>
          <w:szCs w:val="24"/>
          <w:lang w:val="en-US" w:eastAsia="en-US"/>
        </w:rPr>
        <w:t>EtOAc</w:t>
      </w:r>
      <w:proofErr w:type="spellEnd"/>
      <w:r w:rsidRPr="00537F73">
        <w:rPr>
          <w:rFonts w:ascii="Calibri" w:eastAsiaTheme="minorHAnsi" w:hAnsi="Calibri" w:cs="Calibri"/>
          <w:bCs/>
          <w:i w:val="0"/>
          <w:szCs w:val="24"/>
          <w:lang w:val="en-US" w:eastAsia="en-US"/>
        </w:rPr>
        <w:t>).  After removal of the solvent, the residue was suspended in few mL of Et</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O, the precipitate filtered and washed with Et</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 xml:space="preserve">O to give 5-(5-chloro-3-ethyl-1H-indol-2-yl)-N-phenyl-1,3,4-oxadiazol-2-amine as a pale yellow solid. </w:t>
      </w:r>
      <w:r w:rsidRPr="004D25ED">
        <w:rPr>
          <w:rFonts w:ascii="Calibri" w:eastAsiaTheme="minorHAnsi" w:hAnsi="Calibri" w:cs="Calibri"/>
          <w:bCs/>
          <w:i w:val="0"/>
          <w:szCs w:val="24"/>
          <w:vertAlign w:val="superscript"/>
          <w:lang w:val="en-US" w:eastAsia="en-US"/>
        </w:rPr>
        <w:t>1</w:t>
      </w:r>
      <w:r w:rsidRPr="00537F73">
        <w:rPr>
          <w:rFonts w:ascii="Calibri" w:eastAsiaTheme="minorHAnsi" w:hAnsi="Calibri" w:cs="Calibri"/>
          <w:bCs/>
          <w:i w:val="0"/>
          <w:szCs w:val="24"/>
          <w:lang w:val="en-US" w:eastAsia="en-US"/>
        </w:rPr>
        <w:t>H NMR (400 MHz, DMSO-</w:t>
      </w:r>
      <w:r w:rsidRPr="004D25ED">
        <w:rPr>
          <w:rFonts w:ascii="Calibri" w:eastAsiaTheme="minorHAnsi" w:hAnsi="Calibri" w:cs="Calibri"/>
          <w:bCs/>
          <w:iCs/>
          <w:szCs w:val="24"/>
          <w:lang w:val="en-US" w:eastAsia="en-US"/>
        </w:rPr>
        <w:t>d</w:t>
      </w:r>
      <w:r w:rsidRPr="004D25ED">
        <w:rPr>
          <w:rFonts w:ascii="Calibri" w:eastAsiaTheme="minorHAnsi" w:hAnsi="Calibri" w:cs="Calibri"/>
          <w:bCs/>
          <w:i w:val="0"/>
          <w:szCs w:val="24"/>
          <w:vertAlign w:val="subscript"/>
          <w:lang w:val="en-US" w:eastAsia="en-US"/>
        </w:rPr>
        <w:t>6</w:t>
      </w:r>
      <w:r w:rsidRPr="00537F73">
        <w:rPr>
          <w:rFonts w:ascii="Calibri" w:eastAsiaTheme="minorHAnsi" w:hAnsi="Calibri" w:cs="Calibri"/>
          <w:bCs/>
          <w:i w:val="0"/>
          <w:szCs w:val="24"/>
          <w:lang w:val="en-US" w:eastAsia="en-US"/>
        </w:rPr>
        <w:t xml:space="preserve">) δ 11.88 (s, 1H, indole NH), 10.64 (s, 1H, NH), 7.70 (s, 1H,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7.63 (d,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7.8 Hz, 2H,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7.45 – 7.32 (m, 3H,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7.20 (d,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8.7 Hz, 1H,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7.02 (t,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7.3 Hz, 1H, </w:t>
      </w:r>
      <w:proofErr w:type="spellStart"/>
      <w:r w:rsidRPr="00537F73">
        <w:rPr>
          <w:rFonts w:ascii="Calibri" w:eastAsiaTheme="minorHAnsi" w:hAnsi="Calibri" w:cs="Calibri"/>
          <w:bCs/>
          <w:i w:val="0"/>
          <w:szCs w:val="24"/>
          <w:lang w:val="en-US" w:eastAsia="en-US"/>
        </w:rPr>
        <w:t>Ar</w:t>
      </w:r>
      <w:proofErr w:type="spellEnd"/>
      <w:r w:rsidRPr="00537F73">
        <w:rPr>
          <w:rFonts w:ascii="Calibri" w:eastAsiaTheme="minorHAnsi" w:hAnsi="Calibri" w:cs="Calibri"/>
          <w:bCs/>
          <w:i w:val="0"/>
          <w:szCs w:val="24"/>
          <w:lang w:val="en-US" w:eastAsia="en-US"/>
        </w:rPr>
        <w:t xml:space="preserve">-H), 3.04 (q,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7.5 Hz, 2H, CH</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CH</w:t>
      </w:r>
      <w:r w:rsidRPr="004D25ED">
        <w:rPr>
          <w:rFonts w:ascii="Calibri" w:eastAsiaTheme="minorHAnsi" w:hAnsi="Calibri" w:cs="Calibri"/>
          <w:bCs/>
          <w:i w:val="0"/>
          <w:szCs w:val="24"/>
          <w:vertAlign w:val="subscript"/>
          <w:lang w:val="en-US" w:eastAsia="en-US"/>
        </w:rPr>
        <w:t>3</w:t>
      </w:r>
      <w:r w:rsidRPr="00537F73">
        <w:rPr>
          <w:rFonts w:ascii="Calibri" w:eastAsiaTheme="minorHAnsi" w:hAnsi="Calibri" w:cs="Calibri"/>
          <w:bCs/>
          <w:i w:val="0"/>
          <w:szCs w:val="24"/>
          <w:lang w:val="en-US" w:eastAsia="en-US"/>
        </w:rPr>
        <w:t xml:space="preserve">), 1.23 (t, </w:t>
      </w:r>
      <w:r w:rsidRPr="004D25ED">
        <w:rPr>
          <w:rFonts w:ascii="Calibri" w:eastAsiaTheme="minorHAnsi" w:hAnsi="Calibri" w:cs="Calibri"/>
          <w:bCs/>
          <w:iCs/>
          <w:szCs w:val="24"/>
          <w:lang w:val="en-US" w:eastAsia="en-US"/>
        </w:rPr>
        <w:t>J</w:t>
      </w:r>
      <w:r w:rsidRPr="00537F73">
        <w:rPr>
          <w:rFonts w:ascii="Calibri" w:eastAsiaTheme="minorHAnsi" w:hAnsi="Calibri" w:cs="Calibri"/>
          <w:bCs/>
          <w:i w:val="0"/>
          <w:szCs w:val="24"/>
          <w:lang w:val="en-US" w:eastAsia="en-US"/>
        </w:rPr>
        <w:t xml:space="preserve"> = 7.4 Hz, 3H, CH</w:t>
      </w:r>
      <w:r w:rsidRPr="004D25ED">
        <w:rPr>
          <w:rFonts w:ascii="Calibri" w:eastAsiaTheme="minorHAnsi" w:hAnsi="Calibri" w:cs="Calibri"/>
          <w:bCs/>
          <w:i w:val="0"/>
          <w:szCs w:val="24"/>
          <w:vertAlign w:val="subscript"/>
          <w:lang w:val="en-US" w:eastAsia="en-US"/>
        </w:rPr>
        <w:t>2</w:t>
      </w:r>
      <w:r w:rsidRPr="00537F73">
        <w:rPr>
          <w:rFonts w:ascii="Calibri" w:eastAsiaTheme="minorHAnsi" w:hAnsi="Calibri" w:cs="Calibri"/>
          <w:bCs/>
          <w:i w:val="0"/>
          <w:szCs w:val="24"/>
          <w:lang w:val="en-US" w:eastAsia="en-US"/>
        </w:rPr>
        <w:t>CH</w:t>
      </w:r>
      <w:r w:rsidRPr="004D25ED">
        <w:rPr>
          <w:rFonts w:ascii="Calibri" w:eastAsiaTheme="minorHAnsi" w:hAnsi="Calibri" w:cs="Calibri"/>
          <w:bCs/>
          <w:i w:val="0"/>
          <w:szCs w:val="24"/>
          <w:vertAlign w:val="subscript"/>
          <w:lang w:val="en-US" w:eastAsia="en-US"/>
        </w:rPr>
        <w:t>3</w:t>
      </w:r>
      <w:r w:rsidRPr="00537F73">
        <w:rPr>
          <w:rFonts w:ascii="Calibri" w:eastAsiaTheme="minorHAnsi" w:hAnsi="Calibri" w:cs="Calibri"/>
          <w:bCs/>
          <w:i w:val="0"/>
          <w:szCs w:val="24"/>
          <w:lang w:val="en-US" w:eastAsia="en-US"/>
        </w:rPr>
        <w:t xml:space="preserve">). </w:t>
      </w:r>
      <w:r w:rsidRPr="004D25ED">
        <w:rPr>
          <w:rFonts w:ascii="Calibri" w:eastAsiaTheme="minorHAnsi" w:hAnsi="Calibri" w:cs="Calibri"/>
          <w:bCs/>
          <w:i w:val="0"/>
          <w:szCs w:val="24"/>
          <w:vertAlign w:val="superscript"/>
          <w:lang w:val="en-US" w:eastAsia="en-US"/>
        </w:rPr>
        <w:t>13</w:t>
      </w:r>
      <w:r w:rsidRPr="00537F73">
        <w:rPr>
          <w:rFonts w:ascii="Calibri" w:eastAsiaTheme="minorHAnsi" w:hAnsi="Calibri" w:cs="Calibri"/>
          <w:bCs/>
          <w:i w:val="0"/>
          <w:szCs w:val="24"/>
          <w:lang w:val="en-US" w:eastAsia="en-US"/>
        </w:rPr>
        <w:t>C NMR (101 MHz, DMSO-</w:t>
      </w:r>
      <w:r w:rsidRPr="004D25ED">
        <w:rPr>
          <w:rFonts w:ascii="Calibri" w:eastAsiaTheme="minorHAnsi" w:hAnsi="Calibri" w:cs="Calibri"/>
          <w:bCs/>
          <w:iCs/>
          <w:szCs w:val="24"/>
          <w:lang w:val="en-US" w:eastAsia="en-US"/>
        </w:rPr>
        <w:t>d</w:t>
      </w:r>
      <w:r w:rsidRPr="004D25ED">
        <w:rPr>
          <w:rFonts w:ascii="Calibri" w:eastAsiaTheme="minorHAnsi" w:hAnsi="Calibri" w:cs="Calibri"/>
          <w:bCs/>
          <w:i w:val="0"/>
          <w:szCs w:val="24"/>
          <w:vertAlign w:val="subscript"/>
          <w:lang w:val="en-US" w:eastAsia="en-US"/>
        </w:rPr>
        <w:t>6</w:t>
      </w:r>
      <w:r w:rsidRPr="00537F73">
        <w:rPr>
          <w:rFonts w:ascii="Calibri" w:eastAsiaTheme="minorHAnsi" w:hAnsi="Calibri" w:cs="Calibri"/>
          <w:bCs/>
          <w:i w:val="0"/>
          <w:szCs w:val="24"/>
          <w:lang w:val="en-US" w:eastAsia="en-US"/>
        </w:rPr>
        <w:t xml:space="preserve">) δ 160.01, 153.77, 139.08, 135.85, 129.56, 128.66, 124.50, 124.23, 122.42, 119.95, 119.56, </w:t>
      </w:r>
      <w:r w:rsidRPr="00537F73">
        <w:rPr>
          <w:rFonts w:ascii="Calibri" w:eastAsiaTheme="minorHAnsi" w:hAnsi="Calibri" w:cs="Calibri"/>
          <w:bCs/>
          <w:i w:val="0"/>
          <w:szCs w:val="24"/>
          <w:lang w:val="en-US" w:eastAsia="en-US"/>
        </w:rPr>
        <w:lastRenderedPageBreak/>
        <w:t xml:space="preserve">119.06, 117.63, 114.01, 17.59, 16.06. HRESI-MS m/z </w:t>
      </w:r>
      <w:proofErr w:type="spellStart"/>
      <w:r w:rsidRPr="00537F73">
        <w:rPr>
          <w:rFonts w:ascii="Calibri" w:eastAsiaTheme="minorHAnsi" w:hAnsi="Calibri" w:cs="Calibri"/>
          <w:bCs/>
          <w:i w:val="0"/>
          <w:szCs w:val="24"/>
          <w:lang w:val="en-US" w:eastAsia="en-US"/>
        </w:rPr>
        <w:t>calcd</w:t>
      </w:r>
      <w:proofErr w:type="spellEnd"/>
      <w:r w:rsidRPr="00537F73">
        <w:rPr>
          <w:rFonts w:ascii="Calibri" w:eastAsiaTheme="minorHAnsi" w:hAnsi="Calibri" w:cs="Calibri"/>
          <w:bCs/>
          <w:i w:val="0"/>
          <w:szCs w:val="24"/>
          <w:lang w:val="en-US" w:eastAsia="en-US"/>
        </w:rPr>
        <w:t xml:space="preserve"> for [M+</w:t>
      </w:r>
      <w:proofErr w:type="gramStart"/>
      <w:r w:rsidRPr="00537F73">
        <w:rPr>
          <w:rFonts w:ascii="Calibri" w:eastAsiaTheme="minorHAnsi" w:hAnsi="Calibri" w:cs="Calibri"/>
          <w:bCs/>
          <w:i w:val="0"/>
          <w:szCs w:val="24"/>
          <w:lang w:val="en-US" w:eastAsia="en-US"/>
        </w:rPr>
        <w:t>H]</w:t>
      </w:r>
      <w:r w:rsidRPr="004D25ED">
        <w:rPr>
          <w:rFonts w:ascii="Calibri" w:eastAsiaTheme="minorHAnsi" w:hAnsi="Calibri" w:cs="Calibri"/>
          <w:bCs/>
          <w:i w:val="0"/>
          <w:szCs w:val="24"/>
          <w:vertAlign w:val="superscript"/>
          <w:lang w:val="en-US" w:eastAsia="en-US"/>
        </w:rPr>
        <w:t>+</w:t>
      </w:r>
      <w:proofErr w:type="gramEnd"/>
      <w:r w:rsidRPr="00537F73">
        <w:rPr>
          <w:rFonts w:ascii="Calibri" w:eastAsiaTheme="minorHAnsi" w:hAnsi="Calibri" w:cs="Calibri"/>
          <w:bCs/>
          <w:i w:val="0"/>
          <w:szCs w:val="24"/>
          <w:lang w:val="en-US" w:eastAsia="en-US"/>
        </w:rPr>
        <w:t xml:space="preserve"> C</w:t>
      </w:r>
      <w:r w:rsidRPr="004D25ED">
        <w:rPr>
          <w:rFonts w:ascii="Calibri" w:eastAsiaTheme="minorHAnsi" w:hAnsi="Calibri" w:cs="Calibri"/>
          <w:bCs/>
          <w:i w:val="0"/>
          <w:szCs w:val="24"/>
          <w:vertAlign w:val="subscript"/>
          <w:lang w:val="en-US" w:eastAsia="en-US"/>
        </w:rPr>
        <w:t>18</w:t>
      </w:r>
      <w:r w:rsidRPr="00537F73">
        <w:rPr>
          <w:rFonts w:ascii="Calibri" w:eastAsiaTheme="minorHAnsi" w:hAnsi="Calibri" w:cs="Calibri"/>
          <w:bCs/>
          <w:i w:val="0"/>
          <w:szCs w:val="24"/>
          <w:lang w:val="en-US" w:eastAsia="en-US"/>
        </w:rPr>
        <w:t>H</w:t>
      </w:r>
      <w:r w:rsidRPr="004D25ED">
        <w:rPr>
          <w:rFonts w:ascii="Calibri" w:eastAsiaTheme="minorHAnsi" w:hAnsi="Calibri" w:cs="Calibri"/>
          <w:bCs/>
          <w:i w:val="0"/>
          <w:szCs w:val="24"/>
          <w:vertAlign w:val="subscript"/>
          <w:lang w:val="en-US" w:eastAsia="en-US"/>
        </w:rPr>
        <w:t>16</w:t>
      </w:r>
      <w:r w:rsidRPr="00537F73">
        <w:rPr>
          <w:rFonts w:ascii="Calibri" w:eastAsiaTheme="minorHAnsi" w:hAnsi="Calibri" w:cs="Calibri"/>
          <w:bCs/>
          <w:i w:val="0"/>
          <w:szCs w:val="24"/>
          <w:lang w:val="en-US" w:eastAsia="en-US"/>
        </w:rPr>
        <w:t>ClN</w:t>
      </w:r>
      <w:r w:rsidRPr="004D25ED">
        <w:rPr>
          <w:rFonts w:ascii="Calibri" w:eastAsiaTheme="minorHAnsi" w:hAnsi="Calibri" w:cs="Calibri"/>
          <w:bCs/>
          <w:i w:val="0"/>
          <w:szCs w:val="24"/>
          <w:vertAlign w:val="subscript"/>
          <w:lang w:val="en-US" w:eastAsia="en-US"/>
        </w:rPr>
        <w:t>4</w:t>
      </w:r>
      <w:r w:rsidRPr="00537F73">
        <w:rPr>
          <w:rFonts w:ascii="Calibri" w:eastAsiaTheme="minorHAnsi" w:hAnsi="Calibri" w:cs="Calibri"/>
          <w:bCs/>
          <w:i w:val="0"/>
          <w:szCs w:val="24"/>
          <w:lang w:val="en-US" w:eastAsia="en-US"/>
        </w:rPr>
        <w:t xml:space="preserve">O: 339.1007, found: 339.1010. </w:t>
      </w:r>
      <w:proofErr w:type="spellStart"/>
      <w:r w:rsidRPr="00537F73">
        <w:rPr>
          <w:rFonts w:ascii="Calibri" w:eastAsiaTheme="minorHAnsi" w:hAnsi="Calibri" w:cs="Calibri"/>
          <w:bCs/>
          <w:i w:val="0"/>
          <w:szCs w:val="24"/>
          <w:lang w:val="en-US" w:eastAsia="en-US"/>
        </w:rPr>
        <w:t>mp</w:t>
      </w:r>
      <w:proofErr w:type="spellEnd"/>
      <w:r w:rsidRPr="00537F73">
        <w:rPr>
          <w:rFonts w:ascii="Calibri" w:eastAsiaTheme="minorHAnsi" w:hAnsi="Calibri" w:cs="Calibri"/>
          <w:bCs/>
          <w:i w:val="0"/>
          <w:szCs w:val="24"/>
          <w:lang w:val="en-US" w:eastAsia="en-US"/>
        </w:rPr>
        <w:t xml:space="preserve"> 252-254</w:t>
      </w:r>
      <w:r w:rsidRPr="00506C9D">
        <w:rPr>
          <w:rFonts w:ascii="Calibri" w:eastAsiaTheme="minorHAnsi" w:hAnsi="Calibri" w:cs="Calibri"/>
          <w:bCs/>
          <w:i w:val="0"/>
          <w:szCs w:val="24"/>
          <w:lang w:val="en-US" w:eastAsia="en-US"/>
        </w:rPr>
        <w:sym w:font="Symbol" w:char="F0B0"/>
      </w:r>
      <w:r w:rsidRPr="00506C9D">
        <w:rPr>
          <w:rFonts w:ascii="Calibri" w:eastAsiaTheme="minorHAnsi" w:hAnsi="Calibri" w:cs="Calibri"/>
          <w:bCs/>
          <w:i w:val="0"/>
          <w:szCs w:val="24"/>
          <w:lang w:val="en-US" w:eastAsia="en-US"/>
        </w:rPr>
        <w:t>C.</w:t>
      </w:r>
    </w:p>
    <w:p w14:paraId="0F91A17A" w14:textId="60EC6D68" w:rsidR="00E21E9A" w:rsidRPr="00506C9D" w:rsidRDefault="00E21E9A" w:rsidP="00ED7420"/>
    <w:p w14:paraId="271321AB" w14:textId="77777777" w:rsidR="00E21E9A" w:rsidRPr="00537F73" w:rsidRDefault="00E21E9A" w:rsidP="00ED7420">
      <w:pPr>
        <w:keepNext/>
        <w:keepLines/>
        <w:spacing w:after="240"/>
        <w:outlineLvl w:val="1"/>
        <w:rPr>
          <w:b/>
          <w:bCs/>
        </w:rPr>
      </w:pPr>
      <w:r w:rsidRPr="00537F73">
        <w:rPr>
          <w:b/>
          <w:bCs/>
          <w:i/>
        </w:rPr>
        <w:t>In vitro</w:t>
      </w:r>
      <w:r w:rsidRPr="00537F73">
        <w:rPr>
          <w:b/>
          <w:bCs/>
        </w:rPr>
        <w:t xml:space="preserve"> metabolic stability assays: human and rat liver microsomal stability</w:t>
      </w:r>
    </w:p>
    <w:p w14:paraId="2AEDE016" w14:textId="4AD3730E" w:rsidR="00E21E9A" w:rsidRPr="00537F73" w:rsidRDefault="00E21E9A" w:rsidP="00ED7420">
      <w:pPr>
        <w:pStyle w:val="US0000"/>
        <w:numPr>
          <w:ilvl w:val="0"/>
          <w:numId w:val="0"/>
        </w:numPr>
        <w:tabs>
          <w:tab w:val="left" w:pos="1440"/>
        </w:tabs>
        <w:rPr>
          <w:rFonts w:asciiTheme="minorHAnsi" w:hAnsiTheme="minorHAnsi" w:cstheme="minorHAnsi"/>
          <w:i/>
          <w:strike/>
          <w:szCs w:val="24"/>
        </w:rPr>
      </w:pPr>
      <w:r w:rsidRPr="00537F73">
        <w:rPr>
          <w:rFonts w:asciiTheme="minorHAnsi" w:hAnsiTheme="minorHAnsi" w:cstheme="minorHAnsi"/>
          <w:szCs w:val="24"/>
        </w:rPr>
        <w:t xml:space="preserve">The study of drug stability in the presence of liver microsomes is accepted as a valuable model for permitting rapid prediction of </w:t>
      </w:r>
      <w:r w:rsidRPr="00537F73">
        <w:rPr>
          <w:rFonts w:asciiTheme="minorHAnsi" w:hAnsiTheme="minorHAnsi" w:cstheme="minorHAnsi"/>
          <w:i/>
          <w:szCs w:val="24"/>
        </w:rPr>
        <w:t>in vivo</w:t>
      </w:r>
      <w:r w:rsidRPr="00537F73">
        <w:rPr>
          <w:rFonts w:asciiTheme="minorHAnsi" w:hAnsiTheme="minorHAnsi" w:cstheme="minorHAnsi"/>
          <w:szCs w:val="24"/>
        </w:rPr>
        <w:t xml:space="preserve"> drug stability</w:t>
      </w:r>
      <w:r w:rsidR="007A44CD" w:rsidRPr="00537F73">
        <w:rPr>
          <w:rFonts w:asciiTheme="minorHAnsi" w:hAnsiTheme="minorHAnsi" w:cstheme="minorHAnsi"/>
          <w:szCs w:val="24"/>
        </w:rPr>
        <w:t xml:space="preserve"> (</w:t>
      </w:r>
      <w:r w:rsidR="00ED7F98">
        <w:rPr>
          <w:rFonts w:asciiTheme="minorHAnsi" w:hAnsiTheme="minorHAnsi" w:cstheme="minorHAnsi"/>
          <w:szCs w:val="24"/>
        </w:rPr>
        <w:t xml:space="preserve">see </w:t>
      </w:r>
      <w:r w:rsidR="004D25ED">
        <w:rPr>
          <w:rFonts w:asciiTheme="minorHAnsi" w:hAnsiTheme="minorHAnsi" w:cstheme="minorHAnsi"/>
          <w:szCs w:val="24"/>
        </w:rPr>
        <w:fldChar w:fldCharType="begin" w:fldLock="1"/>
      </w:r>
      <w:r w:rsidR="004D25ED">
        <w:rPr>
          <w:rFonts w:asciiTheme="minorHAnsi" w:hAnsiTheme="minorHAnsi" w:cstheme="minorHAnsi"/>
          <w:szCs w:val="24"/>
        </w:rPr>
        <w:instrText>ADDIN CSL_CITATION {"citationItems":[{"id":"ITEM-1","itemData":{"ISBN":"9780123695208","abstract":"Of the thousands of novel compounds that a drug discovery project team invents and that bind to the therapeutic target, typically only a fraction of these have sufficient ADME/Tox properties to become a drug product. Understanding ADME/Tox is critical for all drug researchers, owing to its increasing importance in advancing high quality candidates to clinical studies and the processes of drug discovery. If the properties are weak, the candidate will have a high risk of failure or be less desirable as a drug product. This book is a tool and resource for scientists engaged in, or preparing for, the selection and optimization process. The authors describe how properties affect in vivo pharmacological activity and impact in vitro assays. Individual drug-like properties are discussed from a practical point of view, such as solubility, permeability and metabolic stability, with regard to fundamental understanding, applications of property data in drug discovery and examples of structural modifications that have achieved improved property performance. The authors also review various methods for the screening (high throughput), diagnosis (medium throughput) and in-depth (low throughput) analysis of drug properties. - Important tool for scientists and students engaged in, or preparing for, the selection and optimization process - Provides a practical understanding of property fundamentals, effects, structure-property relationships, and structure modification strategies - Individual drug-like properties are discussed from a practical point of view. © 2008 Elsevier Inc. All rights reserved.","author":[{"dropping-particle":"","family":"Kerns","given":"Edward H.","non-dropping-particle":"","parse-names":false,"suffix":""},{"dropping-particle":"","family":"Di","given":"Li","non-dropping-particle":"","parse-names":false,"suffix":""}],"container-title":"Drug-like Properties: Concepts, Structure Design and Methods","id":"ITEM-1","issued":{"date-parts":[["2008"]]},"publisher":"Elsevier Inc.","title":"Drug-like Properties: Concepts, Structure Design and Methods","type":"book"},"uris":["http://www.mendeley.com/documents/?uuid=67566b1f-3f8b-394b-a62e-f4288611f4cd"]}],"mendeley":{"formattedCitation":"(Kerns &amp; Di, 2008)","manualFormatting":"Kerns &amp; Di, 2008)","plainTextFormattedCitation":"(Kerns &amp; Di, 2008)"},"properties":{"noteIndex":0},"schema":"https://github.com/citation-style-language/schema/raw/master/csl-citation.json"}</w:instrText>
      </w:r>
      <w:r w:rsidR="004D25ED">
        <w:rPr>
          <w:rFonts w:asciiTheme="minorHAnsi" w:hAnsiTheme="minorHAnsi" w:cstheme="minorHAnsi"/>
          <w:szCs w:val="24"/>
        </w:rPr>
        <w:fldChar w:fldCharType="separate"/>
      </w:r>
      <w:r w:rsidR="004D25ED" w:rsidRPr="004D25ED">
        <w:rPr>
          <w:rFonts w:asciiTheme="minorHAnsi" w:hAnsiTheme="minorHAnsi" w:cstheme="minorHAnsi"/>
          <w:noProof/>
          <w:szCs w:val="24"/>
        </w:rPr>
        <w:t>Kerns &amp; Di, 2008)</w:t>
      </w:r>
      <w:r w:rsidR="004D25ED">
        <w:rPr>
          <w:rFonts w:asciiTheme="minorHAnsi" w:hAnsiTheme="minorHAnsi" w:cstheme="minorHAnsi"/>
          <w:szCs w:val="24"/>
        </w:rPr>
        <w:fldChar w:fldCharType="end"/>
      </w:r>
      <w:r w:rsidRPr="00537F73">
        <w:rPr>
          <w:rFonts w:asciiTheme="minorHAnsi" w:hAnsiTheme="minorHAnsi" w:cstheme="minorHAnsi"/>
          <w:szCs w:val="24"/>
        </w:rPr>
        <w:t xml:space="preserve">.  Microsomal stability studies were performed by </w:t>
      </w:r>
      <w:proofErr w:type="spellStart"/>
      <w:r w:rsidRPr="00537F73">
        <w:rPr>
          <w:rFonts w:asciiTheme="minorHAnsi" w:hAnsiTheme="minorHAnsi" w:cstheme="minorHAnsi"/>
          <w:szCs w:val="24"/>
        </w:rPr>
        <w:t>Cyprotex</w:t>
      </w:r>
      <w:proofErr w:type="spellEnd"/>
      <w:r w:rsidRPr="00537F73">
        <w:rPr>
          <w:rFonts w:asciiTheme="minorHAnsi" w:hAnsiTheme="minorHAnsi" w:cstheme="minorHAnsi"/>
          <w:szCs w:val="24"/>
        </w:rPr>
        <w:t xml:space="preserve"> Ltd (</w:t>
      </w:r>
      <w:proofErr w:type="spellStart"/>
      <w:r w:rsidRPr="00537F73">
        <w:rPr>
          <w:rFonts w:asciiTheme="minorHAnsi" w:hAnsiTheme="minorHAnsi" w:cstheme="minorHAnsi"/>
          <w:szCs w:val="24"/>
        </w:rPr>
        <w:t>Macclesfield</w:t>
      </w:r>
      <w:proofErr w:type="spellEnd"/>
      <w:r w:rsidR="00A44A8E">
        <w:rPr>
          <w:rFonts w:asciiTheme="minorHAnsi" w:hAnsiTheme="minorHAnsi" w:cstheme="minorHAnsi"/>
          <w:szCs w:val="24"/>
        </w:rPr>
        <w:t>,</w:t>
      </w:r>
      <w:r w:rsidRPr="00537F73">
        <w:rPr>
          <w:rFonts w:asciiTheme="minorHAnsi" w:hAnsiTheme="minorHAnsi" w:cstheme="minorHAnsi"/>
          <w:szCs w:val="24"/>
        </w:rPr>
        <w:t xml:space="preserve"> UK).  The </w:t>
      </w:r>
      <w:r w:rsidRPr="00537F73">
        <w:rPr>
          <w:rFonts w:asciiTheme="minorHAnsi" w:hAnsiTheme="minorHAnsi" w:cstheme="minorHAnsi"/>
          <w:i/>
          <w:iCs/>
          <w:szCs w:val="24"/>
        </w:rPr>
        <w:t>in vitro</w:t>
      </w:r>
      <w:r w:rsidRPr="00537F73">
        <w:rPr>
          <w:rFonts w:asciiTheme="minorHAnsi" w:hAnsiTheme="minorHAnsi" w:cstheme="minorHAnsi"/>
          <w:szCs w:val="24"/>
        </w:rPr>
        <w:t xml:space="preserve"> metabolic stability of ABM300 was measured in the presence of human or rat liver microsomes by determination of the rate of compound disappearance.</w:t>
      </w:r>
      <w:r w:rsidRPr="00537F73">
        <w:rPr>
          <w:rFonts w:asciiTheme="minorHAnsi" w:hAnsiTheme="minorHAnsi" w:cstheme="minorHAnsi"/>
          <w:iCs/>
          <w:szCs w:val="24"/>
        </w:rPr>
        <w:t xml:space="preserve"> </w:t>
      </w:r>
      <w:r w:rsidRPr="00537F73">
        <w:rPr>
          <w:rFonts w:asciiTheme="minorHAnsi" w:hAnsiTheme="minorHAnsi" w:cstheme="minorHAnsi"/>
          <w:szCs w:val="24"/>
        </w:rPr>
        <w:t>Microsomes (final protein concentration 0.5 mg/mL), 0.1 M phosphate buffer pH 7.4, and test compound (final concentration 3 </w:t>
      </w:r>
      <w:proofErr w:type="spellStart"/>
      <w:r w:rsidRPr="00537F73">
        <w:rPr>
          <w:rFonts w:asciiTheme="minorHAnsi" w:hAnsiTheme="minorHAnsi" w:cstheme="minorHAnsi"/>
          <w:szCs w:val="24"/>
        </w:rPr>
        <w:t>μM</w:t>
      </w:r>
      <w:proofErr w:type="spellEnd"/>
      <w:r w:rsidRPr="00537F73">
        <w:rPr>
          <w:rFonts w:asciiTheme="minorHAnsi" w:hAnsiTheme="minorHAnsi" w:cstheme="minorHAnsi"/>
          <w:szCs w:val="24"/>
        </w:rPr>
        <w:t>; diluted from 10 mM stock solution to give a final DMSO concentration of 0.25%) were incubated at 37</w:t>
      </w:r>
      <w:r w:rsidRPr="00537F73">
        <w:rPr>
          <w:rFonts w:asciiTheme="minorHAnsi" w:hAnsiTheme="minorHAnsi" w:cstheme="minorHAnsi"/>
          <w:szCs w:val="24"/>
        </w:rPr>
        <w:sym w:font="Symbol" w:char="F0B0"/>
      </w:r>
      <w:r w:rsidRPr="00537F73">
        <w:rPr>
          <w:rFonts w:asciiTheme="minorHAnsi" w:hAnsiTheme="minorHAnsi" w:cstheme="minorHAnsi"/>
          <w:szCs w:val="24"/>
        </w:rPr>
        <w:t>C prior to the addition of NADPH (final concentration 1 mM) to initiate the reaction</w:t>
      </w:r>
      <w:r w:rsidR="00D577B0" w:rsidRPr="00537F73">
        <w:rPr>
          <w:rFonts w:asciiTheme="minorHAnsi" w:hAnsiTheme="minorHAnsi" w:cstheme="minorHAnsi"/>
          <w:szCs w:val="24"/>
        </w:rPr>
        <w:t xml:space="preserve"> with a</w:t>
      </w:r>
      <w:r w:rsidRPr="00537F73">
        <w:rPr>
          <w:rFonts w:asciiTheme="minorHAnsi" w:hAnsiTheme="minorHAnsi" w:cstheme="minorHAnsi"/>
          <w:szCs w:val="24"/>
        </w:rPr>
        <w:t xml:space="preserve"> final incubation volume </w:t>
      </w:r>
      <w:r w:rsidR="00D577B0" w:rsidRPr="00537F73">
        <w:rPr>
          <w:rFonts w:asciiTheme="minorHAnsi" w:hAnsiTheme="minorHAnsi" w:cstheme="minorHAnsi"/>
          <w:szCs w:val="24"/>
        </w:rPr>
        <w:t>of</w:t>
      </w:r>
      <w:r w:rsidRPr="00537F73">
        <w:rPr>
          <w:rFonts w:asciiTheme="minorHAnsi" w:hAnsiTheme="minorHAnsi" w:cstheme="minorHAnsi"/>
          <w:szCs w:val="24"/>
        </w:rPr>
        <w:t xml:space="preserve"> 25 µL.  A control incubation was included for each compound tested, where 0.1 M phosphate buffer pH 7.4 was added instead of NADPH.  The control compounds testosterone and 7</w:t>
      </w:r>
      <w:r w:rsidRPr="00537F73">
        <w:rPr>
          <w:rFonts w:asciiTheme="minorHAnsi" w:hAnsiTheme="minorHAnsi" w:cstheme="minorHAnsi"/>
          <w:szCs w:val="24"/>
        </w:rPr>
        <w:noBreakHyphen/>
        <w:t>hydroxycoumarin were included in each experiment and all incubations were performed singularly for each compound.</w:t>
      </w:r>
      <w:r w:rsidRPr="00537F73">
        <w:rPr>
          <w:rFonts w:asciiTheme="minorHAnsi" w:hAnsiTheme="minorHAnsi" w:cstheme="minorHAnsi"/>
          <w:i/>
          <w:szCs w:val="24"/>
        </w:rPr>
        <w:t xml:space="preserve">  </w:t>
      </w:r>
      <w:r w:rsidRPr="00537F73">
        <w:rPr>
          <w:rFonts w:asciiTheme="minorHAnsi" w:hAnsiTheme="minorHAnsi" w:cstheme="minorHAnsi"/>
          <w:szCs w:val="24"/>
        </w:rPr>
        <w:t>Each compound was incubated for 0, 5, 15, 30, and 45 minutes with the control (minus NADPH) incubated for 45 minutes only.  The reactions were terminated by the addition of 50 µL methanol containing internal standard.  The incubation plates were centrifuged at 2500 rpm for 20 minutes at 4</w:t>
      </w:r>
      <w:r w:rsidRPr="00537F73">
        <w:rPr>
          <w:rFonts w:asciiTheme="minorHAnsi" w:hAnsiTheme="minorHAnsi" w:cstheme="minorHAnsi"/>
          <w:szCs w:val="24"/>
        </w:rPr>
        <w:sym w:font="Symbol" w:char="F0B0"/>
      </w:r>
      <w:r w:rsidRPr="00537F73">
        <w:rPr>
          <w:rFonts w:asciiTheme="minorHAnsi" w:hAnsiTheme="minorHAnsi" w:cstheme="minorHAnsi"/>
          <w:szCs w:val="24"/>
        </w:rPr>
        <w:t>C to precipitate protein.  Following protein precipitation, the sample supernatants were combined in cassettes</w:t>
      </w:r>
      <w:r w:rsidRPr="00537F73">
        <w:rPr>
          <w:rFonts w:cs="Arial"/>
          <w:szCs w:val="24"/>
        </w:rPr>
        <w:t xml:space="preserve"> </w:t>
      </w:r>
      <w:r w:rsidRPr="00537F73">
        <w:rPr>
          <w:rFonts w:asciiTheme="minorHAnsi" w:hAnsiTheme="minorHAnsi" w:cstheme="minorHAnsi"/>
          <w:szCs w:val="24"/>
        </w:rPr>
        <w:t xml:space="preserve">of up to 4 </w:t>
      </w:r>
      <w:r w:rsidRPr="00537F73">
        <w:rPr>
          <w:rFonts w:asciiTheme="minorHAnsi" w:hAnsiTheme="minorHAnsi" w:cstheme="minorHAnsi"/>
        </w:rPr>
        <w:t>compounds</w:t>
      </w:r>
      <w:r w:rsidRPr="00537F73">
        <w:rPr>
          <w:rFonts w:asciiTheme="minorHAnsi" w:hAnsiTheme="minorHAnsi" w:cstheme="minorHAnsi"/>
          <w:szCs w:val="24"/>
        </w:rPr>
        <w:t xml:space="preserve"> and analy</w:t>
      </w:r>
      <w:r w:rsidR="00F95209" w:rsidRPr="00537F73">
        <w:rPr>
          <w:rFonts w:asciiTheme="minorHAnsi" w:hAnsiTheme="minorHAnsi" w:cstheme="minorHAnsi"/>
          <w:szCs w:val="24"/>
        </w:rPr>
        <w:t>z</w:t>
      </w:r>
      <w:r w:rsidRPr="00537F73">
        <w:rPr>
          <w:rFonts w:asciiTheme="minorHAnsi" w:hAnsiTheme="minorHAnsi" w:cstheme="minorHAnsi"/>
          <w:szCs w:val="24"/>
        </w:rPr>
        <w:t>ed using standard LC-MS/MS conditions.</w:t>
      </w:r>
      <w:r w:rsidR="00D577B0" w:rsidRPr="00537F73">
        <w:rPr>
          <w:rFonts w:asciiTheme="minorHAnsi" w:hAnsiTheme="minorHAnsi" w:cstheme="minorHAnsi"/>
          <w:i/>
          <w:szCs w:val="24"/>
        </w:rPr>
        <w:t xml:space="preserve">  </w:t>
      </w:r>
      <w:r w:rsidR="00D577B0" w:rsidRPr="00537F73">
        <w:rPr>
          <w:rFonts w:asciiTheme="minorHAnsi" w:hAnsiTheme="minorHAnsi" w:cstheme="minorHAnsi"/>
          <w:szCs w:val="24"/>
        </w:rPr>
        <w:t>F</w:t>
      </w:r>
      <w:r w:rsidRPr="00537F73">
        <w:rPr>
          <w:rFonts w:asciiTheme="minorHAnsi" w:hAnsiTheme="minorHAnsi" w:cstheme="minorHAnsi"/>
          <w:szCs w:val="24"/>
        </w:rPr>
        <w:t>rom a plot of the natural logarithm of the peak area ratio (i.e., the ratio of compound peak area: internal standard peak area) against time, the gradient of the line was determined. Subsequently, half-life and intrinsic clearance were calculated using the equations below:</w:t>
      </w:r>
    </w:p>
    <w:p w14:paraId="02BA7CB2" w14:textId="77777777" w:rsidR="00E21E9A" w:rsidRPr="00537F73" w:rsidRDefault="00E21E9A" w:rsidP="00ED7420">
      <w:pPr>
        <w:spacing w:after="120" w:line="360" w:lineRule="auto"/>
        <w:ind w:left="1440"/>
        <w:rPr>
          <w:rFonts w:cstheme="minorHAnsi"/>
        </w:rPr>
      </w:pPr>
      <w:r w:rsidRPr="00537F73">
        <w:rPr>
          <w:rFonts w:cstheme="minorHAnsi"/>
        </w:rPr>
        <w:t>Eliminated rate constant (k) = (- gradient).</w:t>
      </w:r>
    </w:p>
    <w:p w14:paraId="474E5DD4" w14:textId="77777777" w:rsidR="00E21E9A" w:rsidRPr="00537F73" w:rsidRDefault="00E21E9A" w:rsidP="00ED7420">
      <w:pPr>
        <w:spacing w:after="120" w:line="360" w:lineRule="auto"/>
        <w:ind w:left="1440"/>
        <w:rPr>
          <w:rFonts w:cstheme="minorHAnsi"/>
        </w:rPr>
      </w:pPr>
      <w:r w:rsidRPr="00537F73">
        <w:rPr>
          <w:rFonts w:cstheme="minorHAnsi"/>
        </w:rPr>
        <w:t>Half-life (t</w:t>
      </w:r>
      <w:r w:rsidRPr="00537F73">
        <w:rPr>
          <w:rFonts w:cstheme="minorHAnsi"/>
          <w:vertAlign w:val="subscript"/>
        </w:rPr>
        <w:t>1/2</w:t>
      </w:r>
      <w:r w:rsidRPr="00537F73">
        <w:rPr>
          <w:rFonts w:cstheme="minorHAnsi"/>
        </w:rPr>
        <w:t>) (min) = 0.693 / k.</w:t>
      </w:r>
    </w:p>
    <w:p w14:paraId="24726B75" w14:textId="77777777" w:rsidR="00E21E9A" w:rsidRPr="00537F73" w:rsidRDefault="00E21E9A" w:rsidP="00ED7420">
      <w:pPr>
        <w:spacing w:after="120" w:line="360" w:lineRule="auto"/>
        <w:ind w:left="1440"/>
        <w:rPr>
          <w:rFonts w:cstheme="minorHAnsi"/>
        </w:rPr>
      </w:pPr>
      <w:r w:rsidRPr="00537F73">
        <w:rPr>
          <w:rFonts w:cstheme="minorHAnsi"/>
        </w:rPr>
        <w:t>Intrinsic Clearance (</w:t>
      </w:r>
      <w:proofErr w:type="spellStart"/>
      <w:r w:rsidRPr="00537F73">
        <w:rPr>
          <w:rFonts w:cstheme="minorHAnsi"/>
        </w:rPr>
        <w:t>CL</w:t>
      </w:r>
      <w:r w:rsidRPr="00537F73">
        <w:rPr>
          <w:rFonts w:cstheme="minorHAnsi"/>
          <w:vertAlign w:val="subscript"/>
        </w:rPr>
        <w:t>int</w:t>
      </w:r>
      <w:proofErr w:type="spellEnd"/>
      <w:r w:rsidRPr="00537F73">
        <w:rPr>
          <w:rFonts w:cstheme="minorHAnsi"/>
        </w:rPr>
        <w:t>) (µL/min/million cells) = (V x 0.693) / t</w:t>
      </w:r>
      <w:r w:rsidRPr="00537F73">
        <w:rPr>
          <w:rFonts w:cstheme="minorHAnsi"/>
          <w:vertAlign w:val="subscript"/>
        </w:rPr>
        <w:t>1/2</w:t>
      </w:r>
      <w:r w:rsidRPr="00537F73">
        <w:rPr>
          <w:rFonts w:cstheme="minorHAnsi"/>
        </w:rPr>
        <w:t>.</w:t>
      </w:r>
    </w:p>
    <w:p w14:paraId="54911F06" w14:textId="77777777" w:rsidR="00E21E9A" w:rsidRPr="00537F73" w:rsidRDefault="00E21E9A" w:rsidP="00ED7420">
      <w:pPr>
        <w:spacing w:after="120" w:line="360" w:lineRule="auto"/>
        <w:ind w:left="1440"/>
        <w:rPr>
          <w:rFonts w:cstheme="minorHAnsi"/>
        </w:rPr>
      </w:pPr>
      <w:r w:rsidRPr="00537F73">
        <w:rPr>
          <w:rFonts w:cstheme="minorHAnsi"/>
        </w:rPr>
        <w:t>wherein V = Incubation volume (µL/mg microsomal protein).</w:t>
      </w:r>
    </w:p>
    <w:p w14:paraId="5E6019DF" w14:textId="77777777" w:rsidR="00E21E9A" w:rsidRPr="00537F73" w:rsidRDefault="00E21E9A" w:rsidP="00ED7420">
      <w:pPr>
        <w:spacing w:after="120" w:line="360" w:lineRule="auto"/>
        <w:rPr>
          <w:rFonts w:cstheme="minorHAnsi"/>
        </w:rPr>
      </w:pPr>
    </w:p>
    <w:p w14:paraId="27CD610C" w14:textId="1AFDC4E5" w:rsidR="00E21E9A" w:rsidRPr="00537F73" w:rsidRDefault="00E21E9A" w:rsidP="00ED7420">
      <w:pPr>
        <w:keepNext/>
        <w:keepLines/>
        <w:spacing w:after="240"/>
        <w:outlineLvl w:val="1"/>
        <w:rPr>
          <w:rFonts w:cstheme="minorHAnsi"/>
          <w:b/>
          <w:bCs/>
        </w:rPr>
      </w:pPr>
      <w:r w:rsidRPr="00537F73">
        <w:rPr>
          <w:rFonts w:cstheme="minorHAnsi"/>
          <w:b/>
          <w:bCs/>
          <w:i/>
        </w:rPr>
        <w:t>In vivo</w:t>
      </w:r>
      <w:r w:rsidRPr="00537F73">
        <w:rPr>
          <w:rFonts w:cstheme="minorHAnsi"/>
          <w:b/>
          <w:bCs/>
        </w:rPr>
        <w:t xml:space="preserve"> metabolic stability and distribution in a mouse model</w:t>
      </w:r>
    </w:p>
    <w:p w14:paraId="0D10C575" w14:textId="33BDD69F" w:rsidR="00E21E9A" w:rsidRPr="00537F73" w:rsidRDefault="00E21E9A" w:rsidP="00ED7420">
      <w:pPr>
        <w:spacing w:after="120" w:line="360" w:lineRule="auto"/>
      </w:pPr>
      <w:r w:rsidRPr="00537F73">
        <w:rPr>
          <w:rFonts w:cstheme="minorHAnsi"/>
        </w:rPr>
        <w:t xml:space="preserve">Single dose </w:t>
      </w:r>
      <w:r w:rsidRPr="00537F73">
        <w:rPr>
          <w:rFonts w:cstheme="minorHAnsi"/>
          <w:i/>
          <w:iCs/>
        </w:rPr>
        <w:t>in vivo</w:t>
      </w:r>
      <w:r w:rsidRPr="00537F73">
        <w:rPr>
          <w:rFonts w:cstheme="minorHAnsi"/>
        </w:rPr>
        <w:t xml:space="preserve"> PK studies were conducted by Sai Life Ltd (Pune, India) to investigate the plasma pharmacokinetics and brain distribution of ABM300 in male C57BL6 mice</w:t>
      </w:r>
      <w:r w:rsidRPr="00537F73">
        <w:t xml:space="preserve">. Twenty-four male C57BL6 mice were administered intraperitoneally with 10 mg/kg ABM300 prepared in 5% </w:t>
      </w:r>
      <w:r w:rsidRPr="00506C9D">
        <w:t xml:space="preserve">NMP, 5% </w:t>
      </w:r>
      <w:proofErr w:type="spellStart"/>
      <w:r w:rsidRPr="00506C9D">
        <w:t>Solutol</w:t>
      </w:r>
      <w:proofErr w:type="spellEnd"/>
      <w:r w:rsidRPr="00506C9D">
        <w:t xml:space="preserve"> HS-15, and 90% normal saline.  Blood samples (approximately 60 </w:t>
      </w:r>
      <w:r w:rsidRPr="00506C9D">
        <w:sym w:font="Symbol" w:char="F06D"/>
      </w:r>
      <w:r w:rsidRPr="00506C9D">
        <w:t>L; n=3 mice per time-point) were</w:t>
      </w:r>
      <w:r w:rsidR="00EA119E" w:rsidRPr="00506C9D">
        <w:t xml:space="preserve"> taken</w:t>
      </w:r>
      <w:r w:rsidRPr="00506C9D">
        <w:t xml:space="preserve"> at 0.08, 0.25, 0.5, 1, 2, 4, 6 and 8 hrs.  Immediately </w:t>
      </w:r>
      <w:r w:rsidRPr="00537F73">
        <w:t>after collection of blood, brain samples were collected from the set of three mice at each time point.  Plasma samples were separated by centrifugation of whole blood, while brain samples were homogenized in ice-cold phosphate buffer saline (pH 7.4).  Total homogenate volume was three times the brain weight.  Plasma and homogenates were stored below -70±</w:t>
      </w:r>
      <w:r w:rsidR="0096741D">
        <w:t>10</w:t>
      </w:r>
      <w:r w:rsidR="0096741D">
        <w:rPr>
          <w:rFonts w:cstheme="minorHAnsi" w:hint="cs"/>
          <w:rtl/>
          <w:lang w:bidi="he-IL"/>
        </w:rPr>
        <w:t xml:space="preserve"> </w:t>
      </w:r>
      <w:r w:rsidR="0096741D" w:rsidRPr="00537F73">
        <w:t>°</w:t>
      </w:r>
      <w:proofErr w:type="gramStart"/>
      <w:r w:rsidR="0096741D" w:rsidRPr="00537F73">
        <w:t>C</w:t>
      </w:r>
      <w:r w:rsidR="0096741D" w:rsidRPr="00537F73" w:rsidDel="0096741D">
        <w:t xml:space="preserve"> </w:t>
      </w:r>
      <w:r w:rsidRPr="00537F73">
        <w:t xml:space="preserve"> until</w:t>
      </w:r>
      <w:proofErr w:type="gramEnd"/>
      <w:r w:rsidRPr="00537F73">
        <w:t xml:space="preserve"> analysis. The extraction procedure for plasma/brain samples and the spiked plasma/brain calibration standards were identical.  To a 25 µL volume of study sample (dilution factor applied to some samples) or spiked plasma/brain calibration standard, 100 µL of internal standard prepared in acetonitrile (Glipizide, 500 ng/mL) was added, except for blank where 100 µL of acetonitrile was added. Samples were vortexed for 5 minutes</w:t>
      </w:r>
      <w:r w:rsidR="00D577B0" w:rsidRPr="00537F73">
        <w:t>, ce</w:t>
      </w:r>
      <w:r w:rsidRPr="00537F73">
        <w:t>ntrifuged for 10 minutes at 4000 rpm at 4 °C</w:t>
      </w:r>
      <w:r w:rsidR="00D577B0" w:rsidRPr="00537F73">
        <w:t xml:space="preserve"> and </w:t>
      </w:r>
      <w:r w:rsidRPr="00537F73">
        <w:t xml:space="preserve">100 µL of clear supernatant was analyzed with fit-for-purpose C-MS/MS method (LLOQ- 1.02 ng/mL for plasma and 3.06 ng/g for brain). Pharmacokinetic parameters were calculated using the non-compartmental analysis tool of Phoenix </w:t>
      </w:r>
      <w:proofErr w:type="spellStart"/>
      <w:r w:rsidRPr="00537F73">
        <w:t>WinNonlin</w:t>
      </w:r>
      <w:proofErr w:type="spellEnd"/>
      <w:r w:rsidRPr="00537F73">
        <w:t xml:space="preserve">® (Version 7.0). </w:t>
      </w:r>
      <w:r w:rsidR="00D577B0" w:rsidRPr="00537F73">
        <w:t xml:space="preserve">  Areas under the concentration time curve (AUC) values were calculated by linear trapezoidal rule. The elimination rate constant, </w:t>
      </w:r>
      <w:proofErr w:type="spellStart"/>
      <w:r w:rsidR="00D577B0" w:rsidRPr="00537F73">
        <w:t>K</w:t>
      </w:r>
      <w:r w:rsidR="00D577B0" w:rsidRPr="00433BBC">
        <w:rPr>
          <w:vertAlign w:val="subscript"/>
        </w:rPr>
        <w:t>e</w:t>
      </w:r>
      <w:proofErr w:type="spellEnd"/>
      <w:r w:rsidR="00D577B0" w:rsidRPr="00537F73">
        <w:t>, was determined by regression analysis of the linear terminal portion of the log plasma concentration-time curve using GraphPad Prism 8.0 and the equation t</w:t>
      </w:r>
      <w:r w:rsidR="00D577B0" w:rsidRPr="00537F73">
        <w:rPr>
          <w:vertAlign w:val="subscript"/>
        </w:rPr>
        <w:t xml:space="preserve">1/2 </w:t>
      </w:r>
      <w:r w:rsidR="00D577B0" w:rsidRPr="00537F73">
        <w:t>= 0.693/</w:t>
      </w:r>
      <w:proofErr w:type="spellStart"/>
      <w:r w:rsidR="00D577B0" w:rsidRPr="00537F73">
        <w:t>K</w:t>
      </w:r>
      <w:r w:rsidR="00D577B0" w:rsidRPr="00433BBC">
        <w:rPr>
          <w:vertAlign w:val="subscript"/>
        </w:rPr>
        <w:t>e</w:t>
      </w:r>
      <w:proofErr w:type="spellEnd"/>
      <w:r w:rsidR="00D577B0" w:rsidRPr="00537F73">
        <w:t>.</w:t>
      </w:r>
    </w:p>
    <w:p w14:paraId="3FC45881" w14:textId="6E0F7EEA" w:rsidR="00E21E9A" w:rsidRPr="00506C9D" w:rsidRDefault="00E21E9A" w:rsidP="00ED7420">
      <w:pPr>
        <w:spacing w:after="120" w:line="360" w:lineRule="auto"/>
        <w:rPr>
          <w:rFonts w:cs="Arial"/>
          <w:b/>
        </w:rPr>
      </w:pPr>
      <w:r w:rsidRPr="00537F73">
        <w:t>All procedures of the study were conducted in accordance with the guidelines provided by the Committee for the Purpose of Control and Supervision of Experiments on Animals (CPCSEA) as published in The Gazette of India, December 15, 1998. Prior approval of the Institutional Animal Ethics Committee (IAEC) was obtained before initiation of the study.  This study was performed with approval of Institutional Animal Ethics Committee (IAEC) in accordance with requirement of the CPCSEA, India.</w:t>
      </w:r>
    </w:p>
    <w:p w14:paraId="200EBF91" w14:textId="74154D86" w:rsidR="00D52D3C" w:rsidRPr="00506C9D" w:rsidRDefault="00D52D3C" w:rsidP="00ED7420">
      <w:pPr>
        <w:spacing w:before="120" w:line="360" w:lineRule="auto"/>
        <w:rPr>
          <w:rFonts w:cs="Arial"/>
          <w:b/>
        </w:rPr>
      </w:pPr>
      <w:r w:rsidRPr="00506C9D">
        <w:rPr>
          <w:rFonts w:cs="Arial"/>
          <w:b/>
        </w:rPr>
        <w:lastRenderedPageBreak/>
        <w:t>Predictive Model of ABM300 bound to CB</w:t>
      </w:r>
      <w:r w:rsidRPr="00506C9D">
        <w:rPr>
          <w:rFonts w:cs="Arial"/>
          <w:b/>
          <w:vertAlign w:val="subscript"/>
        </w:rPr>
        <w:t>1</w:t>
      </w:r>
      <w:r w:rsidRPr="00506C9D">
        <w:rPr>
          <w:rFonts w:cs="Arial"/>
          <w:b/>
        </w:rPr>
        <w:t xml:space="preserve">R </w:t>
      </w:r>
    </w:p>
    <w:p w14:paraId="70D7EDB2" w14:textId="3ED3D23C" w:rsidR="00D52D3C" w:rsidRDefault="00D52D3C" w:rsidP="00ED7420">
      <w:pPr>
        <w:spacing w:before="120" w:line="360" w:lineRule="auto"/>
        <w:rPr>
          <w:rFonts w:cs="Arial"/>
          <w:bCs/>
        </w:rPr>
      </w:pPr>
      <w:r w:rsidRPr="00506C9D">
        <w:rPr>
          <w:rFonts w:cs="Arial"/>
          <w:bCs/>
        </w:rPr>
        <w:t>The crystal structure of the CB</w:t>
      </w:r>
      <w:r w:rsidRPr="00506C9D">
        <w:rPr>
          <w:rFonts w:cs="Arial"/>
          <w:bCs/>
          <w:vertAlign w:val="subscript"/>
        </w:rPr>
        <w:t>1</w:t>
      </w:r>
      <w:r w:rsidR="00925125" w:rsidRPr="00506C9D">
        <w:rPr>
          <w:rFonts w:cs="Arial"/>
          <w:bCs/>
        </w:rPr>
        <w:t>R</w:t>
      </w:r>
      <w:r w:rsidRPr="00506C9D">
        <w:rPr>
          <w:rFonts w:cs="Arial"/>
          <w:bCs/>
        </w:rPr>
        <w:t>-CP55940-ORG27569 complex (PDB code 6kqi) was loaded into ICM (</w:t>
      </w:r>
      <w:proofErr w:type="spellStart"/>
      <w:r w:rsidRPr="00506C9D">
        <w:rPr>
          <w:rFonts w:cs="Arial"/>
          <w:bCs/>
        </w:rPr>
        <w:t>Molsoft</w:t>
      </w:r>
      <w:proofErr w:type="spellEnd"/>
      <w:r w:rsidRPr="00506C9D">
        <w:rPr>
          <w:rFonts w:cs="Arial"/>
          <w:bCs/>
        </w:rPr>
        <w:t xml:space="preserve">, San Diego), hydrogens were added, and </w:t>
      </w:r>
      <w:proofErr w:type="spellStart"/>
      <w:r w:rsidRPr="00506C9D">
        <w:rPr>
          <w:rFonts w:cs="Arial"/>
          <w:bCs/>
        </w:rPr>
        <w:t>rotameric</w:t>
      </w:r>
      <w:proofErr w:type="spellEnd"/>
      <w:r w:rsidRPr="00506C9D">
        <w:rPr>
          <w:rFonts w:cs="Arial"/>
          <w:bCs/>
        </w:rPr>
        <w:t xml:space="preserve"> states of hydroxy groups, histidine, asparagine and glutamine </w:t>
      </w:r>
      <w:proofErr w:type="gramStart"/>
      <w:r w:rsidRPr="00506C9D">
        <w:rPr>
          <w:rFonts w:cs="Arial"/>
          <w:bCs/>
        </w:rPr>
        <w:t>side-chains</w:t>
      </w:r>
      <w:proofErr w:type="gramEnd"/>
      <w:r w:rsidRPr="00506C9D">
        <w:rPr>
          <w:rFonts w:cs="Arial"/>
          <w:bCs/>
        </w:rPr>
        <w:t xml:space="preserve"> optimized. ICM’s ligand editor was used to strip ORG27569 to the indole core scaffold shared with ABM300, and to incrementally grow the scaffold into ABM300, with a Monte Carlo-based energy minimization in the internal coordinate space at each step </w:t>
      </w:r>
      <w:r w:rsidRPr="00506C9D">
        <w:rPr>
          <w:rFonts w:cs="Arial"/>
          <w:bCs/>
        </w:rPr>
        <w:fldChar w:fldCharType="begin" w:fldLock="1"/>
      </w:r>
      <w:r w:rsidR="00360E32" w:rsidRPr="00506C9D">
        <w:rPr>
          <w:rFonts w:cs="Arial"/>
          <w:bCs/>
        </w:rPr>
        <w:instrText>ADDIN CSL_CITATION {"citationItems":[{"id":"ITEM-1","itemData":{"DOI":"10.1021/ci500598e","ISSN":"15205142","abstract":"Communication of data and ideas within a medicinal chemistry project on a global as well as local level is a crucial aspect in the drug design cycle. Over a time frame of eight years, we built and optimized FOCUS, a platform to produce, visualize, and share information on various aspects of a drug discovery project such as cheminformatics, data analysis, structural information, and design. FOCUS is tightly integrated with internal services that involve - among others - data retrieval systems and in-silico models and provides easy access to automated modeling procedures such as pharmacophore searches, R-group analysis, and similarity searches. In addition, an interactive 3D editor was developed to assist users in the generation and docking of close analogues of a known lead. In this paper, we will specifically concentrate on issues we faced during development, deployment, and maintenance of the software and how we continually adapted the software in order to improve usability. We will provide usage examples to highlight the functionality as well as limitations of FOCUS at the various stages of the development process. We aim to make the discussion as independent of the software platform as possible, so that our experiences can be of more general value to the drug discovery community.","author":[{"dropping-particle":"","family":"Stiefl","given":"Nikolaus","non-dropping-particle":"","parse-names":false,"suffix":""},{"dropping-particle":"","family":"Gedeck","given":"Peter","non-dropping-particle":"","parse-names":false,"suffix":""},{"dropping-particle":"","family":"Chin","given":"Donovan","non-dropping-particle":"","parse-names":false,"suffix":""},{"dropping-particle":"","family":"Hunt","given":"Peter","non-dropping-particle":"","parse-names":false,"suffix":""},{"dropping-particle":"","family":"Lindvall","given":"Mika","non-dropping-particle":"","parse-names":false,"suffix":""},{"dropping-particle":"","family":"Spiegel","given":"Katrin","non-dropping-particle":"","parse-names":false,"suffix":""},{"dropping-particle":"","family":"Springer","given":"Clayton","non-dropping-particle":"","parse-names":false,"suffix":""},{"dropping-particle":"","family":"Biller","given":"Scott","non-dropping-particle":"","parse-names":false,"suffix":""},{"dropping-particle":"","family":"Buenemann","given":"Christoph","non-dropping-particle":"","parse-names":false,"suffix":""},{"dropping-particle":"","family":"Kanazawa","given":"Takanori","non-dropping-particle":"","parse-names":false,"suffix":""},{"dropping-particle":"","family":"Kato","given":"Mitsunori","non-dropping-particle":"","parse-names":false,"suffix":""},{"dropping-particle":"","family":"Lewis","given":"Richard","non-dropping-particle":"","parse-names":false,"suffix":""},{"dropping-particle":"","family":"Martin","given":"Eric","non-dropping-particle":"","parse-names":false,"suffix":""},{"dropping-particle":"","family":"Polyakov","given":"Valery","non-dropping-particle":"","parse-names":false,"suffix":""},{"dropping-particle":"","family":"Tommasi","given":"Ruben","non-dropping-particle":"","parse-names":false,"suffix":""},{"dropping-particle":"","family":"Drie","given":"John","non-dropping-particle":"Van","parse-names":false,"suffix":""},{"dropping-particle":"","family":"Vash","given":"Brian","non-dropping-particle":"","parse-names":false,"suffix":""},{"dropping-particle":"","family":"Whitehead","given":"Lewis","non-dropping-particle":"","parse-names":false,"suffix":""},{"dropping-particle":"","family":"Xu","given":"Yongjin","non-dropping-particle":"","parse-names":false,"suffix":""},{"dropping-particle":"","family":"Abagyan","given":"Ruben","non-dropping-particle":"","parse-names":false,"suffix":""},{"dropping-particle":"","family":"Raush","given":"Eugene","non-dropping-particle":"","parse-names":false,"suffix":""},{"dropping-particle":"","family":"Totrov","given":"Max","non-dropping-particle":"","parse-names":false,"suffix":""}],"container-title":"Journal of Chemical Information and Modeling","id":"ITEM-1","issue":"4","issued":{"date-parts":[["2015","4","27"]]},"page":"896-908","publisher":"American Chemical Society","title":"FOCUS - Development of a global communication and modeling platform for applied and computational medicinal chemists","type":"article-journal","volume":"55"},"uris":["http://www.mendeley.com/documents/?uuid=675a09b0-01d3-3898-8110-568ec0a8de80"]}],"mendeley":{"formattedCitation":"(Stiefl et al., 2015)","plainTextFormattedCitation":"(Stiefl et al., 2015)","previouslyFormattedCitation":"(Stiefl et al., 2015)"},"properties":{"noteIndex":0},"schema":"https://github.com/citation-style-language/schema/raw/master/csl-citation.json"}</w:instrText>
      </w:r>
      <w:r w:rsidRPr="00506C9D">
        <w:rPr>
          <w:rFonts w:cs="Arial"/>
          <w:bCs/>
        </w:rPr>
        <w:fldChar w:fldCharType="separate"/>
      </w:r>
      <w:r w:rsidR="00217C3E" w:rsidRPr="00506C9D">
        <w:rPr>
          <w:rFonts w:cs="Arial"/>
          <w:bCs/>
          <w:noProof/>
        </w:rPr>
        <w:t>(Stiefl et al., 2015)</w:t>
      </w:r>
      <w:r w:rsidRPr="00506C9D">
        <w:rPr>
          <w:rFonts w:cs="Arial"/>
          <w:bCs/>
        </w:rPr>
        <w:fldChar w:fldCharType="end"/>
      </w:r>
      <w:r w:rsidRPr="00506C9D">
        <w:rPr>
          <w:rFonts w:cs="Arial"/>
          <w:bCs/>
        </w:rPr>
        <w:t>.</w:t>
      </w:r>
    </w:p>
    <w:p w14:paraId="39C87A4C" w14:textId="6AFDA48F" w:rsidR="0028743B" w:rsidRPr="0028743B" w:rsidRDefault="0028743B" w:rsidP="00ED7420">
      <w:pPr>
        <w:spacing w:before="120" w:line="360" w:lineRule="auto"/>
        <w:rPr>
          <w:rFonts w:cs="Arial"/>
          <w:b/>
        </w:rPr>
      </w:pPr>
      <w:r w:rsidRPr="0028743B">
        <w:rPr>
          <w:rFonts w:cs="Arial"/>
          <w:b/>
        </w:rPr>
        <w:t>SafetyScreen44 Panel Assay</w:t>
      </w:r>
    </w:p>
    <w:p w14:paraId="5B087A64" w14:textId="77777777" w:rsidR="0028743B" w:rsidRPr="00536541" w:rsidRDefault="0028743B" w:rsidP="00ED7420">
      <w:pPr>
        <w:spacing w:line="360" w:lineRule="auto"/>
        <w:rPr>
          <w:rFonts w:ascii="Calibri" w:hAnsi="Calibri" w:cs="Calibri"/>
        </w:rPr>
      </w:pPr>
      <w:r w:rsidRPr="0028743B">
        <w:rPr>
          <w:rFonts w:cs="Arial"/>
          <w:bCs/>
        </w:rPr>
        <w:t xml:space="preserve">Potential off-target effects of ABM300 were assessed in the Eurofins </w:t>
      </w:r>
      <w:proofErr w:type="spellStart"/>
      <w:r w:rsidRPr="0028743B">
        <w:rPr>
          <w:rFonts w:cs="Arial"/>
          <w:bCs/>
        </w:rPr>
        <w:t>Cerep</w:t>
      </w:r>
      <w:proofErr w:type="spellEnd"/>
      <w:r w:rsidRPr="0028743B">
        <w:rPr>
          <w:rFonts w:cs="Arial"/>
          <w:bCs/>
        </w:rPr>
        <w:t xml:space="preserve"> SafetyScreen44 Panel Assay (</w:t>
      </w:r>
      <w:r w:rsidRPr="0028743B">
        <w:rPr>
          <w:rFonts w:ascii="Calibri" w:hAnsi="Calibri" w:cs="Calibri"/>
          <w:color w:val="000000" w:themeColor="text1"/>
          <w:shd w:val="clear" w:color="auto" w:fill="FFFFFF"/>
        </w:rPr>
        <w:t>Celle-</w:t>
      </w:r>
      <w:proofErr w:type="spellStart"/>
      <w:r w:rsidRPr="0028743B">
        <w:rPr>
          <w:rFonts w:ascii="Calibri" w:hAnsi="Calibri" w:cs="Calibri"/>
          <w:color w:val="000000" w:themeColor="text1"/>
          <w:shd w:val="clear" w:color="auto" w:fill="FFFFFF"/>
        </w:rPr>
        <w:t>Lévescault</w:t>
      </w:r>
      <w:proofErr w:type="spellEnd"/>
      <w:r w:rsidRPr="0028743B">
        <w:rPr>
          <w:rFonts w:ascii="Calibri" w:hAnsi="Calibri" w:cs="Calibri"/>
          <w:color w:val="000000" w:themeColor="text1"/>
          <w:shd w:val="clear" w:color="auto" w:fill="FFFFFF"/>
        </w:rPr>
        <w:t xml:space="preserve">, France).  </w:t>
      </w:r>
      <w:r w:rsidRPr="0028743B">
        <w:rPr>
          <w:rFonts w:ascii="Calibri" w:hAnsi="Calibri" w:cs="Calibri"/>
          <w:bCs/>
        </w:rPr>
        <w:t xml:space="preserve">ABM300 was screened at a 1 µM concentration in duplicate to measure interference with the binding of native ligands at 44 different receptors, ion channels and enzymes. For receptor assays, binding was calculated as percent inhibition of the binding of a radioactively labeled ligand specific for each target. For enzyme assays, the inhibition effect was calculated as percent inhibition of control enzyme activity. Tests were performed in duplicate, and results are averages of those two tests.  See </w:t>
      </w:r>
      <w:hyperlink r:id="rId8" w:history="1">
        <w:r w:rsidRPr="0028743B">
          <w:rPr>
            <w:rStyle w:val="Hyperlink"/>
            <w:rFonts w:ascii="Calibri" w:hAnsi="Calibri" w:cs="Calibri"/>
          </w:rPr>
          <w:t>https://www.eurofinsdiscoveryservices.com</w:t>
        </w:r>
      </w:hyperlink>
      <w:r w:rsidRPr="0028743B">
        <w:rPr>
          <w:rStyle w:val="Hyperlink"/>
          <w:rFonts w:ascii="Calibri" w:hAnsi="Calibri" w:cs="Calibri"/>
        </w:rPr>
        <w:t>.</w:t>
      </w:r>
    </w:p>
    <w:p w14:paraId="329627EA" w14:textId="13CE9E0C" w:rsidR="00D52D3C" w:rsidRPr="00506C9D" w:rsidRDefault="00D52D3C" w:rsidP="00ED7420">
      <w:pPr>
        <w:spacing w:before="120" w:line="360" w:lineRule="auto"/>
        <w:rPr>
          <w:rFonts w:cs="Arial"/>
          <w:b/>
          <w:bCs/>
          <w:lang w:val="en-GB"/>
        </w:rPr>
      </w:pPr>
      <w:r w:rsidRPr="00506C9D">
        <w:rPr>
          <w:rFonts w:cs="Arial"/>
          <w:b/>
          <w:bCs/>
          <w:lang w:val="en-GB"/>
        </w:rPr>
        <w:t>Cell Culture</w:t>
      </w:r>
    </w:p>
    <w:p w14:paraId="4586067D" w14:textId="327D46BF" w:rsidR="00D52D3C" w:rsidRPr="00506C9D" w:rsidRDefault="00D52D3C" w:rsidP="00ED7420">
      <w:pPr>
        <w:spacing w:before="120" w:line="360" w:lineRule="auto"/>
        <w:rPr>
          <w:rFonts w:cs="Arial"/>
          <w:lang w:val="en-GB"/>
        </w:rPr>
      </w:pPr>
      <w:r w:rsidRPr="00506C9D">
        <w:rPr>
          <w:rFonts w:cs="Arial"/>
          <w:lang w:val="en-GB"/>
        </w:rPr>
        <w:t>The human CB</w:t>
      </w:r>
      <w:r w:rsidRPr="00506C9D">
        <w:rPr>
          <w:rFonts w:cs="Arial"/>
          <w:vertAlign w:val="subscript"/>
          <w:lang w:val="en-GB"/>
        </w:rPr>
        <w:t>1</w:t>
      </w:r>
      <w:r w:rsidR="00AA5343" w:rsidRPr="00506C9D">
        <w:rPr>
          <w:rFonts w:cs="Arial"/>
          <w:lang w:val="en-GB"/>
        </w:rPr>
        <w:t>R</w:t>
      </w:r>
      <w:r w:rsidRPr="00506C9D">
        <w:rPr>
          <w:rFonts w:cs="Arial"/>
          <w:lang w:val="en-GB"/>
        </w:rPr>
        <w:t xml:space="preserve"> (hCB</w:t>
      </w:r>
      <w:r w:rsidRPr="00506C9D">
        <w:rPr>
          <w:rFonts w:cs="Arial"/>
          <w:vertAlign w:val="subscript"/>
          <w:lang w:val="en-GB"/>
        </w:rPr>
        <w:t>1</w:t>
      </w:r>
      <w:r w:rsidR="00AA5343" w:rsidRPr="00506C9D">
        <w:rPr>
          <w:rFonts w:cs="Arial"/>
          <w:lang w:val="en-GB"/>
        </w:rPr>
        <w:t>R</w:t>
      </w:r>
      <w:r w:rsidRPr="00506C9D">
        <w:rPr>
          <w:rFonts w:cs="Arial"/>
          <w:lang w:val="en-GB"/>
        </w:rPr>
        <w:t xml:space="preserve">) was stably transfected into HEK293 </w:t>
      </w:r>
      <w:r w:rsidRPr="00506C9D">
        <w:rPr>
          <w:rFonts w:cs="Arial"/>
          <w:lang w:val="en-GB"/>
        </w:rPr>
        <w:fldChar w:fldCharType="begin" w:fldLock="1"/>
      </w:r>
      <w:r w:rsidR="004D25ED">
        <w:rPr>
          <w:rFonts w:cs="Arial"/>
          <w:lang w:val="en-GB"/>
        </w:rPr>
        <w:instrText>ADDIN CSL_CITATION {"citationItems":[{"id":"ITEM-1","itemData":{"DOI":"10.1016/B978-0-12-800756-3.00070-3","ISBN":"9780128008270","ISSN":"0026-895X","PMID":"16113085","abstract":"Since the first description of allosterism in the mid-1900s a number of G protein-coupled receptor allosteric sites have been described. The first description of an allosteric site for CB1 was in 2005, with a series of compounds from Organon described, followed shortly thereafter by the structurally similar PSNCBAM-1. Since then several other ligands have been suggested to act allosterically at CB1, including lipoxin A4, pregnenolone, and pepcans. This chapter will describe the pharmacology of allosteric modulators of CB1 with a main focus on the binding and efficacy modulation induced by ORG27569 and PSNCBAM-1. Additionally this chapter will describe how heterodimerization is another form of CB1 allosterism and highlight the therapeutic potential of allosteric modulation of CB1.","author":[{"dropping-particle":"","family":"Cawston","given":"E. E.","non-dropping-particle":"","parse-names":false,"suffix":""},{"dropping-particle":"","family":"Hunter","given":"M. R.","non-dropping-particle":"","parse-names":false,"suffix":""},{"dropping-particle":"","family":"Glass","given":"M.","non-dropping-particle":"","parse-names":false,"suffix":""}],"container-title":"Handbook of Cannabis and Related Pathologies: Biology, Pharmacology, Diagnosis, and Treatment","id":"ITEM-1","issue":"5","issued":{"date-parts":[["2017","8","12"]]},"page":"573-583","title":"Allosteric Modulation of the Cannabinoid CB1 Receptor","type":"chapter","volume":"68"},"uris":["http://www.mendeley.com/documents/?uuid=199b8730-3d5b-3e13-882f-e0b08bd0efd5"]}],"mendeley":{"formattedCitation":"(E. E. Cawston, Hunter, &amp; Glass, 2017)","plainTextFormattedCitation":"(E. E. Cawston, Hunter, &amp; Glass, 2017)","previouslyFormattedCitation":"(E. E. Cawston, Hunter, &amp; Glass, 2017)"},"properties":{"noteIndex":0},"schema":"https://github.com/citation-style-language/schema/raw/master/csl-citation.json"}</w:instrText>
      </w:r>
      <w:r w:rsidRPr="00506C9D">
        <w:rPr>
          <w:rFonts w:cs="Arial"/>
          <w:lang w:val="en-GB"/>
        </w:rPr>
        <w:fldChar w:fldCharType="separate"/>
      </w:r>
      <w:r w:rsidR="00497FB6" w:rsidRPr="00497FB6">
        <w:rPr>
          <w:rFonts w:cs="Arial"/>
          <w:noProof/>
          <w:lang w:val="en-GB"/>
        </w:rPr>
        <w:t>(E. E. Cawston, Hunter, &amp; Glass, 2017)</w:t>
      </w:r>
      <w:r w:rsidRPr="00506C9D">
        <w:rPr>
          <w:rFonts w:cs="Arial"/>
          <w:lang w:val="en-GB"/>
        </w:rPr>
        <w:fldChar w:fldCharType="end"/>
      </w:r>
      <w:r w:rsidRPr="00506C9D">
        <w:rPr>
          <w:rFonts w:cs="Arial"/>
          <w:lang w:val="en-GB"/>
        </w:rPr>
        <w:t xml:space="preserve"> and CHO-K1 cells </w:t>
      </w:r>
      <w:r w:rsidRPr="00506C9D">
        <w:rPr>
          <w:rFonts w:cs="Arial"/>
          <w:lang w:val="en-GB"/>
        </w:rPr>
        <w:fldChar w:fldCharType="begin" w:fldLock="1"/>
      </w:r>
      <w:r w:rsidR="00360E32" w:rsidRPr="00506C9D">
        <w:rPr>
          <w:rFonts w:cs="Arial"/>
          <w:lang w:val="en-GB"/>
        </w:rPr>
        <w:instrText>ADDIN CSL_CITATION {"citationItems":[{"id":"ITEM-1","itemData":{"DOI":"10.1038/sj.bjp.0702351","ISSN":"00071188","abstract":"1. We have tested our prediction that AM630 is a CB2 cannabinoid receptor ligand and also investigated whether L759633 and L759656, are CB2 receptor agonists. 2. Binding assays with membranes from CHO cells stably transfected with human CB1 or CB2 receptors using [(3H)]-CP55940, confirmed the CB2-selectivity of L759633 and L759656 (CB2/CB2 affinity ratios = 163 and 414 respectively) and showed AM630 to have a K(i) at CB2 receptors of 31.2 nM and a CB2/CB1 affinity ratio of 165. 3. In CB1-transfected cells, L759633 and L759656 were potent inhibitors of forskolin-stimulated cyclic AMP production, with EC50 values of 8.1 and 3.1 nM respectively and CB1/CB2 EC50 ratios of &gt; 1000 and &gt; 3000 respectively. 4. AM630 inhibited [35S]-GTPγS binding to CB2 receptor membranes (EC50 = 76.6 nM), enhanced forskolin-stimulated cyclic AMP production in CB2-transfected cells (5.2 fold by 1. μM), and antagonized the inhibition of forskolin-stimulated cyclic AMP production in this cell line induced by CP55940. 5. In CB1-transfected cells, forskolin-stimulated cyclic AMP production was significantly inhibited by AM630 (22.6% at 1 μM and 45.9% at 10 μM) and by L759633 at 10 μM (48%) but not 1 μM. L759656 (10 μM) was not inhibitory. AM630 also produced a slight decrease in the mean inhibitory effect of CP55940 on cyclic AMP production which was not statistically significant. 6. We conclude that AM630 is a CB2-selective ligand that behaves as an inverse agonist at CB2 receptors and as a weak partial agonist at CB1 receptors. L759633 and L759656 are both potent CB2-selective agonists.","author":[{"dropping-particle":"","family":"Ross","given":"Ruth A.","non-dropping-particle":"","parse-names":false,"suffix":""},{"dropping-particle":"","family":"Brockie","given":"Heather C.","non-dropping-particle":"","parse-names":false,"suffix":""},{"dropping-particle":"","family":"Stevenson","given":"Lesley A.","non-dropping-particle":"","parse-names":false,"suffix":""},{"dropping-particle":"","family":"Murphy","given":"Vicki L.","non-dropping-particle":"","parse-names":false,"suffix":""},{"dropping-particle":"","family":"Templeton","given":"Fiona","non-dropping-particle":"","parse-names":false,"suffix":""},{"dropping-particle":"","family":"Makriyannis","given":"Alexandros","non-dropping-particle":"","parse-names":false,"suffix":""},{"dropping-particle":"","family":"Pertwee","given":"Roger G.","non-dropping-particle":"","parse-names":false,"suffix":""}],"container-title":"British Journal of Pharmacology","id":"ITEM-1","issue":"3","issued":{"date-parts":[["1999"]]},"page":"665-672","title":"Agonist-inverse agonist characterization at CB1 and CB2 cannabinoid receptors of L759633, L759656 and AM630","type":"article-journal","volume":"126"},"uris":["http://www.mendeley.com/documents/?uuid=2cd721e1-fee2-3309-94a3-ac59a22d63a5"]}],"mendeley":{"formattedCitation":"(Ross et al., 1999)","plainTextFormattedCitation":"(Ross et al., 1999)","previouslyFormattedCitation":"(Ross et al., 1999)"},"properties":{"noteIndex":0},"schema":"https://github.com/citation-style-language/schema/raw/master/csl-citation.json"}</w:instrText>
      </w:r>
      <w:r w:rsidRPr="00506C9D">
        <w:rPr>
          <w:rFonts w:cs="Arial"/>
          <w:lang w:val="en-GB"/>
        </w:rPr>
        <w:fldChar w:fldCharType="separate"/>
      </w:r>
      <w:r w:rsidR="00217C3E" w:rsidRPr="00506C9D">
        <w:rPr>
          <w:rFonts w:cs="Arial"/>
          <w:noProof/>
          <w:lang w:val="en-GB"/>
        </w:rPr>
        <w:t>(Ross et al., 1999)</w:t>
      </w:r>
      <w:r w:rsidRPr="00506C9D">
        <w:rPr>
          <w:rFonts w:cs="Arial"/>
          <w:lang w:val="en-GB"/>
        </w:rPr>
        <w:fldChar w:fldCharType="end"/>
      </w:r>
      <w:r w:rsidRPr="00506C9D">
        <w:rPr>
          <w:rFonts w:cs="Arial"/>
          <w:lang w:val="en-GB"/>
        </w:rPr>
        <w:t>. The hCB</w:t>
      </w:r>
      <w:r w:rsidRPr="00506C9D">
        <w:rPr>
          <w:rFonts w:cs="Arial"/>
          <w:vertAlign w:val="subscript"/>
          <w:lang w:val="en-GB"/>
        </w:rPr>
        <w:t>1</w:t>
      </w:r>
      <w:r w:rsidR="0008163C" w:rsidRPr="00506C9D">
        <w:rPr>
          <w:rFonts w:cs="Arial"/>
          <w:lang w:val="en-GB"/>
        </w:rPr>
        <w:t>R</w:t>
      </w:r>
      <w:r w:rsidRPr="00506C9D">
        <w:rPr>
          <w:rFonts w:cs="Arial"/>
          <w:lang w:val="en-GB"/>
        </w:rPr>
        <w:t xml:space="preserve"> CHO cells were cultured in DMEM/F12 supplemented with 10% FBS, 600µg/mL G418, and 300µg/mL hygromycin. </w:t>
      </w:r>
      <w:r w:rsidR="00624EF3" w:rsidRPr="00506C9D">
        <w:rPr>
          <w:rFonts w:cs="Arial"/>
          <w:lang w:val="en-GB"/>
        </w:rPr>
        <w:t>The hCB</w:t>
      </w:r>
      <w:r w:rsidR="00624EF3" w:rsidRPr="00506C9D">
        <w:rPr>
          <w:rFonts w:cs="Arial"/>
          <w:vertAlign w:val="subscript"/>
          <w:lang w:val="en-GB"/>
        </w:rPr>
        <w:t>1</w:t>
      </w:r>
      <w:r w:rsidR="0008163C" w:rsidRPr="00506C9D">
        <w:rPr>
          <w:rFonts w:cs="Arial"/>
          <w:lang w:val="en-GB"/>
        </w:rPr>
        <w:t>R</w:t>
      </w:r>
      <w:r w:rsidR="00624EF3" w:rsidRPr="00506C9D">
        <w:rPr>
          <w:rFonts w:cs="Arial"/>
          <w:lang w:val="en-GB"/>
        </w:rPr>
        <w:t xml:space="preserve"> HEK293 cells were cultured in DMEM supplemented with 10% FBS and 250</w:t>
      </w:r>
      <w:r w:rsidR="00624EF3" w:rsidRPr="00506C9D">
        <w:rPr>
          <w:rFonts w:ascii="Symbol" w:hAnsi="Symbol" w:cs="Arial"/>
          <w:lang w:val="en-GB"/>
        </w:rPr>
        <w:t></w:t>
      </w:r>
      <w:r w:rsidR="00624EF3" w:rsidRPr="00506C9D">
        <w:rPr>
          <w:rFonts w:cs="Arial"/>
          <w:lang w:val="en-GB"/>
        </w:rPr>
        <w:t xml:space="preserve">g/mL Zeocin. </w:t>
      </w:r>
      <w:r w:rsidRPr="00506C9D">
        <w:rPr>
          <w:rFonts w:cs="Arial"/>
          <w:lang w:val="en-GB"/>
        </w:rPr>
        <w:t>All cells were maintained at 37°C, 5% CO</w:t>
      </w:r>
      <w:r w:rsidRPr="00506C9D">
        <w:rPr>
          <w:rFonts w:cs="Arial"/>
          <w:vertAlign w:val="subscript"/>
          <w:lang w:val="en-GB"/>
        </w:rPr>
        <w:t>2</w:t>
      </w:r>
      <w:r w:rsidRPr="00506C9D">
        <w:rPr>
          <w:rFonts w:cs="Arial"/>
          <w:lang w:val="en-GB"/>
        </w:rPr>
        <w:t xml:space="preserve"> in a humidified atmosphere.</w:t>
      </w:r>
    </w:p>
    <w:p w14:paraId="41B3B204" w14:textId="77777777" w:rsidR="00D52D3C" w:rsidRPr="00506C9D" w:rsidRDefault="00D52D3C" w:rsidP="00ED7420">
      <w:pPr>
        <w:rPr>
          <w:rFonts w:ascii="Calibri" w:hAnsi="Calibri" w:cs="Calibri"/>
          <w:lang w:val="en-GB"/>
        </w:rPr>
      </w:pPr>
    </w:p>
    <w:p w14:paraId="25C11DAB" w14:textId="77777777" w:rsidR="00D52D3C" w:rsidRPr="00506C9D" w:rsidRDefault="00D52D3C" w:rsidP="00ED7420">
      <w:pPr>
        <w:pStyle w:val="Heading2"/>
        <w:spacing w:line="360" w:lineRule="auto"/>
        <w:jc w:val="left"/>
        <w:rPr>
          <w:rFonts w:ascii="Calibri" w:hAnsi="Calibri" w:cs="Calibri"/>
          <w:b/>
          <w:i w:val="0"/>
          <w:szCs w:val="24"/>
        </w:rPr>
      </w:pPr>
      <w:r w:rsidRPr="00506C9D">
        <w:rPr>
          <w:rFonts w:ascii="Calibri" w:hAnsi="Calibri" w:cs="Calibri"/>
          <w:b/>
          <w:i w:val="0"/>
          <w:szCs w:val="24"/>
        </w:rPr>
        <w:t xml:space="preserve">Equilibrium Binding Assays </w:t>
      </w:r>
    </w:p>
    <w:p w14:paraId="7C9BF745" w14:textId="484D4CAA" w:rsidR="00D52D3C" w:rsidRPr="00506C9D" w:rsidRDefault="00D52D3C" w:rsidP="00ED7420">
      <w:pPr>
        <w:spacing w:line="360" w:lineRule="auto"/>
        <w:rPr>
          <w:rFonts w:ascii="Calibri" w:hAnsi="Calibri" w:cs="Calibri"/>
        </w:rPr>
      </w:pPr>
      <w:r w:rsidRPr="00506C9D">
        <w:rPr>
          <w:rFonts w:ascii="Calibri" w:hAnsi="Calibri" w:cs="Calibri"/>
        </w:rPr>
        <w:t>Binding assays in hCB</w:t>
      </w:r>
      <w:r w:rsidRPr="00506C9D">
        <w:rPr>
          <w:rFonts w:ascii="Calibri" w:hAnsi="Calibri" w:cs="Calibri"/>
          <w:vertAlign w:val="subscript"/>
        </w:rPr>
        <w:t>1</w:t>
      </w:r>
      <w:r w:rsidR="0008163C" w:rsidRPr="00506C9D">
        <w:rPr>
          <w:rFonts w:ascii="Calibri" w:hAnsi="Calibri" w:cs="Calibri"/>
        </w:rPr>
        <w:t>R</w:t>
      </w:r>
      <w:r w:rsidRPr="00506C9D">
        <w:rPr>
          <w:rFonts w:ascii="Calibri" w:hAnsi="Calibri" w:cs="Calibri"/>
        </w:rPr>
        <w:t xml:space="preserve"> CHO cells were performed by Eurofins </w:t>
      </w:r>
      <w:proofErr w:type="spellStart"/>
      <w:r w:rsidRPr="00506C9D">
        <w:rPr>
          <w:rFonts w:ascii="Calibri" w:hAnsi="Calibri" w:cs="Calibri"/>
        </w:rPr>
        <w:t>Cerep</w:t>
      </w:r>
      <w:proofErr w:type="spellEnd"/>
      <w:r w:rsidRPr="00506C9D">
        <w:rPr>
          <w:rFonts w:ascii="Calibri" w:hAnsi="Calibri" w:cs="Calibri"/>
        </w:rPr>
        <w:t xml:space="preserve"> </w:t>
      </w:r>
      <w:r w:rsidR="009F7DCD" w:rsidRPr="00506C9D">
        <w:rPr>
          <w:rFonts w:ascii="Calibri" w:hAnsi="Calibri" w:cs="Calibri"/>
          <w:color w:val="000000" w:themeColor="text1"/>
        </w:rPr>
        <w:t>(</w:t>
      </w:r>
      <w:r w:rsidR="009F7DCD" w:rsidRPr="00506C9D">
        <w:rPr>
          <w:rFonts w:ascii="Calibri" w:hAnsi="Calibri" w:cs="Calibri"/>
          <w:color w:val="000000" w:themeColor="text1"/>
          <w:shd w:val="clear" w:color="auto" w:fill="FFFFFF"/>
        </w:rPr>
        <w:t>Celle-</w:t>
      </w:r>
      <w:proofErr w:type="spellStart"/>
      <w:r w:rsidR="009F7DCD" w:rsidRPr="00506C9D">
        <w:rPr>
          <w:rFonts w:ascii="Calibri" w:hAnsi="Calibri" w:cs="Calibri"/>
          <w:color w:val="000000" w:themeColor="text1"/>
          <w:shd w:val="clear" w:color="auto" w:fill="FFFFFF"/>
        </w:rPr>
        <w:t>Lévescault</w:t>
      </w:r>
      <w:proofErr w:type="spellEnd"/>
      <w:r w:rsidR="009F7DCD" w:rsidRPr="00506C9D">
        <w:rPr>
          <w:rFonts w:ascii="Calibri" w:hAnsi="Calibri" w:cs="Calibri"/>
          <w:color w:val="000000" w:themeColor="text1"/>
          <w:shd w:val="clear" w:color="auto" w:fill="FFFFFF"/>
        </w:rPr>
        <w:t>, France)</w:t>
      </w:r>
      <w:r w:rsidR="009F7DCD" w:rsidRPr="00506C9D">
        <w:rPr>
          <w:rFonts w:ascii="Arial" w:hAnsi="Arial" w:cs="Arial"/>
          <w:color w:val="000000" w:themeColor="text1"/>
          <w:sz w:val="21"/>
          <w:szCs w:val="21"/>
          <w:shd w:val="clear" w:color="auto" w:fill="FFFFFF"/>
        </w:rPr>
        <w:t xml:space="preserve"> </w:t>
      </w:r>
      <w:r w:rsidRPr="00506C9D">
        <w:rPr>
          <w:rFonts w:ascii="Calibri" w:hAnsi="Calibri" w:cs="Calibri"/>
        </w:rPr>
        <w:t>with the CB</w:t>
      </w:r>
      <w:r w:rsidRPr="00506C9D">
        <w:rPr>
          <w:rFonts w:ascii="Calibri" w:hAnsi="Calibri" w:cs="Calibri"/>
          <w:vertAlign w:val="subscript"/>
        </w:rPr>
        <w:t>1</w:t>
      </w:r>
      <w:r w:rsidRPr="00506C9D">
        <w:rPr>
          <w:rFonts w:ascii="Calibri" w:hAnsi="Calibri" w:cs="Calibri"/>
        </w:rPr>
        <w:t>R agonist, [</w:t>
      </w:r>
      <w:r w:rsidRPr="00506C9D">
        <w:rPr>
          <w:rFonts w:ascii="Calibri" w:hAnsi="Calibri" w:cs="Calibri"/>
          <w:vertAlign w:val="superscript"/>
        </w:rPr>
        <w:t>3</w:t>
      </w:r>
      <w:proofErr w:type="gramStart"/>
      <w:r w:rsidRPr="00506C9D">
        <w:rPr>
          <w:rFonts w:ascii="Calibri" w:hAnsi="Calibri" w:cs="Calibri"/>
        </w:rPr>
        <w:t>H]CP</w:t>
      </w:r>
      <w:proofErr w:type="gramEnd"/>
      <w:r w:rsidRPr="00506C9D">
        <w:rPr>
          <w:rFonts w:ascii="Calibri" w:hAnsi="Calibri" w:cs="Calibri"/>
        </w:rPr>
        <w:t xml:space="preserve">55,940 (0.5 </w:t>
      </w:r>
      <w:proofErr w:type="spellStart"/>
      <w:r w:rsidRPr="00506C9D">
        <w:rPr>
          <w:rFonts w:ascii="Calibri" w:hAnsi="Calibri" w:cs="Calibri"/>
        </w:rPr>
        <w:t>nM</w:t>
      </w:r>
      <w:proofErr w:type="spellEnd"/>
      <w:r w:rsidRPr="00506C9D">
        <w:rPr>
          <w:rFonts w:ascii="Calibri" w:hAnsi="Calibri" w:cs="Calibri"/>
        </w:rPr>
        <w:t xml:space="preserve">), which had a </w:t>
      </w:r>
      <w:proofErr w:type="spellStart"/>
      <w:r w:rsidRPr="00506C9D">
        <w:rPr>
          <w:rFonts w:ascii="Calibri" w:hAnsi="Calibri" w:cs="Calibri"/>
        </w:rPr>
        <w:t>Kd</w:t>
      </w:r>
      <w:proofErr w:type="spellEnd"/>
      <w:r w:rsidRPr="00506C9D">
        <w:rPr>
          <w:rFonts w:ascii="Calibri" w:hAnsi="Calibri" w:cs="Calibri"/>
        </w:rPr>
        <w:t xml:space="preserve"> of 3.5 </w:t>
      </w:r>
      <w:proofErr w:type="spellStart"/>
      <w:r w:rsidRPr="00506C9D">
        <w:rPr>
          <w:rFonts w:ascii="Calibri" w:hAnsi="Calibri" w:cs="Calibri"/>
        </w:rPr>
        <w:t>nM</w:t>
      </w:r>
      <w:proofErr w:type="spellEnd"/>
      <w:r w:rsidRPr="00506C9D">
        <w:rPr>
          <w:rFonts w:ascii="Calibri" w:hAnsi="Calibri" w:cs="Calibri"/>
        </w:rPr>
        <w:t xml:space="preserve"> in these cells. Assays were carried out at 37°C for 120 min before termination by the addition of ice-cold wash buffer and vacuum filtration. Radioactivity was quantitated by liquid scintillation spectrometry. Specific binding was defined as the difference between the binding that occurred in the </w:t>
      </w:r>
      <w:r w:rsidRPr="00506C9D">
        <w:rPr>
          <w:rFonts w:ascii="Calibri" w:hAnsi="Calibri" w:cs="Calibri"/>
        </w:rPr>
        <w:lastRenderedPageBreak/>
        <w:t>presence and absence of 10 µM of WIN55212. Data were analy</w:t>
      </w:r>
      <w:r w:rsidR="00EA119E" w:rsidRPr="00506C9D">
        <w:rPr>
          <w:rFonts w:ascii="Calibri" w:hAnsi="Calibri" w:cs="Calibri"/>
        </w:rPr>
        <w:t>z</w:t>
      </w:r>
      <w:r w:rsidRPr="00506C9D">
        <w:rPr>
          <w:rFonts w:ascii="Calibri" w:hAnsi="Calibri" w:cs="Calibri"/>
        </w:rPr>
        <w:t xml:space="preserve">ed by nonlinear regression analysis of </w:t>
      </w:r>
      <w:r w:rsidR="0012300D">
        <w:rPr>
          <w:rFonts w:ascii="Calibri" w:hAnsi="Calibri" w:cs="Calibri"/>
        </w:rPr>
        <w:t>allosteric modulator titration</w:t>
      </w:r>
      <w:r w:rsidRPr="00506C9D">
        <w:rPr>
          <w:rFonts w:ascii="Calibri" w:hAnsi="Calibri" w:cs="Calibri"/>
        </w:rPr>
        <w:t xml:space="preserve"> </w:t>
      </w:r>
      <w:r w:rsidR="0012300D">
        <w:rPr>
          <w:rFonts w:ascii="Calibri" w:hAnsi="Calibri" w:cs="Calibri"/>
        </w:rPr>
        <w:t xml:space="preserve">model </w:t>
      </w:r>
      <w:r w:rsidRPr="00506C9D">
        <w:rPr>
          <w:rFonts w:ascii="Calibri" w:hAnsi="Calibri" w:cs="Calibri"/>
        </w:rPr>
        <w:t>using GraphPad Prism 8.0 (GraphPad, San Diego, CA).</w:t>
      </w:r>
      <w:r w:rsidR="0012300D">
        <w:rPr>
          <w:rFonts w:ascii="Calibri" w:hAnsi="Calibri" w:cs="Calibri"/>
        </w:rPr>
        <w:t xml:space="preserve"> In order to fit the data of the</w:t>
      </w:r>
      <w:r w:rsidRPr="00506C9D">
        <w:rPr>
          <w:rFonts w:ascii="Calibri" w:hAnsi="Calibri" w:cs="Calibri"/>
        </w:rPr>
        <w:t xml:space="preserve"> </w:t>
      </w:r>
      <w:r w:rsidR="0012300D">
        <w:rPr>
          <w:rFonts w:ascii="Calibri" w:hAnsi="Calibri" w:cs="Calibri"/>
        </w:rPr>
        <w:t xml:space="preserve">allosteric modulator titration model, the </w:t>
      </w:r>
      <w:proofErr w:type="spellStart"/>
      <w:r w:rsidR="0012300D">
        <w:rPr>
          <w:rFonts w:ascii="Calibri" w:hAnsi="Calibri" w:cs="Calibri"/>
        </w:rPr>
        <w:t>HotKDnm</w:t>
      </w:r>
      <w:proofErr w:type="spellEnd"/>
      <w:r w:rsidR="0012300D">
        <w:rPr>
          <w:rFonts w:ascii="Calibri" w:hAnsi="Calibri" w:cs="Calibri"/>
        </w:rPr>
        <w:t xml:space="preserve"> and </w:t>
      </w:r>
      <w:proofErr w:type="spellStart"/>
      <w:r w:rsidR="0012300D">
        <w:rPr>
          <w:rFonts w:ascii="Calibri" w:hAnsi="Calibri" w:cs="Calibri"/>
        </w:rPr>
        <w:t>RadioligandNM</w:t>
      </w:r>
      <w:proofErr w:type="spellEnd"/>
      <w:r w:rsidR="0012300D">
        <w:rPr>
          <w:rFonts w:ascii="Calibri" w:hAnsi="Calibri" w:cs="Calibri"/>
        </w:rPr>
        <w:t xml:space="preserve"> parameters were set to 3.5 and 0.5 respectively. </w:t>
      </w:r>
      <w:r w:rsidRPr="00506C9D">
        <w:rPr>
          <w:rFonts w:ascii="Calibri" w:hAnsi="Calibri" w:cs="Calibri"/>
        </w:rPr>
        <w:t xml:space="preserve">The results of this analysis are presented as </w:t>
      </w:r>
      <w:proofErr w:type="spellStart"/>
      <w:r w:rsidRPr="00506C9D">
        <w:rPr>
          <w:rFonts w:ascii="Calibri" w:hAnsi="Calibri" w:cs="Calibri"/>
          <w:i/>
        </w:rPr>
        <w:t>E</w:t>
      </w:r>
      <w:r w:rsidRPr="00506C9D">
        <w:rPr>
          <w:rFonts w:ascii="Calibri" w:hAnsi="Calibri" w:cs="Calibri"/>
          <w:i/>
          <w:vertAlign w:val="subscript"/>
        </w:rPr>
        <w:t>max</w:t>
      </w:r>
      <w:proofErr w:type="spellEnd"/>
      <w:r w:rsidRPr="00506C9D">
        <w:rPr>
          <w:rFonts w:ascii="Calibri" w:hAnsi="Calibri" w:cs="Calibri"/>
        </w:rPr>
        <w:t xml:space="preserve"> with 95% confidence limits</w:t>
      </w:r>
      <w:r w:rsidR="0012300D">
        <w:rPr>
          <w:rFonts w:ascii="Calibri" w:hAnsi="Calibri" w:cs="Calibri"/>
        </w:rPr>
        <w:t>,</w:t>
      </w:r>
      <w:r w:rsidRPr="00506C9D">
        <w:rPr>
          <w:rFonts w:ascii="Calibri" w:hAnsi="Calibri" w:cs="Calibri"/>
        </w:rPr>
        <w:t xml:space="preserve"> </w:t>
      </w:r>
      <w:proofErr w:type="spellStart"/>
      <w:r w:rsidRPr="00506C9D">
        <w:rPr>
          <w:rFonts w:ascii="Calibri" w:hAnsi="Calibri" w:cs="Calibri"/>
        </w:rPr>
        <w:t>p</w:t>
      </w:r>
      <w:r w:rsidR="0012300D">
        <w:rPr>
          <w:rFonts w:ascii="Calibri" w:hAnsi="Calibri" w:cs="Calibri"/>
        </w:rPr>
        <w:t>K</w:t>
      </w:r>
      <w:r w:rsidR="0012300D" w:rsidRPr="00433BBC">
        <w:rPr>
          <w:rFonts w:ascii="Calibri" w:hAnsi="Calibri" w:cs="Calibri"/>
          <w:vertAlign w:val="subscript"/>
        </w:rPr>
        <w:t>B</w:t>
      </w:r>
      <w:proofErr w:type="spellEnd"/>
      <w:r w:rsidRPr="00506C9D">
        <w:rPr>
          <w:rFonts w:ascii="Calibri" w:hAnsi="Calibri" w:cs="Calibri"/>
        </w:rPr>
        <w:t xml:space="preserve"> (</w:t>
      </w:r>
      <w:proofErr w:type="spellStart"/>
      <w:r w:rsidR="0012300D" w:rsidRPr="00506C9D">
        <w:rPr>
          <w:rFonts w:ascii="Calibri" w:hAnsi="Calibri" w:cs="Calibri"/>
        </w:rPr>
        <w:t>log</w:t>
      </w:r>
      <w:r w:rsidR="0012300D">
        <w:rPr>
          <w:rFonts w:ascii="Calibri" w:hAnsi="Calibri" w:cs="Calibri"/>
        </w:rPr>
        <w:t>K</w:t>
      </w:r>
      <w:r w:rsidR="0012300D" w:rsidRPr="00433BBC">
        <w:rPr>
          <w:rFonts w:ascii="Calibri" w:hAnsi="Calibri" w:cs="Calibri"/>
          <w:vertAlign w:val="subscript"/>
        </w:rPr>
        <w:t>B</w:t>
      </w:r>
      <w:proofErr w:type="spellEnd"/>
      <w:r w:rsidRPr="00506C9D">
        <w:rPr>
          <w:rFonts w:ascii="Calibri" w:hAnsi="Calibri" w:cs="Calibri"/>
        </w:rPr>
        <w:t>) ± SEM</w:t>
      </w:r>
      <w:r w:rsidR="0012300D">
        <w:rPr>
          <w:rFonts w:ascii="Calibri" w:hAnsi="Calibri" w:cs="Calibri"/>
        </w:rPr>
        <w:t xml:space="preserve"> and α </w:t>
      </w:r>
      <w:r w:rsidR="0012300D" w:rsidRPr="00506C9D">
        <w:rPr>
          <w:rFonts w:ascii="Calibri" w:hAnsi="Calibri" w:cs="Calibri"/>
        </w:rPr>
        <w:t>± SEM</w:t>
      </w:r>
      <w:r w:rsidRPr="00506C9D">
        <w:rPr>
          <w:rFonts w:ascii="Calibri" w:hAnsi="Calibri" w:cs="Calibri"/>
        </w:rPr>
        <w:t xml:space="preserve">. </w:t>
      </w:r>
    </w:p>
    <w:p w14:paraId="0669FD38" w14:textId="77777777" w:rsidR="00D52D3C" w:rsidRPr="00506C9D" w:rsidRDefault="00D52D3C" w:rsidP="00ED7420">
      <w:pPr>
        <w:spacing w:line="360" w:lineRule="auto"/>
        <w:rPr>
          <w:rFonts w:ascii="Calibri" w:hAnsi="Calibri" w:cs="Calibri"/>
          <w:b/>
        </w:rPr>
      </w:pPr>
    </w:p>
    <w:p w14:paraId="2B23F73B" w14:textId="77777777" w:rsidR="00D52D3C" w:rsidRPr="00506C9D" w:rsidRDefault="00D52D3C" w:rsidP="00ED7420">
      <w:pPr>
        <w:spacing w:line="360" w:lineRule="auto"/>
        <w:rPr>
          <w:rFonts w:ascii="Calibri" w:hAnsi="Calibri" w:cs="Calibri"/>
          <w:b/>
        </w:rPr>
      </w:pPr>
      <w:proofErr w:type="spellStart"/>
      <w:r w:rsidRPr="00506C9D">
        <w:rPr>
          <w:rFonts w:ascii="Calibri" w:hAnsi="Calibri" w:cs="Calibri"/>
          <w:b/>
        </w:rPr>
        <w:t>PathHunter</w:t>
      </w:r>
      <w:proofErr w:type="spellEnd"/>
      <w:r w:rsidRPr="00506C9D">
        <w:rPr>
          <w:rFonts w:ascii="Calibri" w:hAnsi="Calibri" w:cs="Calibri"/>
          <w:b/>
        </w:rPr>
        <w:t>® Beta-</w:t>
      </w:r>
      <w:proofErr w:type="spellStart"/>
      <w:r w:rsidRPr="00506C9D">
        <w:rPr>
          <w:rFonts w:ascii="Calibri" w:hAnsi="Calibri" w:cs="Calibri"/>
          <w:b/>
        </w:rPr>
        <w:t>arrestin</w:t>
      </w:r>
      <w:proofErr w:type="spellEnd"/>
      <w:r w:rsidRPr="00506C9D">
        <w:rPr>
          <w:rFonts w:ascii="Calibri" w:hAnsi="Calibri" w:cs="Calibri"/>
          <w:b/>
        </w:rPr>
        <w:t xml:space="preserve"> Assays</w:t>
      </w:r>
    </w:p>
    <w:p w14:paraId="1DD05A84" w14:textId="207454A3" w:rsidR="00D52D3C" w:rsidRPr="00506C9D" w:rsidRDefault="00D52D3C" w:rsidP="00ED7420">
      <w:pPr>
        <w:spacing w:line="360" w:lineRule="auto"/>
        <w:rPr>
          <w:rFonts w:ascii="Calibri" w:hAnsi="Calibri" w:cs="Calibri"/>
        </w:rPr>
      </w:pPr>
      <w:r w:rsidRPr="00506C9D">
        <w:rPr>
          <w:rFonts w:ascii="Calibri" w:hAnsi="Calibri" w:cs="Calibri"/>
        </w:rPr>
        <w:t xml:space="preserve">The </w:t>
      </w:r>
      <w:proofErr w:type="spellStart"/>
      <w:r w:rsidRPr="00506C9D">
        <w:rPr>
          <w:rFonts w:ascii="Calibri" w:hAnsi="Calibri" w:cs="Calibri"/>
        </w:rPr>
        <w:t>PathHunter</w:t>
      </w:r>
      <w:proofErr w:type="spellEnd"/>
      <w:r w:rsidRPr="00506C9D">
        <w:rPr>
          <w:rFonts w:ascii="Calibri" w:hAnsi="Calibri" w:cs="Calibri"/>
        </w:rPr>
        <w:t>® β-</w:t>
      </w:r>
      <w:proofErr w:type="spellStart"/>
      <w:r w:rsidRPr="00506C9D">
        <w:rPr>
          <w:rFonts w:ascii="Calibri" w:hAnsi="Calibri" w:cs="Calibri"/>
        </w:rPr>
        <w:t>Arrestin</w:t>
      </w:r>
      <w:proofErr w:type="spellEnd"/>
      <w:r w:rsidRPr="00506C9D">
        <w:rPr>
          <w:rFonts w:ascii="Calibri" w:hAnsi="Calibri" w:cs="Calibri"/>
        </w:rPr>
        <w:t xml:space="preserve"> assay was conducted by Eurofins Pharma Discovery Services. The assay monitors the activation of a GPCR in a homogenous, non-imaging assay format using a technology developed by </w:t>
      </w:r>
      <w:proofErr w:type="spellStart"/>
      <w:r w:rsidRPr="00506C9D">
        <w:rPr>
          <w:rFonts w:ascii="Calibri" w:hAnsi="Calibri" w:cs="Calibri"/>
        </w:rPr>
        <w:t>DiscoverX</w:t>
      </w:r>
      <w:proofErr w:type="spellEnd"/>
      <w:r w:rsidRPr="00506C9D">
        <w:rPr>
          <w:rFonts w:ascii="Calibri" w:hAnsi="Calibri" w:cs="Calibri"/>
        </w:rPr>
        <w:t xml:space="preserve"> called Enzyme Fragment Complementation (EFC) with β-galactosidase (β-Gal) as the functional reporter. </w:t>
      </w:r>
      <w:r w:rsidR="009F7DCD" w:rsidRPr="00506C9D">
        <w:rPr>
          <w:rFonts w:ascii="Calibri" w:hAnsi="Calibri" w:cs="Calibri"/>
        </w:rPr>
        <w:t xml:space="preserve">Vehicle concentration was 1% DMSO in these assays.  </w:t>
      </w:r>
      <w:r w:rsidRPr="00506C9D">
        <w:rPr>
          <w:rFonts w:ascii="Calibri" w:hAnsi="Calibri" w:cs="Calibri"/>
        </w:rPr>
        <w:t xml:space="preserve">See </w:t>
      </w:r>
      <w:hyperlink r:id="rId9" w:history="1">
        <w:r w:rsidRPr="00506C9D">
          <w:rPr>
            <w:rStyle w:val="Hyperlink"/>
            <w:rFonts w:ascii="Calibri" w:hAnsi="Calibri" w:cs="Calibri"/>
          </w:rPr>
          <w:t>https://www.eurofinsdiscoveryservices.com</w:t>
        </w:r>
      </w:hyperlink>
    </w:p>
    <w:p w14:paraId="5D2D49C0" w14:textId="77777777" w:rsidR="00D52D3C" w:rsidRPr="00506C9D" w:rsidRDefault="00D52D3C" w:rsidP="00ED7420">
      <w:pPr>
        <w:spacing w:line="360" w:lineRule="auto"/>
        <w:rPr>
          <w:rFonts w:ascii="Calibri" w:hAnsi="Calibri" w:cs="Calibri"/>
          <w:i/>
          <w:snapToGrid w:val="0"/>
        </w:rPr>
      </w:pPr>
    </w:p>
    <w:p w14:paraId="2D7335C0" w14:textId="77777777" w:rsidR="00D52D3C" w:rsidRPr="00506C9D" w:rsidRDefault="00D52D3C" w:rsidP="00ED7420">
      <w:pPr>
        <w:spacing w:line="360" w:lineRule="auto"/>
        <w:rPr>
          <w:rFonts w:ascii="Calibri" w:hAnsi="Calibri" w:cs="Calibri"/>
          <w:b/>
          <w:bCs/>
        </w:rPr>
      </w:pPr>
      <w:r w:rsidRPr="00506C9D">
        <w:rPr>
          <w:rFonts w:ascii="Calibri" w:hAnsi="Calibri" w:cs="Calibri"/>
          <w:b/>
          <w:bCs/>
        </w:rPr>
        <w:t>ERK1/2 Phosphorylation Assay</w:t>
      </w:r>
    </w:p>
    <w:p w14:paraId="37E1C8EA" w14:textId="11093BEE" w:rsidR="00D52D3C" w:rsidRPr="00506C9D" w:rsidRDefault="00D52D3C" w:rsidP="00ED7420">
      <w:pPr>
        <w:spacing w:line="360" w:lineRule="auto"/>
        <w:rPr>
          <w:rFonts w:ascii="Calibri" w:hAnsi="Calibri" w:cs="Calibri"/>
          <w:bCs/>
        </w:rPr>
      </w:pPr>
      <w:r w:rsidRPr="00506C9D">
        <w:rPr>
          <w:rFonts w:ascii="Calibri" w:hAnsi="Calibri" w:cs="Calibri"/>
          <w:bCs/>
        </w:rPr>
        <w:t>CB</w:t>
      </w:r>
      <w:r w:rsidRPr="00506C9D">
        <w:rPr>
          <w:rFonts w:ascii="Calibri" w:hAnsi="Calibri" w:cs="Calibri"/>
          <w:bCs/>
          <w:vertAlign w:val="subscript"/>
        </w:rPr>
        <w:t>1</w:t>
      </w:r>
      <w:r w:rsidR="0008163C" w:rsidRPr="00506C9D">
        <w:rPr>
          <w:rFonts w:ascii="Calibri" w:hAnsi="Calibri" w:cs="Calibri"/>
          <w:bCs/>
        </w:rPr>
        <w:t>R</w:t>
      </w:r>
      <w:r w:rsidRPr="00506C9D">
        <w:rPr>
          <w:rFonts w:ascii="Calibri" w:hAnsi="Calibri" w:cs="Calibri"/>
          <w:bCs/>
        </w:rPr>
        <w:t xml:space="preserve">-mediated ERK1/2 MAP-kinase phosphorylation was quantified using an </w:t>
      </w:r>
      <w:proofErr w:type="spellStart"/>
      <w:r w:rsidRPr="00506C9D">
        <w:rPr>
          <w:rFonts w:ascii="Calibri" w:hAnsi="Calibri" w:cs="Calibri"/>
          <w:bCs/>
        </w:rPr>
        <w:t>AlphaLISA</w:t>
      </w:r>
      <w:proofErr w:type="spellEnd"/>
      <w:r w:rsidRPr="00506C9D">
        <w:rPr>
          <w:rFonts w:ascii="Calibri" w:hAnsi="Calibri" w:cs="Calibri"/>
          <w:bCs/>
        </w:rPr>
        <w:t>® Surefire® Ultra™ pERK1/2 Assay (PerkinElmer, Woodbridge, ON).  CHO-K1 cell</w:t>
      </w:r>
      <w:r w:rsidR="00D35C51">
        <w:rPr>
          <w:rFonts w:ascii="Calibri" w:hAnsi="Calibri" w:cs="Calibri"/>
          <w:bCs/>
        </w:rPr>
        <w:t>s</w:t>
      </w:r>
      <w:r w:rsidRPr="00506C9D">
        <w:rPr>
          <w:rFonts w:ascii="Calibri" w:hAnsi="Calibri" w:cs="Calibri"/>
          <w:bCs/>
        </w:rPr>
        <w:t xml:space="preserve"> stably expressing the human CB</w:t>
      </w:r>
      <w:r w:rsidRPr="00506C9D">
        <w:rPr>
          <w:rFonts w:ascii="Calibri" w:hAnsi="Calibri" w:cs="Calibri"/>
          <w:bCs/>
          <w:vertAlign w:val="subscript"/>
        </w:rPr>
        <w:t>1</w:t>
      </w:r>
      <w:r w:rsidR="0008163C" w:rsidRPr="00506C9D">
        <w:rPr>
          <w:rFonts w:ascii="Calibri" w:hAnsi="Calibri" w:cs="Calibri"/>
          <w:bCs/>
        </w:rPr>
        <w:t>R</w:t>
      </w:r>
      <w:r w:rsidRPr="00506C9D">
        <w:rPr>
          <w:rFonts w:ascii="Calibri" w:hAnsi="Calibri" w:cs="Calibri"/>
          <w:bCs/>
        </w:rPr>
        <w:t xml:space="preserve"> were grown in DMEM/F12 medium containing 10% FBS, 300 </w:t>
      </w:r>
      <w:r w:rsidR="00354C64" w:rsidRPr="00506C9D">
        <w:rPr>
          <w:rFonts w:ascii="Calibri" w:hAnsi="Calibri" w:cs="Calibri"/>
          <w:bCs/>
        </w:rPr>
        <w:t>u</w:t>
      </w:r>
      <w:r w:rsidRPr="00506C9D">
        <w:rPr>
          <w:rFonts w:ascii="Calibri" w:hAnsi="Calibri" w:cs="Calibri"/>
          <w:bCs/>
        </w:rPr>
        <w:t xml:space="preserve">g/ml hygromycin B, 600 </w:t>
      </w:r>
      <w:r w:rsidRPr="00506C9D">
        <w:rPr>
          <w:rFonts w:ascii="Calibri" w:hAnsi="Calibri" w:cs="Calibri"/>
          <w:snapToGrid w:val="0"/>
        </w:rPr>
        <w:sym w:font="Symbol" w:char="F06D"/>
      </w:r>
      <w:r w:rsidRPr="00506C9D">
        <w:rPr>
          <w:rFonts w:ascii="Calibri" w:hAnsi="Calibri" w:cs="Calibri"/>
          <w:bCs/>
        </w:rPr>
        <w:t>g/ml G418 and 1 x penicillin-streptomycin at 37</w:t>
      </w:r>
      <w:r w:rsidR="00C8365A">
        <w:rPr>
          <w:rFonts w:ascii="Calibri" w:hAnsi="Calibri" w:cs="Calibri"/>
          <w:bCs/>
        </w:rPr>
        <w:t xml:space="preserve"> </w:t>
      </w:r>
      <w:r w:rsidRPr="00506C9D">
        <w:rPr>
          <w:rFonts w:ascii="Calibri" w:hAnsi="Calibri" w:cs="Calibri"/>
          <w:bCs/>
        </w:rPr>
        <w:t>°C, 5% CO</w:t>
      </w:r>
      <w:r w:rsidRPr="00506C9D">
        <w:rPr>
          <w:rFonts w:ascii="Calibri" w:hAnsi="Calibri" w:cs="Calibri"/>
          <w:bCs/>
          <w:vertAlign w:val="subscript"/>
        </w:rPr>
        <w:t>2</w:t>
      </w:r>
      <w:r w:rsidRPr="00506C9D">
        <w:rPr>
          <w:rFonts w:ascii="Calibri" w:hAnsi="Calibri" w:cs="Calibri"/>
          <w:bCs/>
        </w:rPr>
        <w:t>.  hCB</w:t>
      </w:r>
      <w:r w:rsidRPr="00506C9D">
        <w:rPr>
          <w:rFonts w:ascii="Calibri" w:hAnsi="Calibri" w:cs="Calibri"/>
          <w:bCs/>
          <w:vertAlign w:val="subscript"/>
        </w:rPr>
        <w:t>1</w:t>
      </w:r>
      <w:r w:rsidR="000F2144" w:rsidRPr="00506C9D">
        <w:rPr>
          <w:rFonts w:ascii="Calibri" w:hAnsi="Calibri" w:cs="Calibri"/>
          <w:bCs/>
        </w:rPr>
        <w:t>R</w:t>
      </w:r>
      <w:r w:rsidRPr="00506C9D">
        <w:rPr>
          <w:rFonts w:ascii="Calibri" w:hAnsi="Calibri" w:cs="Calibri"/>
          <w:bCs/>
        </w:rPr>
        <w:t xml:space="preserve"> cells were dissociated with a non-enzymatic dissociation solution (</w:t>
      </w:r>
      <w:proofErr w:type="spellStart"/>
      <w:r w:rsidRPr="00506C9D">
        <w:rPr>
          <w:rFonts w:ascii="Calibri" w:hAnsi="Calibri" w:cs="Calibri"/>
          <w:bCs/>
        </w:rPr>
        <w:t>ThermoFisher</w:t>
      </w:r>
      <w:proofErr w:type="spellEnd"/>
      <w:r w:rsidRPr="00506C9D">
        <w:rPr>
          <w:rFonts w:ascii="Calibri" w:hAnsi="Calibri" w:cs="Calibri"/>
          <w:bCs/>
        </w:rPr>
        <w:t xml:space="preserve"> Scientific, Burlington, ON) and plated in 96 well plates at a density of 40,000 cells/well.  The following day, hCB</w:t>
      </w:r>
      <w:r w:rsidRPr="00506C9D">
        <w:rPr>
          <w:rFonts w:ascii="Calibri" w:hAnsi="Calibri" w:cs="Calibri"/>
          <w:bCs/>
          <w:vertAlign w:val="subscript"/>
        </w:rPr>
        <w:t>1</w:t>
      </w:r>
      <w:r w:rsidR="00D577B0" w:rsidRPr="00506C9D">
        <w:rPr>
          <w:rFonts w:ascii="Calibri" w:hAnsi="Calibri" w:cs="Calibri"/>
          <w:bCs/>
        </w:rPr>
        <w:t>R</w:t>
      </w:r>
      <w:r w:rsidRPr="00506C9D">
        <w:rPr>
          <w:rFonts w:ascii="Calibri" w:hAnsi="Calibri" w:cs="Calibri"/>
          <w:bCs/>
        </w:rPr>
        <w:t xml:space="preserve"> cells were serum-starved for 4 hours with DMEM/F12 medium containing </w:t>
      </w:r>
      <w:r w:rsidR="00A11E83" w:rsidRPr="00506C9D">
        <w:rPr>
          <w:rFonts w:ascii="Calibri" w:hAnsi="Calibri" w:cs="Calibri"/>
          <w:bCs/>
        </w:rPr>
        <w:t xml:space="preserve">0.1% BSA but </w:t>
      </w:r>
      <w:r w:rsidRPr="00506C9D">
        <w:rPr>
          <w:rFonts w:ascii="Calibri" w:hAnsi="Calibri" w:cs="Calibri"/>
          <w:bCs/>
        </w:rPr>
        <w:t>no phenol red</w:t>
      </w:r>
      <w:r w:rsidR="00D577B0" w:rsidRPr="00506C9D">
        <w:rPr>
          <w:rFonts w:ascii="Calibri" w:hAnsi="Calibri" w:cs="Calibri"/>
          <w:bCs/>
        </w:rPr>
        <w:t>,</w:t>
      </w:r>
      <w:r w:rsidR="000F0D9E" w:rsidRPr="00506C9D">
        <w:rPr>
          <w:rFonts w:ascii="Calibri" w:hAnsi="Calibri" w:cs="Calibri"/>
          <w:bCs/>
        </w:rPr>
        <w:t xml:space="preserve"> unless otherwise indicated</w:t>
      </w:r>
      <w:r w:rsidRPr="00506C9D">
        <w:rPr>
          <w:rFonts w:ascii="Calibri" w:hAnsi="Calibri" w:cs="Calibri"/>
          <w:bCs/>
        </w:rPr>
        <w:t>.  Cells were pretreated with</w:t>
      </w:r>
      <w:r w:rsidR="000F0D9E" w:rsidRPr="00506C9D">
        <w:rPr>
          <w:rFonts w:ascii="Calibri" w:hAnsi="Calibri" w:cs="Calibri"/>
          <w:bCs/>
        </w:rPr>
        <w:t xml:space="preserve"> increasing concentrations of</w:t>
      </w:r>
      <w:r w:rsidRPr="00506C9D">
        <w:rPr>
          <w:rFonts w:ascii="Calibri" w:hAnsi="Calibri" w:cs="Calibri"/>
          <w:bCs/>
        </w:rPr>
        <w:t xml:space="preserve"> ABM300 </w:t>
      </w:r>
      <w:bookmarkStart w:id="0" w:name="OLE_LINK2"/>
      <w:r w:rsidR="000F0D9E" w:rsidRPr="00506C9D">
        <w:rPr>
          <w:rFonts w:ascii="Calibri" w:hAnsi="Calibri" w:cs="Calibri"/>
          <w:bCs/>
        </w:rPr>
        <w:t>(10</w:t>
      </w:r>
      <w:r w:rsidR="000F0D9E" w:rsidRPr="00506C9D">
        <w:rPr>
          <w:rFonts w:ascii="Calibri" w:hAnsi="Calibri" w:cs="Calibri"/>
          <w:bCs/>
          <w:vertAlign w:val="superscript"/>
        </w:rPr>
        <w:t>-10</w:t>
      </w:r>
      <w:r w:rsidR="000F0D9E" w:rsidRPr="00506C9D">
        <w:rPr>
          <w:rFonts w:ascii="Calibri" w:hAnsi="Calibri" w:cs="Calibri"/>
          <w:bCs/>
        </w:rPr>
        <w:t xml:space="preserve"> – 10</w:t>
      </w:r>
      <w:r w:rsidR="000F0D9E" w:rsidRPr="00506C9D">
        <w:rPr>
          <w:rFonts w:ascii="Calibri" w:hAnsi="Calibri" w:cs="Calibri"/>
          <w:bCs/>
          <w:vertAlign w:val="superscript"/>
        </w:rPr>
        <w:t>-5</w:t>
      </w:r>
      <w:r w:rsidR="000F0D9E" w:rsidRPr="00506C9D">
        <w:rPr>
          <w:rFonts w:ascii="Calibri" w:hAnsi="Calibri" w:cs="Calibri"/>
          <w:bCs/>
        </w:rPr>
        <w:t xml:space="preserve"> M) </w:t>
      </w:r>
      <w:bookmarkEnd w:id="0"/>
      <w:r w:rsidRPr="00506C9D">
        <w:rPr>
          <w:rFonts w:ascii="Calibri" w:hAnsi="Calibri" w:cs="Calibri"/>
          <w:bCs/>
        </w:rPr>
        <w:t>for 30 min at 37</w:t>
      </w:r>
      <w:r w:rsidR="00C8365A">
        <w:rPr>
          <w:rFonts w:ascii="Calibri" w:hAnsi="Calibri" w:cs="Calibri"/>
          <w:bCs/>
        </w:rPr>
        <w:t xml:space="preserve"> </w:t>
      </w:r>
      <w:r w:rsidRPr="00506C9D">
        <w:rPr>
          <w:rFonts w:ascii="Calibri" w:hAnsi="Calibri" w:cs="Calibri"/>
          <w:bCs/>
        </w:rPr>
        <w:t>°</w:t>
      </w:r>
      <w:r w:rsidR="00EA119E" w:rsidRPr="00506C9D">
        <w:rPr>
          <w:rFonts w:ascii="Calibri" w:hAnsi="Calibri" w:cs="Calibri"/>
          <w:bCs/>
        </w:rPr>
        <w:t>C</w:t>
      </w:r>
      <w:r w:rsidRPr="00506C9D">
        <w:rPr>
          <w:rFonts w:ascii="Calibri" w:hAnsi="Calibri" w:cs="Calibri"/>
          <w:bCs/>
        </w:rPr>
        <w:t>, 5% CO</w:t>
      </w:r>
      <w:r w:rsidRPr="00506C9D">
        <w:rPr>
          <w:rFonts w:ascii="Calibri" w:hAnsi="Calibri" w:cs="Calibri"/>
          <w:bCs/>
          <w:vertAlign w:val="subscript"/>
        </w:rPr>
        <w:t>2</w:t>
      </w:r>
      <w:r w:rsidRPr="00506C9D">
        <w:rPr>
          <w:rFonts w:ascii="Calibri" w:hAnsi="Calibri" w:cs="Calibri"/>
          <w:bCs/>
        </w:rPr>
        <w:t xml:space="preserve"> prior to addition of </w:t>
      </w:r>
      <w:r w:rsidR="000F0D9E" w:rsidRPr="00506C9D">
        <w:rPr>
          <w:rFonts w:ascii="Calibri" w:hAnsi="Calibri" w:cs="Calibri"/>
          <w:bCs/>
        </w:rPr>
        <w:t xml:space="preserve">40 </w:t>
      </w:r>
      <w:proofErr w:type="spellStart"/>
      <w:r w:rsidR="000F0D9E" w:rsidRPr="00506C9D">
        <w:rPr>
          <w:rFonts w:ascii="Calibri" w:hAnsi="Calibri" w:cs="Calibri"/>
          <w:bCs/>
        </w:rPr>
        <w:t>nM</w:t>
      </w:r>
      <w:proofErr w:type="spellEnd"/>
      <w:r w:rsidR="000F0D9E" w:rsidRPr="00506C9D">
        <w:rPr>
          <w:rFonts w:ascii="Calibri" w:hAnsi="Calibri" w:cs="Calibri"/>
          <w:bCs/>
        </w:rPr>
        <w:t xml:space="preserve"> CP55,940 </w:t>
      </w:r>
      <w:r w:rsidRPr="00506C9D">
        <w:rPr>
          <w:rFonts w:ascii="Calibri" w:hAnsi="Calibri" w:cs="Calibri"/>
          <w:bCs/>
        </w:rPr>
        <w:t>(Millipore Sigma, St. Louis, MO) and incubation for 8 min at 37</w:t>
      </w:r>
      <w:r w:rsidR="00C8365A">
        <w:rPr>
          <w:rFonts w:ascii="Calibri" w:hAnsi="Calibri" w:cs="Calibri"/>
          <w:bCs/>
        </w:rPr>
        <w:t xml:space="preserve"> </w:t>
      </w:r>
      <w:r w:rsidRPr="00506C9D">
        <w:rPr>
          <w:rFonts w:ascii="Calibri" w:hAnsi="Calibri" w:cs="Calibri"/>
          <w:bCs/>
        </w:rPr>
        <w:t>°C, 5% CO</w:t>
      </w:r>
      <w:r w:rsidRPr="00506C9D">
        <w:rPr>
          <w:rFonts w:ascii="Calibri" w:hAnsi="Calibri" w:cs="Calibri"/>
          <w:bCs/>
          <w:vertAlign w:val="subscript"/>
        </w:rPr>
        <w:t>2</w:t>
      </w:r>
      <w:r w:rsidRPr="00506C9D">
        <w:rPr>
          <w:rFonts w:ascii="Calibri" w:hAnsi="Calibri" w:cs="Calibri"/>
          <w:bCs/>
        </w:rPr>
        <w:t>.  Vehicle concentration was 1% DMSO</w:t>
      </w:r>
      <w:r w:rsidR="00A11E83" w:rsidRPr="00506C9D">
        <w:rPr>
          <w:rFonts w:ascii="Calibri" w:hAnsi="Calibri" w:cs="Calibri"/>
          <w:bCs/>
        </w:rPr>
        <w:t>, 0</w:t>
      </w:r>
      <w:r w:rsidR="00EA119E" w:rsidRPr="00506C9D">
        <w:rPr>
          <w:rFonts w:ascii="Calibri" w:hAnsi="Calibri" w:cs="Calibri"/>
          <w:bCs/>
        </w:rPr>
        <w:t>.</w:t>
      </w:r>
      <w:r w:rsidR="00A11E83" w:rsidRPr="00506C9D">
        <w:rPr>
          <w:rFonts w:ascii="Calibri" w:hAnsi="Calibri" w:cs="Calibri"/>
          <w:bCs/>
        </w:rPr>
        <w:t>1% BSA</w:t>
      </w:r>
      <w:r w:rsidRPr="00506C9D">
        <w:rPr>
          <w:rFonts w:ascii="Calibri" w:hAnsi="Calibri" w:cs="Calibri"/>
          <w:bCs/>
        </w:rPr>
        <w:t xml:space="preserve">.  </w:t>
      </w:r>
      <w:r w:rsidR="000F0D9E" w:rsidRPr="00506C9D">
        <w:rPr>
          <w:rFonts w:ascii="Calibri" w:hAnsi="Calibri" w:cs="Calibri"/>
          <w:bCs/>
        </w:rPr>
        <w:t xml:space="preserve">Alternatively, the effect of pre-incubation with fixed concentrations of ABM300 (100 </w:t>
      </w:r>
      <w:proofErr w:type="spellStart"/>
      <w:r w:rsidR="000F0D9E" w:rsidRPr="00506C9D">
        <w:rPr>
          <w:rFonts w:ascii="Calibri" w:hAnsi="Calibri" w:cs="Calibri"/>
          <w:bCs/>
        </w:rPr>
        <w:t>nM</w:t>
      </w:r>
      <w:proofErr w:type="spellEnd"/>
      <w:r w:rsidR="000F0D9E" w:rsidRPr="00506C9D">
        <w:rPr>
          <w:rFonts w:ascii="Calibri" w:hAnsi="Calibri" w:cs="Calibri"/>
          <w:bCs/>
        </w:rPr>
        <w:t>,</w:t>
      </w:r>
      <w:r w:rsidR="00C570BB">
        <w:rPr>
          <w:rFonts w:ascii="Calibri" w:hAnsi="Calibri" w:cs="Calibri"/>
          <w:bCs/>
        </w:rPr>
        <w:t xml:space="preserve"> </w:t>
      </w:r>
      <w:r w:rsidR="000F0D9E" w:rsidRPr="00506C9D">
        <w:rPr>
          <w:rFonts w:ascii="Calibri" w:hAnsi="Calibri" w:cs="Calibri"/>
          <w:bCs/>
        </w:rPr>
        <w:t xml:space="preserve">1000 </w:t>
      </w:r>
      <w:proofErr w:type="spellStart"/>
      <w:r w:rsidR="000F0D9E" w:rsidRPr="00506C9D">
        <w:rPr>
          <w:rFonts w:ascii="Calibri" w:hAnsi="Calibri" w:cs="Calibri"/>
          <w:bCs/>
        </w:rPr>
        <w:t>nM</w:t>
      </w:r>
      <w:proofErr w:type="spellEnd"/>
      <w:r w:rsidR="000F0D9E" w:rsidRPr="00506C9D">
        <w:rPr>
          <w:rFonts w:ascii="Calibri" w:hAnsi="Calibri" w:cs="Calibri"/>
          <w:bCs/>
        </w:rPr>
        <w:t>) on either CP55,940 (10</w:t>
      </w:r>
      <w:r w:rsidR="000F0D9E" w:rsidRPr="00506C9D">
        <w:rPr>
          <w:rFonts w:ascii="Calibri" w:hAnsi="Calibri" w:cs="Calibri"/>
          <w:bCs/>
          <w:vertAlign w:val="superscript"/>
        </w:rPr>
        <w:t>-10</w:t>
      </w:r>
      <w:r w:rsidR="000F0D9E" w:rsidRPr="00506C9D">
        <w:rPr>
          <w:rFonts w:ascii="Calibri" w:hAnsi="Calibri" w:cs="Calibri"/>
          <w:bCs/>
        </w:rPr>
        <w:t xml:space="preserve"> – 10</w:t>
      </w:r>
      <w:r w:rsidR="000F0D9E" w:rsidRPr="00506C9D">
        <w:rPr>
          <w:rFonts w:ascii="Calibri" w:hAnsi="Calibri" w:cs="Calibri"/>
          <w:bCs/>
          <w:vertAlign w:val="superscript"/>
        </w:rPr>
        <w:t>-5</w:t>
      </w:r>
      <w:r w:rsidR="000F0D9E" w:rsidRPr="00506C9D">
        <w:rPr>
          <w:rFonts w:ascii="Calibri" w:hAnsi="Calibri" w:cs="Calibri"/>
          <w:bCs/>
        </w:rPr>
        <w:t xml:space="preserve"> M) or AEA (10</w:t>
      </w:r>
      <w:r w:rsidR="000F0D9E" w:rsidRPr="00506C9D">
        <w:rPr>
          <w:rFonts w:ascii="Calibri" w:hAnsi="Calibri" w:cs="Calibri"/>
          <w:bCs/>
          <w:vertAlign w:val="superscript"/>
        </w:rPr>
        <w:t>-9</w:t>
      </w:r>
      <w:r w:rsidR="000F0D9E" w:rsidRPr="00506C9D">
        <w:rPr>
          <w:rFonts w:ascii="Calibri" w:hAnsi="Calibri" w:cs="Calibri"/>
          <w:bCs/>
        </w:rPr>
        <w:t xml:space="preserve"> – 10</w:t>
      </w:r>
      <w:r w:rsidR="000F0D9E" w:rsidRPr="00506C9D">
        <w:rPr>
          <w:rFonts w:ascii="Calibri" w:hAnsi="Calibri" w:cs="Calibri"/>
          <w:bCs/>
          <w:vertAlign w:val="superscript"/>
        </w:rPr>
        <w:t>-4</w:t>
      </w:r>
      <w:r w:rsidR="000F0D9E" w:rsidRPr="00506C9D">
        <w:rPr>
          <w:rFonts w:ascii="Calibri" w:hAnsi="Calibri" w:cs="Calibri"/>
          <w:bCs/>
        </w:rPr>
        <w:t xml:space="preserve"> M) stimulated ERK1/2 </w:t>
      </w:r>
      <w:r w:rsidR="007F3CB8" w:rsidRPr="00506C9D">
        <w:rPr>
          <w:rFonts w:ascii="Calibri" w:hAnsi="Calibri" w:cs="Calibri"/>
          <w:bCs/>
        </w:rPr>
        <w:t xml:space="preserve">phosphorylation </w:t>
      </w:r>
      <w:r w:rsidR="000F0D9E" w:rsidRPr="00506C9D">
        <w:rPr>
          <w:rFonts w:ascii="Calibri" w:hAnsi="Calibri" w:cs="Calibri"/>
          <w:bCs/>
        </w:rPr>
        <w:t>were assessed as described</w:t>
      </w:r>
      <w:r w:rsidR="00D577B0" w:rsidRPr="00506C9D">
        <w:rPr>
          <w:rFonts w:ascii="Calibri" w:hAnsi="Calibri" w:cs="Calibri"/>
          <w:bCs/>
        </w:rPr>
        <w:t>,</w:t>
      </w:r>
      <w:r w:rsidR="000F0D9E" w:rsidRPr="00506C9D">
        <w:rPr>
          <w:rFonts w:ascii="Calibri" w:hAnsi="Calibri" w:cs="Calibri"/>
          <w:bCs/>
        </w:rPr>
        <w:t xml:space="preserve"> but without 0.1% BSA.   </w:t>
      </w:r>
      <w:r w:rsidRPr="00506C9D">
        <w:rPr>
          <w:rFonts w:ascii="Calibri" w:hAnsi="Calibri" w:cs="Calibri"/>
          <w:bCs/>
        </w:rPr>
        <w:t xml:space="preserve">Reactions were stopped by </w:t>
      </w:r>
      <w:r w:rsidR="00EA119E" w:rsidRPr="00506C9D">
        <w:rPr>
          <w:rFonts w:ascii="Calibri" w:hAnsi="Calibri" w:cs="Calibri"/>
          <w:bCs/>
        </w:rPr>
        <w:t xml:space="preserve">the </w:t>
      </w:r>
      <w:r w:rsidRPr="00506C9D">
        <w:rPr>
          <w:rFonts w:ascii="Calibri" w:hAnsi="Calibri" w:cs="Calibri"/>
          <w:bCs/>
        </w:rPr>
        <w:t xml:space="preserve">addition of 50 </w:t>
      </w:r>
      <w:r w:rsidRPr="00506C9D">
        <w:rPr>
          <w:rFonts w:ascii="Calibri" w:hAnsi="Calibri" w:cs="Calibri"/>
          <w:snapToGrid w:val="0"/>
        </w:rPr>
        <w:sym w:font="Symbol" w:char="F06D"/>
      </w:r>
      <w:r w:rsidR="00D35C51">
        <w:rPr>
          <w:rFonts w:ascii="Calibri" w:hAnsi="Calibri" w:cs="Calibri"/>
          <w:bCs/>
        </w:rPr>
        <w:t>L</w:t>
      </w:r>
      <w:r w:rsidR="00D35C51" w:rsidRPr="00506C9D">
        <w:rPr>
          <w:rFonts w:ascii="Calibri" w:hAnsi="Calibri" w:cs="Calibri"/>
          <w:bCs/>
        </w:rPr>
        <w:t xml:space="preserve"> </w:t>
      </w:r>
      <w:r w:rsidRPr="00506C9D">
        <w:rPr>
          <w:rFonts w:ascii="Calibri" w:hAnsi="Calibri" w:cs="Calibri"/>
          <w:bCs/>
        </w:rPr>
        <w:t>ice-cold lysis buffer, and cells were lysed by shaking on an orbital shaker for 10 min at room temperature.  Plates were stored at -</w:t>
      </w:r>
      <w:r w:rsidRPr="00506C9D">
        <w:rPr>
          <w:rFonts w:ascii="Calibri" w:hAnsi="Calibri" w:cs="Calibri"/>
          <w:bCs/>
        </w:rPr>
        <w:lastRenderedPageBreak/>
        <w:t>80</w:t>
      </w:r>
      <w:r w:rsidR="00CF740B">
        <w:rPr>
          <w:rFonts w:ascii="Calibri" w:hAnsi="Calibri" w:cs="Calibri"/>
          <w:bCs/>
        </w:rPr>
        <w:t xml:space="preserve"> </w:t>
      </w:r>
      <w:r w:rsidRPr="00506C9D">
        <w:rPr>
          <w:rFonts w:ascii="Calibri" w:hAnsi="Calibri" w:cs="Calibri"/>
          <w:bCs/>
        </w:rPr>
        <w:t xml:space="preserve">°C prior to performing the Surefire Ultra assay with 5 </w:t>
      </w:r>
      <w:r w:rsidRPr="00506C9D">
        <w:rPr>
          <w:rFonts w:ascii="Calibri" w:hAnsi="Calibri" w:cs="Calibri"/>
          <w:snapToGrid w:val="0"/>
        </w:rPr>
        <w:sym w:font="Symbol" w:char="F06D"/>
      </w:r>
      <w:r w:rsidR="00D35C51">
        <w:rPr>
          <w:rFonts w:ascii="Calibri" w:hAnsi="Calibri" w:cs="Calibri"/>
          <w:bCs/>
        </w:rPr>
        <w:t>L</w:t>
      </w:r>
      <w:r w:rsidR="00D35C51" w:rsidRPr="00506C9D">
        <w:rPr>
          <w:rFonts w:ascii="Calibri" w:hAnsi="Calibri" w:cs="Calibri"/>
          <w:bCs/>
        </w:rPr>
        <w:t xml:space="preserve"> </w:t>
      </w:r>
      <w:r w:rsidRPr="00506C9D">
        <w:rPr>
          <w:rFonts w:ascii="Calibri" w:hAnsi="Calibri" w:cs="Calibri"/>
          <w:bCs/>
        </w:rPr>
        <w:t xml:space="preserve">lysate, 2.5 </w:t>
      </w:r>
      <w:r w:rsidRPr="00506C9D">
        <w:rPr>
          <w:rFonts w:ascii="Calibri" w:hAnsi="Calibri" w:cs="Calibri"/>
          <w:snapToGrid w:val="0"/>
        </w:rPr>
        <w:sym w:font="Symbol" w:char="F06D"/>
      </w:r>
      <w:r w:rsidR="00D35C51">
        <w:rPr>
          <w:rFonts w:ascii="Calibri" w:hAnsi="Calibri" w:cs="Calibri"/>
          <w:bCs/>
        </w:rPr>
        <w:t>L</w:t>
      </w:r>
      <w:r w:rsidR="00D35C51" w:rsidRPr="00506C9D">
        <w:rPr>
          <w:rFonts w:ascii="Calibri" w:hAnsi="Calibri" w:cs="Calibri"/>
          <w:bCs/>
        </w:rPr>
        <w:t xml:space="preserve"> </w:t>
      </w:r>
      <w:r w:rsidRPr="00506C9D">
        <w:rPr>
          <w:rFonts w:ascii="Calibri" w:hAnsi="Calibri" w:cs="Calibri"/>
          <w:bCs/>
        </w:rPr>
        <w:t xml:space="preserve">acceptor beads and 2.5 </w:t>
      </w:r>
      <w:r w:rsidRPr="00506C9D">
        <w:rPr>
          <w:rFonts w:ascii="Symbol" w:hAnsi="Symbol" w:cs="Calibri"/>
          <w:bCs/>
        </w:rPr>
        <w:t></w:t>
      </w:r>
      <w:r w:rsidR="00D35C51">
        <w:rPr>
          <w:rFonts w:ascii="Calibri" w:hAnsi="Calibri" w:cs="Calibri"/>
          <w:bCs/>
        </w:rPr>
        <w:t>L</w:t>
      </w:r>
      <w:r w:rsidR="00D35C51" w:rsidRPr="00506C9D">
        <w:rPr>
          <w:rFonts w:ascii="Calibri" w:hAnsi="Calibri" w:cs="Calibri"/>
          <w:bCs/>
        </w:rPr>
        <w:t xml:space="preserve"> </w:t>
      </w:r>
      <w:r w:rsidRPr="00506C9D">
        <w:rPr>
          <w:rFonts w:ascii="Calibri" w:hAnsi="Calibri" w:cs="Calibri"/>
          <w:bCs/>
        </w:rPr>
        <w:t xml:space="preserve">donor beads in 384-well white </w:t>
      </w:r>
      <w:proofErr w:type="spellStart"/>
      <w:r w:rsidRPr="00506C9D">
        <w:rPr>
          <w:rFonts w:ascii="Calibri" w:hAnsi="Calibri" w:cs="Calibri"/>
          <w:bCs/>
        </w:rPr>
        <w:t>Proxiplates</w:t>
      </w:r>
      <w:proofErr w:type="spellEnd"/>
      <w:r w:rsidRPr="00506C9D">
        <w:rPr>
          <w:rFonts w:ascii="Calibri" w:hAnsi="Calibri" w:cs="Calibri"/>
          <w:bCs/>
        </w:rPr>
        <w:t xml:space="preserve"> as per the manufacturer’s instructions.  Plates were incubated in the dark for 3 </w:t>
      </w:r>
      <w:proofErr w:type="spellStart"/>
      <w:r w:rsidRPr="00506C9D">
        <w:rPr>
          <w:rFonts w:ascii="Calibri" w:hAnsi="Calibri" w:cs="Calibri"/>
          <w:bCs/>
        </w:rPr>
        <w:t>hr</w:t>
      </w:r>
      <w:proofErr w:type="spellEnd"/>
      <w:r w:rsidRPr="00506C9D">
        <w:rPr>
          <w:rFonts w:ascii="Calibri" w:hAnsi="Calibri" w:cs="Calibri"/>
          <w:bCs/>
        </w:rPr>
        <w:t xml:space="preserve"> at room temperature and were read with a </w:t>
      </w:r>
      <w:proofErr w:type="spellStart"/>
      <w:r w:rsidRPr="00506C9D">
        <w:rPr>
          <w:rFonts w:ascii="Calibri" w:hAnsi="Calibri" w:cs="Calibri"/>
          <w:bCs/>
        </w:rPr>
        <w:t>BioTek</w:t>
      </w:r>
      <w:proofErr w:type="spellEnd"/>
      <w:r w:rsidRPr="00506C9D">
        <w:rPr>
          <w:rFonts w:ascii="Calibri" w:hAnsi="Calibri" w:cs="Calibri"/>
          <w:bCs/>
        </w:rPr>
        <w:t xml:space="preserve"> Synergy Neo plate-reader (</w:t>
      </w:r>
      <w:proofErr w:type="spellStart"/>
      <w:r w:rsidRPr="00506C9D">
        <w:rPr>
          <w:rFonts w:ascii="Calibri" w:hAnsi="Calibri" w:cs="Calibri"/>
          <w:bCs/>
        </w:rPr>
        <w:t>BioTek</w:t>
      </w:r>
      <w:proofErr w:type="spellEnd"/>
      <w:r w:rsidRPr="00506C9D">
        <w:rPr>
          <w:rFonts w:ascii="Calibri" w:hAnsi="Calibri" w:cs="Calibri"/>
          <w:bCs/>
        </w:rPr>
        <w:t xml:space="preserve"> Instruments, Winooski, VT) using </w:t>
      </w:r>
      <w:proofErr w:type="spellStart"/>
      <w:r w:rsidRPr="00506C9D">
        <w:rPr>
          <w:rFonts w:ascii="Calibri" w:hAnsi="Calibri" w:cs="Calibri"/>
          <w:bCs/>
        </w:rPr>
        <w:t>AlphaScreen</w:t>
      </w:r>
      <w:proofErr w:type="spellEnd"/>
      <w:r w:rsidRPr="00506C9D">
        <w:rPr>
          <w:rFonts w:ascii="Calibri" w:hAnsi="Calibri" w:cs="Calibri"/>
          <w:bCs/>
        </w:rPr>
        <w:t xml:space="preserve"> settings.  Results are presented as the percent stimulation of ERK1/2 phosphorylation by CP55</w:t>
      </w:r>
      <w:r w:rsidR="009F7DCD" w:rsidRPr="00506C9D">
        <w:rPr>
          <w:rFonts w:ascii="Calibri" w:hAnsi="Calibri" w:cs="Calibri"/>
          <w:bCs/>
        </w:rPr>
        <w:t>,</w:t>
      </w:r>
      <w:r w:rsidRPr="00506C9D">
        <w:rPr>
          <w:rFonts w:ascii="Calibri" w:hAnsi="Calibri" w:cs="Calibri"/>
          <w:bCs/>
        </w:rPr>
        <w:t>940 alone.  Data were analyzed by non-linear regression analysis of the log CP55,940 concentration versus response using GraphPad Prism 8</w:t>
      </w:r>
      <w:r w:rsidR="006C3489" w:rsidRPr="00506C9D">
        <w:rPr>
          <w:rFonts w:ascii="Calibri" w:hAnsi="Calibri" w:cs="Calibri"/>
          <w:bCs/>
        </w:rPr>
        <w:t>.0</w:t>
      </w:r>
      <w:r w:rsidRPr="00506C9D">
        <w:rPr>
          <w:rFonts w:ascii="Calibri" w:hAnsi="Calibri" w:cs="Calibri"/>
          <w:bCs/>
        </w:rPr>
        <w:t xml:space="preserve"> (GraphPad, San Diego, CA).</w:t>
      </w:r>
    </w:p>
    <w:p w14:paraId="6BE57B64" w14:textId="49D1A8B3" w:rsidR="00217C3E" w:rsidRPr="00506C9D" w:rsidRDefault="00217C3E" w:rsidP="00ED7420">
      <w:pPr>
        <w:spacing w:line="360" w:lineRule="auto"/>
        <w:rPr>
          <w:rFonts w:ascii="Calibri" w:hAnsi="Calibri" w:cs="Calibri"/>
          <w:b/>
          <w:snapToGrid w:val="0"/>
        </w:rPr>
      </w:pPr>
      <w:r w:rsidRPr="00506C9D">
        <w:rPr>
          <w:rFonts w:ascii="Calibri" w:hAnsi="Calibri" w:cs="Calibri"/>
          <w:b/>
          <w:snapToGrid w:val="0"/>
        </w:rPr>
        <w:t>Cyclic AMP Assays</w:t>
      </w:r>
      <w:r w:rsidR="00A11E83" w:rsidRPr="00506C9D">
        <w:rPr>
          <w:rFonts w:ascii="Calibri" w:hAnsi="Calibri" w:cs="Calibri"/>
          <w:b/>
          <w:snapToGrid w:val="0"/>
        </w:rPr>
        <w:t xml:space="preserve">  </w:t>
      </w:r>
    </w:p>
    <w:p w14:paraId="7DFF9FE4" w14:textId="392F6425" w:rsidR="009F7DCD" w:rsidRPr="00583CC8" w:rsidRDefault="009F7DCD" w:rsidP="00ED7420">
      <w:pPr>
        <w:spacing w:line="360" w:lineRule="auto"/>
        <w:rPr>
          <w:rFonts w:cstheme="minorHAnsi"/>
          <w:snapToGrid w:val="0"/>
        </w:rPr>
      </w:pPr>
      <w:r w:rsidRPr="00506C9D">
        <w:rPr>
          <w:rFonts w:cstheme="minorHAnsi"/>
          <w:snapToGrid w:val="0"/>
        </w:rPr>
        <w:t xml:space="preserve">Cyclic AMP accumulation was measured using a </w:t>
      </w:r>
      <w:proofErr w:type="spellStart"/>
      <w:r w:rsidRPr="00506C9D">
        <w:rPr>
          <w:rFonts w:cstheme="minorHAnsi"/>
          <w:snapToGrid w:val="0"/>
        </w:rPr>
        <w:t>DiscoverX</w:t>
      </w:r>
      <w:proofErr w:type="spellEnd"/>
      <w:r w:rsidRPr="00506C9D">
        <w:rPr>
          <w:rFonts w:cstheme="minorHAnsi"/>
          <w:snapToGrid w:val="0"/>
        </w:rPr>
        <w:t xml:space="preserve"> </w:t>
      </w:r>
      <w:proofErr w:type="spellStart"/>
      <w:r w:rsidRPr="00506C9D">
        <w:rPr>
          <w:rFonts w:cstheme="minorHAnsi"/>
          <w:snapToGrid w:val="0"/>
        </w:rPr>
        <w:t>HitHunter</w:t>
      </w:r>
      <w:proofErr w:type="spellEnd"/>
      <w:r w:rsidRPr="00506C9D">
        <w:rPr>
          <w:rFonts w:cstheme="minorHAnsi"/>
          <w:snapToGrid w:val="0"/>
        </w:rPr>
        <w:t>® cAMP Assay for Small Molecules (</w:t>
      </w:r>
      <w:proofErr w:type="spellStart"/>
      <w:r w:rsidRPr="00506C9D">
        <w:rPr>
          <w:rFonts w:cstheme="minorHAnsi"/>
          <w:snapToGrid w:val="0"/>
        </w:rPr>
        <w:t>DiscoverX</w:t>
      </w:r>
      <w:proofErr w:type="spellEnd"/>
      <w:r w:rsidRPr="00506C9D">
        <w:rPr>
          <w:rFonts w:cstheme="minorHAnsi"/>
          <w:snapToGrid w:val="0"/>
        </w:rPr>
        <w:t>, Fremont, CA).  hCB</w:t>
      </w:r>
      <w:r w:rsidRPr="00506C9D">
        <w:rPr>
          <w:rFonts w:cstheme="minorHAnsi"/>
          <w:snapToGrid w:val="0"/>
          <w:vertAlign w:val="subscript"/>
        </w:rPr>
        <w:t>1</w:t>
      </w:r>
      <w:r w:rsidRPr="00506C9D">
        <w:rPr>
          <w:rFonts w:cstheme="minorHAnsi"/>
          <w:snapToGrid w:val="0"/>
        </w:rPr>
        <w:t>R CHO cells were seeded at a density of 40,000 cells/well in 96-well white plates and grown overnight at 37</w:t>
      </w:r>
      <w:r w:rsidR="00CF740B">
        <w:rPr>
          <w:rFonts w:cstheme="minorHAnsi"/>
          <w:snapToGrid w:val="0"/>
        </w:rPr>
        <w:t xml:space="preserve"> </w:t>
      </w:r>
      <w:r w:rsidRPr="00506C9D">
        <w:rPr>
          <w:rFonts w:cstheme="minorHAnsi"/>
          <w:bCs/>
        </w:rPr>
        <w:t>°C</w:t>
      </w:r>
      <w:r w:rsidRPr="00506C9D">
        <w:rPr>
          <w:rFonts w:cstheme="minorHAnsi"/>
          <w:snapToGrid w:val="0"/>
        </w:rPr>
        <w:t>, 5% CO</w:t>
      </w:r>
      <w:r w:rsidRPr="00506C9D">
        <w:rPr>
          <w:rFonts w:cstheme="minorHAnsi"/>
          <w:snapToGrid w:val="0"/>
          <w:vertAlign w:val="subscript"/>
        </w:rPr>
        <w:t>2</w:t>
      </w:r>
      <w:r w:rsidRPr="00506C9D">
        <w:rPr>
          <w:rFonts w:cstheme="minorHAnsi"/>
          <w:snapToGrid w:val="0"/>
        </w:rPr>
        <w:t xml:space="preserve"> in a humidified incubator.  The following day, cell media was replaced with 30 </w:t>
      </w:r>
      <w:r w:rsidRPr="00506C9D">
        <w:rPr>
          <w:rFonts w:ascii="Symbol" w:hAnsi="Symbol" w:cstheme="minorHAnsi"/>
          <w:snapToGrid w:val="0"/>
        </w:rPr>
        <w:t></w:t>
      </w:r>
      <w:r w:rsidR="00D35C51">
        <w:rPr>
          <w:rFonts w:cstheme="minorHAnsi"/>
          <w:snapToGrid w:val="0"/>
        </w:rPr>
        <w:t>L</w:t>
      </w:r>
      <w:r w:rsidR="00D35C51" w:rsidRPr="00506C9D">
        <w:rPr>
          <w:rFonts w:cstheme="minorHAnsi"/>
          <w:snapToGrid w:val="0"/>
        </w:rPr>
        <w:t xml:space="preserve"> </w:t>
      </w:r>
      <w:r w:rsidRPr="00506C9D">
        <w:rPr>
          <w:rFonts w:cstheme="minorHAnsi"/>
          <w:snapToGrid w:val="0"/>
        </w:rPr>
        <w:t xml:space="preserve">cAMP assay buffer (HBSS containing 10 mM HEPES, 0.1% BSA and 100 </w:t>
      </w:r>
      <w:r w:rsidRPr="00506C9D">
        <w:rPr>
          <w:rFonts w:ascii="Symbol" w:hAnsi="Symbol" w:cstheme="minorHAnsi"/>
          <w:snapToGrid w:val="0"/>
        </w:rPr>
        <w:t></w:t>
      </w:r>
      <w:r w:rsidRPr="00506C9D">
        <w:rPr>
          <w:rFonts w:cstheme="minorHAnsi"/>
          <w:snapToGrid w:val="0"/>
        </w:rPr>
        <w:t xml:space="preserve">M IBMX) for 60 min, followed by addition of 7.5 </w:t>
      </w:r>
      <w:r w:rsidRPr="00506C9D">
        <w:rPr>
          <w:rFonts w:ascii="Symbol" w:hAnsi="Symbol" w:cstheme="minorHAnsi"/>
          <w:snapToGrid w:val="0"/>
        </w:rPr>
        <w:t></w:t>
      </w:r>
      <w:r w:rsidR="00D35C51">
        <w:rPr>
          <w:rFonts w:cstheme="minorHAnsi"/>
          <w:snapToGrid w:val="0"/>
        </w:rPr>
        <w:t>L</w:t>
      </w:r>
      <w:r w:rsidR="00D35C51" w:rsidRPr="00506C9D">
        <w:rPr>
          <w:rFonts w:cstheme="minorHAnsi"/>
          <w:snapToGrid w:val="0"/>
        </w:rPr>
        <w:t xml:space="preserve"> </w:t>
      </w:r>
      <w:r w:rsidRPr="00506C9D">
        <w:rPr>
          <w:rFonts w:cstheme="minorHAnsi"/>
          <w:snapToGrid w:val="0"/>
        </w:rPr>
        <w:t>of a 6X concentration of ABM300 (final concentrations</w:t>
      </w:r>
      <w:r w:rsidR="008D401C" w:rsidRPr="00506C9D">
        <w:rPr>
          <w:rFonts w:cstheme="minorHAnsi"/>
          <w:snapToGrid w:val="0"/>
        </w:rPr>
        <w:t xml:space="preserve"> of</w:t>
      </w:r>
      <w:r w:rsidRPr="00506C9D">
        <w:rPr>
          <w:rFonts w:cstheme="minorHAnsi"/>
          <w:snapToGrid w:val="0"/>
        </w:rPr>
        <w:t xml:space="preserve"> 10</w:t>
      </w:r>
      <w:r w:rsidRPr="00506C9D">
        <w:rPr>
          <w:rFonts w:cstheme="minorHAnsi"/>
          <w:snapToGrid w:val="0"/>
          <w:vertAlign w:val="superscript"/>
        </w:rPr>
        <w:t xml:space="preserve">-10 </w:t>
      </w:r>
      <w:r w:rsidRPr="00506C9D">
        <w:rPr>
          <w:rFonts w:cstheme="minorHAnsi"/>
          <w:snapToGrid w:val="0"/>
        </w:rPr>
        <w:t>– 10</w:t>
      </w:r>
      <w:r w:rsidRPr="00506C9D">
        <w:rPr>
          <w:rFonts w:cstheme="minorHAnsi"/>
          <w:snapToGrid w:val="0"/>
          <w:vertAlign w:val="superscript"/>
        </w:rPr>
        <w:t>-5</w:t>
      </w:r>
      <w:r w:rsidRPr="00506C9D">
        <w:rPr>
          <w:rFonts w:cstheme="minorHAnsi"/>
          <w:snapToGrid w:val="0"/>
        </w:rPr>
        <w:t xml:space="preserve"> M) and incubation for 30 min at 37°</w:t>
      </w:r>
      <w:r w:rsidR="005608E8" w:rsidRPr="00506C9D">
        <w:rPr>
          <w:rFonts w:cstheme="minorHAnsi"/>
          <w:snapToGrid w:val="0"/>
        </w:rPr>
        <w:t>C</w:t>
      </w:r>
      <w:r w:rsidRPr="00506C9D">
        <w:rPr>
          <w:rFonts w:cstheme="minorHAnsi"/>
          <w:snapToGrid w:val="0"/>
        </w:rPr>
        <w:t>, 5% CO</w:t>
      </w:r>
      <w:r w:rsidRPr="00506C9D">
        <w:rPr>
          <w:rFonts w:cstheme="minorHAnsi"/>
          <w:snapToGrid w:val="0"/>
          <w:vertAlign w:val="subscript"/>
        </w:rPr>
        <w:t>2</w:t>
      </w:r>
      <w:r w:rsidRPr="00506C9D">
        <w:rPr>
          <w:rFonts w:cstheme="minorHAnsi"/>
          <w:snapToGrid w:val="0"/>
        </w:rPr>
        <w:t>.  Cells were subsequently treated with the EC</w:t>
      </w:r>
      <w:r w:rsidRPr="00506C9D">
        <w:rPr>
          <w:rFonts w:cstheme="minorHAnsi"/>
          <w:snapToGrid w:val="0"/>
          <w:vertAlign w:val="subscript"/>
        </w:rPr>
        <w:t>80</w:t>
      </w:r>
      <w:r w:rsidRPr="00506C9D">
        <w:rPr>
          <w:rFonts w:cstheme="minorHAnsi"/>
          <w:snapToGrid w:val="0"/>
        </w:rPr>
        <w:t xml:space="preserve"> concentration of CP55,940 (final concentration of 40 </w:t>
      </w:r>
      <w:proofErr w:type="spellStart"/>
      <w:r w:rsidRPr="00506C9D">
        <w:rPr>
          <w:rFonts w:cstheme="minorHAnsi"/>
          <w:snapToGrid w:val="0"/>
        </w:rPr>
        <w:t>nM</w:t>
      </w:r>
      <w:proofErr w:type="spellEnd"/>
      <w:r w:rsidRPr="00506C9D">
        <w:rPr>
          <w:rFonts w:cstheme="minorHAnsi"/>
          <w:snapToGrid w:val="0"/>
        </w:rPr>
        <w:t xml:space="preserve">) and 6X </w:t>
      </w:r>
      <w:proofErr w:type="spellStart"/>
      <w:r w:rsidRPr="00506C9D">
        <w:rPr>
          <w:rFonts w:cstheme="minorHAnsi"/>
          <w:snapToGrid w:val="0"/>
        </w:rPr>
        <w:t>forskolin</w:t>
      </w:r>
      <w:proofErr w:type="spellEnd"/>
      <w:r w:rsidRPr="00506C9D">
        <w:rPr>
          <w:rFonts w:cstheme="minorHAnsi"/>
          <w:snapToGrid w:val="0"/>
        </w:rPr>
        <w:t xml:space="preserve"> (final concentration of 5 </w:t>
      </w:r>
      <w:r w:rsidRPr="00506C9D">
        <w:rPr>
          <w:rFonts w:ascii="Symbol" w:hAnsi="Symbol" w:cstheme="minorHAnsi"/>
          <w:snapToGrid w:val="0"/>
        </w:rPr>
        <w:t></w:t>
      </w:r>
      <w:r w:rsidRPr="00506C9D">
        <w:rPr>
          <w:rFonts w:cstheme="minorHAnsi"/>
          <w:snapToGrid w:val="0"/>
        </w:rPr>
        <w:t>M) and incubated for 30 min at 37</w:t>
      </w:r>
      <w:r w:rsidR="00CF740B">
        <w:rPr>
          <w:rFonts w:cstheme="minorHAnsi"/>
          <w:snapToGrid w:val="0"/>
        </w:rPr>
        <w:t xml:space="preserve"> </w:t>
      </w:r>
      <w:r w:rsidRPr="00506C9D">
        <w:rPr>
          <w:rFonts w:cstheme="minorHAnsi"/>
          <w:snapToGrid w:val="0"/>
        </w:rPr>
        <w:t>°</w:t>
      </w:r>
      <w:r w:rsidR="005608E8" w:rsidRPr="00506C9D">
        <w:rPr>
          <w:rFonts w:cstheme="minorHAnsi"/>
          <w:snapToGrid w:val="0"/>
        </w:rPr>
        <w:t>C</w:t>
      </w:r>
      <w:r w:rsidRPr="00506C9D">
        <w:rPr>
          <w:rFonts w:cstheme="minorHAnsi"/>
          <w:snapToGrid w:val="0"/>
        </w:rPr>
        <w:t>, 5% CO</w:t>
      </w:r>
      <w:r w:rsidRPr="00506C9D">
        <w:rPr>
          <w:rFonts w:cstheme="minorHAnsi"/>
          <w:snapToGrid w:val="0"/>
          <w:vertAlign w:val="subscript"/>
        </w:rPr>
        <w:t xml:space="preserve">2. </w:t>
      </w:r>
      <w:r w:rsidRPr="00506C9D">
        <w:rPr>
          <w:rFonts w:cstheme="minorHAnsi"/>
          <w:snapToGrid w:val="0"/>
        </w:rPr>
        <w:t xml:space="preserve">  Vehicle concentration was 1% DMSO, 0.1% BSA.  Following agonist incubation, 15 </w:t>
      </w:r>
      <w:bookmarkStart w:id="1" w:name="OLE_LINK1"/>
      <w:r w:rsidRPr="00506C9D">
        <w:rPr>
          <w:rFonts w:ascii="Symbol" w:hAnsi="Symbol" w:cstheme="minorHAnsi"/>
          <w:snapToGrid w:val="0"/>
        </w:rPr>
        <w:t></w:t>
      </w:r>
      <w:r w:rsidRPr="00506C9D">
        <w:rPr>
          <w:rFonts w:cstheme="minorHAnsi"/>
          <w:snapToGrid w:val="0"/>
        </w:rPr>
        <w:t>l</w:t>
      </w:r>
      <w:bookmarkEnd w:id="1"/>
      <w:r w:rsidRPr="00506C9D">
        <w:rPr>
          <w:rFonts w:cstheme="minorHAnsi"/>
          <w:snapToGrid w:val="0"/>
        </w:rPr>
        <w:t xml:space="preserve"> of cAMP antibody reagent and 60 </w:t>
      </w:r>
      <w:r w:rsidRPr="00506C9D">
        <w:rPr>
          <w:rFonts w:ascii="Symbol" w:hAnsi="Symbol" w:cstheme="minorHAnsi"/>
          <w:snapToGrid w:val="0"/>
        </w:rPr>
        <w:t></w:t>
      </w:r>
      <w:r w:rsidRPr="00506C9D">
        <w:rPr>
          <w:rFonts w:cstheme="minorHAnsi"/>
          <w:snapToGrid w:val="0"/>
        </w:rPr>
        <w:t xml:space="preserve">l of working cAMP detection solution (containing 19 parts cAMP lysis buffer, 5 parts Substrate Reagent 1, </w:t>
      </w:r>
      <w:proofErr w:type="gramStart"/>
      <w:r w:rsidRPr="00506C9D">
        <w:rPr>
          <w:rFonts w:cstheme="minorHAnsi"/>
          <w:snapToGrid w:val="0"/>
        </w:rPr>
        <w:t>1 part</w:t>
      </w:r>
      <w:proofErr w:type="gramEnd"/>
      <w:r w:rsidRPr="00506C9D">
        <w:rPr>
          <w:rFonts w:cstheme="minorHAnsi"/>
          <w:snapToGrid w:val="0"/>
        </w:rPr>
        <w:t xml:space="preserve"> Substrate Reagent 2 and 25 parts of cAMP Solution D) were added to all wells.  Assay plates were incubated in the dark for 1 </w:t>
      </w:r>
      <w:proofErr w:type="spellStart"/>
      <w:r w:rsidRPr="00506C9D">
        <w:rPr>
          <w:rFonts w:cstheme="minorHAnsi"/>
          <w:snapToGrid w:val="0"/>
        </w:rPr>
        <w:t>hr</w:t>
      </w:r>
      <w:proofErr w:type="spellEnd"/>
      <w:r w:rsidRPr="00506C9D">
        <w:rPr>
          <w:rFonts w:cstheme="minorHAnsi"/>
          <w:snapToGrid w:val="0"/>
        </w:rPr>
        <w:t xml:space="preserve"> at room temperature, followed by addition of 60 </w:t>
      </w:r>
      <w:r w:rsidRPr="00506C9D">
        <w:rPr>
          <w:rFonts w:ascii="Symbol" w:hAnsi="Symbol" w:cstheme="minorHAnsi"/>
          <w:snapToGrid w:val="0"/>
        </w:rPr>
        <w:t></w:t>
      </w:r>
      <w:r w:rsidRPr="00506C9D">
        <w:rPr>
          <w:rFonts w:cstheme="minorHAnsi"/>
          <w:snapToGrid w:val="0"/>
        </w:rPr>
        <w:t xml:space="preserve">l cAMP solution A to all wells and incubation for 3 </w:t>
      </w:r>
      <w:proofErr w:type="spellStart"/>
      <w:r w:rsidRPr="00506C9D">
        <w:rPr>
          <w:rFonts w:cstheme="minorHAnsi"/>
          <w:snapToGrid w:val="0"/>
        </w:rPr>
        <w:t>hr</w:t>
      </w:r>
      <w:proofErr w:type="spellEnd"/>
      <w:r w:rsidRPr="00506C9D">
        <w:rPr>
          <w:rFonts w:cstheme="minorHAnsi"/>
          <w:snapToGrid w:val="0"/>
        </w:rPr>
        <w:t xml:space="preserve"> at room temperature in the dark.  Plates were read using a </w:t>
      </w:r>
      <w:proofErr w:type="spellStart"/>
      <w:r w:rsidRPr="00506C9D">
        <w:rPr>
          <w:rFonts w:cstheme="minorHAnsi"/>
          <w:snapToGrid w:val="0"/>
        </w:rPr>
        <w:t>GloMax</w:t>
      </w:r>
      <w:proofErr w:type="spellEnd"/>
      <w:r w:rsidRPr="00506C9D">
        <w:rPr>
          <w:rFonts w:cstheme="minorHAnsi"/>
          <w:snapToGrid w:val="0"/>
        </w:rPr>
        <w:t xml:space="preserve"> Discover plate-reader (Promega, Madison, WI).  Results were calculated as the percent inhibition of the CP55,940 mediated response and were analyzed by non-linear regression analysis of sigmoidal dose-</w:t>
      </w:r>
      <w:r w:rsidRPr="00583CC8">
        <w:rPr>
          <w:rFonts w:cstheme="minorHAnsi"/>
          <w:snapToGrid w:val="0"/>
        </w:rPr>
        <w:t>response curves using GraphPad Prism 8</w:t>
      </w:r>
      <w:r w:rsidR="006C3489" w:rsidRPr="00583CC8">
        <w:rPr>
          <w:rFonts w:cstheme="minorHAnsi"/>
          <w:snapToGrid w:val="0"/>
        </w:rPr>
        <w:t>.0</w:t>
      </w:r>
      <w:r w:rsidRPr="00583CC8">
        <w:rPr>
          <w:rFonts w:cstheme="minorHAnsi"/>
          <w:snapToGrid w:val="0"/>
        </w:rPr>
        <w:t>.</w:t>
      </w:r>
    </w:p>
    <w:p w14:paraId="5DBBA8FB" w14:textId="0DC2C88D" w:rsidR="00D52D3C" w:rsidRPr="00506C9D" w:rsidRDefault="00217C3E" w:rsidP="00ED7420">
      <w:pPr>
        <w:spacing w:after="120" w:line="360" w:lineRule="auto"/>
        <w:rPr>
          <w:rFonts w:cs="Arial"/>
        </w:rPr>
      </w:pPr>
      <w:r w:rsidRPr="00583CC8">
        <w:rPr>
          <w:rFonts w:cs="Arial"/>
        </w:rPr>
        <w:t xml:space="preserve">The cAMP BRET experiments were performed as previously described </w:t>
      </w:r>
      <w:r w:rsidRPr="00583CC8">
        <w:rPr>
          <w:rFonts w:cs="Arial"/>
        </w:rPr>
        <w:fldChar w:fldCharType="begin" w:fldLock="1"/>
      </w:r>
      <w:r w:rsidR="004D25ED">
        <w:rPr>
          <w:rFonts w:cs="Arial"/>
        </w:rPr>
        <w:instrText>ADDIN CSL_CITATION {"citationItems":[{"id":"ITEM-1","itemData":{"DOI":"10.1111/bph.12329","ISSN":"00071188","PMID":"23937487","abstract":"Background and Purpose The cannabinoid receptor type 1 (CB1) has an allosteric binding site. The drugs ORG27569 {5-chloro-3-ethyl-N-[2-[4-(1- piperidinyl)phenyl]ethyl]-1H-indole-2-carboxamide} and PSNCBAM-1 {1-(4-chlorophenyl)-3-[3-(6-pyrrolidin-1-ylpyridin-2-yl)phenyl]urea} have been extensively characterized with regard to their effects on signalling of the orthosteric ligand CP55,940 {(-)-cis-3-[2-hydroxy-4-(1,1-dimethylheptyl)phenyl]- trans-4-(3-hydroxypropyl)cyclohexanol}, and studies have suggested that these allosteric modulators increase binding affinity but act as non-competitive antagonists in functional assays. To gain a deeper understanding of allosteric modulation of CB1, we examined real-time signalling and trafficking responses of the receptor in the presence of allosteric modulators. Experimental Approach Studies of CB1 signalling were carried out in HEK 293 and AtT20 cells expressing haemagglutinin-tagged human and rat CB1. We measured real-time accumulation of cAMP, activation and desensitization of potassium channel-mediated cellular hyperpolarization and CB1 internalization. Key Results ORG27569 and PSNCBAM-1 produce a complex, concentration and time-dependent modulation of agonist-mediated regulation of cAMP levels, as well as an increased rate of desensitization of CB 1-mediated cellular hyperpolarization and a decrease in agonist-induced receptor internalization. Conclusions and Implications Contrary to previous studies characterizing allosteric modulators at CB1, this study suggests that the mechanism of action is not non-competitive antagonism of signalling, but rather that enhanced binding results in an increased rate of receptor desensitization and reduced internalization, which results in time-dependent modulation of cAMP signalling. The observed effect of the allosteric modulators is therefore dependent on the time frame over which the signalling response occurs. This finding may have important consequences for the potential therapeutic application of these compounds. © 2013 The British Pharmacological Society.","author":[{"dropping-particle":"","family":"Cawston","given":"Erin E.","non-dropping-particle":"","parse-names":false,"suffix":""},{"dropping-particle":"","family":"Redmond","given":"William J.","non-dropping-particle":"","parse-names":false,"suffix":""},{"dropping-particle":"","family":"Breen","given":"Courtney M.","non-dropping-particle":"","parse-names":false,"suffix":""},{"dropping-particle":"","family":"Grimsey","given":"Natasha L.","non-dropping-particle":"","parse-names":false,"suffix":""},{"dropping-particle":"","family":"Connor","given":"Mark","non-dropping-particle":"","parse-names":false,"suffix":""},{"dropping-particle":"","family":"Glass","given":"Michelle","non-dropping-particle":"","parse-names":false,"suffix":""}],"container-title":"British Journal of Pharmacology","id":"ITEM-1","issue":"4","issued":{"date-parts":[["2013","10"]]},"page":"893-907","title":"Real-time characterization of cannabinoid receptor 1 (CB1) allosteric modulators reveals novel mechanism of action","type":"article-journal","volume":"170"},"uris":["http://www.mendeley.com/documents/?uuid=ab0aadc2-cd43-49bf-8e3c-df990ef5ed7d"]},{"id":"ITEM-2","itemData":{"DOI":"10.1016/bs.mie.2017.05.001","ISSN":"15577988","PMID":"28750814","abstract":"Cannabinoid receptors, like other GPCRs, signal via a spectrum of related signaling pathways. Recently, monitoring GPCR-mediated cAMP signaling has become significantly easier with the development of genetically encoded, transfectable cAMP biosensors. Cell lines transfected with these biosensors can be monitored continuously, allowing the analysis of receptor-mediated signaling in unprecedented detail. Here, we describe a protocol for transfectable biosensors which report cellular cAMP concentrations by bioluminescence resonance energy transfer (BRET). This assay system has been utilized to elucidate the temporal nature of agonists and allosteric modulators of the cannabinoid receptor CB1. In particular, the CB1 allosteric modulator ORG27569 has been shown to modify receptor agonism in a time-dependent fashion; a characteristic which would not have been observed via traditional endpoint methods of detecting cAMP signaling. BRET cAMP biosensors are suitable for miniaturization and automation, and as such are valuable and cost-effective tools for moderate- to high-throughput experimental protocols.","author":[{"dropping-particle":"","family":"Hunter","given":"Morag R.","non-dropping-particle":"","parse-names":false,"suffix":""},{"dropping-particle":"","family":"Finlay","given":"David B.","non-dropping-particle":"","parse-names":false,"suffix":""},{"dropping-particle":"","family":"Macdonald","given":"Christa E.","non-dropping-particle":"","parse-names":false,"suffix":""},{"dropping-particle":"","family":"Cawston","given":"Erin E.","non-dropping-particle":"","parse-names":false,"suffix":""},{"dropping-particle":"","family":"Grimsey","given":"Natasha L.","non-dropping-particle":"","parse-names":false,"suffix":""},{"dropping-particle":"","family":"Glass","given":"Michelle","non-dropping-particle":"","parse-names":false,"suffix":""}],"container-title":"Methods in Enzymology","id":"ITEM-2","issued":{"date-parts":[["2017"]]},"page":"43-59","publisher":"Academic Press Inc.","title":"Real-Time Measurement of Cannabinoid Receptor-Mediated cAMP Signaling","type":"chapter","volume":"593"},"uris":["http://www.mendeley.com/documents/?uuid=8e7b8e7b-2059-4033-9b48-9b3e3100ea05"]}],"mendeley":{"formattedCitation":"(Erin E. Cawston et al., 2013; Hunter et al., 2017)","plainTextFormattedCitation":"(Erin E. Cawston et al., 2013; Hunter et al., 2017)","previouslyFormattedCitation":"(Erin E. Cawston et al., 2013; Hunter et al., 2017)"},"properties":{"noteIndex":0},"schema":"https://github.com/citation-style-language/schema/raw/master/csl-citation.json"}</w:instrText>
      </w:r>
      <w:r w:rsidRPr="00583CC8">
        <w:rPr>
          <w:rFonts w:cs="Arial"/>
        </w:rPr>
        <w:fldChar w:fldCharType="separate"/>
      </w:r>
      <w:r w:rsidR="00497FB6" w:rsidRPr="00497FB6">
        <w:rPr>
          <w:rFonts w:cs="Arial"/>
          <w:noProof/>
        </w:rPr>
        <w:t>(Erin E. Cawston et al., 2013; Hunter et al., 2017)</w:t>
      </w:r>
      <w:r w:rsidRPr="00583CC8">
        <w:rPr>
          <w:rFonts w:cs="Arial"/>
        </w:rPr>
        <w:fldChar w:fldCharType="end"/>
      </w:r>
      <w:r w:rsidRPr="00583CC8">
        <w:rPr>
          <w:rFonts w:cs="Arial"/>
        </w:rPr>
        <w:t>. hCB</w:t>
      </w:r>
      <w:r w:rsidRPr="00583CC8">
        <w:rPr>
          <w:rFonts w:cs="Arial"/>
          <w:vertAlign w:val="subscript"/>
        </w:rPr>
        <w:t>1</w:t>
      </w:r>
      <w:r w:rsidR="000F2144" w:rsidRPr="00583CC8">
        <w:rPr>
          <w:rFonts w:cs="Arial"/>
        </w:rPr>
        <w:t>R</w:t>
      </w:r>
      <w:r w:rsidRPr="00583CC8">
        <w:rPr>
          <w:rFonts w:cs="Arial"/>
        </w:rPr>
        <w:t xml:space="preserve"> HEK293 cells were </w:t>
      </w:r>
      <w:r w:rsidR="00583CC8">
        <w:rPr>
          <w:rFonts w:cs="Arial"/>
        </w:rPr>
        <w:t xml:space="preserve">seeded in 100 mm dishes in normal culture medium. One day after plating, the cells were approximately 50% confluent, and </w:t>
      </w:r>
      <w:r w:rsidR="0039085B">
        <w:rPr>
          <w:rFonts w:cs="Arial"/>
        </w:rPr>
        <w:t xml:space="preserve">were </w:t>
      </w:r>
      <w:r w:rsidRPr="00583CC8">
        <w:rPr>
          <w:rFonts w:cs="Arial"/>
        </w:rPr>
        <w:t>transfected with 5</w:t>
      </w:r>
      <w:r w:rsidR="005608E8" w:rsidRPr="00583CC8">
        <w:rPr>
          <w:rFonts w:cs="Arial"/>
        </w:rPr>
        <w:t xml:space="preserve"> </w:t>
      </w:r>
      <w:r w:rsidRPr="00583CC8">
        <w:rPr>
          <w:rFonts w:cs="Arial"/>
        </w:rPr>
        <w:t xml:space="preserve">µg of the CAMYEL biosensor using </w:t>
      </w:r>
      <w:r w:rsidR="00583CC8">
        <w:rPr>
          <w:rFonts w:cs="Arial"/>
        </w:rPr>
        <w:t xml:space="preserve">linear </w:t>
      </w:r>
      <w:proofErr w:type="spellStart"/>
      <w:r w:rsidRPr="00583CC8">
        <w:rPr>
          <w:rFonts w:cs="Arial"/>
        </w:rPr>
        <w:t>polyethylenimine</w:t>
      </w:r>
      <w:proofErr w:type="spellEnd"/>
      <w:r w:rsidR="00583CC8">
        <w:rPr>
          <w:rFonts w:cs="Arial"/>
        </w:rPr>
        <w:t xml:space="preserve"> (in a 1:6 ratio of </w:t>
      </w:r>
      <w:r w:rsidR="00583CC8">
        <w:rPr>
          <w:rFonts w:cs="Arial"/>
        </w:rPr>
        <w:lastRenderedPageBreak/>
        <w:t>DNA:PEI)</w:t>
      </w:r>
      <w:r w:rsidRPr="00583CC8">
        <w:rPr>
          <w:rFonts w:cs="Arial"/>
        </w:rPr>
        <w:t xml:space="preserve">. After 24 </w:t>
      </w:r>
      <w:proofErr w:type="spellStart"/>
      <w:r w:rsidRPr="00583CC8">
        <w:rPr>
          <w:rFonts w:cs="Arial"/>
        </w:rPr>
        <w:t>hr</w:t>
      </w:r>
      <w:proofErr w:type="spellEnd"/>
      <w:r w:rsidRPr="00583CC8">
        <w:rPr>
          <w:rFonts w:cs="Arial"/>
        </w:rPr>
        <w:t xml:space="preserve">, the cells were </w:t>
      </w:r>
      <w:r w:rsidR="0039085B">
        <w:rPr>
          <w:rFonts w:cs="Arial"/>
        </w:rPr>
        <w:t xml:space="preserve">lifted with 0.05% trypsin/EDTA and </w:t>
      </w:r>
      <w:r w:rsidRPr="00583CC8">
        <w:rPr>
          <w:rFonts w:cs="Arial"/>
        </w:rPr>
        <w:t>plated</w:t>
      </w:r>
      <w:r w:rsidR="0039085B">
        <w:rPr>
          <w:rFonts w:cs="Arial"/>
        </w:rPr>
        <w:t xml:space="preserve"> in normal culture medium</w:t>
      </w:r>
      <w:r w:rsidRPr="00583CC8">
        <w:rPr>
          <w:rFonts w:cs="Arial"/>
        </w:rPr>
        <w:t xml:space="preserve"> into white 96 well </w:t>
      </w:r>
      <w:proofErr w:type="spellStart"/>
      <w:r w:rsidR="0039085B">
        <w:rPr>
          <w:rFonts w:cs="Arial"/>
        </w:rPr>
        <w:t>CulturP</w:t>
      </w:r>
      <w:r w:rsidRPr="00583CC8">
        <w:rPr>
          <w:rFonts w:cs="Arial"/>
        </w:rPr>
        <w:t>late</w:t>
      </w:r>
      <w:r w:rsidR="0039085B">
        <w:rPr>
          <w:rFonts w:cs="Arial"/>
        </w:rPr>
        <w:t>s</w:t>
      </w:r>
      <w:proofErr w:type="spellEnd"/>
      <w:r w:rsidRPr="00583CC8">
        <w:rPr>
          <w:rFonts w:cs="Arial"/>
        </w:rPr>
        <w:t xml:space="preserve"> (</w:t>
      </w:r>
      <w:r w:rsidR="004D2DF9" w:rsidRPr="00583CC8">
        <w:rPr>
          <w:rFonts w:cs="Arial"/>
        </w:rPr>
        <w:t>PerkinElmer</w:t>
      </w:r>
      <w:r w:rsidRPr="00583CC8">
        <w:rPr>
          <w:rFonts w:cs="Arial"/>
        </w:rPr>
        <w:t>)</w:t>
      </w:r>
      <w:r w:rsidR="0039085B">
        <w:rPr>
          <w:rFonts w:cs="Arial"/>
        </w:rPr>
        <w:t xml:space="preserve"> which had been pre-coated with 0.05</w:t>
      </w:r>
      <w:r w:rsidR="00CF740B">
        <w:rPr>
          <w:rFonts w:cs="Arial"/>
        </w:rPr>
        <w:t xml:space="preserve"> </w:t>
      </w:r>
      <w:r w:rsidR="0039085B">
        <w:rPr>
          <w:rFonts w:cs="Arial"/>
        </w:rPr>
        <w:t>mg/ml poly-D-lysine,</w:t>
      </w:r>
      <w:r w:rsidRPr="00583CC8">
        <w:rPr>
          <w:rFonts w:cs="Arial"/>
        </w:rPr>
        <w:t xml:space="preserve"> at a density of 60,000 cells/well. </w:t>
      </w:r>
      <w:r w:rsidR="0039085B">
        <w:rPr>
          <w:rFonts w:cs="Arial"/>
        </w:rPr>
        <w:t xml:space="preserve">After culture overnight, plate wells were handled for one run at time. Culture medium was removed by aspiration, and wells were washed once with PBS and then left in 60 </w:t>
      </w:r>
      <w:r w:rsidR="00F86162">
        <w:rPr>
          <w:rFonts w:cstheme="minorHAnsi"/>
        </w:rPr>
        <w:t>µL</w:t>
      </w:r>
      <w:r w:rsidR="0039085B">
        <w:rPr>
          <w:rFonts w:cs="Arial"/>
        </w:rPr>
        <w:t>/well of phenol red-free, high glucose DMEM, supplemented with 10</w:t>
      </w:r>
      <w:r w:rsidR="00CF740B">
        <w:rPr>
          <w:rFonts w:cs="Arial"/>
        </w:rPr>
        <w:t xml:space="preserve"> </w:t>
      </w:r>
      <w:r w:rsidR="0039085B">
        <w:rPr>
          <w:rFonts w:cs="Arial"/>
        </w:rPr>
        <w:t>mM HEPES (pH 7.4) and 0.1% BSA (“assay medium”). The assay plate was then returned to the incubator for 30 min equilibration prior to stimulation. All drugs were made up at 10x the desired concentration in assay medium (ethanol and DMSO vehicles were load-matched in all wells). Drug dilutions were then combined in equal volumes in low lipid binding, polypropylene V-well dispensing plates (Hangzhou Gene Era Biotech Co Ltd, Zhejiang, China). Coelenterazine H (</w:t>
      </w:r>
      <w:proofErr w:type="spellStart"/>
      <w:r w:rsidR="0039085B">
        <w:rPr>
          <w:rFonts w:cs="Arial"/>
        </w:rPr>
        <w:t>Nanolight</w:t>
      </w:r>
      <w:proofErr w:type="spellEnd"/>
      <w:r w:rsidR="0039085B">
        <w:rPr>
          <w:rFonts w:cs="Arial"/>
        </w:rPr>
        <w:t>, Pinetop, AZ; prepared at 5 mM in absolute ethanol) was diluted in assay medium at 10x concentration immediately prior to dispensing</w:t>
      </w:r>
      <w:r w:rsidR="001719E2">
        <w:rPr>
          <w:rFonts w:cs="Arial"/>
        </w:rPr>
        <w:t xml:space="preserve">. At the end of the 30 min equilibration period, 10 </w:t>
      </w:r>
      <w:r w:rsidR="00F86162">
        <w:rPr>
          <w:rFonts w:cstheme="minorHAnsi"/>
        </w:rPr>
        <w:t>µL</w:t>
      </w:r>
      <w:r w:rsidR="001719E2">
        <w:rPr>
          <w:rFonts w:cs="Arial"/>
        </w:rPr>
        <w:t xml:space="preserve"> of coelenterazine H dilution was dispensed per well (final concentration of 5 </w:t>
      </w:r>
      <w:r w:rsidR="001719E2">
        <w:rPr>
          <w:rFonts w:cstheme="minorHAnsi"/>
        </w:rPr>
        <w:t>µ</w:t>
      </w:r>
      <w:r w:rsidR="001719E2">
        <w:rPr>
          <w:rFonts w:cs="Arial"/>
        </w:rPr>
        <w:t>M), and the assay plate was then incubated for 5 minutes in a pre-warmed, 37</w:t>
      </w:r>
      <w:r w:rsidR="00CF740B">
        <w:rPr>
          <w:rFonts w:cs="Arial"/>
        </w:rPr>
        <w:t xml:space="preserve"> </w:t>
      </w:r>
      <w:r w:rsidR="001719E2">
        <w:rPr>
          <w:rFonts w:cstheme="minorHAnsi"/>
        </w:rPr>
        <w:t>°</w:t>
      </w:r>
      <w:r w:rsidR="001719E2">
        <w:rPr>
          <w:rFonts w:cs="Arial"/>
        </w:rPr>
        <w:t xml:space="preserve">C </w:t>
      </w:r>
      <w:proofErr w:type="spellStart"/>
      <w:r w:rsidR="001719E2">
        <w:rPr>
          <w:rFonts w:cs="Arial"/>
        </w:rPr>
        <w:t>LUMIstar</w:t>
      </w:r>
      <w:proofErr w:type="spellEnd"/>
      <w:r w:rsidR="001719E2">
        <w:rPr>
          <w:rFonts w:cs="Arial"/>
        </w:rPr>
        <w:t xml:space="preserve"> Omega plate reader (BMG Labtech, </w:t>
      </w:r>
      <w:proofErr w:type="spellStart"/>
      <w:r w:rsidR="001719E2">
        <w:rPr>
          <w:rFonts w:cs="Arial"/>
        </w:rPr>
        <w:t>Ortenburg</w:t>
      </w:r>
      <w:proofErr w:type="spellEnd"/>
      <w:r w:rsidR="001719E2">
        <w:rPr>
          <w:rFonts w:cs="Arial"/>
        </w:rPr>
        <w:t>, Germany). The drug mixture was then dispensed to the assay plate using a multichannel pipette (30</w:t>
      </w:r>
      <w:r w:rsidR="00CF740B">
        <w:rPr>
          <w:rFonts w:cs="Arial"/>
        </w:rPr>
        <w:t xml:space="preserve"> </w:t>
      </w:r>
      <w:r w:rsidR="00F86162">
        <w:rPr>
          <w:rFonts w:cstheme="minorHAnsi"/>
        </w:rPr>
        <w:t>µL</w:t>
      </w:r>
      <w:r w:rsidR="001719E2">
        <w:rPr>
          <w:rFonts w:cstheme="minorHAnsi"/>
        </w:rPr>
        <w:t>/well; giving a final stimulation volume of 100</w:t>
      </w:r>
      <w:r w:rsidR="00CF740B">
        <w:rPr>
          <w:rFonts w:cstheme="minorHAnsi"/>
        </w:rPr>
        <w:t xml:space="preserve"> </w:t>
      </w:r>
      <w:r w:rsidR="00F86162">
        <w:rPr>
          <w:rFonts w:cstheme="minorHAnsi"/>
        </w:rPr>
        <w:t>µL</w:t>
      </w:r>
      <w:r w:rsidR="001719E2">
        <w:rPr>
          <w:rFonts w:cstheme="minorHAnsi"/>
        </w:rPr>
        <w:t xml:space="preserve">/well) and the plate reader was immediately initiated. </w:t>
      </w:r>
      <w:r w:rsidR="001719E2" w:rsidRPr="002329D5">
        <w:rPr>
          <w:noProof/>
          <w:lang w:val="en-GB"/>
        </w:rPr>
        <w:t>Read</w:t>
      </w:r>
      <w:r w:rsidR="001719E2">
        <w:rPr>
          <w:noProof/>
          <w:lang w:val="en-GB"/>
        </w:rPr>
        <w:t>s used simultaneous</w:t>
      </w:r>
      <w:r w:rsidR="001719E2" w:rsidRPr="002329D5">
        <w:rPr>
          <w:noProof/>
          <w:lang w:val="en-GB"/>
        </w:rPr>
        <w:t xml:space="preserve"> BRET1 filters (475-30 and 353-30 nm), and cycles were set to run for approximately 20 min.</w:t>
      </w:r>
      <w:r w:rsidR="0039085B">
        <w:rPr>
          <w:rFonts w:cs="Arial"/>
        </w:rPr>
        <w:t xml:space="preserve"> </w:t>
      </w:r>
    </w:p>
    <w:p w14:paraId="034E968E" w14:textId="7E7CD7EB" w:rsidR="00D52D3C" w:rsidRPr="00506C9D" w:rsidRDefault="00D52D3C" w:rsidP="00ED7420">
      <w:pPr>
        <w:spacing w:after="160" w:line="360" w:lineRule="auto"/>
        <w:rPr>
          <w:rFonts w:ascii="Calibri" w:hAnsi="Calibri" w:cs="Calibri"/>
        </w:rPr>
      </w:pPr>
      <w:r w:rsidRPr="00506C9D">
        <w:rPr>
          <w:rFonts w:ascii="Calibri" w:hAnsi="Calibri" w:cs="Calibri"/>
          <w:b/>
          <w:lang w:val="en-CA"/>
        </w:rPr>
        <w:t>Animals</w:t>
      </w:r>
      <w:r w:rsidRPr="00506C9D">
        <w:rPr>
          <w:rFonts w:ascii="Calibri" w:hAnsi="Calibri" w:cs="Calibri"/>
          <w:b/>
          <w:lang w:val="en-CA"/>
        </w:rPr>
        <w:br/>
      </w:r>
      <w:r w:rsidRPr="00506C9D">
        <w:rPr>
          <w:rFonts w:ascii="Calibri" w:hAnsi="Calibri" w:cs="Calibri"/>
        </w:rPr>
        <w:t xml:space="preserve">Animal housing and experimentation were carried out in accordance with the Canadian Council in Animal Care (CCAC) guidelines for the care and use of animals and following protocols approved by the Faculty of Medicine and Pharmacy Animal Care Committee at the University of Toronto and the University of Guelph Animal Care Committee, respectively. For the genetic models of </w:t>
      </w:r>
      <w:proofErr w:type="spellStart"/>
      <w:r w:rsidRPr="00506C9D">
        <w:rPr>
          <w:rFonts w:ascii="Calibri" w:hAnsi="Calibri" w:cs="Calibri"/>
        </w:rPr>
        <w:t>hyperdopaminergia</w:t>
      </w:r>
      <w:proofErr w:type="spellEnd"/>
      <w:r w:rsidRPr="00506C9D">
        <w:rPr>
          <w:rFonts w:ascii="Calibri" w:hAnsi="Calibri" w:cs="Calibri"/>
        </w:rPr>
        <w:t xml:space="preserve">, mice were group housed with littermates on a 12-h light-dark cycle (0700 to 1900h) and were given </w:t>
      </w:r>
      <w:r w:rsidRPr="00506C9D">
        <w:rPr>
          <w:rFonts w:ascii="Calibri" w:hAnsi="Calibri" w:cs="Calibri"/>
          <w:i/>
        </w:rPr>
        <w:t>ad libitum</w:t>
      </w:r>
      <w:r w:rsidRPr="00506C9D">
        <w:rPr>
          <w:rFonts w:ascii="Calibri" w:hAnsi="Calibri" w:cs="Calibri"/>
        </w:rPr>
        <w:t xml:space="preserve"> access to food (2018 </w:t>
      </w:r>
      <w:proofErr w:type="spellStart"/>
      <w:r w:rsidRPr="00506C9D">
        <w:rPr>
          <w:rFonts w:ascii="Calibri" w:hAnsi="Calibri" w:cs="Calibri"/>
        </w:rPr>
        <w:t>Teklad</w:t>
      </w:r>
      <w:proofErr w:type="spellEnd"/>
      <w:r w:rsidRPr="00506C9D">
        <w:rPr>
          <w:rFonts w:ascii="Calibri" w:hAnsi="Calibri" w:cs="Calibri"/>
        </w:rPr>
        <w:t xml:space="preserve"> Global 18% Protein Rodent Diet, </w:t>
      </w:r>
      <w:proofErr w:type="spellStart"/>
      <w:r w:rsidRPr="00506C9D">
        <w:rPr>
          <w:rFonts w:ascii="Calibri" w:hAnsi="Calibri" w:cs="Calibri"/>
        </w:rPr>
        <w:t>Envigo</w:t>
      </w:r>
      <w:proofErr w:type="spellEnd"/>
      <w:r w:rsidRPr="00506C9D">
        <w:rPr>
          <w:rFonts w:ascii="Calibri" w:hAnsi="Calibri" w:cs="Calibri"/>
        </w:rPr>
        <w:t xml:space="preserve">, Madison WI, www.envigo.com). Tail biopsy for genotyping and toe tattooing for identification was performed at PD13 (±3 days) and mice were weaned at P21. </w:t>
      </w:r>
      <w:proofErr w:type="spellStart"/>
      <w:r w:rsidRPr="00506C9D">
        <w:rPr>
          <w:rFonts w:ascii="Calibri" w:hAnsi="Calibri" w:cs="Calibri"/>
        </w:rPr>
        <w:lastRenderedPageBreak/>
        <w:t>Behavioural</w:t>
      </w:r>
      <w:proofErr w:type="spellEnd"/>
      <w:r w:rsidRPr="00506C9D">
        <w:rPr>
          <w:rFonts w:ascii="Calibri" w:hAnsi="Calibri" w:cs="Calibri"/>
        </w:rPr>
        <w:t xml:space="preserve"> and biochemical tests performed in adult mice (PD&gt;70) and balanced for sex</w:t>
      </w:r>
      <w:r w:rsidR="000F5FAC" w:rsidRPr="00506C9D">
        <w:rPr>
          <w:rFonts w:ascii="Calibri" w:hAnsi="Calibri" w:cs="Calibri"/>
        </w:rPr>
        <w:t xml:space="preserve"> (equal numbers of males and females in each cohort, as best possible)</w:t>
      </w:r>
      <w:r w:rsidRPr="00506C9D">
        <w:rPr>
          <w:rFonts w:ascii="Calibri" w:hAnsi="Calibri" w:cs="Calibri"/>
        </w:rPr>
        <w:t>.</w:t>
      </w:r>
    </w:p>
    <w:p w14:paraId="78F2723D" w14:textId="77777777" w:rsidR="00D52D3C" w:rsidRPr="00506C9D" w:rsidRDefault="00D52D3C" w:rsidP="00ED7420">
      <w:pPr>
        <w:spacing w:after="160" w:line="360" w:lineRule="auto"/>
        <w:rPr>
          <w:rFonts w:ascii="Calibri" w:hAnsi="Calibri" w:cs="Calibri"/>
        </w:rPr>
      </w:pPr>
      <w:r w:rsidRPr="00506C9D">
        <w:rPr>
          <w:rFonts w:ascii="Calibri" w:hAnsi="Calibri" w:cs="Calibri"/>
          <w:b/>
          <w:lang w:val="en-CA"/>
        </w:rPr>
        <w:t>Murine Models of Psychosis</w:t>
      </w:r>
    </w:p>
    <w:p w14:paraId="08159842" w14:textId="0538A45D" w:rsidR="00D52D3C" w:rsidRPr="00506C9D" w:rsidRDefault="00D52D3C" w:rsidP="00ED7420">
      <w:pPr>
        <w:spacing w:after="160" w:line="360" w:lineRule="auto"/>
        <w:rPr>
          <w:rFonts w:ascii="Calibri" w:hAnsi="Calibri" w:cs="Calibri"/>
        </w:rPr>
      </w:pPr>
      <w:r w:rsidRPr="00506C9D">
        <w:rPr>
          <w:rFonts w:ascii="Calibri" w:hAnsi="Calibri" w:cs="Calibri"/>
        </w:rPr>
        <w:t>GluN1-knockdown (GluN1KD and wildtype, WT, littermates) mice used in this study were F1 progeny of a defined genetic background (GluN1KD heterozygotes C57Bl/6J x GluN1KD heterozygotes 129/</w:t>
      </w:r>
      <w:proofErr w:type="spellStart"/>
      <w:r w:rsidRPr="00506C9D">
        <w:rPr>
          <w:rFonts w:ascii="Calibri" w:hAnsi="Calibri" w:cs="Calibri"/>
        </w:rPr>
        <w:t>SvlmJ</w:t>
      </w:r>
      <w:proofErr w:type="spellEnd"/>
      <w:r w:rsidRPr="00506C9D">
        <w:rPr>
          <w:rFonts w:ascii="Calibri" w:hAnsi="Calibri" w:cs="Calibri"/>
        </w:rPr>
        <w:t>). The knockdown was generated by targeted insertion of a neomycin cassette into intron 1</w:t>
      </w:r>
      <w:r w:rsidR="005608E8" w:rsidRPr="00506C9D">
        <w:rPr>
          <w:rFonts w:ascii="Calibri" w:hAnsi="Calibri" w:cs="Calibri"/>
        </w:rPr>
        <w:t>9</w:t>
      </w:r>
      <w:r w:rsidRPr="00506C9D">
        <w:rPr>
          <w:rFonts w:ascii="Calibri" w:hAnsi="Calibri" w:cs="Calibri"/>
        </w:rPr>
        <w:t xml:space="preserve"> of the </w:t>
      </w:r>
      <w:r w:rsidRPr="00506C9D">
        <w:rPr>
          <w:rFonts w:ascii="Calibri" w:hAnsi="Calibri" w:cs="Calibri"/>
          <w:i/>
          <w:iCs/>
        </w:rPr>
        <w:t>Grin1</w:t>
      </w:r>
      <w:r w:rsidRPr="00506C9D">
        <w:rPr>
          <w:rFonts w:ascii="Calibri" w:hAnsi="Calibri" w:cs="Calibri"/>
        </w:rPr>
        <w:t xml:space="preserve"> sequence, as described in </w:t>
      </w:r>
      <w:r w:rsidRPr="00506C9D">
        <w:rPr>
          <w:rFonts w:ascii="Calibri" w:hAnsi="Calibri" w:cs="Calibri"/>
        </w:rPr>
        <w:fldChar w:fldCharType="begin" w:fldLock="1"/>
      </w:r>
      <w:r w:rsidR="00360E32" w:rsidRPr="00506C9D">
        <w:rPr>
          <w:rFonts w:ascii="Calibri" w:hAnsi="Calibri" w:cs="Calibri"/>
        </w:rPr>
        <w:instrText>ADDIN CSL_CITATION {"citationItems":[{"id":"ITEM-1","itemData":{"DOI":"10.1016/S0092-8674(00)81972-8","ISBN":"0092-8674 (Print)","ISSN":"00928674","PMID":"10481908","abstract":"N-methyl-D-aspartate receptors (NMDARs) represent a subclass of glutamate receptors that play a critical role in neuronal development and physiology. We report here the generation of mice expressing only 5% of normal levels of the essential NMDAR1 (NR1) subunit. Unlike NR1 null mice, these mice survive to adulthood and display behavioral abnormalities, including increased motor activity and stereotypy and deficits in social and sexual interactions. These behavioral alterations are similar to those observed in pharmacologically induced animal models of schizophrenia and can be ameliorated by treatment with haloperidol or clozapine, antipsychotic drugs that antagonize dopaminergic and serotonergic receptors. These findings support a model in which reduced NMDA receptor activity results in schizophrenic-like behavior and reveals how pharmacological manipulation of monoaminergic pathways can affect this phenotype.","author":[{"dropping-particle":"","family":"Mohn","given":"Amy R","non-dropping-particle":"","parse-names":false,"suffix":""},{"dropping-particle":"","family":"Gainetdinov","given":"Raul R","non-dropping-particle":"","parse-names":false,"suffix":""},{"dropping-particle":"","family":"Caron","given":"Marc G","non-dropping-particle":"","parse-names":false,"suffix":""},{"dropping-particle":"","family":"Koller","given":"Beverly H","non-dropping-particle":"","parse-names":false,"suffix":""}],"container-title":"Cell","id":"ITEM-1","issue":"4","issued":{"date-parts":[["1999","8","20"]]},"page":"427-436","title":"Mice with reduced NMDA receptor expression display behaviors related to schizophrenia","type":"article-journal","volume":"98"},"uris":["http://www.mendeley.com/documents/?uuid=de336a1e-ccf8-3969-b516-e47c9d206f83"]}],"mendeley":{"formattedCitation":"(Mohn, Gainetdinov, Caron, &amp; Koller, 1999)","plainTextFormattedCitation":"(Mohn, Gainetdinov, Caron, &amp; Koller, 1999)","previouslyFormattedCitation":"(Mohn, Gainetdinov, Caron, &amp; Koller, 1999)"},"properties":{"noteIndex":0},"schema":"https://github.com/citation-style-language/schema/raw/master/csl-citation.json"}</w:instrText>
      </w:r>
      <w:r w:rsidRPr="00506C9D">
        <w:rPr>
          <w:rFonts w:ascii="Calibri" w:hAnsi="Calibri" w:cs="Calibri"/>
        </w:rPr>
        <w:fldChar w:fldCharType="separate"/>
      </w:r>
      <w:r w:rsidR="00217C3E" w:rsidRPr="00506C9D">
        <w:rPr>
          <w:rFonts w:ascii="Calibri" w:hAnsi="Calibri" w:cs="Calibri"/>
          <w:noProof/>
        </w:rPr>
        <w:t>(Mohn, Gainetdinov, Caron, &amp; Koller, 1999)</w:t>
      </w:r>
      <w:r w:rsidRPr="00506C9D">
        <w:rPr>
          <w:rFonts w:ascii="Calibri" w:hAnsi="Calibri" w:cs="Calibri"/>
        </w:rPr>
        <w:fldChar w:fldCharType="end"/>
      </w:r>
      <w:r w:rsidRPr="00506C9D">
        <w:rPr>
          <w:rFonts w:ascii="Calibri" w:hAnsi="Calibri" w:cs="Calibri"/>
        </w:rPr>
        <w:t xml:space="preserve">. Dopamine transporter knockout (DATKO and WT littermates) mice used in this study were on a C57Bl/6J background. The knockout was generated via homologous recombination, leading to no DAT mRNA being expressed, as described by </w:t>
      </w:r>
      <w:r w:rsidRPr="00506C9D">
        <w:rPr>
          <w:rFonts w:ascii="Calibri" w:hAnsi="Calibri" w:cs="Calibri"/>
        </w:rPr>
        <w:fldChar w:fldCharType="begin" w:fldLock="1"/>
      </w:r>
      <w:r w:rsidR="00360E32" w:rsidRPr="00506C9D">
        <w:rPr>
          <w:rFonts w:ascii="Calibri" w:hAnsi="Calibri" w:cs="Calibri"/>
        </w:rPr>
        <w:instrText>ADDIN CSL_CITATION {"citationItems":[{"id":"ITEM-1","itemData":{"DOI":"10.1038/379606a0","ISBN":"0028-0836 (Print)\\r0028-0836 (Linking)","ISSN":"00280836","PMID":"8628395","abstract":"Disruption of the mouse dopamine transporter gene results in spontaneous hyperlocomotion despite major adaptive changes, such as decreases in neurotransmitter and receptor levels. In homozygote mice, dopamine persists at least 100 times longer in the extracellular space, explaining the biochemical basis of the hyperdopaminergic phenotype and demonstrating the critical role of the transporter in regulating neurotransmission. The dopamine transporter is an obligatory target of cocaine and amphetamine, as these psychostimulants have no effect on locomotor activity or dopamine release and uptake in mice lacking the transporter.","author":[{"dropping-particle":"","family":"Giros","given":"Bruno","non-dropping-particle":"","parse-names":false,"suffix":""},{"dropping-particle":"","family":"Jaber","given":"Mohamed","non-dropping-particle":"","parse-names":false,"suffix":""},{"dropping-particle":"","family":"Jones","given":"Sara R.","non-dropping-particle":"","parse-names":false,"suffix":""},{"dropping-particle":"","family":"Wightman","given":"R. Mark","non-dropping-particle":"","parse-names":false,"suffix":""},{"dropping-particle":"","family":"Caron","given":"Marc G.","non-dropping-particle":"","parse-names":false,"suffix":""}],"container-title":"Nature","id":"ITEM-1","issue":"6566","issued":{"date-parts":[["1996","2","15"]]},"page":"606-612","title":"Hyperlocomotion and indifference to cocaine and amphetamine in mice lacking the dopamine transporter","type":"article-journal","volume":"379"},"uris":["http://www.mendeley.com/documents/?uuid=656e46b8-7ce0-46a3-98a2-7b5d839341f9"]}],"mendeley":{"formattedCitation":"(Giros, Jaber, Jones, Wightman, &amp; Caron, 1996)","plainTextFormattedCitation":"(Giros, Jaber, Jones, Wightman, &amp; Caron, 1996)","previouslyFormattedCitation":"(Giros, Jaber, Jones, Wightman, &amp; Caron, 1996)"},"properties":{"noteIndex":0},"schema":"https://github.com/citation-style-language/schema/raw/master/csl-citation.json"}</w:instrText>
      </w:r>
      <w:r w:rsidRPr="00506C9D">
        <w:rPr>
          <w:rFonts w:ascii="Calibri" w:hAnsi="Calibri" w:cs="Calibri"/>
        </w:rPr>
        <w:fldChar w:fldCharType="separate"/>
      </w:r>
      <w:r w:rsidR="00217C3E" w:rsidRPr="00506C9D">
        <w:rPr>
          <w:rFonts w:ascii="Calibri" w:hAnsi="Calibri" w:cs="Calibri"/>
          <w:noProof/>
        </w:rPr>
        <w:t>(Giros, Jaber, Jones, Wightman, &amp; Caron, 1996)</w:t>
      </w:r>
      <w:r w:rsidRPr="00506C9D">
        <w:rPr>
          <w:rFonts w:ascii="Calibri" w:hAnsi="Calibri" w:cs="Calibri"/>
        </w:rPr>
        <w:fldChar w:fldCharType="end"/>
      </w:r>
      <w:r w:rsidRPr="00506C9D">
        <w:rPr>
          <w:rFonts w:ascii="Calibri" w:hAnsi="Calibri" w:cs="Calibri"/>
        </w:rPr>
        <w:t>.</w:t>
      </w:r>
    </w:p>
    <w:p w14:paraId="3F7EDD64" w14:textId="0529B85C" w:rsidR="00D52D3C" w:rsidRPr="00506C9D" w:rsidRDefault="00D52D3C" w:rsidP="00ED7420">
      <w:pPr>
        <w:spacing w:after="160" w:line="360" w:lineRule="auto"/>
        <w:rPr>
          <w:rFonts w:ascii="Calibri" w:hAnsi="Calibri" w:cs="Calibri"/>
          <w:b/>
          <w:bCs/>
        </w:rPr>
      </w:pPr>
      <w:r w:rsidRPr="00506C9D">
        <w:rPr>
          <w:rFonts w:ascii="Calibri" w:hAnsi="Calibri" w:cs="Calibri"/>
          <w:b/>
          <w:bCs/>
        </w:rPr>
        <w:t xml:space="preserve">Anxiety </w:t>
      </w:r>
      <w:r w:rsidR="00E66485" w:rsidRPr="00506C9D">
        <w:rPr>
          <w:rFonts w:ascii="Calibri" w:hAnsi="Calibri" w:cs="Calibri"/>
          <w:b/>
          <w:bCs/>
        </w:rPr>
        <w:t>Behavior</w:t>
      </w:r>
      <w:r w:rsidRPr="00506C9D">
        <w:rPr>
          <w:rFonts w:ascii="Calibri" w:hAnsi="Calibri" w:cs="Calibri"/>
          <w:b/>
          <w:bCs/>
        </w:rPr>
        <w:t xml:space="preserve"> Testing - Elevated Plus Maze (EPM)</w:t>
      </w:r>
    </w:p>
    <w:p w14:paraId="01000EC3" w14:textId="6D4F412A" w:rsidR="00D52D3C" w:rsidRPr="00506C9D" w:rsidRDefault="00D52D3C" w:rsidP="00ED7420">
      <w:pPr>
        <w:spacing w:after="160" w:line="360" w:lineRule="auto"/>
        <w:rPr>
          <w:rFonts w:ascii="Calibri" w:hAnsi="Calibri" w:cs="Calibri"/>
          <w:b/>
          <w:bCs/>
        </w:rPr>
      </w:pPr>
      <w:r w:rsidRPr="00506C9D">
        <w:rPr>
          <w:rFonts w:ascii="Calibri" w:hAnsi="Calibri" w:cs="Calibri"/>
          <w:b/>
          <w:bCs/>
        </w:rPr>
        <w:t xml:space="preserve"> </w:t>
      </w:r>
      <w:r w:rsidRPr="00506C9D">
        <w:rPr>
          <w:rFonts w:ascii="Calibri" w:hAnsi="Calibri" w:cs="Calibri"/>
        </w:rPr>
        <w:t>Anxiety behavior was assessed in C57Bl/6J mice (male and female; PD&gt;70) via EPM (Moy et al., 2007), comparing vehicle (</w:t>
      </w:r>
      <w:r w:rsidRPr="00506C9D">
        <w:rPr>
          <w:rFonts w:ascii="Calibri" w:hAnsi="Calibri" w:cs="Calibri"/>
          <w:bCs/>
        </w:rPr>
        <w:t>1:1:18 vehicle, 95% ethanol:Tween80:0.9% NaCl</w:t>
      </w:r>
      <w:r w:rsidRPr="00506C9D">
        <w:rPr>
          <w:rFonts w:ascii="Calibri" w:hAnsi="Calibri" w:cs="Calibri"/>
        </w:rPr>
        <w:t>), rimonabant (10</w:t>
      </w:r>
      <w:r w:rsidR="00CF740B">
        <w:rPr>
          <w:rFonts w:ascii="Calibri" w:hAnsi="Calibri" w:cs="Calibri"/>
        </w:rPr>
        <w:t xml:space="preserve"> </w:t>
      </w:r>
      <w:r w:rsidRPr="00506C9D">
        <w:rPr>
          <w:rFonts w:ascii="Calibri" w:hAnsi="Calibri" w:cs="Calibri"/>
        </w:rPr>
        <w:t>mg/kg), and ABM300 (10</w:t>
      </w:r>
      <w:r w:rsidR="00CF740B">
        <w:rPr>
          <w:rFonts w:ascii="Calibri" w:hAnsi="Calibri" w:cs="Calibri"/>
        </w:rPr>
        <w:t xml:space="preserve"> </w:t>
      </w:r>
      <w:r w:rsidRPr="00506C9D">
        <w:rPr>
          <w:rFonts w:ascii="Calibri" w:hAnsi="Calibri" w:cs="Calibri"/>
        </w:rPr>
        <w:t>mg/kg), given 30-min. (</w:t>
      </w:r>
      <w:proofErr w:type="spellStart"/>
      <w:r w:rsidRPr="00506C9D">
        <w:rPr>
          <w:rFonts w:ascii="Calibri" w:hAnsi="Calibri" w:cs="Calibri"/>
        </w:rPr>
        <w:t>i.p.</w:t>
      </w:r>
      <w:proofErr w:type="spellEnd"/>
      <w:r w:rsidRPr="00506C9D">
        <w:rPr>
          <w:rFonts w:ascii="Calibri" w:hAnsi="Calibri" w:cs="Calibri"/>
        </w:rPr>
        <w:t>) before testing. The EPM was composed of 4 opaque-white arms (2 opposite arms closed, 2 opposite arms open), arranged in a plus shape, with an open center. The dimensions were as follows; maze elevation (38.7cm), open arm (L:30.5</w:t>
      </w:r>
      <w:r w:rsidR="00CF740B">
        <w:rPr>
          <w:rFonts w:ascii="Calibri" w:hAnsi="Calibri" w:cs="Calibri"/>
        </w:rPr>
        <w:t xml:space="preserve"> </w:t>
      </w:r>
      <w:r w:rsidRPr="00506C9D">
        <w:rPr>
          <w:rFonts w:ascii="Calibri" w:hAnsi="Calibri" w:cs="Calibri"/>
        </w:rPr>
        <w:t>cm, W:5</w:t>
      </w:r>
      <w:r w:rsidR="00CF740B">
        <w:rPr>
          <w:rFonts w:ascii="Calibri" w:hAnsi="Calibri" w:cs="Calibri"/>
        </w:rPr>
        <w:t xml:space="preserve"> </w:t>
      </w:r>
      <w:r w:rsidRPr="00506C9D">
        <w:rPr>
          <w:rFonts w:ascii="Calibri" w:hAnsi="Calibri" w:cs="Calibri"/>
        </w:rPr>
        <w:t>cm, H:0</w:t>
      </w:r>
      <w:r w:rsidR="00CF740B">
        <w:rPr>
          <w:rFonts w:ascii="Calibri" w:hAnsi="Calibri" w:cs="Calibri"/>
        </w:rPr>
        <w:t xml:space="preserve"> </w:t>
      </w:r>
      <w:r w:rsidRPr="00506C9D">
        <w:rPr>
          <w:rFonts w:ascii="Calibri" w:hAnsi="Calibri" w:cs="Calibri"/>
        </w:rPr>
        <w:t>cm), closed arm (L:30.5</w:t>
      </w:r>
      <w:r w:rsidR="00CF740B">
        <w:rPr>
          <w:rFonts w:ascii="Calibri" w:hAnsi="Calibri" w:cs="Calibri"/>
        </w:rPr>
        <w:t xml:space="preserve"> </w:t>
      </w:r>
      <w:r w:rsidRPr="00506C9D">
        <w:rPr>
          <w:rFonts w:ascii="Calibri" w:hAnsi="Calibri" w:cs="Calibri"/>
        </w:rPr>
        <w:t>cm, W:5</w:t>
      </w:r>
      <w:r w:rsidR="00CF740B">
        <w:rPr>
          <w:rFonts w:ascii="Calibri" w:hAnsi="Calibri" w:cs="Calibri"/>
        </w:rPr>
        <w:t xml:space="preserve"> </w:t>
      </w:r>
      <w:r w:rsidRPr="00506C9D">
        <w:rPr>
          <w:rFonts w:ascii="Calibri" w:hAnsi="Calibri" w:cs="Calibri"/>
        </w:rPr>
        <w:t>cm, H:15.2</w:t>
      </w:r>
      <w:r w:rsidR="00CF740B">
        <w:rPr>
          <w:rFonts w:ascii="Calibri" w:hAnsi="Calibri" w:cs="Calibri"/>
        </w:rPr>
        <w:t xml:space="preserve"> </w:t>
      </w:r>
      <w:r w:rsidRPr="00506C9D">
        <w:rPr>
          <w:rFonts w:ascii="Calibri" w:hAnsi="Calibri" w:cs="Calibri"/>
        </w:rPr>
        <w:t>cm) and center (5</w:t>
      </w:r>
      <w:r w:rsidR="00CF740B">
        <w:rPr>
          <w:rFonts w:ascii="Calibri" w:hAnsi="Calibri" w:cs="Calibri"/>
        </w:rPr>
        <w:t xml:space="preserve"> </w:t>
      </w:r>
      <w:r w:rsidRPr="00506C9D">
        <w:rPr>
          <w:rFonts w:ascii="Calibri" w:hAnsi="Calibri" w:cs="Calibri"/>
        </w:rPr>
        <w:t>cm x 5</w:t>
      </w:r>
      <w:r w:rsidR="00CF740B">
        <w:rPr>
          <w:rFonts w:ascii="Calibri" w:hAnsi="Calibri" w:cs="Calibri"/>
        </w:rPr>
        <w:t xml:space="preserve"> </w:t>
      </w:r>
      <w:r w:rsidRPr="00506C9D">
        <w:rPr>
          <w:rFonts w:ascii="Calibri" w:hAnsi="Calibri" w:cs="Calibri"/>
        </w:rPr>
        <w:t xml:space="preserve">cm). The experiment mouse was placed in the center of the maze and allowed to freely explore the maze for 8-min (50lux), while being tracked with an overhead camera. Open and closed arm times were recorded and collected by </w:t>
      </w:r>
      <w:proofErr w:type="spellStart"/>
      <w:r w:rsidRPr="00506C9D">
        <w:rPr>
          <w:rFonts w:ascii="Calibri" w:hAnsi="Calibri" w:cs="Calibri"/>
        </w:rPr>
        <w:t>Biobserve</w:t>
      </w:r>
      <w:proofErr w:type="spellEnd"/>
      <w:r w:rsidRPr="00506C9D">
        <w:rPr>
          <w:rFonts w:ascii="Calibri" w:hAnsi="Calibri" w:cs="Calibri"/>
        </w:rPr>
        <w:t xml:space="preserve"> Viewer3 software. The percentage of time spent in the open arms as compared to closed arms and center time was calculated and expressed as a percent of time spent in the open</w:t>
      </w:r>
      <w:r w:rsidR="007029BD" w:rsidRPr="00506C9D">
        <w:rPr>
          <w:rFonts w:ascii="Calibri" w:hAnsi="Calibri" w:cs="Calibri"/>
        </w:rPr>
        <w:t xml:space="preserve"> or closed</w:t>
      </w:r>
      <w:r w:rsidRPr="00506C9D">
        <w:rPr>
          <w:rFonts w:ascii="Calibri" w:hAnsi="Calibri" w:cs="Calibri"/>
        </w:rPr>
        <w:t xml:space="preserve"> arms of the maze.</w:t>
      </w:r>
    </w:p>
    <w:p w14:paraId="7A43029D" w14:textId="654B875D" w:rsidR="00D52D3C" w:rsidRPr="00506C9D" w:rsidRDefault="00D52D3C" w:rsidP="00ED7420">
      <w:pPr>
        <w:spacing w:after="160" w:line="360" w:lineRule="auto"/>
        <w:rPr>
          <w:rFonts w:ascii="Calibri" w:hAnsi="Calibri" w:cs="Calibri"/>
          <w:b/>
          <w:bCs/>
        </w:rPr>
      </w:pPr>
      <w:r w:rsidRPr="00506C9D">
        <w:rPr>
          <w:rFonts w:ascii="Calibri" w:hAnsi="Calibri" w:cs="Calibri"/>
          <w:b/>
          <w:bCs/>
        </w:rPr>
        <w:t>Cannabinoid-Induced Tetrad Behaviors</w:t>
      </w:r>
    </w:p>
    <w:p w14:paraId="77C82E94" w14:textId="499C4624" w:rsidR="00D52D3C" w:rsidRPr="00506C9D" w:rsidRDefault="00D52D3C" w:rsidP="00ED7420">
      <w:pPr>
        <w:spacing w:after="160" w:line="360" w:lineRule="auto"/>
        <w:rPr>
          <w:rFonts w:ascii="Calibri" w:hAnsi="Calibri" w:cs="Calibri"/>
        </w:rPr>
      </w:pPr>
      <w:r w:rsidRPr="00506C9D">
        <w:rPr>
          <w:rFonts w:ascii="Calibri" w:hAnsi="Calibri" w:cs="Calibri"/>
        </w:rPr>
        <w:t>Male C57Bl/6J mice (PD&gt;70) were tested on the tetrad, as previously described (Long et al., 2010), comparing vehicle (as previously described above), Δ</w:t>
      </w:r>
      <w:r w:rsidRPr="00433BBC">
        <w:rPr>
          <w:rFonts w:ascii="Calibri" w:hAnsi="Calibri" w:cs="Calibri"/>
          <w:vertAlign w:val="superscript"/>
        </w:rPr>
        <w:t>9</w:t>
      </w:r>
      <w:r w:rsidRPr="00506C9D">
        <w:rPr>
          <w:rFonts w:ascii="Calibri" w:hAnsi="Calibri" w:cs="Calibri"/>
        </w:rPr>
        <w:t>-tetrahydrocannabinol (THC; 10</w:t>
      </w:r>
      <w:r w:rsidR="00CF740B">
        <w:rPr>
          <w:rFonts w:ascii="Calibri" w:hAnsi="Calibri" w:cs="Calibri"/>
        </w:rPr>
        <w:t xml:space="preserve"> </w:t>
      </w:r>
      <w:r w:rsidRPr="00506C9D">
        <w:rPr>
          <w:rFonts w:ascii="Calibri" w:hAnsi="Calibri" w:cs="Calibri"/>
        </w:rPr>
        <w:t>mg/kg;</w:t>
      </w:r>
      <w:r w:rsidRPr="00506C9D">
        <w:rPr>
          <w:rFonts w:ascii="Calibri" w:hAnsi="Calibri" w:cs="Calibri"/>
          <w:bCs/>
        </w:rPr>
        <w:t xml:space="preserve"> gift from </w:t>
      </w:r>
      <w:proofErr w:type="spellStart"/>
      <w:r w:rsidRPr="00506C9D">
        <w:rPr>
          <w:rFonts w:ascii="Calibri" w:hAnsi="Calibri" w:cs="Calibri"/>
          <w:bCs/>
        </w:rPr>
        <w:t>MedReleaf</w:t>
      </w:r>
      <w:proofErr w:type="spellEnd"/>
      <w:r w:rsidRPr="00506C9D">
        <w:rPr>
          <w:rFonts w:ascii="Calibri" w:hAnsi="Calibri" w:cs="Calibri"/>
          <w:bCs/>
        </w:rPr>
        <w:t>, Markham, ON</w:t>
      </w:r>
      <w:r w:rsidRPr="00506C9D">
        <w:rPr>
          <w:rFonts w:ascii="Calibri" w:hAnsi="Calibri" w:cs="Calibri"/>
        </w:rPr>
        <w:t>) and ABM300 (10</w:t>
      </w:r>
      <w:r w:rsidR="00CF740B">
        <w:rPr>
          <w:rFonts w:ascii="Calibri" w:hAnsi="Calibri" w:cs="Calibri"/>
        </w:rPr>
        <w:t xml:space="preserve"> </w:t>
      </w:r>
      <w:r w:rsidRPr="00506C9D">
        <w:rPr>
          <w:rFonts w:ascii="Calibri" w:hAnsi="Calibri" w:cs="Calibri"/>
        </w:rPr>
        <w:t>mg/kg), given 30-min. (</w:t>
      </w:r>
      <w:proofErr w:type="spellStart"/>
      <w:r w:rsidRPr="00506C9D">
        <w:rPr>
          <w:rFonts w:ascii="Calibri" w:hAnsi="Calibri" w:cs="Calibri"/>
        </w:rPr>
        <w:t>i.p.</w:t>
      </w:r>
      <w:proofErr w:type="spellEnd"/>
      <w:r w:rsidRPr="00506C9D">
        <w:rPr>
          <w:rFonts w:ascii="Calibri" w:hAnsi="Calibri" w:cs="Calibri"/>
        </w:rPr>
        <w:t xml:space="preserve">) before </w:t>
      </w:r>
      <w:r w:rsidRPr="00506C9D">
        <w:rPr>
          <w:rFonts w:ascii="Calibri" w:hAnsi="Calibri" w:cs="Calibri"/>
        </w:rPr>
        <w:lastRenderedPageBreak/>
        <w:t>testing. The tetrad was performed (1) catalepsy, (2) locomotion, (3) temperature, and (4) analgesia. Catalepsy: time (s) spent immobile with front paws on a plastic rod (1.5cm diameter), at a height of 4.5-cm from the table, before adjusting abnormal posture (either front paws being removed from the bar, or back paws climbing onto bar). Locomotion: horizontal activity (cm) was immediately measured in an open field test, following catalepsy, for 15-min. in 1-min bins. Temperature: rectal temperature (°C) was measured immediately following open-field testing, using a thermometer with rectal probe (</w:t>
      </w:r>
      <w:proofErr w:type="spellStart"/>
      <w:r w:rsidRPr="00506C9D">
        <w:rPr>
          <w:rFonts w:ascii="Calibri" w:hAnsi="Calibri" w:cs="Calibri"/>
        </w:rPr>
        <w:t>Labcorp</w:t>
      </w:r>
      <w:proofErr w:type="spellEnd"/>
      <w:r w:rsidRPr="00506C9D">
        <w:rPr>
          <w:rFonts w:ascii="Calibri" w:hAnsi="Calibri" w:cs="Calibri"/>
        </w:rPr>
        <w:t>, Fisher, Waltham, MA). Analgesia: latency (s) to withdraw tail from hot water bath (52</w:t>
      </w:r>
      <w:r w:rsidR="00CF740B">
        <w:rPr>
          <w:rFonts w:ascii="Calibri" w:hAnsi="Calibri" w:cs="Calibri"/>
        </w:rPr>
        <w:t xml:space="preserve"> </w:t>
      </w:r>
      <w:r w:rsidRPr="00506C9D">
        <w:rPr>
          <w:rFonts w:ascii="Calibri" w:hAnsi="Calibri" w:cs="Calibri"/>
        </w:rPr>
        <w:t>°C), to assess tail-flick antinociception, was completed immediately following temperature readings.</w:t>
      </w:r>
    </w:p>
    <w:p w14:paraId="4A3D95E8" w14:textId="77777777" w:rsidR="006B1167" w:rsidRPr="00506C9D" w:rsidRDefault="006B1167" w:rsidP="00ED7420">
      <w:pPr>
        <w:spacing w:line="360" w:lineRule="auto"/>
        <w:rPr>
          <w:rFonts w:cs="Arial"/>
          <w:b/>
        </w:rPr>
      </w:pPr>
      <w:proofErr w:type="spellStart"/>
      <w:r w:rsidRPr="00506C9D">
        <w:rPr>
          <w:rFonts w:cs="Arial"/>
          <w:b/>
        </w:rPr>
        <w:t>RNAscope</w:t>
      </w:r>
      <w:proofErr w:type="spellEnd"/>
      <w:r w:rsidRPr="00506C9D">
        <w:rPr>
          <w:rFonts w:cs="Arial"/>
          <w:b/>
        </w:rPr>
        <w:t xml:space="preserve"> Visualization and Quantification of </w:t>
      </w:r>
      <w:r w:rsidRPr="00506C9D">
        <w:rPr>
          <w:rFonts w:cs="Arial"/>
          <w:b/>
          <w:i/>
        </w:rPr>
        <w:t xml:space="preserve">Cnr1 </w:t>
      </w:r>
    </w:p>
    <w:p w14:paraId="1B5F9537" w14:textId="363EEDD7" w:rsidR="00624996" w:rsidRPr="00506C9D" w:rsidRDefault="00624996" w:rsidP="00ED7420">
      <w:pPr>
        <w:spacing w:after="160" w:line="360" w:lineRule="auto"/>
        <w:outlineLvl w:val="0"/>
        <w:rPr>
          <w:rFonts w:ascii="Calibri" w:hAnsi="Calibri" w:cs="Calibri"/>
          <w:bCs/>
        </w:rPr>
      </w:pPr>
      <w:r w:rsidRPr="00506C9D">
        <w:rPr>
          <w:rFonts w:ascii="Calibri" w:hAnsi="Calibri" w:cs="Calibri"/>
        </w:rPr>
        <w:t xml:space="preserve">Expression of </w:t>
      </w:r>
      <w:r w:rsidRPr="00506C9D">
        <w:rPr>
          <w:rFonts w:ascii="Calibri" w:hAnsi="Calibri" w:cs="Calibri"/>
          <w:i/>
        </w:rPr>
        <w:t>Cnr1</w:t>
      </w:r>
      <w:r w:rsidRPr="00506C9D">
        <w:rPr>
          <w:rFonts w:ascii="Calibri" w:hAnsi="Calibri" w:cs="Calibri"/>
          <w:iCs/>
        </w:rPr>
        <w:t xml:space="preserve"> mRNA in </w:t>
      </w:r>
      <w:r w:rsidRPr="00506C9D">
        <w:rPr>
          <w:rFonts w:ascii="Calibri" w:hAnsi="Calibri" w:cs="Calibri"/>
        </w:rPr>
        <w:t xml:space="preserve">WT and mutant (GluN1KD and DATKO) mice was visualized by fluorescent </w:t>
      </w:r>
      <w:r w:rsidRPr="00433BBC">
        <w:rPr>
          <w:rFonts w:ascii="Calibri" w:hAnsi="Calibri" w:cs="Calibri"/>
          <w:i/>
          <w:iCs/>
        </w:rPr>
        <w:t>in situ</w:t>
      </w:r>
      <w:r w:rsidRPr="00506C9D">
        <w:rPr>
          <w:rFonts w:ascii="Calibri" w:hAnsi="Calibri" w:cs="Calibri"/>
        </w:rPr>
        <w:t xml:space="preserve"> hybridization largely following the </w:t>
      </w:r>
      <w:proofErr w:type="spellStart"/>
      <w:r w:rsidRPr="00506C9D">
        <w:rPr>
          <w:rFonts w:ascii="Calibri" w:hAnsi="Calibri" w:cs="Calibri"/>
        </w:rPr>
        <w:t>RNAscope</w:t>
      </w:r>
      <w:proofErr w:type="spellEnd"/>
      <w:r w:rsidRPr="00506C9D">
        <w:rPr>
          <w:rFonts w:ascii="Calibri" w:hAnsi="Calibri" w:cs="Calibri"/>
        </w:rPr>
        <w:t xml:space="preserve"> Multiplex Fluorescent Reagent Kit protocol (ACD Bio, Newark, CA)</w:t>
      </w:r>
      <w:r w:rsidRPr="00506C9D">
        <w:rPr>
          <w:rFonts w:ascii="Calibri" w:hAnsi="Calibri" w:cs="Calibri"/>
          <w:bCs/>
        </w:rPr>
        <w:t xml:space="preserve">. </w:t>
      </w:r>
      <w:r w:rsidRPr="00506C9D">
        <w:rPr>
          <w:rFonts w:ascii="Calibri" w:hAnsi="Calibri" w:cs="Calibri"/>
        </w:rPr>
        <w:t>Mice were euthanized via cervical dislocation, and brains removed, frozen in dry-ice chilled 2-methylbutane (Millipore Sigma), and stored at -80</w:t>
      </w:r>
      <w:r w:rsidR="00CF740B">
        <w:rPr>
          <w:rFonts w:ascii="Calibri" w:hAnsi="Calibri" w:cs="Calibri"/>
        </w:rPr>
        <w:t xml:space="preserve"> </w:t>
      </w:r>
      <w:r w:rsidRPr="00506C9D">
        <w:rPr>
          <w:rFonts w:ascii="Calibri" w:hAnsi="Calibri" w:cs="Calibri"/>
        </w:rPr>
        <w:t>°C</w:t>
      </w:r>
      <w:r w:rsidRPr="00506C9D">
        <w:rPr>
          <w:rFonts w:ascii="Calibri" w:hAnsi="Calibri" w:cs="Calibri"/>
          <w:bCs/>
        </w:rPr>
        <w:t>. Frozen mouse brains were processed with a cryostat to produce 20</w:t>
      </w:r>
      <w:r w:rsidR="00CF740B">
        <w:rPr>
          <w:rFonts w:ascii="Calibri" w:hAnsi="Calibri" w:cs="Calibri"/>
          <w:bCs/>
        </w:rPr>
        <w:t xml:space="preserve"> </w:t>
      </w:r>
      <w:r w:rsidRPr="00506C9D">
        <w:rPr>
          <w:rFonts w:ascii="Calibri" w:hAnsi="Calibri" w:cs="Calibri"/>
          <w:bCs/>
        </w:rPr>
        <w:t>µm sagittal sections at ~1.5 mm</w:t>
      </w:r>
      <w:r w:rsidRPr="00506C9D">
        <w:rPr>
          <w:rFonts w:ascii="Calibri" w:hAnsi="Calibri" w:cs="Calibri"/>
          <w:b/>
        </w:rPr>
        <w:t xml:space="preserve"> </w:t>
      </w:r>
      <w:r w:rsidRPr="00506C9D">
        <w:rPr>
          <w:rFonts w:ascii="Calibri" w:hAnsi="Calibri" w:cs="Calibri"/>
          <w:bCs/>
        </w:rPr>
        <w:t xml:space="preserve">from midline that were mounted onto </w:t>
      </w:r>
      <w:proofErr w:type="spellStart"/>
      <w:r w:rsidRPr="00506C9D">
        <w:rPr>
          <w:rFonts w:ascii="Calibri" w:hAnsi="Calibri" w:cs="Calibri"/>
          <w:bCs/>
        </w:rPr>
        <w:t>SuperFrost</w:t>
      </w:r>
      <w:proofErr w:type="spellEnd"/>
      <w:r w:rsidRPr="00506C9D">
        <w:rPr>
          <w:rFonts w:ascii="Calibri" w:hAnsi="Calibri" w:cs="Calibri"/>
          <w:bCs/>
        </w:rPr>
        <w:t xml:space="preserve"> Plus charged slides (Fisher Scientific). Sections were fixed by submersion in 4% paraformaldehyde, dehydrated in ethanol, and treated with </w:t>
      </w:r>
      <w:proofErr w:type="spellStart"/>
      <w:r w:rsidRPr="00506C9D">
        <w:rPr>
          <w:rFonts w:ascii="Calibri" w:hAnsi="Calibri" w:cs="Calibri"/>
          <w:bCs/>
        </w:rPr>
        <w:t>RNAscope</w:t>
      </w:r>
      <w:proofErr w:type="spellEnd"/>
      <w:r w:rsidRPr="00506C9D">
        <w:rPr>
          <w:rFonts w:ascii="Calibri" w:hAnsi="Calibri" w:cs="Calibri"/>
          <w:bCs/>
        </w:rPr>
        <w:t xml:space="preserve"> Protease IV. Sections were hybridized to a </w:t>
      </w:r>
      <w:r w:rsidRPr="00506C9D">
        <w:rPr>
          <w:rFonts w:ascii="Calibri" w:hAnsi="Calibri" w:cs="Calibri"/>
          <w:bCs/>
          <w:i/>
          <w:iCs/>
        </w:rPr>
        <w:t xml:space="preserve">Cnr1 </w:t>
      </w:r>
      <w:r w:rsidRPr="00506C9D">
        <w:rPr>
          <w:rFonts w:ascii="Calibri" w:hAnsi="Calibri" w:cs="Calibri"/>
          <w:bCs/>
        </w:rPr>
        <w:t xml:space="preserve">probe (product reference ID 420721-C2 </w:t>
      </w:r>
      <w:proofErr w:type="spellStart"/>
      <w:r w:rsidRPr="00506C9D">
        <w:rPr>
          <w:rFonts w:ascii="Calibri" w:hAnsi="Calibri" w:cs="Calibri"/>
          <w:bCs/>
        </w:rPr>
        <w:t>ACDBio</w:t>
      </w:r>
      <w:proofErr w:type="spellEnd"/>
      <w:r w:rsidRPr="00506C9D">
        <w:rPr>
          <w:rFonts w:ascii="Calibri" w:hAnsi="Calibri" w:cs="Calibri"/>
          <w:bCs/>
        </w:rPr>
        <w:t>) or to control probe mixtures (positive control probes reference ID 320881, negative control probes reference ID 320871), and counter-stained with DAPI. Processed slides were stored at 4</w:t>
      </w:r>
      <w:r w:rsidR="00CF740B">
        <w:rPr>
          <w:rFonts w:ascii="Calibri" w:hAnsi="Calibri" w:cs="Calibri"/>
          <w:bCs/>
        </w:rPr>
        <w:t xml:space="preserve"> </w:t>
      </w:r>
      <w:r w:rsidRPr="00506C9D">
        <w:rPr>
          <w:rFonts w:ascii="Calibri" w:hAnsi="Calibri" w:cs="Calibri"/>
        </w:rPr>
        <w:t>°</w:t>
      </w:r>
      <w:r w:rsidRPr="00506C9D">
        <w:rPr>
          <w:rFonts w:ascii="Calibri" w:hAnsi="Calibri" w:cs="Calibri"/>
          <w:bCs/>
        </w:rPr>
        <w:t xml:space="preserve">C overnight before imaging at 20X magnification with a </w:t>
      </w:r>
      <w:r w:rsidRPr="00506C9D">
        <w:rPr>
          <w:rFonts w:ascii="Calibri" w:hAnsi="Calibri" w:cs="Calibri"/>
        </w:rPr>
        <w:t>Zeiss LSM 880 Super Resolution Confocal</w:t>
      </w:r>
      <w:r w:rsidRPr="00506C9D">
        <w:rPr>
          <w:rFonts w:ascii="Calibri" w:hAnsi="Calibri" w:cs="Calibri"/>
          <w:b/>
        </w:rPr>
        <w:t xml:space="preserve"> </w:t>
      </w:r>
      <w:r w:rsidRPr="00506C9D">
        <w:rPr>
          <w:rFonts w:ascii="Calibri" w:hAnsi="Calibri" w:cs="Calibri"/>
          <w:bCs/>
        </w:rPr>
        <w:t xml:space="preserve">(Zeiss, </w:t>
      </w:r>
      <w:proofErr w:type="spellStart"/>
      <w:r w:rsidRPr="00506C9D">
        <w:rPr>
          <w:rFonts w:ascii="Calibri" w:hAnsi="Calibri" w:cs="Calibri"/>
          <w:bCs/>
        </w:rPr>
        <w:t>Oberkochen</w:t>
      </w:r>
      <w:proofErr w:type="spellEnd"/>
      <w:r w:rsidRPr="00506C9D">
        <w:rPr>
          <w:rFonts w:ascii="Calibri" w:hAnsi="Calibri" w:cs="Calibri"/>
          <w:bCs/>
        </w:rPr>
        <w:t>, DEU). Quantification of probe hybridization was completed by measuring total mean pixel intensity in ImageJ, via 8-bit images at 2048x2048 frame size.</w:t>
      </w:r>
    </w:p>
    <w:p w14:paraId="56FA7C27" w14:textId="6F65AC55" w:rsidR="00D52D3C" w:rsidRPr="00506C9D" w:rsidRDefault="00D52D3C" w:rsidP="00ED7420">
      <w:pPr>
        <w:spacing w:after="160" w:line="360" w:lineRule="auto"/>
        <w:outlineLvl w:val="0"/>
        <w:rPr>
          <w:rFonts w:ascii="Calibri" w:hAnsi="Calibri" w:cs="Calibri"/>
          <w:b/>
          <w:bCs/>
        </w:rPr>
      </w:pPr>
      <w:r w:rsidRPr="00506C9D">
        <w:rPr>
          <w:rFonts w:ascii="Calibri" w:hAnsi="Calibri" w:cs="Calibri"/>
          <w:b/>
          <w:bCs/>
        </w:rPr>
        <w:t>Conditioned Avoidance Response (CAR) in Sprague Dawley Rats</w:t>
      </w:r>
    </w:p>
    <w:p w14:paraId="6279BA55" w14:textId="09231AE5" w:rsidR="00D52D3C" w:rsidRPr="00506C9D" w:rsidRDefault="00D52D3C" w:rsidP="00ED7420">
      <w:pPr>
        <w:spacing w:after="160" w:line="360" w:lineRule="auto"/>
        <w:outlineLvl w:val="0"/>
        <w:rPr>
          <w:rFonts w:ascii="Calibri" w:hAnsi="Calibri" w:cs="Calibri"/>
        </w:rPr>
      </w:pPr>
      <w:r w:rsidRPr="00506C9D">
        <w:rPr>
          <w:rFonts w:ascii="Calibri" w:hAnsi="Calibri" w:cs="Calibri"/>
        </w:rPr>
        <w:t xml:space="preserve">Male Sprague Dawley rats (PD&gt;63) were trained on a CAR protocol and responding following drug exposure was determined. Drug was administered daily, via </w:t>
      </w:r>
      <w:proofErr w:type="spellStart"/>
      <w:r w:rsidRPr="00506C9D">
        <w:rPr>
          <w:rFonts w:ascii="Calibri" w:hAnsi="Calibri" w:cs="Calibri"/>
        </w:rPr>
        <w:t>i.p.</w:t>
      </w:r>
      <w:proofErr w:type="spellEnd"/>
      <w:r w:rsidRPr="00506C9D">
        <w:rPr>
          <w:rFonts w:ascii="Calibri" w:hAnsi="Calibri" w:cs="Calibri"/>
        </w:rPr>
        <w:t xml:space="preserve"> injection, 30-min. prior to </w:t>
      </w:r>
      <w:proofErr w:type="spellStart"/>
      <w:r w:rsidRPr="00506C9D">
        <w:rPr>
          <w:rFonts w:ascii="Calibri" w:hAnsi="Calibri" w:cs="Calibri"/>
        </w:rPr>
        <w:t>behavioural</w:t>
      </w:r>
      <w:proofErr w:type="spellEnd"/>
      <w:r w:rsidRPr="00506C9D">
        <w:rPr>
          <w:rFonts w:ascii="Calibri" w:hAnsi="Calibri" w:cs="Calibri"/>
        </w:rPr>
        <w:t xml:space="preserve"> testing. Rats were treated with either vehicle (same as previously described, 2</w:t>
      </w:r>
      <w:r w:rsidR="00CF740B">
        <w:rPr>
          <w:rFonts w:ascii="Calibri" w:hAnsi="Calibri" w:cs="Calibri"/>
        </w:rPr>
        <w:t xml:space="preserve"> </w:t>
      </w:r>
      <w:r w:rsidRPr="00506C9D">
        <w:rPr>
          <w:rFonts w:ascii="Calibri" w:hAnsi="Calibri" w:cs="Calibri"/>
        </w:rPr>
        <w:lastRenderedPageBreak/>
        <w:t>mL/kg), ABM300 (10</w:t>
      </w:r>
      <w:r w:rsidR="00CF740B">
        <w:rPr>
          <w:rFonts w:ascii="Calibri" w:hAnsi="Calibri" w:cs="Calibri"/>
        </w:rPr>
        <w:t xml:space="preserve"> </w:t>
      </w:r>
      <w:r w:rsidRPr="00506C9D">
        <w:rPr>
          <w:rFonts w:ascii="Calibri" w:hAnsi="Calibri" w:cs="Calibri"/>
        </w:rPr>
        <w:t>mg/kg) or olanzapine</w:t>
      </w:r>
      <w:r w:rsidR="00386358" w:rsidRPr="00506C9D">
        <w:rPr>
          <w:rFonts w:ascii="Calibri" w:hAnsi="Calibri" w:cs="Calibri"/>
        </w:rPr>
        <w:t xml:space="preserve"> </w:t>
      </w:r>
      <w:r w:rsidRPr="00506C9D">
        <w:rPr>
          <w:rFonts w:ascii="Calibri" w:hAnsi="Calibri" w:cs="Calibri"/>
        </w:rPr>
        <w:t>(OLA; 1</w:t>
      </w:r>
      <w:r w:rsidR="00CF740B">
        <w:rPr>
          <w:rFonts w:ascii="Calibri" w:hAnsi="Calibri" w:cs="Calibri"/>
        </w:rPr>
        <w:t xml:space="preserve"> </w:t>
      </w:r>
      <w:r w:rsidRPr="00506C9D">
        <w:rPr>
          <w:rFonts w:ascii="Calibri" w:hAnsi="Calibri" w:cs="Calibri"/>
        </w:rPr>
        <w:t xml:space="preserve">mg/kg). The CAR protocol was completed over 22-24 days: acquisition (10-12 days), vehicle baseline (3 days), drug exposure (OLA vs. ABM300; 7 days), and re-emergence (vehicle; 2 days) </w:t>
      </w:r>
      <w:r w:rsidRPr="00506C9D">
        <w:rPr>
          <w:rFonts w:ascii="Calibri" w:hAnsi="Calibri" w:cs="Calibri"/>
        </w:rPr>
        <w:fldChar w:fldCharType="begin" w:fldLock="1"/>
      </w:r>
      <w:r w:rsidR="00360E32" w:rsidRPr="00506C9D">
        <w:rPr>
          <w:rFonts w:ascii="Calibri" w:hAnsi="Calibri" w:cs="Calibri"/>
        </w:rPr>
        <w:instrText>ADDIN CSL_CITATION {"citationItems":[{"id":"ITEM-1","itemData":{"DOI":"10.1038/sj.npp.1301110","ISSN":"0893133X","PMID":"16738541","abstract":"Antipsychotic drugs work for patients only when given repeatedly. The overall temporal pattern of symptom improvement is not clear. Some recent data question the traditional 'delayed-onset' hypothesis and suggest that the onset of antipsychotic response may be relatively early, and the improvement may grow with repeated treatment. The present study systematically examined the time course of the antipsychotic effect and the underlying behavioral mechanisms using a conditioned avoidance response (CAR) model. Rats repeatedly treated with either typical (haloperidol) or atypical (olanzapine, risperidone) antipsychotics, but not anxiolytics (chlordiazepoxide), show an early-onset, progressive across-session decline in avoidance responding, which re-emerges when the treatment is stopped. This effect is dose-dependent, transferable between antipsychotics, and cannot be attributed to simple sedation or motor side effects. Furthermore, we found that the pattern of this drug-induced decline depends on the number of exposures to the conditioned stimulus in the presence of the drug, and is best understood as the result of drug-induced attenuation of the reinforcing effectiveness of the conditioned stimulus. We also found that repeated drug exposure can create a drug interoceptive state that allows the attenuated reinforcing property of the stimulus to be maintained over time. Together, these data provide preclinical support for the newly postulated 'early-onset' hypothesis, and suggest that the repeated antipsychotic CAR model may be useful for understanding the neurochemical and behavioral mechanisms underlying the clinical effects of antipsychotics in patients with schizophrenia.","author":[{"dropping-particle":"","family":"Li","given":"Ming","non-dropping-particle":"","parse-names":false,"suffix":""},{"dropping-particle":"","family":"Fletcher","given":"Paul J","non-dropping-particle":"","parse-names":false,"suffix":""},{"dropping-particle":"","family":"Kapur","given":"Shitij","non-dropping-particle":"","parse-names":false,"suffix":""}],"container-title":"Neuropsychopharmacology","id":"ITEM-1","issue":"2","issued":{"date-parts":[["2007","2"]]},"page":"263-272","title":"Time course of the antipsychotic effect and the underlying behavioral mechanisms","type":"article-journal","volume":"32"},"uris":["http://www.mendeley.com/documents/?uuid=78156799-6044-3354-bbc5-1077b4ca9ea6"]}],"mendeley":{"formattedCitation":"(Li, Fletcher, &amp; Kapur, 2007)","plainTextFormattedCitation":"(Li, Fletcher, &amp; Kapur, 2007)","previouslyFormattedCitation":"(Li, Fletcher, &amp; Kapur, 2007)"},"properties":{"noteIndex":0},"schema":"https://github.com/citation-style-language/schema/raw/master/csl-citation.json"}</w:instrText>
      </w:r>
      <w:r w:rsidRPr="00506C9D">
        <w:rPr>
          <w:rFonts w:ascii="Calibri" w:hAnsi="Calibri" w:cs="Calibri"/>
        </w:rPr>
        <w:fldChar w:fldCharType="separate"/>
      </w:r>
      <w:r w:rsidR="00217C3E" w:rsidRPr="00506C9D">
        <w:rPr>
          <w:rFonts w:ascii="Calibri" w:hAnsi="Calibri" w:cs="Calibri"/>
          <w:noProof/>
        </w:rPr>
        <w:t>(Li, Fletcher, &amp; Kapur, 2007)</w:t>
      </w:r>
      <w:r w:rsidRPr="00506C9D">
        <w:rPr>
          <w:rFonts w:ascii="Calibri" w:hAnsi="Calibri" w:cs="Calibri"/>
        </w:rPr>
        <w:fldChar w:fldCharType="end"/>
      </w:r>
      <w:r w:rsidRPr="00506C9D">
        <w:rPr>
          <w:rFonts w:ascii="Calibri" w:hAnsi="Calibri" w:cs="Calibri"/>
        </w:rPr>
        <w:t>. Animals were trained to learn a house light (CS) as predictive of an avoidable 0.6mA scrambled foot shock (US). Each session consisted of 50 trials and animals avoided &gt;70% of trials on the final acquisition session were tested for CAR during vehicle baseline, drug exposure, and re-emergence. In addition to CAR testing, both temperature and catalepsy were recorded in these animals (measure of potential CB</w:t>
      </w:r>
      <w:r w:rsidRPr="00506C9D">
        <w:rPr>
          <w:rFonts w:ascii="Calibri" w:hAnsi="Calibri" w:cs="Calibri"/>
          <w:vertAlign w:val="subscript"/>
        </w:rPr>
        <w:t>1</w:t>
      </w:r>
      <w:r w:rsidR="000F2144" w:rsidRPr="00506C9D">
        <w:rPr>
          <w:rFonts w:ascii="Calibri" w:hAnsi="Calibri" w:cs="Calibri"/>
        </w:rPr>
        <w:t>R</w:t>
      </w:r>
      <w:r w:rsidRPr="00506C9D">
        <w:rPr>
          <w:rFonts w:ascii="Calibri" w:hAnsi="Calibri" w:cs="Calibri"/>
        </w:rPr>
        <w:t xml:space="preserve"> agonism). Temperature: recorded on first day of drug exposure, prior to injection and 60-90-min. following drug exposure. Catalepsy: recorded on third day of drug exposure, prior to injection and 25-min. following injection.</w:t>
      </w:r>
    </w:p>
    <w:p w14:paraId="72EE4ABC" w14:textId="77777777" w:rsidR="00D52D3C" w:rsidRPr="00506C9D" w:rsidRDefault="00D52D3C" w:rsidP="00ED7420">
      <w:pPr>
        <w:spacing w:after="160" w:line="360" w:lineRule="auto"/>
        <w:outlineLvl w:val="0"/>
        <w:rPr>
          <w:rFonts w:ascii="Calibri" w:hAnsi="Calibri" w:cs="Calibri"/>
          <w:b/>
        </w:rPr>
      </w:pPr>
      <w:r w:rsidRPr="00506C9D">
        <w:rPr>
          <w:rFonts w:ascii="Calibri" w:hAnsi="Calibri" w:cs="Calibri"/>
          <w:b/>
        </w:rPr>
        <w:t xml:space="preserve">Drug Administration (Genetic Models of </w:t>
      </w:r>
      <w:proofErr w:type="spellStart"/>
      <w:r w:rsidRPr="00506C9D">
        <w:rPr>
          <w:rFonts w:ascii="Calibri" w:hAnsi="Calibri" w:cs="Calibri"/>
          <w:b/>
        </w:rPr>
        <w:t>Hyperdopaminergia</w:t>
      </w:r>
      <w:proofErr w:type="spellEnd"/>
      <w:r w:rsidRPr="00506C9D">
        <w:rPr>
          <w:rFonts w:ascii="Calibri" w:hAnsi="Calibri" w:cs="Calibri"/>
          <w:b/>
        </w:rPr>
        <w:t>)</w:t>
      </w:r>
    </w:p>
    <w:p w14:paraId="3AB5F1CD" w14:textId="3E6B17F4" w:rsidR="00D52D3C" w:rsidRPr="00506C9D" w:rsidRDefault="00D52D3C" w:rsidP="00ED7420">
      <w:pPr>
        <w:spacing w:after="160" w:line="360" w:lineRule="auto"/>
        <w:outlineLvl w:val="0"/>
        <w:rPr>
          <w:rFonts w:ascii="Calibri" w:hAnsi="Calibri" w:cs="Calibri"/>
          <w:b/>
        </w:rPr>
      </w:pPr>
      <w:r w:rsidRPr="00506C9D">
        <w:rPr>
          <w:rFonts w:ascii="Calibri" w:hAnsi="Calibri" w:cs="Calibri"/>
          <w:bCs/>
        </w:rPr>
        <w:t>The acute effect of a novel CB</w:t>
      </w:r>
      <w:r w:rsidRPr="00506C9D">
        <w:rPr>
          <w:rFonts w:ascii="Calibri" w:hAnsi="Calibri" w:cs="Calibri"/>
          <w:bCs/>
          <w:vertAlign w:val="subscript"/>
        </w:rPr>
        <w:t>1</w:t>
      </w:r>
      <w:r w:rsidR="000F2144" w:rsidRPr="00506C9D">
        <w:rPr>
          <w:rFonts w:ascii="Calibri" w:hAnsi="Calibri" w:cs="Calibri"/>
          <w:bCs/>
        </w:rPr>
        <w:t>R</w:t>
      </w:r>
      <w:r w:rsidRPr="00506C9D">
        <w:rPr>
          <w:rFonts w:ascii="Calibri" w:hAnsi="Calibri" w:cs="Calibri"/>
          <w:bCs/>
        </w:rPr>
        <w:t xml:space="preserve"> negative allosteric modulator, ABM300, were investigated in wildtype and genetic models. The drug was administered at 10</w:t>
      </w:r>
      <w:r w:rsidR="00D64E07">
        <w:rPr>
          <w:rFonts w:ascii="Calibri" w:hAnsi="Calibri" w:cs="Calibri"/>
          <w:bCs/>
        </w:rPr>
        <w:t xml:space="preserve"> </w:t>
      </w:r>
      <w:r w:rsidRPr="00506C9D">
        <w:rPr>
          <w:rFonts w:ascii="Calibri" w:hAnsi="Calibri" w:cs="Calibri"/>
          <w:bCs/>
        </w:rPr>
        <w:t xml:space="preserve">mg/kg in 1:1:18 vehicle (95% </w:t>
      </w:r>
      <w:proofErr w:type="gramStart"/>
      <w:r w:rsidRPr="00506C9D">
        <w:rPr>
          <w:rFonts w:ascii="Calibri" w:hAnsi="Calibri" w:cs="Calibri"/>
          <w:bCs/>
        </w:rPr>
        <w:t>ethanol :</w:t>
      </w:r>
      <w:proofErr w:type="gramEnd"/>
      <w:r w:rsidRPr="00506C9D">
        <w:rPr>
          <w:rFonts w:ascii="Calibri" w:hAnsi="Calibri" w:cs="Calibri"/>
          <w:bCs/>
        </w:rPr>
        <w:t xml:space="preserve"> Tween80 : 0.9% NaCl), via intraperitoneal (</w:t>
      </w:r>
      <w:proofErr w:type="spellStart"/>
      <w:r w:rsidRPr="00506C9D">
        <w:rPr>
          <w:rFonts w:ascii="Calibri" w:hAnsi="Calibri" w:cs="Calibri"/>
          <w:bCs/>
        </w:rPr>
        <w:t>i.p.</w:t>
      </w:r>
      <w:proofErr w:type="spellEnd"/>
      <w:r w:rsidRPr="00506C9D">
        <w:rPr>
          <w:rFonts w:ascii="Calibri" w:hAnsi="Calibri" w:cs="Calibri"/>
          <w:bCs/>
        </w:rPr>
        <w:t xml:space="preserve">) injection 30-min. prior to </w:t>
      </w:r>
      <w:proofErr w:type="spellStart"/>
      <w:r w:rsidRPr="00506C9D">
        <w:rPr>
          <w:rFonts w:ascii="Calibri" w:hAnsi="Calibri" w:cs="Calibri"/>
          <w:bCs/>
        </w:rPr>
        <w:t>behavioural</w:t>
      </w:r>
      <w:proofErr w:type="spellEnd"/>
      <w:r w:rsidRPr="00506C9D">
        <w:rPr>
          <w:rFonts w:ascii="Calibri" w:hAnsi="Calibri" w:cs="Calibri"/>
          <w:bCs/>
        </w:rPr>
        <w:t xml:space="preserve"> or biochemical testing. The effect of ABM300 was compared to olanzapine (OLA; atypical antipsychotic, 1</w:t>
      </w:r>
      <w:r w:rsidR="00D64E07">
        <w:rPr>
          <w:rFonts w:ascii="Calibri" w:hAnsi="Calibri" w:cs="Calibri"/>
          <w:bCs/>
        </w:rPr>
        <w:t xml:space="preserve"> </w:t>
      </w:r>
      <w:r w:rsidRPr="00506C9D">
        <w:rPr>
          <w:rFonts w:ascii="Calibri" w:hAnsi="Calibri" w:cs="Calibri"/>
          <w:bCs/>
        </w:rPr>
        <w:t xml:space="preserve">mg/kg; Millipore Sigma, </w:t>
      </w:r>
      <w:proofErr w:type="gramStart"/>
      <w:r w:rsidRPr="00506C9D">
        <w:rPr>
          <w:rFonts w:ascii="Calibri" w:hAnsi="Calibri" w:cs="Calibri"/>
          <w:bCs/>
        </w:rPr>
        <w:t>Cat.#</w:t>
      </w:r>
      <w:proofErr w:type="gramEnd"/>
      <w:r w:rsidRPr="00506C9D">
        <w:rPr>
          <w:rFonts w:ascii="Calibri" w:hAnsi="Calibri" w:cs="Calibri"/>
          <w:bCs/>
        </w:rPr>
        <w:t xml:space="preserve"> O1141, Toronto, ON). For all </w:t>
      </w:r>
      <w:proofErr w:type="spellStart"/>
      <w:r w:rsidRPr="00506C9D">
        <w:rPr>
          <w:rFonts w:ascii="Calibri" w:hAnsi="Calibri" w:cs="Calibri"/>
          <w:bCs/>
        </w:rPr>
        <w:t>behavioural</w:t>
      </w:r>
      <w:proofErr w:type="spellEnd"/>
      <w:r w:rsidRPr="00506C9D">
        <w:rPr>
          <w:rFonts w:ascii="Calibri" w:hAnsi="Calibri" w:cs="Calibri"/>
          <w:bCs/>
        </w:rPr>
        <w:t xml:space="preserve"> and biochemical tests, drugs were dissolved in the previously described vehicle, and injected (10</w:t>
      </w:r>
      <w:r w:rsidR="00D64E07">
        <w:rPr>
          <w:rFonts w:ascii="Calibri" w:hAnsi="Calibri" w:cs="Calibri"/>
          <w:bCs/>
        </w:rPr>
        <w:t xml:space="preserve"> </w:t>
      </w:r>
      <w:r w:rsidRPr="00506C9D">
        <w:rPr>
          <w:rFonts w:ascii="Calibri" w:hAnsi="Calibri" w:cs="Calibri"/>
          <w:bCs/>
        </w:rPr>
        <w:t>ml/kg) 30-min. prior to testing or sacrifice, unless otherwise specified.</w:t>
      </w:r>
    </w:p>
    <w:p w14:paraId="710A27B3" w14:textId="77777777" w:rsidR="00D52D3C" w:rsidRPr="00506C9D" w:rsidRDefault="00D52D3C" w:rsidP="00ED7420">
      <w:pPr>
        <w:spacing w:after="160" w:line="360" w:lineRule="auto"/>
        <w:outlineLvl w:val="0"/>
        <w:rPr>
          <w:rFonts w:ascii="Calibri" w:hAnsi="Calibri" w:cs="Calibri"/>
          <w:b/>
        </w:rPr>
      </w:pPr>
      <w:r w:rsidRPr="00506C9D">
        <w:rPr>
          <w:rFonts w:ascii="Calibri" w:hAnsi="Calibri" w:cs="Calibri"/>
          <w:b/>
        </w:rPr>
        <w:t xml:space="preserve">Behavioral Testing (Genetic Models of </w:t>
      </w:r>
      <w:proofErr w:type="spellStart"/>
      <w:r w:rsidRPr="00506C9D">
        <w:rPr>
          <w:rFonts w:ascii="Calibri" w:hAnsi="Calibri" w:cs="Calibri"/>
          <w:b/>
        </w:rPr>
        <w:t>Hyperdopaminergia</w:t>
      </w:r>
      <w:proofErr w:type="spellEnd"/>
      <w:r w:rsidRPr="00506C9D">
        <w:rPr>
          <w:rFonts w:ascii="Calibri" w:hAnsi="Calibri" w:cs="Calibri"/>
          <w:b/>
        </w:rPr>
        <w:t>)</w:t>
      </w:r>
    </w:p>
    <w:p w14:paraId="2DA20340" w14:textId="77777777" w:rsidR="00D52D3C" w:rsidRPr="00506C9D" w:rsidRDefault="00D52D3C" w:rsidP="00ED7420">
      <w:pPr>
        <w:spacing w:after="160" w:line="360" w:lineRule="auto"/>
        <w:outlineLvl w:val="0"/>
        <w:rPr>
          <w:rFonts w:ascii="Calibri" w:hAnsi="Calibri" w:cs="Calibri"/>
          <w:bCs/>
        </w:rPr>
      </w:pPr>
      <w:r w:rsidRPr="00506C9D">
        <w:rPr>
          <w:rFonts w:ascii="Calibri" w:hAnsi="Calibri" w:cs="Calibri"/>
        </w:rPr>
        <w:t xml:space="preserve">All behavioral tests were completed between 09:00 and 15:00h. All mice were tested as follows: Day 1 – open field test, and Day 3 – pre-pulse inhibition. </w:t>
      </w:r>
    </w:p>
    <w:p w14:paraId="3B638697" w14:textId="421AA874" w:rsidR="00D52D3C" w:rsidRPr="00506C9D" w:rsidRDefault="00D52D3C" w:rsidP="00ED7420">
      <w:pPr>
        <w:spacing w:after="160" w:line="360" w:lineRule="auto"/>
        <w:outlineLvl w:val="0"/>
        <w:rPr>
          <w:rFonts w:ascii="Calibri" w:hAnsi="Calibri" w:cs="Calibri"/>
          <w:b/>
        </w:rPr>
      </w:pPr>
      <w:r w:rsidRPr="00506C9D">
        <w:rPr>
          <w:rFonts w:ascii="Calibri" w:hAnsi="Calibri" w:cs="Calibri"/>
          <w:i/>
        </w:rPr>
        <w:t>Open Field Test (OF):</w:t>
      </w:r>
      <w:r w:rsidRPr="00506C9D">
        <w:rPr>
          <w:rFonts w:ascii="Calibri" w:hAnsi="Calibri" w:cs="Calibri"/>
          <w:b/>
        </w:rPr>
        <w:t xml:space="preserve"> </w:t>
      </w:r>
      <w:r w:rsidRPr="00506C9D">
        <w:rPr>
          <w:rFonts w:ascii="Calibri" w:hAnsi="Calibri" w:cs="Calibri"/>
        </w:rPr>
        <w:t xml:space="preserve">Novelty-induced locomotor activity, stereotypy, and vertical activity were measured as previously described </w:t>
      </w:r>
      <w:r w:rsidRPr="00506C9D">
        <w:rPr>
          <w:rFonts w:ascii="Calibri" w:hAnsi="Calibri" w:cs="Calibri"/>
        </w:rPr>
        <w:fldChar w:fldCharType="begin" w:fldLock="1"/>
      </w:r>
      <w:r w:rsidR="00360E32" w:rsidRPr="00506C9D">
        <w:rPr>
          <w:rFonts w:ascii="Calibri" w:hAnsi="Calibri" w:cs="Calibri"/>
        </w:rPr>
        <w:instrText>ADDIN CSL_CITATION {"citationItems":[{"id":"ITEM-1","itemData":{"DOI":"10.1038/s41537-017-0014-8","ISSN":"2334-265X","PMID":"28560258","abstract":"Several studies have found decreased levels of ω-3 polyunsaturated fatty acids in the brain and blood of schizophrenia patients. Furthermore, dietary ω-3 supplements may improve schizophrenia symptoms and delay the onset of first-episode psychosis. We used an animal model of NMDA receptor hypofunction, NR1KD mice, to understand whether changes in glutamate neurotransmission could lead to changes in brain and serum fatty acids. We further asked whether dietary manipulations of ω-3, either depletion or supplementation, would affect schizophrenia-relevant behaviors of NR1KD mice. We discovered that NR1KD mice have elevated brain levels of ω-6 fatty acids regardless of their diet. While ω-3 supplementation did not improve any of the NR1KD behavioral abnormalities, ω-3 depletion exacerbated their deficits in executive function. Omega-3 depletion also caused extreme mortality among male mutant mice, with 75% mortality rate by 12 weeks of age. Our studies show that alterations in NMDAR function alter serum and brain lipid composition and make the brain more vulnerable to dietary ω-3 deprivation.","author":[{"dropping-particle":"","family":"Islam","given":"Rehnuma","non-dropping-particle":"","parse-names":false,"suffix":""},{"dropping-particle":"","family":"Trépanier","given":"Marc-Olivier","non-dropping-particle":"","parse-names":false,"suffix":""},{"dropping-particle":"","family":"Milenkovic","given":"Marija","non-dropping-particle":"","parse-names":false,"suffix":""},{"dropping-particle":"","family":"Horsfall","given":"Wendy","non-dropping-particle":"","parse-names":false,"suffix":""},{"dropping-particle":"","family":"Salahpour","given":"Ali","non-dropping-particle":"","parse-names":false,"suffix":""},{"dropping-particle":"","family":"Bazinet","given":"Richard P","non-dropping-particle":"","parse-names":false,"suffix":""},{"dropping-particle":"","family":"Ramsey","given":"Amy J","non-dropping-particle":"","parse-names":false,"suffix":""}],"container-title":"npj Schizophrenia","id":"ITEM-1","issue":"1","issued":{"date-parts":[["2017"]]},"page":"12","title":"Vulnerability to omega-3 deprivation in a mouse model of NMDA receptor","type":"article-journal","volume":"3"},"uris":["http://www.mendeley.com/documents/?uuid=0f899bb3-8454-3504-adaa-5ccc5b8ae282"]},{"id":"ITEM-2","itemData":{"DOI":"10.1111/gbb.12183","ISBN":"1601-1848","ISSN":"1601183X","PMID":"25327402","abstract":"N-methyl-d-aspartate (NMDA) receptor-deficient mice can be used to understand the role that NMDA receptors (NMDARs) play in the pathophysiology of neurodevelopmental disorders such as schizophrenia. Genetically modified mice with low levels of NR1 subunit (NR1 knockdown mice) have reduced receptor levels throughout development, and have robust abnormalities in behaviours that are relevant to schizophrenia. We traced the onset and severity of these behaviours at three developmental stages to understand when in development the underlying circuits depend on intact NMDAR function. We examined social behaviour, working memory, executive function, locomotor activity and stereotypy at 3, 6 and 12 weeks of age in NR1 knockdown mice and their wild-type littermates. We discovered that each of these behaviours had a unique developmental trajectory in mutant mice, and males showed an earlier onset and severity than females in several behaviours. Hyperlocomotion was most substantial in juvenile mice and plateaued in adult mice, whereas stereotypy progressively worsened with age. Impairments in working memory and sociability were sexually dimorphic, with deficits first detected in peri-adolescent males but only detected in adult females. Interestingly, executive function was most impaired in peri-adolescent mice of either sex. Furthermore, while juvenile mutant mice had some ability to problem solve in the puzzle box test, the same mice lost this ability when tested 4 weeks later. Our studies highlight key developmental periods for males and females in the expression of behaviours that are relevant to psychiatric disorders.","author":[{"dropping-particle":"","family":"Milenkovic","given":"M.","non-dropping-particle":"","parse-names":false,"suffix":""},{"dropping-particle":"","family":"Mielnik","given":"C.A. A","non-dropping-particle":"","parse-names":false,"suffix":""},{"dropping-particle":"","family":"Ramsey","given":"A.J. J","non-dropping-particle":"","parse-names":false,"suffix":""}],"container-title":"Genes, Brain and Behavior","id":"ITEM-2","issue":"8","issued":{"date-parts":[["2014","11"]]},"page":"850-862","title":"NMDA receptor-deficient mice display sexual dimorphism in the onset and severity of behavioural abnormalities","type":"article-journal","volume":"13"},"uris":["http://www.mendeley.com/documents/?uuid=58976e11-4413-4b8c-b7d2-24c4bd948a09"]},{"id":"ITEM-3","itemData":{"DOI":"10.1111/gbb.12155","ISBN":"1601-183x","ISSN":"1601183X","PMID":"25040071","abstract":"NR1 knockdown (NR1KD) mice are genetically modified to express low levels of the NR1 subunit of N-methyl-D-aspartate (NMDA) receptors, and show deficits in affiliative social behaviour. In this study, we deter-mined which brain regions were selectively activated in response to social stimulation and asked whether differences in neuronal activation could be observed in mice with reduced sociability. Furthermore, we aimed to determine whether brain activation patterns correlated with the amelioration of social deficits through phar-macological intervention. The cingulate cortex, lateral septal nuclei, hypothalamus, thalamus and amygdala showed an increase in c-Fos immunoreactivity that was selective for exposure to social stimuli. NR1KD mice dis-played a reduction in social behaviour and a reduction in c-Fos immunoreactivity in the cingulate cortex and septal nuclei. Acute clozapine did not significantly alter sociability; however, diazepam treatment did increase sociability and neuronal activation in the lateral sep-tal region. This study has identified the lateral septal region as a neural substrate of social behaviour and the GABA system as a potential therapeutic target for social dysfunction.","author":[{"dropping-particle":"","family":"Mielnik","given":"C.A. A.","non-dropping-particle":"","parse-names":false,"suffix":""},{"dropping-particle":"","family":"Horsfall","given":"W.","non-dropping-particle":"","parse-names":false,"suffix":""},{"dropping-particle":"","family":"Ramsey","given":"A.J. J.","non-dropping-particle":"","parse-names":false,"suffix":""}],"container-title":"Genes, Brain and Behavior","id":"ITEM-3","issue":"7","issued":{"date-parts":[["2014","9"]]},"page":"592-602","title":"Diazepam improves aspects of social behaviour and neuron activation in NMDA receptor-deficient mice","type":"article-journal","volume":"13"},"uris":["http://www.mendeley.com/documents/?uuid=0c14f2b6-0631-4653-8cb4-8eb28a5fd25f"]}],"mendeley":{"formattedCitation":"(Islam et al., 2017; Mielnik, Horsfall, &amp; Ramsey, 2014; Milenkovic, Mielnik, &amp; Ramsey, 2014)","plainTextFormattedCitation":"(Islam et al., 2017; Mielnik, Horsfall, &amp; Ramsey, 2014; Milenkovic, Mielnik, &amp; Ramsey, 2014)","previouslyFormattedCitation":"(Islam et al., 2017; Mielnik, Horsfall, &amp; Ramsey, 2014; Milenkovic, Mielnik, &amp; Ramsey, 2014)"},"properties":{"noteIndex":0},"schema":"https://github.com/citation-style-language/schema/raw/master/csl-citation.json"}</w:instrText>
      </w:r>
      <w:r w:rsidRPr="00506C9D">
        <w:rPr>
          <w:rFonts w:ascii="Calibri" w:hAnsi="Calibri" w:cs="Calibri"/>
        </w:rPr>
        <w:fldChar w:fldCharType="separate"/>
      </w:r>
      <w:r w:rsidR="00217C3E" w:rsidRPr="00506C9D">
        <w:rPr>
          <w:rFonts w:ascii="Calibri" w:hAnsi="Calibri" w:cs="Calibri"/>
          <w:noProof/>
        </w:rPr>
        <w:t>(Islam et al., 2017; Mielnik, Horsfall, &amp; Ramsey, 2014; Milenkovic, Mielnik, &amp; Ramsey, 2014)</w:t>
      </w:r>
      <w:r w:rsidRPr="00506C9D">
        <w:rPr>
          <w:rFonts w:ascii="Calibri" w:hAnsi="Calibri" w:cs="Calibri"/>
        </w:rPr>
        <w:fldChar w:fldCharType="end"/>
      </w:r>
      <w:r w:rsidRPr="00506C9D">
        <w:rPr>
          <w:rFonts w:ascii="Calibri" w:hAnsi="Calibri" w:cs="Calibri"/>
        </w:rPr>
        <w:t xml:space="preserve"> using digital activity monitors (</w:t>
      </w:r>
      <w:proofErr w:type="spellStart"/>
      <w:r w:rsidRPr="00506C9D">
        <w:rPr>
          <w:rFonts w:ascii="Calibri" w:hAnsi="Calibri" w:cs="Calibri"/>
        </w:rPr>
        <w:t>Omnitech</w:t>
      </w:r>
      <w:proofErr w:type="spellEnd"/>
      <w:r w:rsidRPr="00506C9D">
        <w:rPr>
          <w:rFonts w:ascii="Calibri" w:hAnsi="Calibri" w:cs="Calibri"/>
        </w:rPr>
        <w:t xml:space="preserve"> Electronics, Columbus, OH, USA) on the first day of testing. 30-min. following injection, mice were placed in novel Plexiglas arenas (20 x 20 x 45 cm) and their locomotor and stereotypic activity were recorded over a 120-min. period in dim light (15-16lux). Activity was tracked via infrared light beam sensors; total distance </w:t>
      </w:r>
      <w:proofErr w:type="gramStart"/>
      <w:r w:rsidRPr="00506C9D">
        <w:rPr>
          <w:rFonts w:ascii="Calibri" w:hAnsi="Calibri" w:cs="Calibri"/>
        </w:rPr>
        <w:t>traveled</w:t>
      </w:r>
      <w:proofErr w:type="gramEnd"/>
      <w:r w:rsidRPr="00506C9D">
        <w:rPr>
          <w:rFonts w:ascii="Calibri" w:hAnsi="Calibri" w:cs="Calibri"/>
        </w:rPr>
        <w:t xml:space="preserve"> and stereotypic movements were collected in 5-min. bins.</w:t>
      </w:r>
    </w:p>
    <w:p w14:paraId="742F2E9C" w14:textId="77777777" w:rsidR="00D52D3C" w:rsidRPr="00506C9D" w:rsidRDefault="00D52D3C" w:rsidP="00ED7420">
      <w:pPr>
        <w:spacing w:after="160" w:line="360" w:lineRule="auto"/>
        <w:outlineLvl w:val="0"/>
        <w:rPr>
          <w:rFonts w:ascii="Calibri" w:hAnsi="Calibri" w:cs="Calibri"/>
        </w:rPr>
      </w:pPr>
      <w:r w:rsidRPr="00506C9D">
        <w:rPr>
          <w:rFonts w:ascii="Calibri" w:hAnsi="Calibri" w:cs="Calibri"/>
          <w:i/>
        </w:rPr>
        <w:lastRenderedPageBreak/>
        <w:t>Pre-Pulse Inhibition (PPI):</w:t>
      </w:r>
      <w:r w:rsidRPr="00506C9D">
        <w:rPr>
          <w:rFonts w:ascii="Calibri" w:hAnsi="Calibri" w:cs="Calibri"/>
          <w:b/>
        </w:rPr>
        <w:t xml:space="preserve"> </w:t>
      </w:r>
      <w:r w:rsidRPr="00506C9D">
        <w:rPr>
          <w:rFonts w:ascii="Calibri" w:hAnsi="Calibri" w:cs="Calibri"/>
        </w:rPr>
        <w:t>PPI of the acoustic startle response was measured on day 3, via SR-LAB equipment and software from San Diego Instruments. Accelerometers were calibrated to 700±5 mV and output voltages were amplified and analyzed for voltage changes using SR Analysis (San Diego Instruments, San Diego, CA, USA), and exported as an excel file. Background white noise was maintained at 65dB. PPI was measured in a 30-min test with 80 randomized trials of: (1) 10 trials pulse alone (2) 10 trials pre-pulse alone (for each pre-pulse), (3) 10 trials pre-pulse plus pulse (for each pre-pulse), and (4) 10 trials no pulse. 5 pulse alone trials were performed before and after the 80 trials, totaling 90 trials per run. The pre-pulse (4dB, 8dB, or 16dB) was presented 100ms prior to the startle pulse (165dB). The inter-stimulus interval (ISI) was randomized between 5 and 20s. Experimental mice were placed in a cylindrical tube on a platform in a soundproof chamber. Mice were allowed to acclimatize in the chamber and to the background noise for 300s, followed by 5 consecutive pulse alone trials, then by 80 randomized trials (as described above) and then 5 consecutive pulse alone trials. Pre-pulse inhibition was measured as a decrease in the amplitude of startle response to a 100dB acoustic startle pulse, following each pre-pulse (4dB, 8dB and 16dB).</w:t>
      </w:r>
    </w:p>
    <w:p w14:paraId="5A29B6F7" w14:textId="77777777" w:rsidR="00D52D3C" w:rsidRPr="00506C9D" w:rsidRDefault="00D52D3C" w:rsidP="00ED7420">
      <w:pPr>
        <w:spacing w:after="160" w:line="360" w:lineRule="auto"/>
        <w:outlineLvl w:val="0"/>
        <w:rPr>
          <w:rFonts w:ascii="Calibri" w:hAnsi="Calibri" w:cs="Calibri"/>
        </w:rPr>
      </w:pPr>
      <w:r w:rsidRPr="00506C9D">
        <w:rPr>
          <w:rFonts w:ascii="Calibri" w:hAnsi="Calibri" w:cs="Calibri"/>
          <w:b/>
          <w:bCs/>
        </w:rPr>
        <w:t>Quantification and Statistical Analysis</w:t>
      </w:r>
    </w:p>
    <w:p w14:paraId="0D5D0610" w14:textId="62E87115" w:rsidR="00D52D3C" w:rsidRPr="00506C9D" w:rsidRDefault="00D52D3C" w:rsidP="00ED7420">
      <w:pPr>
        <w:spacing w:after="160" w:line="360" w:lineRule="auto"/>
        <w:outlineLvl w:val="0"/>
        <w:rPr>
          <w:rFonts w:ascii="Calibri" w:hAnsi="Calibri" w:cs="Calibri"/>
        </w:rPr>
      </w:pPr>
      <w:r w:rsidRPr="00506C9D">
        <w:rPr>
          <w:rFonts w:ascii="Calibri" w:hAnsi="Calibri" w:cs="Calibri"/>
        </w:rPr>
        <w:t>Statistical parameters, the definition of measures and statistical significance are reported in the figures and the figure legends. Data are represented as mean ± SEM</w:t>
      </w:r>
      <w:r w:rsidR="00386358" w:rsidRPr="00506C9D">
        <w:rPr>
          <w:rFonts w:ascii="Calibri" w:hAnsi="Calibri" w:cs="Calibri"/>
        </w:rPr>
        <w:t xml:space="preserve"> or SD</w:t>
      </w:r>
      <w:r w:rsidRPr="00506C9D">
        <w:rPr>
          <w:rFonts w:ascii="Calibri" w:hAnsi="Calibri" w:cs="Calibri"/>
        </w:rPr>
        <w:t>, as indicated in figure legends. Sample number (n), indicating independent biological samples (balanced for sex</w:t>
      </w:r>
      <w:r w:rsidR="00386358" w:rsidRPr="00506C9D">
        <w:rPr>
          <w:rFonts w:ascii="Calibri" w:hAnsi="Calibri" w:cs="Calibri"/>
        </w:rPr>
        <w:t xml:space="preserve"> </w:t>
      </w:r>
      <w:r w:rsidR="00386358" w:rsidRPr="00506C9D">
        <w:rPr>
          <w:rFonts w:ascii="Calibri" w:hAnsi="Calibri" w:cs="Calibri"/>
          <w:i/>
          <w:iCs/>
        </w:rPr>
        <w:t>in vivo</w:t>
      </w:r>
      <w:r w:rsidR="00386358" w:rsidRPr="00506C9D">
        <w:rPr>
          <w:rFonts w:ascii="Calibri" w:hAnsi="Calibri" w:cs="Calibri"/>
        </w:rPr>
        <w:t xml:space="preserve"> unless otherwise indicated</w:t>
      </w:r>
      <w:r w:rsidR="00B10E57" w:rsidRPr="00506C9D">
        <w:rPr>
          <w:rFonts w:ascii="Calibri" w:hAnsi="Calibri" w:cs="Calibri"/>
        </w:rPr>
        <w:t>, no effects of sex unless otherwise stated</w:t>
      </w:r>
      <w:r w:rsidRPr="00506C9D">
        <w:rPr>
          <w:rFonts w:ascii="Calibri" w:hAnsi="Calibri" w:cs="Calibri"/>
        </w:rPr>
        <w:t xml:space="preserve">), are indicated in each figure and/or figure legend. Statistically significant outliers were calculated and excluded, using the Grubb’s Test. Data were analyzed either using a one- or two-way ANOVA (repeated measures) where indicated, with multiple comparisons and post-hoc </w:t>
      </w:r>
      <w:proofErr w:type="spellStart"/>
      <w:r w:rsidRPr="00506C9D">
        <w:rPr>
          <w:rFonts w:ascii="Calibri" w:hAnsi="Calibri" w:cs="Calibri"/>
        </w:rPr>
        <w:t>Sidak’s</w:t>
      </w:r>
      <w:proofErr w:type="spellEnd"/>
      <w:r w:rsidRPr="00506C9D">
        <w:rPr>
          <w:rFonts w:ascii="Calibri" w:hAnsi="Calibri" w:cs="Calibri"/>
        </w:rPr>
        <w:t xml:space="preserve"> test, as indicated in figure legends. CAR data was analyzed using a RM ANOVA with Bonferroni correction to determine within group differences between baseline day 3 and drug testing data, and vehicle baseline data used as covariates to determine main effects, interactions and between group differences. Data analysis was not blinded. Differences in means were considered statistically significant at p&lt;0.05.  Significance levels are as follows; *p&lt;0.05, **p&lt;0.01, ***p&lt;0.001, </w:t>
      </w:r>
      <w:r w:rsidRPr="00506C9D">
        <w:rPr>
          <w:rFonts w:ascii="Calibri" w:hAnsi="Calibri" w:cs="Calibri"/>
        </w:rPr>
        <w:lastRenderedPageBreak/>
        <w:t xml:space="preserve">****p&lt;0.0001, ns – not significant. All data analyses were performed using the </w:t>
      </w:r>
      <w:proofErr w:type="spellStart"/>
      <w:r w:rsidRPr="00506C9D">
        <w:rPr>
          <w:rFonts w:ascii="Calibri" w:hAnsi="Calibri" w:cs="Calibri"/>
        </w:rPr>
        <w:t>Graphpad</w:t>
      </w:r>
      <w:proofErr w:type="spellEnd"/>
      <w:r w:rsidRPr="00506C9D">
        <w:rPr>
          <w:rFonts w:ascii="Calibri" w:hAnsi="Calibri" w:cs="Calibri"/>
        </w:rPr>
        <w:t xml:space="preserve"> Prism 8.0 software and/or IBM SPSS 23.0 Software</w:t>
      </w:r>
      <w:r w:rsidR="00386358" w:rsidRPr="00506C9D">
        <w:rPr>
          <w:rFonts w:ascii="Calibri" w:hAnsi="Calibri" w:cs="Calibri"/>
        </w:rPr>
        <w:t>, unless otherwise indicated</w:t>
      </w:r>
      <w:r w:rsidRPr="00506C9D">
        <w:rPr>
          <w:rFonts w:ascii="Calibri" w:hAnsi="Calibri" w:cs="Calibri"/>
        </w:rPr>
        <w:t>.</w:t>
      </w:r>
    </w:p>
    <w:p w14:paraId="35A6FF68" w14:textId="77777777" w:rsidR="009F2EC0" w:rsidRDefault="009F2EC0">
      <w:pPr>
        <w:spacing w:after="200" w:line="276" w:lineRule="auto"/>
        <w:rPr>
          <w:rFonts w:ascii="Calibri" w:hAnsi="Calibri" w:cs="Calibri"/>
          <w:b/>
          <w:bCs/>
          <w:iCs/>
        </w:rPr>
      </w:pPr>
      <w:r>
        <w:rPr>
          <w:rFonts w:ascii="Calibri" w:hAnsi="Calibri" w:cs="Calibri"/>
          <w:b/>
          <w:bCs/>
          <w:iCs/>
        </w:rPr>
        <w:br w:type="page"/>
      </w:r>
    </w:p>
    <w:p w14:paraId="44BE4F9B" w14:textId="2BB0B89C" w:rsidR="00D52D3C" w:rsidRPr="00506C9D" w:rsidRDefault="00D52D3C" w:rsidP="00ED7420">
      <w:pPr>
        <w:spacing w:after="160" w:line="360" w:lineRule="auto"/>
        <w:outlineLvl w:val="0"/>
        <w:rPr>
          <w:rFonts w:ascii="Calibri" w:hAnsi="Calibri" w:cs="Calibri"/>
          <w:b/>
          <w:bCs/>
          <w:iCs/>
        </w:rPr>
      </w:pPr>
      <w:r w:rsidRPr="00506C9D">
        <w:rPr>
          <w:rFonts w:ascii="Calibri" w:hAnsi="Calibri" w:cs="Calibri"/>
          <w:b/>
          <w:bCs/>
          <w:iCs/>
        </w:rPr>
        <w:lastRenderedPageBreak/>
        <w:t>REFERENCES</w:t>
      </w:r>
    </w:p>
    <w:p w14:paraId="41C090AE" w14:textId="4B2D8BA5" w:rsidR="004D25ED" w:rsidRPr="004D25ED" w:rsidRDefault="00D52D3C" w:rsidP="00ED7420">
      <w:pPr>
        <w:widowControl w:val="0"/>
        <w:autoSpaceDE w:val="0"/>
        <w:autoSpaceDN w:val="0"/>
        <w:adjustRightInd w:val="0"/>
        <w:spacing w:after="160" w:line="360" w:lineRule="auto"/>
        <w:ind w:left="480" w:hanging="480"/>
        <w:rPr>
          <w:rFonts w:ascii="Calibri" w:hAnsi="Calibri" w:cs="Calibri"/>
          <w:noProof/>
        </w:rPr>
      </w:pPr>
      <w:r w:rsidRPr="00506C9D">
        <w:rPr>
          <w:rFonts w:ascii="Calibri" w:hAnsi="Calibri" w:cs="Calibri"/>
          <w:i/>
        </w:rPr>
        <w:fldChar w:fldCharType="begin" w:fldLock="1"/>
      </w:r>
      <w:r w:rsidRPr="00506C9D">
        <w:rPr>
          <w:rFonts w:ascii="Calibri" w:hAnsi="Calibri" w:cs="Calibri"/>
          <w:i/>
        </w:rPr>
        <w:instrText xml:space="preserve">ADDIN Mendeley Bibliography CSL_BIBLIOGRAPHY </w:instrText>
      </w:r>
      <w:r w:rsidRPr="00506C9D">
        <w:rPr>
          <w:rFonts w:ascii="Calibri" w:hAnsi="Calibri" w:cs="Calibri"/>
          <w:i/>
        </w:rPr>
        <w:fldChar w:fldCharType="separate"/>
      </w:r>
      <w:r w:rsidR="004D25ED" w:rsidRPr="004D25ED">
        <w:rPr>
          <w:rFonts w:ascii="Calibri" w:hAnsi="Calibri" w:cs="Calibri"/>
          <w:noProof/>
        </w:rPr>
        <w:t xml:space="preserve">Cawston, E. E., Hunter, M. R., &amp; Glass, M. (2017). Allosteric Modulation of the Cannabinoid CB1 Receptor. In </w:t>
      </w:r>
      <w:r w:rsidR="004D25ED" w:rsidRPr="004D25ED">
        <w:rPr>
          <w:rFonts w:ascii="Calibri" w:hAnsi="Calibri" w:cs="Calibri"/>
          <w:i/>
          <w:iCs/>
          <w:noProof/>
        </w:rPr>
        <w:t>Handbook of Cannabis and Related Pathologies: Biology, Pharmacology, Diagnosis, and Treatment</w:t>
      </w:r>
      <w:r w:rsidR="004D25ED" w:rsidRPr="004D25ED">
        <w:rPr>
          <w:rFonts w:ascii="Calibri" w:hAnsi="Calibri" w:cs="Calibri"/>
          <w:noProof/>
        </w:rPr>
        <w:t xml:space="preserve"> (Vol. 68, pp. 573–583). https://doi.org/10.1016/B978-0-12-800756-3.00070-3</w:t>
      </w:r>
    </w:p>
    <w:p w14:paraId="137B2A05"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Cawston, Erin E., Redmond, W. J., Breen, C. M., Grimsey, N. L., Connor, M., &amp; Glass, M. (2013). Real-time characterization of cannabinoid receptor 1 (CB1) allosteric modulators reveals novel mechanism of action. </w:t>
      </w:r>
      <w:r w:rsidRPr="004D25ED">
        <w:rPr>
          <w:rFonts w:ascii="Calibri" w:hAnsi="Calibri" w:cs="Calibri"/>
          <w:i/>
          <w:iCs/>
          <w:noProof/>
        </w:rPr>
        <w:t>British Journal of Pharmacology</w:t>
      </w:r>
      <w:r w:rsidRPr="004D25ED">
        <w:rPr>
          <w:rFonts w:ascii="Calibri" w:hAnsi="Calibri" w:cs="Calibri"/>
          <w:noProof/>
        </w:rPr>
        <w:t xml:space="preserve">, </w:t>
      </w:r>
      <w:r w:rsidRPr="004D25ED">
        <w:rPr>
          <w:rFonts w:ascii="Calibri" w:hAnsi="Calibri" w:cs="Calibri"/>
          <w:i/>
          <w:iCs/>
          <w:noProof/>
        </w:rPr>
        <w:t>170</w:t>
      </w:r>
      <w:r w:rsidRPr="004D25ED">
        <w:rPr>
          <w:rFonts w:ascii="Calibri" w:hAnsi="Calibri" w:cs="Calibri"/>
          <w:noProof/>
        </w:rPr>
        <w:t>(4), 893–907. https://doi.org/10.1111/bph.12329</w:t>
      </w:r>
    </w:p>
    <w:p w14:paraId="7707CE3D"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Giros, B., Jaber, M., Jones, S. R., Wightman, R. M., &amp; Caron, M. G. (1996). Hyperlocomotion and indifference to cocaine and amphetamine in mice lacking the dopamine transporter. </w:t>
      </w:r>
      <w:r w:rsidRPr="004D25ED">
        <w:rPr>
          <w:rFonts w:ascii="Calibri" w:hAnsi="Calibri" w:cs="Calibri"/>
          <w:i/>
          <w:iCs/>
          <w:noProof/>
        </w:rPr>
        <w:t>Nature</w:t>
      </w:r>
      <w:r w:rsidRPr="004D25ED">
        <w:rPr>
          <w:rFonts w:ascii="Calibri" w:hAnsi="Calibri" w:cs="Calibri"/>
          <w:noProof/>
        </w:rPr>
        <w:t xml:space="preserve">, </w:t>
      </w:r>
      <w:r w:rsidRPr="004D25ED">
        <w:rPr>
          <w:rFonts w:ascii="Calibri" w:hAnsi="Calibri" w:cs="Calibri"/>
          <w:i/>
          <w:iCs/>
          <w:noProof/>
        </w:rPr>
        <w:t>379</w:t>
      </w:r>
      <w:r w:rsidRPr="004D25ED">
        <w:rPr>
          <w:rFonts w:ascii="Calibri" w:hAnsi="Calibri" w:cs="Calibri"/>
          <w:noProof/>
        </w:rPr>
        <w:t>(6566), 606–612. https://doi.org/10.1038/379606a0</w:t>
      </w:r>
    </w:p>
    <w:p w14:paraId="018004DB"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Hunter, M. R., Finlay, D. B., Macdonald, C. E., Cawston, E. E., Grimsey, N. L., &amp; Glass, M. (2017). Real-Time Measurement of Cannabinoid Receptor-Mediated cAMP Signaling. In </w:t>
      </w:r>
      <w:r w:rsidRPr="004D25ED">
        <w:rPr>
          <w:rFonts w:ascii="Calibri" w:hAnsi="Calibri" w:cs="Calibri"/>
          <w:i/>
          <w:iCs/>
          <w:noProof/>
        </w:rPr>
        <w:t>Methods in Enzymology</w:t>
      </w:r>
      <w:r w:rsidRPr="004D25ED">
        <w:rPr>
          <w:rFonts w:ascii="Calibri" w:hAnsi="Calibri" w:cs="Calibri"/>
          <w:noProof/>
        </w:rPr>
        <w:t xml:space="preserve"> (Vol. 593, pp. 43–59). Academic Press Inc. https://doi.org/10.1016/bs.mie.2017.05.001</w:t>
      </w:r>
    </w:p>
    <w:p w14:paraId="2747016E"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Islam, R., Trépanier, M.-O., Milenkovic, M., Horsfall, W., Salahpour, A., Bazinet, R. P., &amp; Ramsey, A. J. (2017). Vulnerability to omega-3 deprivation in a mouse model of NMDA receptor. </w:t>
      </w:r>
      <w:r w:rsidRPr="004D25ED">
        <w:rPr>
          <w:rFonts w:ascii="Calibri" w:hAnsi="Calibri" w:cs="Calibri"/>
          <w:i/>
          <w:iCs/>
          <w:noProof/>
        </w:rPr>
        <w:t>Npj Schizophrenia</w:t>
      </w:r>
      <w:r w:rsidRPr="004D25ED">
        <w:rPr>
          <w:rFonts w:ascii="Calibri" w:hAnsi="Calibri" w:cs="Calibri"/>
          <w:noProof/>
        </w:rPr>
        <w:t xml:space="preserve">, </w:t>
      </w:r>
      <w:r w:rsidRPr="004D25ED">
        <w:rPr>
          <w:rFonts w:ascii="Calibri" w:hAnsi="Calibri" w:cs="Calibri"/>
          <w:i/>
          <w:iCs/>
          <w:noProof/>
        </w:rPr>
        <w:t>3</w:t>
      </w:r>
      <w:r w:rsidRPr="004D25ED">
        <w:rPr>
          <w:rFonts w:ascii="Calibri" w:hAnsi="Calibri" w:cs="Calibri"/>
          <w:noProof/>
        </w:rPr>
        <w:t>(1), 12. https://doi.org/10.1038/s41537-017-0014-8</w:t>
      </w:r>
    </w:p>
    <w:p w14:paraId="6A0E9175"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Kerns, E. H., &amp; Di, L. (2008). </w:t>
      </w:r>
      <w:r w:rsidRPr="004D25ED">
        <w:rPr>
          <w:rFonts w:ascii="Calibri" w:hAnsi="Calibri" w:cs="Calibri"/>
          <w:i/>
          <w:iCs/>
          <w:noProof/>
        </w:rPr>
        <w:t>Drug-like Properties: Concepts, Structure Design and Methods</w:t>
      </w:r>
      <w:r w:rsidRPr="004D25ED">
        <w:rPr>
          <w:rFonts w:ascii="Calibri" w:hAnsi="Calibri" w:cs="Calibri"/>
          <w:noProof/>
        </w:rPr>
        <w:t xml:space="preserve">. </w:t>
      </w:r>
      <w:r w:rsidRPr="004D25ED">
        <w:rPr>
          <w:rFonts w:ascii="Calibri" w:hAnsi="Calibri" w:cs="Calibri"/>
          <w:i/>
          <w:iCs/>
          <w:noProof/>
        </w:rPr>
        <w:t>Drug-like Properties: Concepts, Structure Design and Methods</w:t>
      </w:r>
      <w:r w:rsidRPr="004D25ED">
        <w:rPr>
          <w:rFonts w:ascii="Calibri" w:hAnsi="Calibri" w:cs="Calibri"/>
          <w:noProof/>
        </w:rPr>
        <w:t>. Elsevier Inc.</w:t>
      </w:r>
    </w:p>
    <w:p w14:paraId="4BEF1932"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Li, M., Fletcher, P. J., &amp; Kapur, S. (2007). Time course of the antipsychotic effect and the underlying behavioral mechanisms. </w:t>
      </w:r>
      <w:r w:rsidRPr="004D25ED">
        <w:rPr>
          <w:rFonts w:ascii="Calibri" w:hAnsi="Calibri" w:cs="Calibri"/>
          <w:i/>
          <w:iCs/>
          <w:noProof/>
        </w:rPr>
        <w:t>Neuropsychopharmacology</w:t>
      </w:r>
      <w:r w:rsidRPr="004D25ED">
        <w:rPr>
          <w:rFonts w:ascii="Calibri" w:hAnsi="Calibri" w:cs="Calibri"/>
          <w:noProof/>
        </w:rPr>
        <w:t xml:space="preserve">, </w:t>
      </w:r>
      <w:r w:rsidRPr="004D25ED">
        <w:rPr>
          <w:rFonts w:ascii="Calibri" w:hAnsi="Calibri" w:cs="Calibri"/>
          <w:i/>
          <w:iCs/>
          <w:noProof/>
        </w:rPr>
        <w:t>32</w:t>
      </w:r>
      <w:r w:rsidRPr="004D25ED">
        <w:rPr>
          <w:rFonts w:ascii="Calibri" w:hAnsi="Calibri" w:cs="Calibri"/>
          <w:noProof/>
        </w:rPr>
        <w:t>(2), 263–272. https://doi.org/10.1038/sj.npp.1301110</w:t>
      </w:r>
    </w:p>
    <w:p w14:paraId="2EA673AC"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Mielnik, C. A. A., Horsfall, W., &amp; Ramsey, A. J. J. (2014). Diazepam improves aspects of social behaviour and neuron activation in NMDA receptor-deficient mice. </w:t>
      </w:r>
      <w:r w:rsidRPr="004D25ED">
        <w:rPr>
          <w:rFonts w:ascii="Calibri" w:hAnsi="Calibri" w:cs="Calibri"/>
          <w:i/>
          <w:iCs/>
          <w:noProof/>
        </w:rPr>
        <w:t xml:space="preserve">Genes, Brain and </w:t>
      </w:r>
      <w:r w:rsidRPr="004D25ED">
        <w:rPr>
          <w:rFonts w:ascii="Calibri" w:hAnsi="Calibri" w:cs="Calibri"/>
          <w:i/>
          <w:iCs/>
          <w:noProof/>
        </w:rPr>
        <w:lastRenderedPageBreak/>
        <w:t>Behavior</w:t>
      </w:r>
      <w:r w:rsidRPr="004D25ED">
        <w:rPr>
          <w:rFonts w:ascii="Calibri" w:hAnsi="Calibri" w:cs="Calibri"/>
          <w:noProof/>
        </w:rPr>
        <w:t xml:space="preserve">, </w:t>
      </w:r>
      <w:r w:rsidRPr="004D25ED">
        <w:rPr>
          <w:rFonts w:ascii="Calibri" w:hAnsi="Calibri" w:cs="Calibri"/>
          <w:i/>
          <w:iCs/>
          <w:noProof/>
        </w:rPr>
        <w:t>13</w:t>
      </w:r>
      <w:r w:rsidRPr="004D25ED">
        <w:rPr>
          <w:rFonts w:ascii="Calibri" w:hAnsi="Calibri" w:cs="Calibri"/>
          <w:noProof/>
        </w:rPr>
        <w:t>(7), 592–602. https://doi.org/10.1111/gbb.12155</w:t>
      </w:r>
    </w:p>
    <w:p w14:paraId="42B06586"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Milenkovic, M., Mielnik, C. A. A., &amp; Ramsey, A. J. J. (2014). NMDA receptor-deficient mice display sexual dimorphism in the onset and severity of behavioural abnormalities. </w:t>
      </w:r>
      <w:r w:rsidRPr="004D25ED">
        <w:rPr>
          <w:rFonts w:ascii="Calibri" w:hAnsi="Calibri" w:cs="Calibri"/>
          <w:i/>
          <w:iCs/>
          <w:noProof/>
        </w:rPr>
        <w:t>Genes, Brain and Behavior</w:t>
      </w:r>
      <w:r w:rsidRPr="004D25ED">
        <w:rPr>
          <w:rFonts w:ascii="Calibri" w:hAnsi="Calibri" w:cs="Calibri"/>
          <w:noProof/>
        </w:rPr>
        <w:t xml:space="preserve">, </w:t>
      </w:r>
      <w:r w:rsidRPr="004D25ED">
        <w:rPr>
          <w:rFonts w:ascii="Calibri" w:hAnsi="Calibri" w:cs="Calibri"/>
          <w:i/>
          <w:iCs/>
          <w:noProof/>
        </w:rPr>
        <w:t>13</w:t>
      </w:r>
      <w:r w:rsidRPr="004D25ED">
        <w:rPr>
          <w:rFonts w:ascii="Calibri" w:hAnsi="Calibri" w:cs="Calibri"/>
          <w:noProof/>
        </w:rPr>
        <w:t>(8), 850–862. https://doi.org/10.1111/gbb.12183</w:t>
      </w:r>
    </w:p>
    <w:p w14:paraId="0433AFEF"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Mohn, A. R., Gainetdinov, R. R., Caron, M. G., &amp; Koller, B. H. (1999). Mice with reduced NMDA receptor expression display behaviors related to schizophrenia. </w:t>
      </w:r>
      <w:r w:rsidRPr="004D25ED">
        <w:rPr>
          <w:rFonts w:ascii="Calibri" w:hAnsi="Calibri" w:cs="Calibri"/>
          <w:i/>
          <w:iCs/>
          <w:noProof/>
        </w:rPr>
        <w:t>Cell</w:t>
      </w:r>
      <w:r w:rsidRPr="004D25ED">
        <w:rPr>
          <w:rFonts w:ascii="Calibri" w:hAnsi="Calibri" w:cs="Calibri"/>
          <w:noProof/>
        </w:rPr>
        <w:t xml:space="preserve">, </w:t>
      </w:r>
      <w:r w:rsidRPr="004D25ED">
        <w:rPr>
          <w:rFonts w:ascii="Calibri" w:hAnsi="Calibri" w:cs="Calibri"/>
          <w:i/>
          <w:iCs/>
          <w:noProof/>
        </w:rPr>
        <w:t>98</w:t>
      </w:r>
      <w:r w:rsidRPr="004D25ED">
        <w:rPr>
          <w:rFonts w:ascii="Calibri" w:hAnsi="Calibri" w:cs="Calibri"/>
          <w:noProof/>
        </w:rPr>
        <w:t>(4), 427–436. https://doi.org/10.1016/S0092-8674(00)81972-8</w:t>
      </w:r>
    </w:p>
    <w:p w14:paraId="4DF106AA"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Ross, R. A., Brockie, H. C., Stevenson, L. A., Murphy, V. L., Templeton, F., Makriyannis, A., &amp; Pertwee, R. G. (1999). Agonist-inverse agonist characterization at CB1 and CB2 cannabinoid receptors of L759633, L759656 and AM630. </w:t>
      </w:r>
      <w:r w:rsidRPr="004D25ED">
        <w:rPr>
          <w:rFonts w:ascii="Calibri" w:hAnsi="Calibri" w:cs="Calibri"/>
          <w:i/>
          <w:iCs/>
          <w:noProof/>
        </w:rPr>
        <w:t>British Journal of Pharmacology</w:t>
      </w:r>
      <w:r w:rsidRPr="004D25ED">
        <w:rPr>
          <w:rFonts w:ascii="Calibri" w:hAnsi="Calibri" w:cs="Calibri"/>
          <w:noProof/>
        </w:rPr>
        <w:t xml:space="preserve">, </w:t>
      </w:r>
      <w:r w:rsidRPr="004D25ED">
        <w:rPr>
          <w:rFonts w:ascii="Calibri" w:hAnsi="Calibri" w:cs="Calibri"/>
          <w:i/>
          <w:iCs/>
          <w:noProof/>
        </w:rPr>
        <w:t>126</w:t>
      </w:r>
      <w:r w:rsidRPr="004D25ED">
        <w:rPr>
          <w:rFonts w:ascii="Calibri" w:hAnsi="Calibri" w:cs="Calibri"/>
          <w:noProof/>
        </w:rPr>
        <w:t>(3), 665–672. https://doi.org/10.1038/sj.bjp.0702351</w:t>
      </w:r>
    </w:p>
    <w:p w14:paraId="3299935B" w14:textId="77777777" w:rsidR="004D25ED" w:rsidRPr="004D25ED" w:rsidRDefault="004D25ED" w:rsidP="00ED7420">
      <w:pPr>
        <w:widowControl w:val="0"/>
        <w:autoSpaceDE w:val="0"/>
        <w:autoSpaceDN w:val="0"/>
        <w:adjustRightInd w:val="0"/>
        <w:spacing w:after="160" w:line="360" w:lineRule="auto"/>
        <w:ind w:left="480" w:hanging="480"/>
        <w:rPr>
          <w:rFonts w:ascii="Calibri" w:hAnsi="Calibri" w:cs="Calibri"/>
          <w:noProof/>
        </w:rPr>
      </w:pPr>
      <w:r w:rsidRPr="004D25ED">
        <w:rPr>
          <w:rFonts w:ascii="Calibri" w:hAnsi="Calibri" w:cs="Calibri"/>
          <w:noProof/>
        </w:rPr>
        <w:t xml:space="preserve">Stiefl, N., Gedeck, P., Chin, D., Hunt, P., Lindvall, M., Spiegel, K., … Totrov, M. (2015). FOCUS - Development of a global communication and modeling platform for applied and computational medicinal chemists. </w:t>
      </w:r>
      <w:r w:rsidRPr="004D25ED">
        <w:rPr>
          <w:rFonts w:ascii="Calibri" w:hAnsi="Calibri" w:cs="Calibri"/>
          <w:i/>
          <w:iCs/>
          <w:noProof/>
        </w:rPr>
        <w:t>Journal of Chemical Information and Modeling</w:t>
      </w:r>
      <w:r w:rsidRPr="004D25ED">
        <w:rPr>
          <w:rFonts w:ascii="Calibri" w:hAnsi="Calibri" w:cs="Calibri"/>
          <w:noProof/>
        </w:rPr>
        <w:t xml:space="preserve">, </w:t>
      </w:r>
      <w:r w:rsidRPr="004D25ED">
        <w:rPr>
          <w:rFonts w:ascii="Calibri" w:hAnsi="Calibri" w:cs="Calibri"/>
          <w:i/>
          <w:iCs/>
          <w:noProof/>
        </w:rPr>
        <w:t>55</w:t>
      </w:r>
      <w:r w:rsidRPr="004D25ED">
        <w:rPr>
          <w:rFonts w:ascii="Calibri" w:hAnsi="Calibri" w:cs="Calibri"/>
          <w:noProof/>
        </w:rPr>
        <w:t>(4), 896–908. https://doi.org/10.1021/ci500598e</w:t>
      </w:r>
    </w:p>
    <w:p w14:paraId="5C958CF2" w14:textId="48B6DD9A" w:rsidR="00D52D3C" w:rsidRPr="00506C9D" w:rsidRDefault="00D52D3C" w:rsidP="00ED7420">
      <w:pPr>
        <w:widowControl w:val="0"/>
        <w:autoSpaceDE w:val="0"/>
        <w:autoSpaceDN w:val="0"/>
        <w:adjustRightInd w:val="0"/>
        <w:spacing w:after="160" w:line="360" w:lineRule="auto"/>
        <w:ind w:left="480" w:hanging="480"/>
        <w:rPr>
          <w:rFonts w:ascii="Calibri" w:hAnsi="Calibri" w:cs="Calibri"/>
          <w:i/>
        </w:rPr>
      </w:pPr>
      <w:r w:rsidRPr="00506C9D">
        <w:rPr>
          <w:rFonts w:ascii="Calibri" w:hAnsi="Calibri" w:cs="Calibri"/>
          <w:i/>
        </w:rPr>
        <w:fldChar w:fldCharType="end"/>
      </w:r>
      <w:r w:rsidRPr="00506C9D">
        <w:rPr>
          <w:rFonts w:ascii="Calibri" w:hAnsi="Calibri" w:cs="Calibri"/>
          <w:bCs/>
          <w:lang w:val="en-CA"/>
        </w:rPr>
        <w:br w:type="page"/>
      </w:r>
    </w:p>
    <w:p w14:paraId="704D1181" w14:textId="04CED9F2" w:rsidR="00360E32" w:rsidRPr="00506C9D" w:rsidRDefault="00D52D3C" w:rsidP="009F2EC0">
      <w:pPr>
        <w:rPr>
          <w:rFonts w:ascii="Calibri" w:hAnsi="Calibri" w:cs="Calibri"/>
          <w:b/>
          <w:bCs/>
        </w:rPr>
      </w:pPr>
      <w:r w:rsidRPr="00506C9D">
        <w:rPr>
          <w:rFonts w:ascii="Calibri" w:hAnsi="Calibri" w:cs="Calibri"/>
          <w:b/>
          <w:bCs/>
        </w:rPr>
        <w:lastRenderedPageBreak/>
        <w:t>SUPPL</w:t>
      </w:r>
      <w:r w:rsidR="00EC0E5F" w:rsidRPr="00506C9D">
        <w:rPr>
          <w:rFonts w:ascii="Calibri" w:hAnsi="Calibri" w:cs="Calibri"/>
          <w:b/>
          <w:bCs/>
        </w:rPr>
        <w:t>E</w:t>
      </w:r>
      <w:r w:rsidRPr="00506C9D">
        <w:rPr>
          <w:rFonts w:ascii="Calibri" w:hAnsi="Calibri" w:cs="Calibri"/>
          <w:b/>
          <w:bCs/>
        </w:rPr>
        <w:t>MENTARY FIGURES</w:t>
      </w:r>
    </w:p>
    <w:p w14:paraId="3AD87E48" w14:textId="77777777" w:rsidR="000C2573" w:rsidRPr="00506C9D" w:rsidRDefault="000C2573" w:rsidP="009F2EC0">
      <w:r w:rsidRPr="00506C9D">
        <w:rPr>
          <w:noProof/>
        </w:rPr>
        <w:drawing>
          <wp:inline distT="0" distB="0" distL="0" distR="0" wp14:anchorId="67AEEE3E" wp14:editId="3CF6B4AA">
            <wp:extent cx="4901565" cy="3304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565" cy="3304540"/>
                    </a:xfrm>
                    <a:prstGeom prst="rect">
                      <a:avLst/>
                    </a:prstGeom>
                    <a:noFill/>
                  </pic:spPr>
                </pic:pic>
              </a:graphicData>
            </a:graphic>
          </wp:inline>
        </w:drawing>
      </w:r>
    </w:p>
    <w:p w14:paraId="7C5D2AE4" w14:textId="242C76B9" w:rsidR="003D4CB2" w:rsidRPr="009F2EC0" w:rsidRDefault="000C2573" w:rsidP="009F2EC0">
      <w:pPr>
        <w:pStyle w:val="Caption"/>
        <w:keepNext/>
        <w:spacing w:line="240" w:lineRule="auto"/>
        <w:rPr>
          <w:rFonts w:asciiTheme="minorHAnsi" w:hAnsiTheme="minorHAnsi"/>
          <w:b w:val="0"/>
          <w:bCs w:val="0"/>
          <w:sz w:val="24"/>
          <w:szCs w:val="24"/>
        </w:rPr>
      </w:pPr>
      <w:r w:rsidRPr="00506C9D">
        <w:rPr>
          <w:rFonts w:asciiTheme="minorHAnsi" w:hAnsiTheme="minorHAnsi"/>
          <w:sz w:val="24"/>
          <w:szCs w:val="24"/>
        </w:rPr>
        <w:t xml:space="preserve">Figure </w:t>
      </w:r>
      <w:r w:rsidR="00B64613" w:rsidRPr="00506C9D">
        <w:rPr>
          <w:rFonts w:asciiTheme="minorHAnsi" w:hAnsiTheme="minorHAnsi"/>
          <w:sz w:val="24"/>
          <w:szCs w:val="24"/>
        </w:rPr>
        <w:t>S</w:t>
      </w:r>
      <w:r w:rsidRPr="00506C9D">
        <w:rPr>
          <w:rFonts w:asciiTheme="minorHAnsi" w:hAnsiTheme="minorHAnsi"/>
          <w:sz w:val="24"/>
          <w:szCs w:val="24"/>
        </w:rPr>
        <w:t>1.</w:t>
      </w:r>
      <w:r w:rsidR="00195A67" w:rsidRPr="00506C9D">
        <w:rPr>
          <w:rFonts w:asciiTheme="minorHAnsi" w:hAnsiTheme="minorHAnsi"/>
          <w:b w:val="0"/>
          <w:sz w:val="24"/>
          <w:szCs w:val="24"/>
        </w:rPr>
        <w:t xml:space="preserve"> </w:t>
      </w:r>
      <w:bookmarkStart w:id="2" w:name="_Toc26277624"/>
      <w:r w:rsidR="00195A67" w:rsidRPr="00506C9D">
        <w:rPr>
          <w:rFonts w:asciiTheme="minorHAnsi" w:hAnsiTheme="minorHAnsi"/>
          <w:sz w:val="24"/>
          <w:szCs w:val="24"/>
        </w:rPr>
        <w:t xml:space="preserve">In vivo pharmacokinetic profile of ABM300.  </w:t>
      </w:r>
      <w:r w:rsidR="00195A67" w:rsidRPr="00506C9D">
        <w:rPr>
          <w:rFonts w:asciiTheme="minorHAnsi" w:hAnsiTheme="minorHAnsi"/>
          <w:b w:val="0"/>
          <w:bCs w:val="0"/>
          <w:sz w:val="24"/>
          <w:szCs w:val="24"/>
        </w:rPr>
        <w:t xml:space="preserve">Male C56BL/6 mice were administered a single intraperitoneal </w:t>
      </w:r>
      <w:bookmarkEnd w:id="2"/>
      <w:r w:rsidR="00195A67" w:rsidRPr="00506C9D">
        <w:rPr>
          <w:rFonts w:asciiTheme="minorHAnsi" w:hAnsiTheme="minorHAnsi"/>
          <w:b w:val="0"/>
          <w:bCs w:val="0"/>
          <w:sz w:val="24"/>
          <w:szCs w:val="24"/>
        </w:rPr>
        <w:t>injection of 10 mg/kg ABM300. Samples were collected from a set of 3 mice at each of the indicated time-points, and the levels of ABM300 in plasma (ng/ml) and brain (ng/g) were quantified using LC-MS/MS as described in the Supplementary Information.  Results are shown as the mean +/- SD (n=3) of the plasma or brain concentration of ABM300.</w:t>
      </w:r>
    </w:p>
    <w:p w14:paraId="699230B1" w14:textId="77777777" w:rsidR="00ED7420" w:rsidRDefault="00ED7420" w:rsidP="009F2EC0">
      <w:pPr>
        <w:rPr>
          <w:rFonts w:cs="Arial"/>
        </w:rPr>
      </w:pPr>
      <w:r>
        <w:rPr>
          <w:rFonts w:cs="Arial"/>
        </w:rPr>
        <w:br w:type="page"/>
      </w:r>
    </w:p>
    <w:p w14:paraId="5BFDC41E" w14:textId="682B8B77" w:rsidR="000C2573" w:rsidRPr="00506C9D" w:rsidRDefault="000C2573" w:rsidP="009F2EC0">
      <w:r w:rsidRPr="00506C9D">
        <w:rPr>
          <w:rFonts w:cs="Arial"/>
        </w:rPr>
        <w:lastRenderedPageBreak/>
        <w:t xml:space="preserve">Table </w:t>
      </w:r>
      <w:r w:rsidR="00B64613" w:rsidRPr="00506C9D">
        <w:rPr>
          <w:rFonts w:cs="Arial"/>
        </w:rPr>
        <w:t>S</w:t>
      </w:r>
      <w:r w:rsidRPr="00506C9D">
        <w:rPr>
          <w:rFonts w:cs="Arial"/>
        </w:rPr>
        <w:t>1</w:t>
      </w:r>
      <w:r w:rsidR="003D4CB2" w:rsidRPr="00506C9D">
        <w:rPr>
          <w:rFonts w:cs="Arial"/>
          <w:b/>
          <w:bCs/>
        </w:rPr>
        <w:t>. In vivo pharmacokinetic profile of ABM300 following IP route of administration.</w:t>
      </w:r>
    </w:p>
    <w:tbl>
      <w:tblPr>
        <w:tblW w:w="7185" w:type="dxa"/>
        <w:jc w:val="center"/>
        <w:tblBorders>
          <w:top w:val="single" w:sz="12" w:space="0" w:color="auto"/>
          <w:bottom w:val="single" w:sz="12" w:space="0" w:color="auto"/>
        </w:tblBorders>
        <w:tblLayout w:type="fixed"/>
        <w:tblLook w:val="04A0" w:firstRow="1" w:lastRow="0" w:firstColumn="1" w:lastColumn="0" w:noHBand="0" w:noVBand="1"/>
      </w:tblPr>
      <w:tblGrid>
        <w:gridCol w:w="815"/>
        <w:gridCol w:w="885"/>
        <w:gridCol w:w="1069"/>
        <w:gridCol w:w="701"/>
        <w:gridCol w:w="1180"/>
        <w:gridCol w:w="1127"/>
        <w:gridCol w:w="1408"/>
      </w:tblGrid>
      <w:tr w:rsidR="000C2573" w:rsidRPr="00506C9D" w14:paraId="4027CED1" w14:textId="77777777" w:rsidTr="00471FD9">
        <w:trPr>
          <w:trHeight w:val="369"/>
          <w:jc w:val="center"/>
        </w:trPr>
        <w:tc>
          <w:tcPr>
            <w:tcW w:w="567" w:type="pct"/>
            <w:tcBorders>
              <w:top w:val="single" w:sz="12" w:space="0" w:color="auto"/>
              <w:left w:val="nil"/>
              <w:bottom w:val="single" w:sz="12" w:space="0" w:color="auto"/>
              <w:right w:val="nil"/>
            </w:tcBorders>
            <w:vAlign w:val="center"/>
            <w:hideMark/>
          </w:tcPr>
          <w:p w14:paraId="7EF3B934" w14:textId="77777777" w:rsidR="000C2573" w:rsidRPr="00506C9D" w:rsidRDefault="000C2573" w:rsidP="009F2EC0">
            <w:pPr>
              <w:ind w:left="-98" w:right="-127"/>
              <w:rPr>
                <w:b/>
                <w:sz w:val="20"/>
              </w:rPr>
            </w:pPr>
            <w:r w:rsidRPr="00506C9D">
              <w:rPr>
                <w:b/>
                <w:sz w:val="20"/>
              </w:rPr>
              <w:t>Route</w:t>
            </w:r>
          </w:p>
        </w:tc>
        <w:tc>
          <w:tcPr>
            <w:tcW w:w="616" w:type="pct"/>
            <w:tcBorders>
              <w:top w:val="single" w:sz="12" w:space="0" w:color="auto"/>
              <w:left w:val="nil"/>
              <w:bottom w:val="single" w:sz="12" w:space="0" w:color="auto"/>
              <w:right w:val="nil"/>
            </w:tcBorders>
            <w:vAlign w:val="center"/>
            <w:hideMark/>
          </w:tcPr>
          <w:p w14:paraId="6714FB25" w14:textId="77777777" w:rsidR="000C2573" w:rsidRPr="00506C9D" w:rsidRDefault="000C2573" w:rsidP="009F2EC0">
            <w:pPr>
              <w:ind w:left="-98" w:right="-127"/>
              <w:rPr>
                <w:b/>
                <w:sz w:val="20"/>
              </w:rPr>
            </w:pPr>
            <w:r w:rsidRPr="00506C9D">
              <w:rPr>
                <w:b/>
                <w:sz w:val="20"/>
              </w:rPr>
              <w:t>Dose</w:t>
            </w:r>
          </w:p>
          <w:p w14:paraId="2AF3B301" w14:textId="77777777" w:rsidR="000C2573" w:rsidRPr="00506C9D" w:rsidRDefault="000C2573" w:rsidP="009F2EC0">
            <w:pPr>
              <w:ind w:left="-98" w:right="-127"/>
              <w:rPr>
                <w:b/>
                <w:sz w:val="20"/>
              </w:rPr>
            </w:pPr>
            <w:r w:rsidRPr="00506C9D">
              <w:rPr>
                <w:b/>
                <w:sz w:val="20"/>
              </w:rPr>
              <w:t>(mg/kg)</w:t>
            </w:r>
          </w:p>
        </w:tc>
        <w:tc>
          <w:tcPr>
            <w:tcW w:w="744" w:type="pct"/>
            <w:tcBorders>
              <w:top w:val="single" w:sz="12" w:space="0" w:color="auto"/>
              <w:left w:val="nil"/>
              <w:bottom w:val="single" w:sz="12" w:space="0" w:color="auto"/>
              <w:right w:val="nil"/>
            </w:tcBorders>
            <w:vAlign w:val="center"/>
            <w:hideMark/>
          </w:tcPr>
          <w:p w14:paraId="6226EACD" w14:textId="77777777" w:rsidR="000C2573" w:rsidRPr="00506C9D" w:rsidRDefault="000C2573" w:rsidP="009F2EC0">
            <w:pPr>
              <w:rPr>
                <w:b/>
                <w:sz w:val="20"/>
              </w:rPr>
            </w:pPr>
            <w:r w:rsidRPr="00506C9D">
              <w:rPr>
                <w:b/>
                <w:sz w:val="20"/>
              </w:rPr>
              <w:t>Matrix</w:t>
            </w:r>
          </w:p>
        </w:tc>
        <w:tc>
          <w:tcPr>
            <w:tcW w:w="488" w:type="pct"/>
            <w:tcBorders>
              <w:top w:val="single" w:sz="12" w:space="0" w:color="auto"/>
              <w:left w:val="nil"/>
              <w:bottom w:val="single" w:sz="12" w:space="0" w:color="auto"/>
              <w:right w:val="nil"/>
            </w:tcBorders>
            <w:vAlign w:val="center"/>
            <w:hideMark/>
          </w:tcPr>
          <w:p w14:paraId="0A0AB895" w14:textId="77777777" w:rsidR="000C2573" w:rsidRPr="00506C9D" w:rsidRDefault="000C2573" w:rsidP="009F2EC0">
            <w:pPr>
              <w:rPr>
                <w:b/>
                <w:sz w:val="20"/>
              </w:rPr>
            </w:pPr>
            <w:proofErr w:type="spellStart"/>
            <w:r w:rsidRPr="00506C9D">
              <w:rPr>
                <w:b/>
                <w:sz w:val="20"/>
              </w:rPr>
              <w:t>T</w:t>
            </w:r>
            <w:r w:rsidRPr="00506C9D">
              <w:rPr>
                <w:b/>
                <w:sz w:val="20"/>
                <w:vertAlign w:val="subscript"/>
              </w:rPr>
              <w:t>max</w:t>
            </w:r>
            <w:proofErr w:type="spellEnd"/>
          </w:p>
          <w:p w14:paraId="5857D424" w14:textId="77777777" w:rsidR="000C2573" w:rsidRPr="00506C9D" w:rsidRDefault="000C2573" w:rsidP="009F2EC0">
            <w:pPr>
              <w:rPr>
                <w:b/>
                <w:sz w:val="20"/>
              </w:rPr>
            </w:pPr>
            <w:r w:rsidRPr="00506C9D">
              <w:rPr>
                <w:b/>
                <w:sz w:val="20"/>
              </w:rPr>
              <w:t>(</w:t>
            </w:r>
            <w:proofErr w:type="spellStart"/>
            <w:r w:rsidRPr="00506C9D">
              <w:rPr>
                <w:b/>
                <w:sz w:val="20"/>
              </w:rPr>
              <w:t>hr</w:t>
            </w:r>
            <w:proofErr w:type="spellEnd"/>
            <w:r w:rsidRPr="00506C9D">
              <w:rPr>
                <w:b/>
                <w:sz w:val="20"/>
              </w:rPr>
              <w:t>)</w:t>
            </w:r>
          </w:p>
        </w:tc>
        <w:tc>
          <w:tcPr>
            <w:tcW w:w="821" w:type="pct"/>
            <w:tcBorders>
              <w:top w:val="single" w:sz="12" w:space="0" w:color="auto"/>
              <w:left w:val="nil"/>
              <w:bottom w:val="single" w:sz="12" w:space="0" w:color="auto"/>
              <w:right w:val="nil"/>
            </w:tcBorders>
            <w:vAlign w:val="center"/>
            <w:hideMark/>
          </w:tcPr>
          <w:p w14:paraId="3C7242C5" w14:textId="77777777" w:rsidR="000C2573" w:rsidRPr="00506C9D" w:rsidRDefault="000C2573" w:rsidP="009F2EC0">
            <w:pPr>
              <w:ind w:left="-40" w:right="-153"/>
              <w:rPr>
                <w:b/>
                <w:sz w:val="20"/>
              </w:rPr>
            </w:pPr>
            <w:proofErr w:type="spellStart"/>
            <w:r w:rsidRPr="00506C9D">
              <w:rPr>
                <w:b/>
                <w:sz w:val="20"/>
              </w:rPr>
              <w:t>C</w:t>
            </w:r>
            <w:r w:rsidRPr="00506C9D">
              <w:rPr>
                <w:b/>
                <w:sz w:val="20"/>
                <w:vertAlign w:val="subscript"/>
              </w:rPr>
              <w:t>max</w:t>
            </w:r>
            <w:proofErr w:type="spellEnd"/>
          </w:p>
          <w:p w14:paraId="0678434E" w14:textId="77777777" w:rsidR="000C2573" w:rsidRPr="00506C9D" w:rsidRDefault="000C2573" w:rsidP="009F2EC0">
            <w:pPr>
              <w:rPr>
                <w:b/>
                <w:sz w:val="20"/>
              </w:rPr>
            </w:pPr>
            <w:r w:rsidRPr="00506C9D">
              <w:rPr>
                <w:b/>
                <w:sz w:val="20"/>
              </w:rPr>
              <w:t>(ng/mL)</w:t>
            </w:r>
          </w:p>
        </w:tc>
        <w:tc>
          <w:tcPr>
            <w:tcW w:w="784" w:type="pct"/>
            <w:tcBorders>
              <w:top w:val="single" w:sz="12" w:space="0" w:color="auto"/>
              <w:left w:val="nil"/>
              <w:bottom w:val="single" w:sz="12" w:space="0" w:color="auto"/>
              <w:right w:val="nil"/>
            </w:tcBorders>
            <w:vAlign w:val="center"/>
            <w:hideMark/>
          </w:tcPr>
          <w:p w14:paraId="4EBAC29B" w14:textId="77777777" w:rsidR="000C2573" w:rsidRPr="00506C9D" w:rsidRDefault="000C2573" w:rsidP="009F2EC0">
            <w:pPr>
              <w:ind w:left="-102" w:right="-152"/>
              <w:rPr>
                <w:b/>
                <w:sz w:val="20"/>
              </w:rPr>
            </w:pPr>
            <w:proofErr w:type="spellStart"/>
            <w:r w:rsidRPr="00506C9D">
              <w:rPr>
                <w:b/>
                <w:sz w:val="20"/>
              </w:rPr>
              <w:t>AUC</w:t>
            </w:r>
            <w:r w:rsidRPr="00506C9D">
              <w:rPr>
                <w:b/>
                <w:sz w:val="20"/>
                <w:vertAlign w:val="subscript"/>
              </w:rPr>
              <w:t>last</w:t>
            </w:r>
            <w:proofErr w:type="spellEnd"/>
            <w:r w:rsidRPr="00506C9D">
              <w:rPr>
                <w:b/>
                <w:sz w:val="20"/>
                <w:vertAlign w:val="subscript"/>
              </w:rPr>
              <w:t xml:space="preserve"> </w:t>
            </w:r>
            <w:r w:rsidRPr="00506C9D">
              <w:rPr>
                <w:b/>
                <w:sz w:val="20"/>
              </w:rPr>
              <w:t>(</w:t>
            </w:r>
            <w:proofErr w:type="spellStart"/>
            <w:r w:rsidRPr="00506C9D">
              <w:rPr>
                <w:b/>
                <w:sz w:val="20"/>
              </w:rPr>
              <w:t>hr</w:t>
            </w:r>
            <w:proofErr w:type="spellEnd"/>
            <w:r w:rsidRPr="00506C9D">
              <w:rPr>
                <w:b/>
                <w:sz w:val="20"/>
              </w:rPr>
              <w:t xml:space="preserve">*ng/mL or </w:t>
            </w:r>
            <w:proofErr w:type="spellStart"/>
            <w:r w:rsidRPr="00506C9D">
              <w:rPr>
                <w:b/>
                <w:sz w:val="20"/>
              </w:rPr>
              <w:t>hr</w:t>
            </w:r>
            <w:proofErr w:type="spellEnd"/>
            <w:r w:rsidRPr="00506C9D">
              <w:rPr>
                <w:b/>
                <w:sz w:val="20"/>
              </w:rPr>
              <w:t>*ng/g)</w:t>
            </w:r>
          </w:p>
        </w:tc>
        <w:tc>
          <w:tcPr>
            <w:tcW w:w="980" w:type="pct"/>
            <w:tcBorders>
              <w:top w:val="single" w:sz="12" w:space="0" w:color="auto"/>
              <w:left w:val="nil"/>
              <w:bottom w:val="single" w:sz="12" w:space="0" w:color="auto"/>
              <w:right w:val="nil"/>
            </w:tcBorders>
            <w:vAlign w:val="center"/>
            <w:hideMark/>
          </w:tcPr>
          <w:p w14:paraId="6DC881C8" w14:textId="77777777" w:rsidR="000C2573" w:rsidRPr="00506C9D" w:rsidRDefault="000C2573" w:rsidP="009F2EC0">
            <w:pPr>
              <w:ind w:right="-96"/>
              <w:rPr>
                <w:b/>
                <w:sz w:val="20"/>
              </w:rPr>
            </w:pPr>
            <w:r w:rsidRPr="00506C9D">
              <w:rPr>
                <w:b/>
                <w:sz w:val="20"/>
              </w:rPr>
              <w:t>Ratio</w:t>
            </w:r>
          </w:p>
        </w:tc>
      </w:tr>
      <w:tr w:rsidR="000C2573" w:rsidRPr="00506C9D" w14:paraId="7F0B0383" w14:textId="77777777" w:rsidTr="00471FD9">
        <w:trPr>
          <w:trHeight w:hRule="exact" w:val="360"/>
          <w:jc w:val="center"/>
        </w:trPr>
        <w:tc>
          <w:tcPr>
            <w:tcW w:w="567" w:type="pct"/>
            <w:vMerge w:val="restart"/>
            <w:tcBorders>
              <w:top w:val="single" w:sz="4" w:space="0" w:color="auto"/>
              <w:left w:val="nil"/>
              <w:bottom w:val="single" w:sz="12" w:space="0" w:color="auto"/>
              <w:right w:val="nil"/>
            </w:tcBorders>
            <w:vAlign w:val="center"/>
            <w:hideMark/>
          </w:tcPr>
          <w:p w14:paraId="5235F6D3" w14:textId="77777777" w:rsidR="000C2573" w:rsidRPr="00506C9D" w:rsidRDefault="000C2573" w:rsidP="009F2EC0">
            <w:pPr>
              <w:rPr>
                <w:sz w:val="20"/>
              </w:rPr>
            </w:pPr>
            <w:r w:rsidRPr="00506C9D">
              <w:rPr>
                <w:sz w:val="20"/>
              </w:rPr>
              <w:t>IP</w:t>
            </w:r>
          </w:p>
        </w:tc>
        <w:tc>
          <w:tcPr>
            <w:tcW w:w="616" w:type="pct"/>
            <w:vMerge w:val="restart"/>
            <w:tcBorders>
              <w:top w:val="single" w:sz="4" w:space="0" w:color="auto"/>
              <w:left w:val="nil"/>
              <w:bottom w:val="single" w:sz="12" w:space="0" w:color="auto"/>
              <w:right w:val="nil"/>
            </w:tcBorders>
            <w:vAlign w:val="center"/>
            <w:hideMark/>
          </w:tcPr>
          <w:p w14:paraId="7B4AE0C1" w14:textId="77777777" w:rsidR="000C2573" w:rsidRPr="00506C9D" w:rsidRDefault="000C2573" w:rsidP="009F2EC0">
            <w:pPr>
              <w:rPr>
                <w:sz w:val="20"/>
              </w:rPr>
            </w:pPr>
            <w:r w:rsidRPr="00506C9D">
              <w:rPr>
                <w:sz w:val="20"/>
              </w:rPr>
              <w:t>10</w:t>
            </w:r>
          </w:p>
        </w:tc>
        <w:tc>
          <w:tcPr>
            <w:tcW w:w="744" w:type="pct"/>
            <w:tcBorders>
              <w:top w:val="single" w:sz="4" w:space="0" w:color="auto"/>
              <w:left w:val="nil"/>
              <w:bottom w:val="single" w:sz="8" w:space="0" w:color="auto"/>
              <w:right w:val="nil"/>
            </w:tcBorders>
            <w:vAlign w:val="center"/>
            <w:hideMark/>
          </w:tcPr>
          <w:p w14:paraId="029D3FBB" w14:textId="77777777" w:rsidR="000C2573" w:rsidRPr="00506C9D" w:rsidRDefault="000C2573" w:rsidP="009F2EC0">
            <w:pPr>
              <w:rPr>
                <w:sz w:val="20"/>
              </w:rPr>
            </w:pPr>
            <w:r w:rsidRPr="00506C9D">
              <w:rPr>
                <w:sz w:val="20"/>
              </w:rPr>
              <w:t>Plasma</w:t>
            </w:r>
          </w:p>
        </w:tc>
        <w:tc>
          <w:tcPr>
            <w:tcW w:w="488" w:type="pct"/>
            <w:tcBorders>
              <w:top w:val="single" w:sz="4" w:space="0" w:color="auto"/>
              <w:left w:val="nil"/>
              <w:bottom w:val="single" w:sz="2" w:space="0" w:color="auto"/>
              <w:right w:val="nil"/>
            </w:tcBorders>
            <w:vAlign w:val="center"/>
            <w:hideMark/>
          </w:tcPr>
          <w:p w14:paraId="65A2A6E6" w14:textId="77777777" w:rsidR="000C2573" w:rsidRPr="00506C9D" w:rsidRDefault="000C2573" w:rsidP="009F2EC0">
            <w:pPr>
              <w:rPr>
                <w:color w:val="000000"/>
                <w:sz w:val="20"/>
              </w:rPr>
            </w:pPr>
            <w:r w:rsidRPr="00506C9D">
              <w:rPr>
                <w:color w:val="000000"/>
                <w:sz w:val="20"/>
              </w:rPr>
              <w:t>0.50</w:t>
            </w:r>
          </w:p>
        </w:tc>
        <w:tc>
          <w:tcPr>
            <w:tcW w:w="821" w:type="pct"/>
            <w:tcBorders>
              <w:top w:val="single" w:sz="4" w:space="0" w:color="auto"/>
              <w:left w:val="nil"/>
              <w:bottom w:val="single" w:sz="2" w:space="0" w:color="auto"/>
              <w:right w:val="nil"/>
            </w:tcBorders>
            <w:vAlign w:val="center"/>
            <w:hideMark/>
          </w:tcPr>
          <w:p w14:paraId="2BE9A7B7" w14:textId="77777777" w:rsidR="000C2573" w:rsidRPr="00506C9D" w:rsidRDefault="000C2573" w:rsidP="009F2EC0">
            <w:pPr>
              <w:rPr>
                <w:color w:val="000000"/>
                <w:sz w:val="20"/>
              </w:rPr>
            </w:pPr>
            <w:r w:rsidRPr="00506C9D">
              <w:rPr>
                <w:color w:val="000000"/>
                <w:sz w:val="20"/>
              </w:rPr>
              <w:t>865.84</w:t>
            </w:r>
          </w:p>
        </w:tc>
        <w:tc>
          <w:tcPr>
            <w:tcW w:w="784" w:type="pct"/>
            <w:tcBorders>
              <w:top w:val="single" w:sz="4" w:space="0" w:color="auto"/>
              <w:left w:val="nil"/>
              <w:bottom w:val="single" w:sz="2" w:space="0" w:color="auto"/>
              <w:right w:val="nil"/>
            </w:tcBorders>
            <w:vAlign w:val="center"/>
            <w:hideMark/>
          </w:tcPr>
          <w:p w14:paraId="3DD3E003" w14:textId="77777777" w:rsidR="000C2573" w:rsidRPr="00506C9D" w:rsidRDefault="000C2573" w:rsidP="009F2EC0">
            <w:pPr>
              <w:rPr>
                <w:color w:val="000000"/>
                <w:sz w:val="20"/>
              </w:rPr>
            </w:pPr>
            <w:r w:rsidRPr="00506C9D">
              <w:rPr>
                <w:color w:val="000000"/>
                <w:sz w:val="20"/>
              </w:rPr>
              <w:t>2054.81</w:t>
            </w:r>
          </w:p>
        </w:tc>
        <w:tc>
          <w:tcPr>
            <w:tcW w:w="980" w:type="pct"/>
            <w:tcBorders>
              <w:top w:val="single" w:sz="4" w:space="0" w:color="auto"/>
              <w:left w:val="nil"/>
              <w:bottom w:val="single" w:sz="2" w:space="0" w:color="auto"/>
              <w:right w:val="nil"/>
            </w:tcBorders>
            <w:vAlign w:val="center"/>
            <w:hideMark/>
          </w:tcPr>
          <w:p w14:paraId="0445A657" w14:textId="77777777" w:rsidR="000C2573" w:rsidRPr="00506C9D" w:rsidRDefault="000C2573" w:rsidP="009F2EC0">
            <w:pPr>
              <w:rPr>
                <w:color w:val="000000"/>
                <w:sz w:val="20"/>
              </w:rPr>
            </w:pPr>
          </w:p>
        </w:tc>
      </w:tr>
      <w:tr w:rsidR="000C2573" w:rsidRPr="00506C9D" w14:paraId="459E5EFD" w14:textId="77777777" w:rsidTr="00471FD9">
        <w:trPr>
          <w:trHeight w:hRule="exact" w:val="360"/>
          <w:jc w:val="center"/>
        </w:trPr>
        <w:tc>
          <w:tcPr>
            <w:tcW w:w="814" w:type="dxa"/>
            <w:vMerge/>
            <w:tcBorders>
              <w:top w:val="single" w:sz="4" w:space="0" w:color="auto"/>
              <w:left w:val="nil"/>
              <w:bottom w:val="single" w:sz="12" w:space="0" w:color="auto"/>
              <w:right w:val="nil"/>
            </w:tcBorders>
            <w:vAlign w:val="center"/>
            <w:hideMark/>
          </w:tcPr>
          <w:p w14:paraId="6492A35C" w14:textId="77777777" w:rsidR="000C2573" w:rsidRPr="00506C9D" w:rsidRDefault="000C2573" w:rsidP="009F2EC0">
            <w:pPr>
              <w:rPr>
                <w:sz w:val="20"/>
              </w:rPr>
            </w:pPr>
          </w:p>
        </w:tc>
        <w:tc>
          <w:tcPr>
            <w:tcW w:w="885" w:type="dxa"/>
            <w:vMerge/>
            <w:tcBorders>
              <w:top w:val="single" w:sz="4" w:space="0" w:color="auto"/>
              <w:left w:val="nil"/>
              <w:bottom w:val="single" w:sz="12" w:space="0" w:color="auto"/>
              <w:right w:val="nil"/>
            </w:tcBorders>
            <w:vAlign w:val="center"/>
            <w:hideMark/>
          </w:tcPr>
          <w:p w14:paraId="6891FA7A" w14:textId="77777777" w:rsidR="000C2573" w:rsidRPr="00506C9D" w:rsidRDefault="000C2573" w:rsidP="009F2EC0">
            <w:pPr>
              <w:rPr>
                <w:sz w:val="20"/>
              </w:rPr>
            </w:pPr>
          </w:p>
        </w:tc>
        <w:tc>
          <w:tcPr>
            <w:tcW w:w="744" w:type="pct"/>
            <w:tcBorders>
              <w:top w:val="single" w:sz="4" w:space="0" w:color="auto"/>
              <w:left w:val="nil"/>
              <w:bottom w:val="single" w:sz="12" w:space="0" w:color="auto"/>
              <w:right w:val="nil"/>
            </w:tcBorders>
            <w:vAlign w:val="center"/>
            <w:hideMark/>
          </w:tcPr>
          <w:p w14:paraId="43431667" w14:textId="77777777" w:rsidR="000C2573" w:rsidRPr="00506C9D" w:rsidRDefault="000C2573" w:rsidP="009F2EC0">
            <w:pPr>
              <w:rPr>
                <w:sz w:val="20"/>
              </w:rPr>
            </w:pPr>
            <w:proofErr w:type="spellStart"/>
            <w:r w:rsidRPr="00506C9D">
              <w:rPr>
                <w:sz w:val="20"/>
              </w:rPr>
              <w:t>Brain</w:t>
            </w:r>
            <w:r w:rsidRPr="00506C9D">
              <w:rPr>
                <w:sz w:val="20"/>
                <w:vertAlign w:val="superscript"/>
              </w:rPr>
              <w:t>a</w:t>
            </w:r>
            <w:proofErr w:type="spellEnd"/>
          </w:p>
        </w:tc>
        <w:tc>
          <w:tcPr>
            <w:tcW w:w="488" w:type="pct"/>
            <w:tcBorders>
              <w:top w:val="single" w:sz="4" w:space="0" w:color="auto"/>
              <w:left w:val="nil"/>
              <w:bottom w:val="single" w:sz="12" w:space="0" w:color="auto"/>
              <w:right w:val="nil"/>
            </w:tcBorders>
            <w:vAlign w:val="center"/>
            <w:hideMark/>
          </w:tcPr>
          <w:p w14:paraId="7FBF3F76" w14:textId="77777777" w:rsidR="000C2573" w:rsidRPr="00506C9D" w:rsidRDefault="000C2573" w:rsidP="009F2EC0">
            <w:pPr>
              <w:rPr>
                <w:color w:val="000000"/>
                <w:sz w:val="20"/>
              </w:rPr>
            </w:pPr>
            <w:r w:rsidRPr="00506C9D">
              <w:rPr>
                <w:color w:val="000000"/>
                <w:sz w:val="20"/>
              </w:rPr>
              <w:t>1.00</w:t>
            </w:r>
          </w:p>
        </w:tc>
        <w:tc>
          <w:tcPr>
            <w:tcW w:w="821" w:type="pct"/>
            <w:tcBorders>
              <w:top w:val="single" w:sz="4" w:space="0" w:color="auto"/>
              <w:left w:val="nil"/>
              <w:bottom w:val="single" w:sz="12" w:space="0" w:color="auto"/>
              <w:right w:val="nil"/>
            </w:tcBorders>
            <w:vAlign w:val="center"/>
            <w:hideMark/>
          </w:tcPr>
          <w:p w14:paraId="66F28E19" w14:textId="77777777" w:rsidR="000C2573" w:rsidRPr="00506C9D" w:rsidRDefault="000C2573" w:rsidP="009F2EC0">
            <w:pPr>
              <w:rPr>
                <w:color w:val="000000"/>
                <w:sz w:val="20"/>
              </w:rPr>
            </w:pPr>
            <w:r w:rsidRPr="00506C9D">
              <w:rPr>
                <w:color w:val="000000"/>
                <w:sz w:val="20"/>
              </w:rPr>
              <w:t>411.93</w:t>
            </w:r>
          </w:p>
        </w:tc>
        <w:tc>
          <w:tcPr>
            <w:tcW w:w="784" w:type="pct"/>
            <w:tcBorders>
              <w:top w:val="single" w:sz="4" w:space="0" w:color="auto"/>
              <w:left w:val="nil"/>
              <w:bottom w:val="single" w:sz="12" w:space="0" w:color="auto"/>
              <w:right w:val="nil"/>
            </w:tcBorders>
            <w:vAlign w:val="center"/>
            <w:hideMark/>
          </w:tcPr>
          <w:p w14:paraId="02423538" w14:textId="77777777" w:rsidR="000C2573" w:rsidRPr="00506C9D" w:rsidRDefault="000C2573" w:rsidP="009F2EC0">
            <w:pPr>
              <w:rPr>
                <w:color w:val="000000"/>
                <w:sz w:val="20"/>
              </w:rPr>
            </w:pPr>
            <w:r w:rsidRPr="00506C9D">
              <w:rPr>
                <w:color w:val="000000"/>
                <w:sz w:val="20"/>
              </w:rPr>
              <w:t>1577.92</w:t>
            </w:r>
          </w:p>
        </w:tc>
        <w:tc>
          <w:tcPr>
            <w:tcW w:w="980" w:type="pct"/>
            <w:tcBorders>
              <w:top w:val="single" w:sz="4" w:space="0" w:color="auto"/>
              <w:left w:val="nil"/>
              <w:bottom w:val="single" w:sz="12" w:space="0" w:color="auto"/>
              <w:right w:val="nil"/>
            </w:tcBorders>
            <w:vAlign w:val="center"/>
            <w:hideMark/>
          </w:tcPr>
          <w:p w14:paraId="41005A8B" w14:textId="77777777" w:rsidR="000C2573" w:rsidRPr="00506C9D" w:rsidRDefault="000C2573" w:rsidP="009F2EC0">
            <w:pPr>
              <w:rPr>
                <w:color w:val="000000"/>
                <w:sz w:val="20"/>
              </w:rPr>
            </w:pPr>
            <w:r w:rsidRPr="00506C9D">
              <w:rPr>
                <w:color w:val="000000"/>
                <w:sz w:val="20"/>
              </w:rPr>
              <w:t>0.77</w:t>
            </w:r>
          </w:p>
        </w:tc>
      </w:tr>
    </w:tbl>
    <w:p w14:paraId="6F0BFCD6" w14:textId="77777777" w:rsidR="00ED7420" w:rsidRDefault="00ED7420" w:rsidP="009F2EC0">
      <w:pPr>
        <w:rPr>
          <w:rFonts w:ascii="Calibri" w:hAnsi="Calibri" w:cs="Calibri"/>
          <w:b/>
          <w:bCs/>
        </w:rPr>
      </w:pPr>
    </w:p>
    <w:p w14:paraId="0B9F6204" w14:textId="77777777" w:rsidR="00ED7420" w:rsidRDefault="00ED7420" w:rsidP="009F2EC0">
      <w:pPr>
        <w:rPr>
          <w:rFonts w:ascii="Calibri" w:hAnsi="Calibri" w:cs="Calibri"/>
          <w:b/>
          <w:bCs/>
        </w:rPr>
      </w:pPr>
    </w:p>
    <w:p w14:paraId="4B2C4FE7" w14:textId="77777777" w:rsidR="009F2EC0" w:rsidRDefault="009F2EC0" w:rsidP="009F2EC0">
      <w:pPr>
        <w:rPr>
          <w:rFonts w:cs="Arial"/>
          <w:bCs/>
        </w:rPr>
      </w:pPr>
    </w:p>
    <w:p w14:paraId="1480D598" w14:textId="77777777" w:rsidR="009F2EC0" w:rsidRDefault="009F2EC0" w:rsidP="009F2EC0">
      <w:pPr>
        <w:rPr>
          <w:rFonts w:cs="Arial"/>
          <w:bCs/>
        </w:rPr>
      </w:pPr>
    </w:p>
    <w:p w14:paraId="20770F0E" w14:textId="5D2FF96E" w:rsidR="008F24F1" w:rsidRPr="009F2EC0" w:rsidRDefault="008F24F1" w:rsidP="009F2EC0">
      <w:pPr>
        <w:rPr>
          <w:rFonts w:ascii="Calibri" w:hAnsi="Calibri" w:cs="Calibri"/>
          <w:b/>
          <w:bCs/>
        </w:rPr>
      </w:pPr>
      <w:r>
        <w:rPr>
          <w:rFonts w:cs="Arial"/>
          <w:bCs/>
        </w:rPr>
        <w:t xml:space="preserve">Table S2. </w:t>
      </w:r>
      <w:r w:rsidRPr="00433BBC">
        <w:rPr>
          <w:rFonts w:cs="Arial"/>
          <w:b/>
        </w:rPr>
        <w:t xml:space="preserve">Allosteric ternary complex model </w:t>
      </w:r>
      <w:r w:rsidR="006B48C6">
        <w:rPr>
          <w:rFonts w:cs="Arial"/>
          <w:b/>
        </w:rPr>
        <w:t xml:space="preserve">of </w:t>
      </w:r>
      <w:r w:rsidRPr="00433BBC">
        <w:rPr>
          <w:rFonts w:cs="Arial"/>
          <w:b/>
        </w:rPr>
        <w:t>binding</w:t>
      </w:r>
      <w:r w:rsidR="006B48C6">
        <w:rPr>
          <w:rFonts w:cs="Arial"/>
          <w:b/>
        </w:rPr>
        <w:t xml:space="preserve"> (</w:t>
      </w:r>
      <w:r w:rsidR="006B48C6" w:rsidRPr="00E108AF">
        <w:rPr>
          <w:b/>
          <w:bCs/>
        </w:rPr>
        <w:t>[</w:t>
      </w:r>
      <w:r w:rsidR="006B48C6" w:rsidRPr="00E108AF">
        <w:rPr>
          <w:b/>
          <w:bCs/>
          <w:vertAlign w:val="superscript"/>
        </w:rPr>
        <w:t>3</w:t>
      </w:r>
      <w:proofErr w:type="gramStart"/>
      <w:r w:rsidR="006B48C6" w:rsidRPr="00E108AF">
        <w:rPr>
          <w:b/>
          <w:bCs/>
        </w:rPr>
        <w:t>H]CP</w:t>
      </w:r>
      <w:proofErr w:type="gramEnd"/>
      <w:r w:rsidR="006B48C6" w:rsidRPr="00E108AF">
        <w:rPr>
          <w:b/>
          <w:bCs/>
        </w:rPr>
        <w:t xml:space="preserve"> 55,940</w:t>
      </w:r>
      <w:r w:rsidR="006B48C6">
        <w:rPr>
          <w:b/>
          <w:bCs/>
        </w:rPr>
        <w:t>)</w:t>
      </w:r>
      <w:r w:rsidRPr="00433BBC">
        <w:rPr>
          <w:rFonts w:cs="Arial"/>
          <w:b/>
        </w:rPr>
        <w:t xml:space="preserve"> parameters</w:t>
      </w:r>
      <w:r w:rsidRPr="00433BBC">
        <w:rPr>
          <w:rFonts w:cs="Arial"/>
          <w:b/>
          <w:lang w:val="en-CA"/>
        </w:rPr>
        <w:t xml:space="preserve"> at </w:t>
      </w:r>
      <w:r w:rsidRPr="00433BBC">
        <w:rPr>
          <w:rFonts w:cs="Arial"/>
          <w:b/>
        </w:rPr>
        <w:t>hCB</w:t>
      </w:r>
      <w:r w:rsidRPr="00433BBC">
        <w:rPr>
          <w:rFonts w:cs="Arial"/>
          <w:b/>
          <w:vertAlign w:val="subscript"/>
        </w:rPr>
        <w:t>1</w:t>
      </w:r>
      <w:r w:rsidRPr="00433BBC">
        <w:rPr>
          <w:rFonts w:cs="Arial"/>
          <w:b/>
        </w:rPr>
        <w:t>R CHO</w:t>
      </w:r>
      <w:r w:rsidRPr="00433BBC">
        <w:rPr>
          <w:rFonts w:cs="Arial"/>
          <w:b/>
          <w:lang w:val="en-CA"/>
        </w:rPr>
        <w:t xml:space="preserve"> cell membranes.</w:t>
      </w:r>
      <w:r>
        <w:rPr>
          <w:rFonts w:cs="Arial"/>
          <w:bCs/>
          <w:lang w:val="en-CA"/>
        </w:rPr>
        <w:t xml:space="preserve"> </w:t>
      </w:r>
      <w:proofErr w:type="spellStart"/>
      <w:r>
        <w:rPr>
          <w:rFonts w:cs="Arial"/>
          <w:bCs/>
          <w:lang w:val="en-CA"/>
        </w:rPr>
        <w:t>pK</w:t>
      </w:r>
      <w:r w:rsidRPr="00E108AF">
        <w:rPr>
          <w:rFonts w:cs="Arial"/>
          <w:bCs/>
          <w:vertAlign w:val="subscript"/>
          <w:lang w:val="en-CA"/>
        </w:rPr>
        <w:t>B</w:t>
      </w:r>
      <w:proofErr w:type="spellEnd"/>
      <w:r>
        <w:rPr>
          <w:rFonts w:cs="Arial"/>
          <w:bCs/>
          <w:lang w:val="en-CA"/>
        </w:rPr>
        <w:t xml:space="preserve"> is the negative logarithm of the equilibrium dissociation constant and </w:t>
      </w:r>
      <w:r>
        <w:rPr>
          <w:rFonts w:cstheme="minorHAnsi"/>
          <w:bCs/>
          <w:lang w:val="en-CA"/>
        </w:rPr>
        <w:t>α</w:t>
      </w:r>
      <w:r>
        <w:rPr>
          <w:rFonts w:cs="Arial"/>
          <w:bCs/>
          <w:lang w:val="en-CA"/>
        </w:rPr>
        <w:t xml:space="preserve"> is the cooperativity factor of the negative allosteric modulator. Both the </w:t>
      </w:r>
      <w:proofErr w:type="spellStart"/>
      <w:r>
        <w:rPr>
          <w:rFonts w:cs="Arial"/>
          <w:bCs/>
          <w:lang w:val="en-CA"/>
        </w:rPr>
        <w:t>pK</w:t>
      </w:r>
      <w:r w:rsidRPr="00BD551D">
        <w:rPr>
          <w:rFonts w:cs="Arial"/>
          <w:bCs/>
          <w:vertAlign w:val="subscript"/>
          <w:lang w:val="en-CA"/>
        </w:rPr>
        <w:t>B</w:t>
      </w:r>
      <w:proofErr w:type="spellEnd"/>
      <w:r>
        <w:rPr>
          <w:rFonts w:cs="Arial"/>
          <w:bCs/>
          <w:lang w:val="en-CA"/>
        </w:rPr>
        <w:t xml:space="preserve"> and </w:t>
      </w:r>
      <w:r>
        <w:rPr>
          <w:rFonts w:cstheme="minorHAnsi"/>
          <w:bCs/>
          <w:lang w:val="en-CA"/>
        </w:rPr>
        <w:t>α</w:t>
      </w:r>
      <w:r>
        <w:rPr>
          <w:rFonts w:cs="Arial"/>
          <w:bCs/>
          <w:lang w:val="en-CA"/>
        </w:rPr>
        <w:t xml:space="preserve"> were determined using nonlinear regression (supplemental methods). In order to for the curve to our data the K</w:t>
      </w:r>
      <w:r w:rsidRPr="00E108AF">
        <w:rPr>
          <w:rFonts w:cs="Arial"/>
          <w:bCs/>
          <w:vertAlign w:val="subscript"/>
          <w:lang w:val="en-CA"/>
        </w:rPr>
        <w:t>D</w:t>
      </w:r>
      <w:r>
        <w:rPr>
          <w:rFonts w:cs="Arial"/>
          <w:bCs/>
          <w:lang w:val="en-CA"/>
        </w:rPr>
        <w:t xml:space="preserve"> of our radioligand was fixed to 3.5 </w:t>
      </w:r>
      <w:proofErr w:type="spellStart"/>
      <w:r>
        <w:rPr>
          <w:rFonts w:cs="Arial"/>
          <w:bCs/>
          <w:lang w:val="en-CA"/>
        </w:rPr>
        <w:t>nM</w:t>
      </w:r>
      <w:proofErr w:type="spellEnd"/>
      <w:r>
        <w:rPr>
          <w:rFonts w:cs="Arial"/>
          <w:bCs/>
          <w:lang w:val="en-CA"/>
        </w:rPr>
        <w:t xml:space="preserve"> and the radioligand concentration was set at 0.5. Values represent mean </w:t>
      </w:r>
      <w:r>
        <w:rPr>
          <w:rFonts w:cstheme="minorHAnsi"/>
          <w:bCs/>
          <w:lang w:val="en-CA"/>
        </w:rPr>
        <w:t>±</w:t>
      </w:r>
      <w:r>
        <w:rPr>
          <w:rFonts w:cs="Arial"/>
          <w:bCs/>
          <w:lang w:val="en-CA"/>
        </w:rPr>
        <w:t xml:space="preserve"> SEM of three experiments.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5"/>
        <w:gridCol w:w="2550"/>
      </w:tblGrid>
      <w:tr w:rsidR="008F24F1" w14:paraId="227831D8" w14:textId="77777777" w:rsidTr="009F2EC0">
        <w:trPr>
          <w:trHeight w:val="596"/>
          <w:jc w:val="center"/>
        </w:trPr>
        <w:tc>
          <w:tcPr>
            <w:tcW w:w="1845" w:type="dxa"/>
            <w:tcBorders>
              <w:top w:val="single" w:sz="12" w:space="0" w:color="auto"/>
              <w:bottom w:val="single" w:sz="12" w:space="0" w:color="auto"/>
            </w:tcBorders>
            <w:shd w:val="clear" w:color="auto" w:fill="auto"/>
            <w:vAlign w:val="center"/>
          </w:tcPr>
          <w:p w14:paraId="12895D9A" w14:textId="6A717FE1" w:rsidR="008F24F1" w:rsidRPr="00433BBC" w:rsidRDefault="008F24F1" w:rsidP="009F2EC0">
            <w:pPr>
              <w:rPr>
                <w:b/>
                <w:bCs/>
              </w:rPr>
            </w:pPr>
            <w:bookmarkStart w:id="3" w:name="_Hlk41403149"/>
            <w:r w:rsidRPr="00433BBC">
              <w:rPr>
                <w:b/>
                <w:bCs/>
              </w:rPr>
              <w:t>[</w:t>
            </w:r>
            <w:r w:rsidRPr="00433BBC">
              <w:rPr>
                <w:b/>
                <w:bCs/>
                <w:vertAlign w:val="superscript"/>
              </w:rPr>
              <w:t>3</w:t>
            </w:r>
            <w:proofErr w:type="gramStart"/>
            <w:r w:rsidRPr="00433BBC">
              <w:rPr>
                <w:b/>
                <w:bCs/>
              </w:rPr>
              <w:t>H]CP</w:t>
            </w:r>
            <w:proofErr w:type="gramEnd"/>
            <w:r w:rsidRPr="00433BBC">
              <w:rPr>
                <w:b/>
                <w:bCs/>
              </w:rPr>
              <w:t xml:space="preserve"> 55,940</w:t>
            </w:r>
          </w:p>
        </w:tc>
        <w:tc>
          <w:tcPr>
            <w:tcW w:w="2550" w:type="dxa"/>
            <w:tcBorders>
              <w:top w:val="single" w:sz="12" w:space="0" w:color="auto"/>
              <w:bottom w:val="single" w:sz="12" w:space="0" w:color="auto"/>
            </w:tcBorders>
            <w:shd w:val="clear" w:color="auto" w:fill="auto"/>
            <w:vAlign w:val="center"/>
          </w:tcPr>
          <w:p w14:paraId="2B81F0CF" w14:textId="77777777" w:rsidR="008F24F1" w:rsidRPr="008F24F1" w:rsidRDefault="008F24F1" w:rsidP="009F2EC0">
            <w:pPr>
              <w:rPr>
                <w:b/>
                <w:bCs/>
              </w:rPr>
            </w:pPr>
            <w:r w:rsidRPr="00433BBC">
              <w:rPr>
                <w:b/>
                <w:bCs/>
              </w:rPr>
              <w:t>Allosteric Modulator</w:t>
            </w:r>
          </w:p>
          <w:p w14:paraId="3AD89927" w14:textId="32FFF6D6" w:rsidR="008F24F1" w:rsidRPr="00433BBC" w:rsidRDefault="008F24F1" w:rsidP="009F2EC0">
            <w:pPr>
              <w:rPr>
                <w:b/>
                <w:bCs/>
              </w:rPr>
            </w:pPr>
            <w:r w:rsidRPr="00433BBC">
              <w:rPr>
                <w:b/>
                <w:bCs/>
              </w:rPr>
              <w:t>ABM300</w:t>
            </w:r>
          </w:p>
        </w:tc>
      </w:tr>
      <w:tr w:rsidR="008F24F1" w14:paraId="3F5B132F" w14:textId="77777777" w:rsidTr="009F2EC0">
        <w:trPr>
          <w:jc w:val="center"/>
        </w:trPr>
        <w:tc>
          <w:tcPr>
            <w:tcW w:w="1845" w:type="dxa"/>
            <w:tcBorders>
              <w:top w:val="single" w:sz="12" w:space="0" w:color="auto"/>
            </w:tcBorders>
            <w:shd w:val="clear" w:color="auto" w:fill="auto"/>
            <w:vAlign w:val="center"/>
          </w:tcPr>
          <w:p w14:paraId="4E168364" w14:textId="77777777" w:rsidR="008F24F1" w:rsidRPr="000F363F" w:rsidRDefault="008F24F1" w:rsidP="009F2EC0">
            <w:pPr>
              <w:rPr>
                <w:vertAlign w:val="subscript"/>
              </w:rPr>
            </w:pPr>
            <w:proofErr w:type="spellStart"/>
            <w:r>
              <w:t>pK</w:t>
            </w:r>
            <w:r w:rsidRPr="000F363F">
              <w:rPr>
                <w:vertAlign w:val="subscript"/>
              </w:rPr>
              <w:t>B</w:t>
            </w:r>
            <w:proofErr w:type="spellEnd"/>
          </w:p>
        </w:tc>
        <w:tc>
          <w:tcPr>
            <w:tcW w:w="2550" w:type="dxa"/>
            <w:tcBorders>
              <w:top w:val="single" w:sz="12" w:space="0" w:color="auto"/>
            </w:tcBorders>
            <w:shd w:val="clear" w:color="auto" w:fill="auto"/>
            <w:vAlign w:val="center"/>
          </w:tcPr>
          <w:p w14:paraId="50BB5FE7" w14:textId="77777777" w:rsidR="008F24F1" w:rsidRDefault="008F24F1" w:rsidP="009F2EC0">
            <w:r>
              <w:t xml:space="preserve">6.75 </w:t>
            </w:r>
            <w:r>
              <w:rPr>
                <w:rFonts w:cstheme="minorHAnsi"/>
              </w:rPr>
              <w:t>±</w:t>
            </w:r>
            <w:r>
              <w:t xml:space="preserve"> 0.07</w:t>
            </w:r>
          </w:p>
        </w:tc>
      </w:tr>
      <w:tr w:rsidR="008F24F1" w14:paraId="1FEFD37E" w14:textId="77777777" w:rsidTr="009F2EC0">
        <w:trPr>
          <w:jc w:val="center"/>
        </w:trPr>
        <w:tc>
          <w:tcPr>
            <w:tcW w:w="1845" w:type="dxa"/>
            <w:tcBorders>
              <w:bottom w:val="single" w:sz="4" w:space="0" w:color="auto"/>
            </w:tcBorders>
            <w:shd w:val="clear" w:color="auto" w:fill="auto"/>
            <w:vAlign w:val="center"/>
          </w:tcPr>
          <w:p w14:paraId="23FBCBFD" w14:textId="77777777" w:rsidR="008F24F1" w:rsidRDefault="008F24F1" w:rsidP="009F2EC0">
            <w:r>
              <w:t xml:space="preserve">Log </w:t>
            </w:r>
            <w:r>
              <w:rPr>
                <w:rFonts w:cstheme="minorHAnsi"/>
              </w:rPr>
              <w:t>α</w:t>
            </w:r>
          </w:p>
        </w:tc>
        <w:tc>
          <w:tcPr>
            <w:tcW w:w="2550" w:type="dxa"/>
            <w:tcBorders>
              <w:bottom w:val="single" w:sz="4" w:space="0" w:color="auto"/>
            </w:tcBorders>
            <w:shd w:val="clear" w:color="auto" w:fill="auto"/>
            <w:vAlign w:val="center"/>
          </w:tcPr>
          <w:p w14:paraId="0DCD818E" w14:textId="77777777" w:rsidR="008F24F1" w:rsidRDefault="008F24F1" w:rsidP="009F2EC0">
            <w:r>
              <w:t xml:space="preserve">0.622 </w:t>
            </w:r>
            <w:r>
              <w:rPr>
                <w:rFonts w:cstheme="minorHAnsi"/>
              </w:rPr>
              <w:t>±</w:t>
            </w:r>
            <w:r>
              <w:t xml:space="preserve"> 0.08</w:t>
            </w:r>
          </w:p>
        </w:tc>
      </w:tr>
      <w:tr w:rsidR="008F24F1" w14:paraId="62A9D78B" w14:textId="77777777" w:rsidTr="009F2EC0">
        <w:trPr>
          <w:jc w:val="center"/>
        </w:trPr>
        <w:tc>
          <w:tcPr>
            <w:tcW w:w="1845" w:type="dxa"/>
            <w:tcBorders>
              <w:top w:val="single" w:sz="4" w:space="0" w:color="auto"/>
              <w:bottom w:val="single" w:sz="12" w:space="0" w:color="auto"/>
            </w:tcBorders>
            <w:shd w:val="clear" w:color="auto" w:fill="auto"/>
            <w:vAlign w:val="center"/>
          </w:tcPr>
          <w:p w14:paraId="4E91575F" w14:textId="77777777" w:rsidR="008F24F1" w:rsidRDefault="008F24F1" w:rsidP="009F2EC0">
            <w:r>
              <w:rPr>
                <w:rFonts w:cstheme="minorHAnsi"/>
              </w:rPr>
              <w:t>α</w:t>
            </w:r>
          </w:p>
        </w:tc>
        <w:tc>
          <w:tcPr>
            <w:tcW w:w="2550" w:type="dxa"/>
            <w:tcBorders>
              <w:top w:val="single" w:sz="4" w:space="0" w:color="auto"/>
              <w:bottom w:val="single" w:sz="12" w:space="0" w:color="auto"/>
            </w:tcBorders>
            <w:shd w:val="clear" w:color="auto" w:fill="auto"/>
            <w:vAlign w:val="center"/>
          </w:tcPr>
          <w:p w14:paraId="38D1C61B" w14:textId="77777777" w:rsidR="008F24F1" w:rsidRDefault="008F24F1" w:rsidP="009F2EC0">
            <w:r>
              <w:t xml:space="preserve">4.33 </w:t>
            </w:r>
            <w:r>
              <w:rPr>
                <w:rFonts w:cstheme="minorHAnsi"/>
              </w:rPr>
              <w:t>±</w:t>
            </w:r>
            <w:r>
              <w:t xml:space="preserve"> 0.79</w:t>
            </w:r>
          </w:p>
        </w:tc>
      </w:tr>
      <w:bookmarkEnd w:id="3"/>
    </w:tbl>
    <w:p w14:paraId="38B75359" w14:textId="3A3A556F" w:rsidR="008F24F1" w:rsidRPr="00433BBC" w:rsidRDefault="008F24F1" w:rsidP="009F2EC0">
      <w:pPr>
        <w:rPr>
          <w:rFonts w:cs="Arial"/>
          <w:bCs/>
        </w:rPr>
      </w:pPr>
    </w:p>
    <w:p w14:paraId="3D0FAA60" w14:textId="1B921B99" w:rsidR="008F24F1" w:rsidRPr="00506C9D" w:rsidRDefault="008F24F1" w:rsidP="009F2EC0">
      <w:pPr>
        <w:rPr>
          <w:rFonts w:ascii="Calibri" w:hAnsi="Calibri" w:cs="Calibri"/>
          <w:b/>
          <w:bCs/>
        </w:rPr>
      </w:pPr>
    </w:p>
    <w:p w14:paraId="6749968E" w14:textId="27099402" w:rsidR="000C2573" w:rsidRPr="00506C9D" w:rsidRDefault="00BE4782" w:rsidP="009F2EC0">
      <w:pPr>
        <w:rPr>
          <w:rFonts w:ascii="Calibri" w:hAnsi="Calibri" w:cs="Calibri"/>
          <w:b/>
          <w:bCs/>
        </w:rPr>
      </w:pPr>
      <w:r>
        <w:rPr>
          <w:rFonts w:ascii="Calibri" w:hAnsi="Calibri" w:cs="Calibri"/>
          <w:b/>
          <w:bCs/>
          <w:noProof/>
        </w:rPr>
        <w:lastRenderedPageBreak/>
        <w:drawing>
          <wp:inline distT="0" distB="0" distL="0" distR="0" wp14:anchorId="08C81E31" wp14:editId="7F471CE8">
            <wp:extent cx="5971158" cy="4384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3419" cy="4400518"/>
                    </a:xfrm>
                    <a:prstGeom prst="rect">
                      <a:avLst/>
                    </a:prstGeom>
                    <a:noFill/>
                  </pic:spPr>
                </pic:pic>
              </a:graphicData>
            </a:graphic>
          </wp:inline>
        </w:drawing>
      </w:r>
    </w:p>
    <w:p w14:paraId="024135E3" w14:textId="75622409" w:rsidR="00461384" w:rsidRPr="009F2EC0" w:rsidRDefault="00461384" w:rsidP="009F2EC0">
      <w:pPr>
        <w:rPr>
          <w:rFonts w:ascii="Calibri" w:hAnsi="Calibri" w:cs="Calibri"/>
          <w:bCs/>
        </w:rPr>
      </w:pPr>
      <w:r w:rsidRPr="00506C9D">
        <w:rPr>
          <w:rFonts w:cs="Arial"/>
          <w:b/>
          <w:lang w:val="en-CA"/>
        </w:rPr>
        <w:t xml:space="preserve">Figure </w:t>
      </w:r>
      <w:r w:rsidR="00B64613" w:rsidRPr="00506C9D">
        <w:rPr>
          <w:rFonts w:cs="Arial"/>
          <w:b/>
          <w:lang w:val="en-CA"/>
        </w:rPr>
        <w:t>S</w:t>
      </w:r>
      <w:r w:rsidR="006037F8" w:rsidRPr="00506C9D">
        <w:rPr>
          <w:rFonts w:cs="Arial"/>
          <w:b/>
          <w:lang w:val="en-CA"/>
        </w:rPr>
        <w:t>2.</w:t>
      </w:r>
      <w:r w:rsidRPr="00506C9D">
        <w:rPr>
          <w:rFonts w:cs="Arial"/>
          <w:b/>
          <w:lang w:val="en-CA"/>
        </w:rPr>
        <w:t xml:space="preserve"> </w:t>
      </w:r>
      <w:r w:rsidRPr="00506C9D">
        <w:rPr>
          <w:rFonts w:ascii="Calibri" w:hAnsi="Calibri" w:cs="Calibri"/>
          <w:b/>
        </w:rPr>
        <w:t xml:space="preserve">Results of </w:t>
      </w:r>
      <w:proofErr w:type="spellStart"/>
      <w:r w:rsidRPr="00506C9D">
        <w:rPr>
          <w:rFonts w:ascii="Calibri" w:hAnsi="Calibri" w:cs="Calibri"/>
          <w:b/>
        </w:rPr>
        <w:t>Eurofin</w:t>
      </w:r>
      <w:proofErr w:type="spellEnd"/>
      <w:r w:rsidRPr="00506C9D">
        <w:rPr>
          <w:rFonts w:ascii="Calibri" w:hAnsi="Calibri" w:cs="Calibri"/>
          <w:b/>
        </w:rPr>
        <w:t xml:space="preserve"> </w:t>
      </w:r>
      <w:proofErr w:type="spellStart"/>
      <w:r w:rsidRPr="00506C9D">
        <w:rPr>
          <w:rFonts w:ascii="Calibri" w:hAnsi="Calibri" w:cs="Calibri"/>
          <w:b/>
        </w:rPr>
        <w:t>Cerep</w:t>
      </w:r>
      <w:proofErr w:type="spellEnd"/>
      <w:r w:rsidRPr="00506C9D">
        <w:rPr>
          <w:rFonts w:ascii="Calibri" w:hAnsi="Calibri" w:cs="Calibri"/>
          <w:b/>
        </w:rPr>
        <w:t xml:space="preserve"> Safety-Screen 44 Panel.</w:t>
      </w:r>
      <w:r w:rsidRPr="00506C9D">
        <w:rPr>
          <w:rFonts w:ascii="Calibri" w:hAnsi="Calibri" w:cs="Calibri"/>
          <w:bCs/>
        </w:rPr>
        <w:t xml:space="preserve"> </w:t>
      </w:r>
      <w:r w:rsidRPr="00506C9D">
        <w:rPr>
          <w:rFonts w:ascii="Calibri" w:hAnsi="Calibri" w:cs="Calibri"/>
          <w:bCs/>
          <w:i/>
          <w:iCs/>
        </w:rPr>
        <w:t>In vitro</w:t>
      </w:r>
      <w:r w:rsidRPr="00506C9D">
        <w:rPr>
          <w:rFonts w:ascii="Calibri" w:hAnsi="Calibri" w:cs="Calibri"/>
          <w:bCs/>
        </w:rPr>
        <w:t xml:space="preserve"> pharmacological profiling and assessment of the potential </w:t>
      </w:r>
      <w:r w:rsidR="00487EF8">
        <w:rPr>
          <w:rFonts w:ascii="Calibri" w:hAnsi="Calibri" w:cs="Calibri"/>
          <w:bCs/>
        </w:rPr>
        <w:t xml:space="preserve">for off-target interactions of </w:t>
      </w:r>
      <w:r w:rsidRPr="00506C9D">
        <w:rPr>
          <w:rFonts w:ascii="Calibri" w:hAnsi="Calibri" w:cs="Calibri"/>
          <w:bCs/>
        </w:rPr>
        <w:t xml:space="preserve">ABM300 in binding screens (Eurofins </w:t>
      </w:r>
      <w:proofErr w:type="spellStart"/>
      <w:r w:rsidRPr="00506C9D">
        <w:rPr>
          <w:rFonts w:ascii="Calibri" w:hAnsi="Calibri" w:cs="Calibri"/>
          <w:bCs/>
        </w:rPr>
        <w:t>Cerep-Panlabs</w:t>
      </w:r>
      <w:proofErr w:type="spellEnd"/>
      <w:r w:rsidRPr="00506C9D">
        <w:rPr>
          <w:rFonts w:ascii="Calibri" w:hAnsi="Calibri" w:cs="Calibri"/>
          <w:bCs/>
        </w:rPr>
        <w:t xml:space="preserve"> </w:t>
      </w:r>
      <w:proofErr w:type="spellStart"/>
      <w:r w:rsidRPr="00506C9D">
        <w:rPr>
          <w:rFonts w:ascii="Calibri" w:hAnsi="Calibri" w:cs="Calibri"/>
          <w:bCs/>
        </w:rPr>
        <w:t>SafetyScreen</w:t>
      </w:r>
      <w:proofErr w:type="spellEnd"/>
      <w:r w:rsidRPr="00506C9D">
        <w:rPr>
          <w:rFonts w:ascii="Calibri" w:hAnsi="Calibri" w:cs="Calibri"/>
          <w:bCs/>
        </w:rPr>
        <w:t xml:space="preserve"> 44). The compound was screened at a 1 µM concentration in duplicate for its potential to interfere with the binding of native ligands of 44 different receptors, ion channels and enzymes. For receptor assays, compound binding was calculated as percent inhibition of the binding of a radioactively labeled ligand specific for each target. For enzyme assays, the inhibition effect was calculated as percent inhibition of control enzyme activity. Tests were performed in duplicate and results are averages of those two tests.</w:t>
      </w:r>
      <w:r w:rsidRPr="00506C9D">
        <w:rPr>
          <w:rFonts w:ascii="Calibri" w:hAnsi="Calibri" w:cs="Calibri"/>
          <w:b/>
          <w:bCs/>
        </w:rPr>
        <w:br w:type="page"/>
      </w:r>
    </w:p>
    <w:p w14:paraId="3AA9C752" w14:textId="77777777" w:rsidR="00461384" w:rsidRPr="00537F73" w:rsidRDefault="00461384" w:rsidP="009F2EC0">
      <w:pPr>
        <w:rPr>
          <w:rFonts w:ascii="Calibri" w:hAnsi="Calibri" w:cs="Calibri"/>
          <w:b/>
          <w:bCs/>
        </w:rPr>
      </w:pPr>
    </w:p>
    <w:p w14:paraId="1C9379E8" w14:textId="607A745C" w:rsidR="00360E32" w:rsidRPr="00506C9D" w:rsidRDefault="00EE29B6" w:rsidP="009F2EC0">
      <w:pPr>
        <w:rPr>
          <w:rFonts w:cs="Arial"/>
          <w:b/>
          <w:lang w:val="en-CA"/>
        </w:rPr>
      </w:pPr>
      <w:r w:rsidRPr="00506C9D">
        <w:rPr>
          <w:rFonts w:cs="Arial"/>
          <w:b/>
          <w:noProof/>
        </w:rPr>
        <w:drawing>
          <wp:inline distT="0" distB="0" distL="0" distR="0" wp14:anchorId="54CEE262" wp14:editId="7EDA33E5">
            <wp:extent cx="5257800" cy="431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elniketal2019_SuppFig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4318000"/>
                    </a:xfrm>
                    <a:prstGeom prst="rect">
                      <a:avLst/>
                    </a:prstGeom>
                  </pic:spPr>
                </pic:pic>
              </a:graphicData>
            </a:graphic>
          </wp:inline>
        </w:drawing>
      </w:r>
    </w:p>
    <w:p w14:paraId="2D2D3CFC" w14:textId="5CD6BFC8" w:rsidR="00360E32" w:rsidRPr="009F2EC0" w:rsidRDefault="00360E32" w:rsidP="009F2EC0">
      <w:pPr>
        <w:rPr>
          <w:rFonts w:cs="Arial"/>
        </w:rPr>
      </w:pPr>
      <w:r w:rsidRPr="00506C9D">
        <w:rPr>
          <w:rFonts w:cs="Arial"/>
          <w:b/>
          <w:lang w:val="en-CA"/>
        </w:rPr>
        <w:t xml:space="preserve">Figure </w:t>
      </w:r>
      <w:r w:rsidR="00FE2A33" w:rsidRPr="00506C9D">
        <w:rPr>
          <w:rFonts w:cs="Arial"/>
          <w:b/>
          <w:lang w:val="en-CA"/>
        </w:rPr>
        <w:t>S</w:t>
      </w:r>
      <w:r w:rsidR="006037F8" w:rsidRPr="00506C9D">
        <w:rPr>
          <w:rFonts w:cs="Arial"/>
          <w:b/>
          <w:lang w:val="en-CA"/>
        </w:rPr>
        <w:t>3</w:t>
      </w:r>
      <w:r w:rsidRPr="00506C9D">
        <w:rPr>
          <w:rFonts w:cs="Arial"/>
          <w:b/>
          <w:lang w:val="en-CA"/>
        </w:rPr>
        <w:t>. ABM300 does not elicit anxiogenic-like side effects, as assessed in the elevated plus maze (EPM)</w:t>
      </w:r>
      <w:r w:rsidRPr="00537F73">
        <w:rPr>
          <w:rFonts w:cs="Arial"/>
          <w:b/>
          <w:lang w:val="en-CA"/>
        </w:rPr>
        <w:t xml:space="preserve">. </w:t>
      </w:r>
      <w:r w:rsidRPr="00537F73">
        <w:rPr>
          <w:rFonts w:cs="Arial"/>
          <w:bCs/>
          <w:lang w:val="en-CA"/>
        </w:rPr>
        <w:t>Rimonabant (10 mg/kg), but not ABM300 (10 mg/kg) significantly decreases the percentage of time spent in open arms in the EPM. All tests balanced for sex</w:t>
      </w:r>
      <w:r w:rsidR="00C974B3" w:rsidRPr="00537F73">
        <w:rPr>
          <w:rFonts w:cs="Arial"/>
          <w:bCs/>
          <w:lang w:val="en-CA"/>
        </w:rPr>
        <w:t xml:space="preserve"> (n=20/drug)</w:t>
      </w:r>
      <w:r w:rsidRPr="00537F73">
        <w:rPr>
          <w:rFonts w:cs="Arial"/>
          <w:bCs/>
          <w:lang w:val="en-CA"/>
        </w:rPr>
        <w:t xml:space="preserve">, drugs administered 30 min before test via </w:t>
      </w:r>
      <w:proofErr w:type="spellStart"/>
      <w:r w:rsidRPr="00537F73">
        <w:rPr>
          <w:rFonts w:cs="Arial"/>
          <w:bCs/>
          <w:lang w:val="en-CA"/>
        </w:rPr>
        <w:t>i.p.</w:t>
      </w:r>
      <w:proofErr w:type="spellEnd"/>
      <w:r w:rsidRPr="00537F73">
        <w:rPr>
          <w:rFonts w:cs="Arial"/>
          <w:bCs/>
          <w:lang w:val="en-CA"/>
        </w:rPr>
        <w:t xml:space="preserve"> injection. </w:t>
      </w:r>
      <w:r w:rsidRPr="00537F73">
        <w:rPr>
          <w:rFonts w:cs="Arial"/>
          <w:bCs/>
        </w:rPr>
        <w:t xml:space="preserve">Data shown as mean ± SEM, </w:t>
      </w:r>
      <w:r w:rsidRPr="00537F73">
        <w:rPr>
          <w:rFonts w:cs="Arial"/>
          <w:b/>
          <w:bCs/>
        </w:rPr>
        <w:t>*</w:t>
      </w:r>
      <w:r w:rsidRPr="00537F73">
        <w:rPr>
          <w:rFonts w:cs="Arial"/>
          <w:bCs/>
        </w:rPr>
        <w:t>p≤0.05 compared to vehicle, **p&lt;0.01, one-way ANOVA</w:t>
      </w:r>
      <w:r w:rsidR="007610EF" w:rsidRPr="00537F73">
        <w:rPr>
          <w:rFonts w:cs="Arial"/>
          <w:bCs/>
        </w:rPr>
        <w:t xml:space="preserve"> (open arm only)</w:t>
      </w:r>
      <w:r w:rsidR="000F2144" w:rsidRPr="00537F73">
        <w:rPr>
          <w:rFonts w:cs="Arial"/>
          <w:bCs/>
        </w:rPr>
        <w:t xml:space="preserve">, effect of treatment </w:t>
      </w:r>
      <w:proofErr w:type="gramStart"/>
      <w:r w:rsidR="000F2144" w:rsidRPr="00537F73">
        <w:rPr>
          <w:rFonts w:cs="Arial"/>
          <w:bCs/>
        </w:rPr>
        <w:t>F[</w:t>
      </w:r>
      <w:proofErr w:type="gramEnd"/>
      <w:r w:rsidR="000F2144" w:rsidRPr="00537F73">
        <w:rPr>
          <w:rFonts w:cs="Arial"/>
          <w:bCs/>
        </w:rPr>
        <w:t>2,57]=5.268, p=0.0080</w:t>
      </w:r>
      <w:r w:rsidRPr="00537F73">
        <w:rPr>
          <w:rFonts w:cs="Arial"/>
          <w:bCs/>
        </w:rPr>
        <w:t xml:space="preserve">, multiple comparisons, post-hoc </w:t>
      </w:r>
      <w:proofErr w:type="spellStart"/>
      <w:r w:rsidRPr="00537F73">
        <w:rPr>
          <w:rFonts w:cs="Arial"/>
          <w:bCs/>
        </w:rPr>
        <w:t>Sidak’s</w:t>
      </w:r>
      <w:proofErr w:type="spellEnd"/>
      <w:r w:rsidRPr="00537F73">
        <w:rPr>
          <w:rFonts w:cs="Arial"/>
          <w:bCs/>
        </w:rPr>
        <w:t xml:space="preserve"> test. </w:t>
      </w:r>
    </w:p>
    <w:p w14:paraId="2655C941" w14:textId="4C4D0ECF" w:rsidR="00D52D3C" w:rsidRPr="00506C9D" w:rsidRDefault="00360E32" w:rsidP="009F2EC0">
      <w:pPr>
        <w:rPr>
          <w:rFonts w:ascii="Calibri" w:hAnsi="Calibri" w:cs="Calibri"/>
          <w:b/>
          <w:bCs/>
        </w:rPr>
      </w:pPr>
      <w:r w:rsidRPr="00506C9D">
        <w:rPr>
          <w:rFonts w:ascii="Calibri" w:eastAsia="Calibri" w:hAnsi="Calibri" w:cs="Arial"/>
          <w:b/>
          <w:noProof/>
        </w:rPr>
        <w:lastRenderedPageBreak/>
        <w:drawing>
          <wp:anchor distT="0" distB="0" distL="114300" distR="114300" simplePos="0" relativeHeight="251661312" behindDoc="1" locked="0" layoutInCell="1" allowOverlap="1" wp14:anchorId="34602DD0" wp14:editId="525986F5">
            <wp:simplePos x="0" y="0"/>
            <wp:positionH relativeFrom="margin">
              <wp:posOffset>22240</wp:posOffset>
            </wp:positionH>
            <wp:positionV relativeFrom="margin">
              <wp:posOffset>112395</wp:posOffset>
            </wp:positionV>
            <wp:extent cx="5581015" cy="5330190"/>
            <wp:effectExtent l="0" t="0" r="635" b="3810"/>
            <wp:wrapSquare wrapText="bothSides"/>
            <wp:docPr id="6" name="Picture 6" descr="A screen shot of a lit up building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lniketal2019_Figur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1015" cy="5330190"/>
                    </a:xfrm>
                    <a:prstGeom prst="rect">
                      <a:avLst/>
                    </a:prstGeom>
                  </pic:spPr>
                </pic:pic>
              </a:graphicData>
            </a:graphic>
            <wp14:sizeRelH relativeFrom="margin">
              <wp14:pctWidth>0</wp14:pctWidth>
            </wp14:sizeRelH>
            <wp14:sizeRelV relativeFrom="margin">
              <wp14:pctHeight>0</wp14:pctHeight>
            </wp14:sizeRelV>
          </wp:anchor>
        </w:drawing>
      </w:r>
    </w:p>
    <w:p w14:paraId="12EADFD0" w14:textId="2B6B3FE9" w:rsidR="00F109C6" w:rsidRPr="00537F73" w:rsidRDefault="007F273D" w:rsidP="009F2EC0">
      <w:pPr>
        <w:rPr>
          <w:rFonts w:cs="Arial"/>
          <w:bCs/>
        </w:rPr>
      </w:pPr>
      <w:r w:rsidRPr="00506C9D">
        <w:rPr>
          <w:rFonts w:cs="Arial"/>
          <w:b/>
          <w:lang w:val="en-CA"/>
        </w:rPr>
        <w:t xml:space="preserve">Figure </w:t>
      </w:r>
      <w:r w:rsidR="00FE2A33" w:rsidRPr="00506C9D">
        <w:rPr>
          <w:rFonts w:cs="Arial"/>
          <w:b/>
          <w:lang w:val="en-CA"/>
        </w:rPr>
        <w:t>S</w:t>
      </w:r>
      <w:r w:rsidR="006037F8" w:rsidRPr="00506C9D">
        <w:rPr>
          <w:rFonts w:cs="Arial"/>
          <w:b/>
          <w:lang w:val="en-CA"/>
        </w:rPr>
        <w:t>4</w:t>
      </w:r>
      <w:r w:rsidRPr="00506C9D">
        <w:rPr>
          <w:rFonts w:cs="Arial"/>
          <w:b/>
          <w:lang w:val="en-CA"/>
        </w:rPr>
        <w:t xml:space="preserve">. GluN1KD mice have no change in </w:t>
      </w:r>
      <w:r w:rsidRPr="00506C9D">
        <w:rPr>
          <w:rFonts w:cs="Arial"/>
          <w:b/>
          <w:i/>
          <w:iCs/>
          <w:lang w:val="en-CA"/>
        </w:rPr>
        <w:t>Cnr1</w:t>
      </w:r>
      <w:r w:rsidRPr="00506C9D">
        <w:rPr>
          <w:rFonts w:cs="Arial"/>
          <w:b/>
          <w:lang w:val="en-CA"/>
        </w:rPr>
        <w:t xml:space="preserve"> mRNA expression levels, compared to WT. </w:t>
      </w:r>
      <w:r w:rsidRPr="00506C9D">
        <w:rPr>
          <w:rFonts w:cs="Arial"/>
          <w:bCs/>
          <w:lang w:val="en-CA"/>
        </w:rPr>
        <w:t>(A)</w:t>
      </w:r>
      <w:r w:rsidRPr="00506C9D">
        <w:rPr>
          <w:rFonts w:cs="Arial"/>
          <w:b/>
          <w:lang w:val="en-CA"/>
        </w:rPr>
        <w:t xml:space="preserve"> </w:t>
      </w:r>
      <w:r w:rsidRPr="00506C9D">
        <w:rPr>
          <w:rFonts w:cs="Arial"/>
          <w:bCs/>
          <w:lang w:val="en-CA"/>
        </w:rPr>
        <w:t>Confocal images (20X) of mouse brain sagittal (20 µm) sections from WT and GluN1KD mice. Brain regions pictured: prefrontal cortex (PFC),</w:t>
      </w:r>
      <w:r w:rsidRPr="00537F73">
        <w:rPr>
          <w:rFonts w:cs="Arial"/>
          <w:bCs/>
          <w:lang w:val="en-CA"/>
        </w:rPr>
        <w:t xml:space="preserve"> CA1, dentate gyrus (DG) and striatum (STR). </w:t>
      </w:r>
      <w:proofErr w:type="spellStart"/>
      <w:r w:rsidRPr="00537F73">
        <w:rPr>
          <w:rFonts w:cs="Arial"/>
          <w:bCs/>
          <w:lang w:val="en-CA"/>
        </w:rPr>
        <w:t>RNAscope</w:t>
      </w:r>
      <w:proofErr w:type="spellEnd"/>
      <w:r w:rsidRPr="00537F73">
        <w:rPr>
          <w:rFonts w:cs="Arial"/>
          <w:bCs/>
          <w:lang w:val="en-CA"/>
        </w:rPr>
        <w:t xml:space="preserve"> probes visualizing mRNA of </w:t>
      </w:r>
      <w:r w:rsidRPr="00537F73">
        <w:rPr>
          <w:rFonts w:cs="Arial"/>
          <w:bCs/>
          <w:i/>
          <w:iCs/>
          <w:lang w:val="en-CA"/>
        </w:rPr>
        <w:t>Cnr1</w:t>
      </w:r>
      <w:r w:rsidRPr="00537F73">
        <w:rPr>
          <w:rFonts w:cs="Arial"/>
          <w:bCs/>
          <w:lang w:val="en-CA"/>
        </w:rPr>
        <w:t xml:space="preserve">, visualized in red, </w:t>
      </w:r>
      <w:proofErr w:type="gramStart"/>
      <w:r w:rsidRPr="00537F73">
        <w:rPr>
          <w:rFonts w:cs="Arial"/>
          <w:bCs/>
          <w:lang w:val="en-CA"/>
        </w:rPr>
        <w:t>counter-stained</w:t>
      </w:r>
      <w:proofErr w:type="gramEnd"/>
      <w:r w:rsidRPr="00537F73">
        <w:rPr>
          <w:rFonts w:cs="Arial"/>
          <w:bCs/>
          <w:lang w:val="en-CA"/>
        </w:rPr>
        <w:t xml:space="preserve"> with DAPI (blue). (B) Quantification of </w:t>
      </w:r>
      <w:r w:rsidRPr="00537F73">
        <w:rPr>
          <w:rFonts w:cs="Arial"/>
          <w:bCs/>
          <w:i/>
          <w:iCs/>
          <w:lang w:val="en-CA"/>
        </w:rPr>
        <w:t>Cnr1</w:t>
      </w:r>
      <w:r w:rsidRPr="00537F73">
        <w:rPr>
          <w:rFonts w:cs="Arial"/>
          <w:bCs/>
          <w:lang w:val="en-CA"/>
        </w:rPr>
        <w:t xml:space="preserve"> mRNA expression expressed as mean pixel intensity</w:t>
      </w:r>
      <w:r w:rsidR="003E0B2F" w:rsidRPr="00537F73">
        <w:rPr>
          <w:rFonts w:cs="Arial"/>
          <w:bCs/>
          <w:lang w:val="en-CA"/>
        </w:rPr>
        <w:t xml:space="preserve"> (n=6 per genotype, balanced for sex).</w:t>
      </w:r>
      <w:r w:rsidRPr="00537F73">
        <w:rPr>
          <w:rFonts w:cs="Arial"/>
          <w:bCs/>
          <w:lang w:val="en-CA"/>
        </w:rPr>
        <w:t xml:space="preserve"> </w:t>
      </w:r>
      <w:r w:rsidRPr="00537F73">
        <w:rPr>
          <w:rFonts w:cs="Arial"/>
          <w:bCs/>
        </w:rPr>
        <w:t>Data shown as mean ± SEM, Student’s t-test, within each brain region, WT vs. GluN1KD.</w:t>
      </w:r>
    </w:p>
    <w:p w14:paraId="26621485" w14:textId="2500136D" w:rsidR="007F273D" w:rsidRPr="00537F73" w:rsidRDefault="00F109C6" w:rsidP="009F2EC0">
      <w:pPr>
        <w:rPr>
          <w:rFonts w:cs="Arial"/>
          <w:bCs/>
        </w:rPr>
      </w:pPr>
      <w:r w:rsidRPr="00506C9D">
        <w:rPr>
          <w:rFonts w:ascii="Calibri" w:hAnsi="Calibri" w:cs="Calibri"/>
          <w:b/>
          <w:bCs/>
          <w:noProof/>
        </w:rPr>
        <w:lastRenderedPageBreak/>
        <w:drawing>
          <wp:anchor distT="0" distB="0" distL="114300" distR="114300" simplePos="0" relativeHeight="251665408" behindDoc="0" locked="0" layoutInCell="1" allowOverlap="1" wp14:anchorId="78D9B030" wp14:editId="52492922">
            <wp:simplePos x="0" y="0"/>
            <wp:positionH relativeFrom="column">
              <wp:posOffset>-38100</wp:posOffset>
            </wp:positionH>
            <wp:positionV relativeFrom="paragraph">
              <wp:posOffset>28575</wp:posOffset>
            </wp:positionV>
            <wp:extent cx="5943600" cy="5913120"/>
            <wp:effectExtent l="0" t="0" r="0" b="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pic:spPr>
                </pic:pic>
              </a:graphicData>
            </a:graphic>
            <wp14:sizeRelH relativeFrom="page">
              <wp14:pctWidth>0</wp14:pctWidth>
            </wp14:sizeRelH>
            <wp14:sizeRelV relativeFrom="page">
              <wp14:pctHeight>0</wp14:pctHeight>
            </wp14:sizeRelV>
          </wp:anchor>
        </w:drawing>
      </w:r>
      <w:r w:rsidRPr="00506C9D">
        <w:rPr>
          <w:rFonts w:cs="Arial"/>
          <w:b/>
        </w:rPr>
        <w:t xml:space="preserve">Figure S5. ABM300 has no effect on genotype-specific deficits in pre-pulse inhibition in GluN1KD mice. </w:t>
      </w:r>
      <w:r w:rsidRPr="00506C9D">
        <w:rPr>
          <w:rFonts w:cs="Arial"/>
          <w:bCs/>
          <w:lang w:val="en-CA"/>
        </w:rPr>
        <w:t xml:space="preserve">There is no effect of drug (ABM300 – 10mg/kg and OLA – 1mg/kg) on genotype-specific deficits observed in sensorimotor gating (A-C) or acoustic startle response (D), tested in pre-pulse inhibition (PPI). All tests balanced for </w:t>
      </w:r>
      <w:proofErr w:type="gramStart"/>
      <w:r w:rsidRPr="00506C9D">
        <w:rPr>
          <w:rFonts w:cs="Arial"/>
          <w:bCs/>
          <w:lang w:val="en-CA"/>
        </w:rPr>
        <w:t>sex,</w:t>
      </w:r>
      <w:proofErr w:type="gramEnd"/>
      <w:r w:rsidRPr="00506C9D">
        <w:rPr>
          <w:rFonts w:cs="Arial"/>
          <w:bCs/>
          <w:lang w:val="en-CA"/>
        </w:rPr>
        <w:t xml:space="preserve"> drugs administered 30 min before test via </w:t>
      </w:r>
      <w:proofErr w:type="spellStart"/>
      <w:r w:rsidRPr="00506C9D">
        <w:rPr>
          <w:rFonts w:cs="Arial"/>
          <w:bCs/>
          <w:lang w:val="en-CA"/>
        </w:rPr>
        <w:t>i.p.</w:t>
      </w:r>
      <w:proofErr w:type="spellEnd"/>
      <w:r w:rsidRPr="00506C9D">
        <w:rPr>
          <w:rFonts w:cs="Arial"/>
          <w:bCs/>
          <w:lang w:val="en-CA"/>
        </w:rPr>
        <w:t xml:space="preserve"> injection. </w:t>
      </w:r>
      <w:r w:rsidRPr="00506C9D">
        <w:rPr>
          <w:rFonts w:cs="Arial"/>
          <w:bCs/>
        </w:rPr>
        <w:t xml:space="preserve">Data shown as mean ± SEM, </w:t>
      </w:r>
      <w:r w:rsidRPr="00506C9D">
        <w:rPr>
          <w:rFonts w:cs="Arial"/>
          <w:b/>
          <w:bCs/>
        </w:rPr>
        <w:t>*</w:t>
      </w:r>
      <w:r w:rsidRPr="00506C9D">
        <w:rPr>
          <w:rFonts w:cs="Arial"/>
          <w:bCs/>
        </w:rPr>
        <w:t xml:space="preserve">p≤0.05 compared to vehicle (within genotype, within decibel for PPI), two-way ANOVA, multiple comparisons, post-hoc </w:t>
      </w:r>
      <w:proofErr w:type="spellStart"/>
      <w:r w:rsidRPr="00506C9D">
        <w:rPr>
          <w:rFonts w:cs="Arial"/>
          <w:bCs/>
        </w:rPr>
        <w:t>Sidak’s</w:t>
      </w:r>
      <w:proofErr w:type="spellEnd"/>
      <w:r w:rsidRPr="00506C9D">
        <w:rPr>
          <w:rFonts w:cs="Arial"/>
          <w:bCs/>
        </w:rPr>
        <w:t xml:space="preserve"> test.</w:t>
      </w:r>
      <w:r w:rsidR="007C7EFB" w:rsidRPr="00506C9D">
        <w:rPr>
          <w:rFonts w:cs="Arial"/>
          <w:bCs/>
        </w:rPr>
        <w:t xml:space="preserve"> (</w:t>
      </w:r>
      <w:r w:rsidR="001D518D" w:rsidRPr="00506C9D">
        <w:rPr>
          <w:rFonts w:cs="Arial"/>
          <w:bCs/>
        </w:rPr>
        <w:t>4dB</w:t>
      </w:r>
      <w:r w:rsidR="007C7EFB" w:rsidRPr="00506C9D">
        <w:rPr>
          <w:rFonts w:cs="Arial"/>
          <w:bCs/>
        </w:rPr>
        <w:t xml:space="preserve">) Effect of genotype </w:t>
      </w:r>
      <w:proofErr w:type="gramStart"/>
      <w:r w:rsidR="007C7EFB" w:rsidRPr="00506C9D">
        <w:rPr>
          <w:rFonts w:cs="Arial"/>
          <w:bCs/>
        </w:rPr>
        <w:t>F[</w:t>
      </w:r>
      <w:proofErr w:type="gramEnd"/>
      <w:r w:rsidR="007C7EFB" w:rsidRPr="00506C9D">
        <w:rPr>
          <w:rFonts w:cs="Arial"/>
          <w:bCs/>
        </w:rPr>
        <w:t>1,95]=11.15, p=0.0012</w:t>
      </w:r>
      <w:r w:rsidR="007C7EFB" w:rsidRPr="00537F73">
        <w:rPr>
          <w:rFonts w:cs="Arial"/>
          <w:bCs/>
        </w:rPr>
        <w:t>, (</w:t>
      </w:r>
      <w:r w:rsidR="001D518D" w:rsidRPr="00537F73">
        <w:rPr>
          <w:rFonts w:cs="Arial"/>
          <w:bCs/>
        </w:rPr>
        <w:t>8dB</w:t>
      </w:r>
      <w:r w:rsidR="007C7EFB" w:rsidRPr="00537F73">
        <w:rPr>
          <w:rFonts w:cs="Arial"/>
          <w:bCs/>
        </w:rPr>
        <w:t>) effect of genotype F[1,95]=8.194, p=0.0052, and (</w:t>
      </w:r>
      <w:r w:rsidR="001D518D" w:rsidRPr="00537F73">
        <w:rPr>
          <w:rFonts w:cs="Arial"/>
          <w:bCs/>
        </w:rPr>
        <w:t>ASR</w:t>
      </w:r>
      <w:r w:rsidR="007C7EFB" w:rsidRPr="00537F73">
        <w:rPr>
          <w:rFonts w:cs="Arial"/>
          <w:bCs/>
        </w:rPr>
        <w:t>) effect of genotype F[1,</w:t>
      </w:r>
      <w:r w:rsidR="001D518D" w:rsidRPr="00537F73">
        <w:rPr>
          <w:rFonts w:cs="Arial"/>
          <w:bCs/>
        </w:rPr>
        <w:t>95</w:t>
      </w:r>
      <w:r w:rsidR="007C7EFB" w:rsidRPr="00537F73">
        <w:rPr>
          <w:rFonts w:cs="Arial"/>
          <w:bCs/>
        </w:rPr>
        <w:t>]=</w:t>
      </w:r>
      <w:r w:rsidR="001D518D" w:rsidRPr="00537F73">
        <w:rPr>
          <w:rFonts w:cs="Arial"/>
          <w:bCs/>
        </w:rPr>
        <w:t>39.21</w:t>
      </w:r>
      <w:r w:rsidR="007C7EFB" w:rsidRPr="00537F73">
        <w:rPr>
          <w:rFonts w:cs="Arial"/>
          <w:bCs/>
        </w:rPr>
        <w:t>, p</w:t>
      </w:r>
      <w:r w:rsidR="001D518D" w:rsidRPr="00537F73">
        <w:rPr>
          <w:rFonts w:cs="Arial"/>
          <w:bCs/>
        </w:rPr>
        <w:t>&lt;0.0001.</w:t>
      </w:r>
    </w:p>
    <w:p w14:paraId="4829D1F7" w14:textId="53AC3021" w:rsidR="007F273D" w:rsidRPr="00506C9D" w:rsidRDefault="007F273D" w:rsidP="009F2EC0">
      <w:pPr>
        <w:rPr>
          <w:rFonts w:cs="Arial"/>
          <w:bCs/>
        </w:rPr>
      </w:pPr>
      <w:r w:rsidRPr="00537F73">
        <w:rPr>
          <w:rFonts w:ascii="Calibri" w:hAnsi="Calibri" w:cs="Calibri"/>
          <w:b/>
          <w:bCs/>
        </w:rPr>
        <w:br w:type="page"/>
      </w:r>
      <w:r w:rsidRPr="00506C9D">
        <w:rPr>
          <w:rFonts w:ascii="Calibri" w:eastAsia="Calibri" w:hAnsi="Calibri" w:cs="Arial"/>
          <w:b/>
          <w:noProof/>
        </w:rPr>
        <w:lastRenderedPageBreak/>
        <w:drawing>
          <wp:inline distT="0" distB="0" distL="0" distR="0" wp14:anchorId="336CAB6E" wp14:editId="6AF97B77">
            <wp:extent cx="5808133" cy="5605860"/>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elniketal2019_Figur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2382" cy="5609961"/>
                    </a:xfrm>
                    <a:prstGeom prst="rect">
                      <a:avLst/>
                    </a:prstGeom>
                  </pic:spPr>
                </pic:pic>
              </a:graphicData>
            </a:graphic>
          </wp:inline>
        </w:drawing>
      </w:r>
    </w:p>
    <w:p w14:paraId="0012455C" w14:textId="4B3D6BE1" w:rsidR="007F273D" w:rsidRPr="009F2EC0" w:rsidRDefault="007F273D" w:rsidP="009F2EC0">
      <w:pPr>
        <w:rPr>
          <w:rFonts w:ascii="Calibri" w:eastAsia="Calibri" w:hAnsi="Calibri" w:cs="Arial"/>
          <w:bCs/>
        </w:rPr>
      </w:pPr>
      <w:r w:rsidRPr="00506C9D">
        <w:rPr>
          <w:rFonts w:cs="Arial"/>
          <w:b/>
          <w:lang w:val="en-CA"/>
        </w:rPr>
        <w:t xml:space="preserve">Figure </w:t>
      </w:r>
      <w:r w:rsidR="00FE2A33" w:rsidRPr="00506C9D">
        <w:rPr>
          <w:rFonts w:cs="Arial"/>
          <w:b/>
          <w:lang w:val="en-CA"/>
        </w:rPr>
        <w:t>S</w:t>
      </w:r>
      <w:r w:rsidR="00F109C6" w:rsidRPr="00506C9D">
        <w:rPr>
          <w:rFonts w:cs="Arial"/>
          <w:b/>
          <w:lang w:val="en-CA"/>
        </w:rPr>
        <w:t>6</w:t>
      </w:r>
      <w:r w:rsidRPr="00506C9D">
        <w:rPr>
          <w:rFonts w:ascii="Calibri" w:eastAsia="Calibri" w:hAnsi="Calibri" w:cs="Arial"/>
          <w:b/>
          <w:lang w:val="en-CA"/>
        </w:rPr>
        <w:t xml:space="preserve">. DATKO mice have no change in </w:t>
      </w:r>
      <w:r w:rsidRPr="00506C9D">
        <w:rPr>
          <w:rFonts w:ascii="Calibri" w:eastAsia="Calibri" w:hAnsi="Calibri" w:cs="Arial"/>
          <w:b/>
          <w:i/>
          <w:iCs/>
          <w:lang w:val="en-CA"/>
        </w:rPr>
        <w:t>Cnr1</w:t>
      </w:r>
      <w:r w:rsidRPr="00506C9D">
        <w:rPr>
          <w:rFonts w:ascii="Calibri" w:eastAsia="Calibri" w:hAnsi="Calibri" w:cs="Arial"/>
          <w:b/>
          <w:lang w:val="en-CA"/>
        </w:rPr>
        <w:t xml:space="preserve"> mRNA expression levels, compared to WT. </w:t>
      </w:r>
      <w:r w:rsidRPr="00506C9D">
        <w:rPr>
          <w:rFonts w:ascii="Calibri" w:eastAsia="Calibri" w:hAnsi="Calibri" w:cs="Arial"/>
          <w:bCs/>
          <w:lang w:val="en-CA"/>
        </w:rPr>
        <w:t>(A)</w:t>
      </w:r>
      <w:r w:rsidRPr="00506C9D">
        <w:rPr>
          <w:rFonts w:ascii="Calibri" w:eastAsia="Calibri" w:hAnsi="Calibri" w:cs="Arial"/>
          <w:b/>
          <w:lang w:val="en-CA"/>
        </w:rPr>
        <w:t xml:space="preserve"> </w:t>
      </w:r>
      <w:r w:rsidRPr="00506C9D">
        <w:rPr>
          <w:rFonts w:ascii="Calibri" w:eastAsia="Calibri" w:hAnsi="Calibri" w:cs="Arial"/>
          <w:bCs/>
          <w:lang w:val="en-CA"/>
        </w:rPr>
        <w:t>Confocal images (20X) of mouse brain sagittal (20 µm) sections from WT and DATKO mice</w:t>
      </w:r>
      <w:r w:rsidR="00A24C88" w:rsidRPr="00537F73">
        <w:rPr>
          <w:rFonts w:ascii="Calibri" w:eastAsia="Calibri" w:hAnsi="Calibri" w:cs="Arial"/>
          <w:bCs/>
          <w:lang w:val="en-CA"/>
        </w:rPr>
        <w:t>.</w:t>
      </w:r>
      <w:r w:rsidRPr="00537F73">
        <w:rPr>
          <w:rFonts w:ascii="Calibri" w:eastAsia="Calibri" w:hAnsi="Calibri" w:cs="Arial"/>
          <w:bCs/>
          <w:lang w:val="en-CA"/>
        </w:rPr>
        <w:t xml:space="preserve"> Brain regions pictured: PFC, CA1, DG and STR. </w:t>
      </w:r>
      <w:proofErr w:type="spellStart"/>
      <w:r w:rsidRPr="00537F73">
        <w:rPr>
          <w:rFonts w:ascii="Calibri" w:eastAsia="Calibri" w:hAnsi="Calibri" w:cs="Arial"/>
          <w:bCs/>
          <w:lang w:val="en-CA"/>
        </w:rPr>
        <w:t>RNAscope</w:t>
      </w:r>
      <w:proofErr w:type="spellEnd"/>
      <w:r w:rsidRPr="00537F73">
        <w:rPr>
          <w:rFonts w:ascii="Calibri" w:eastAsia="Calibri" w:hAnsi="Calibri" w:cs="Arial"/>
          <w:bCs/>
          <w:lang w:val="en-CA"/>
        </w:rPr>
        <w:t xml:space="preserve"> probes visualizing mRNA of </w:t>
      </w:r>
      <w:r w:rsidRPr="00537F73">
        <w:rPr>
          <w:rFonts w:ascii="Calibri" w:eastAsia="Calibri" w:hAnsi="Calibri" w:cs="Arial"/>
          <w:bCs/>
          <w:i/>
          <w:iCs/>
          <w:lang w:val="en-CA"/>
        </w:rPr>
        <w:t>Cnr1</w:t>
      </w:r>
      <w:r w:rsidRPr="00537F73">
        <w:rPr>
          <w:rFonts w:ascii="Calibri" w:eastAsia="Calibri" w:hAnsi="Calibri" w:cs="Arial"/>
          <w:bCs/>
          <w:lang w:val="en-CA"/>
        </w:rPr>
        <w:t xml:space="preserve">, visualized in red, </w:t>
      </w:r>
      <w:proofErr w:type="gramStart"/>
      <w:r w:rsidRPr="00537F73">
        <w:rPr>
          <w:rFonts w:ascii="Calibri" w:eastAsia="Calibri" w:hAnsi="Calibri" w:cs="Arial"/>
          <w:bCs/>
          <w:lang w:val="en-CA"/>
        </w:rPr>
        <w:t>counter-stained</w:t>
      </w:r>
      <w:proofErr w:type="gramEnd"/>
      <w:r w:rsidRPr="00537F73">
        <w:rPr>
          <w:rFonts w:ascii="Calibri" w:eastAsia="Calibri" w:hAnsi="Calibri" w:cs="Arial"/>
          <w:bCs/>
          <w:lang w:val="en-CA"/>
        </w:rPr>
        <w:t xml:space="preserve"> with DAPI (blue). (B) Quantification of </w:t>
      </w:r>
      <w:r w:rsidRPr="00537F73">
        <w:rPr>
          <w:rFonts w:ascii="Calibri" w:eastAsia="Calibri" w:hAnsi="Calibri" w:cs="Arial"/>
          <w:bCs/>
          <w:i/>
          <w:iCs/>
          <w:lang w:val="en-CA"/>
        </w:rPr>
        <w:t>Cnr1</w:t>
      </w:r>
      <w:r w:rsidRPr="00537F73">
        <w:rPr>
          <w:rFonts w:ascii="Calibri" w:eastAsia="Calibri" w:hAnsi="Calibri" w:cs="Arial"/>
          <w:bCs/>
          <w:lang w:val="en-CA"/>
        </w:rPr>
        <w:t xml:space="preserve"> mRNA expression expressed as mean pixel intensity</w:t>
      </w:r>
      <w:r w:rsidR="00A24C88" w:rsidRPr="00537F73">
        <w:rPr>
          <w:rFonts w:ascii="Calibri" w:eastAsia="Calibri" w:hAnsi="Calibri" w:cs="Arial"/>
          <w:bCs/>
          <w:lang w:val="en-CA"/>
        </w:rPr>
        <w:t xml:space="preserve"> (n=6 per genotype, balanced for sex)</w:t>
      </w:r>
      <w:r w:rsidRPr="00537F73">
        <w:rPr>
          <w:rFonts w:ascii="Calibri" w:eastAsia="Calibri" w:hAnsi="Calibri" w:cs="Arial"/>
          <w:bCs/>
          <w:lang w:val="en-CA"/>
        </w:rPr>
        <w:t xml:space="preserve">. </w:t>
      </w:r>
      <w:r w:rsidRPr="00537F73">
        <w:rPr>
          <w:rFonts w:ascii="Calibri" w:eastAsia="Calibri" w:hAnsi="Calibri" w:cs="Arial"/>
          <w:bCs/>
        </w:rPr>
        <w:t>Data shown as mean ± SEM, Student’s t-test, within each brain region, WT vs. DATKO.</w:t>
      </w:r>
      <w:r w:rsidR="00CD315B" w:rsidRPr="00537F73">
        <w:rPr>
          <w:rFonts w:ascii="Calibri" w:hAnsi="Calibri" w:cs="Calibri"/>
          <w:b/>
          <w:bCs/>
        </w:rPr>
        <w:br w:type="page"/>
      </w:r>
    </w:p>
    <w:p w14:paraId="57FB8B0D" w14:textId="29872888" w:rsidR="00D52D3C" w:rsidRPr="00536541" w:rsidRDefault="007F273D" w:rsidP="009F2EC0">
      <w:pPr>
        <w:rPr>
          <w:rFonts w:ascii="Calibri" w:hAnsi="Calibri" w:cs="Calibri"/>
          <w:bCs/>
          <w:lang w:val="en-CA"/>
        </w:rPr>
      </w:pPr>
      <w:r w:rsidRPr="00506C9D">
        <w:rPr>
          <w:rFonts w:ascii="Calibri" w:eastAsia="Calibri" w:hAnsi="Calibri" w:cs="Calibri"/>
          <w:b/>
          <w:noProof/>
        </w:rPr>
        <w:lastRenderedPageBreak/>
        <w:drawing>
          <wp:anchor distT="0" distB="0" distL="114300" distR="114300" simplePos="0" relativeHeight="251659264" behindDoc="1" locked="0" layoutInCell="1" allowOverlap="1" wp14:anchorId="000282A4" wp14:editId="7B5A6B2C">
            <wp:simplePos x="0" y="0"/>
            <wp:positionH relativeFrom="margin">
              <wp:align>left</wp:align>
            </wp:positionH>
            <wp:positionV relativeFrom="paragraph">
              <wp:posOffset>22975</wp:posOffset>
            </wp:positionV>
            <wp:extent cx="3260725" cy="7435215"/>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elniketal2019_Figur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0725" cy="7435215"/>
                    </a:xfrm>
                    <a:prstGeom prst="rect">
                      <a:avLst/>
                    </a:prstGeom>
                  </pic:spPr>
                </pic:pic>
              </a:graphicData>
            </a:graphic>
            <wp14:sizeRelH relativeFrom="page">
              <wp14:pctWidth>0</wp14:pctWidth>
            </wp14:sizeRelH>
            <wp14:sizeRelV relativeFrom="page">
              <wp14:pctHeight>0</wp14:pctHeight>
            </wp14:sizeRelV>
          </wp:anchor>
        </w:drawing>
      </w:r>
      <w:r w:rsidR="00D52D3C" w:rsidRPr="00506C9D">
        <w:rPr>
          <w:rFonts w:ascii="Calibri" w:hAnsi="Calibri" w:cs="Calibri"/>
          <w:b/>
          <w:lang w:val="en-CA"/>
        </w:rPr>
        <w:t xml:space="preserve">Figure </w:t>
      </w:r>
      <w:r w:rsidR="00FE2A33" w:rsidRPr="00506C9D">
        <w:rPr>
          <w:rFonts w:ascii="Calibri" w:hAnsi="Calibri" w:cs="Calibri"/>
          <w:b/>
          <w:lang w:val="en-CA"/>
        </w:rPr>
        <w:t>S</w:t>
      </w:r>
      <w:r w:rsidR="00CD315B" w:rsidRPr="00506C9D">
        <w:rPr>
          <w:rFonts w:ascii="Calibri" w:hAnsi="Calibri" w:cs="Calibri"/>
          <w:b/>
          <w:lang w:val="en-CA"/>
        </w:rPr>
        <w:t>7</w:t>
      </w:r>
      <w:r w:rsidR="00D52D3C" w:rsidRPr="00506C9D">
        <w:rPr>
          <w:rFonts w:ascii="Calibri" w:hAnsi="Calibri" w:cs="Calibri"/>
          <w:b/>
          <w:lang w:val="en-CA"/>
        </w:rPr>
        <w:t xml:space="preserve">. Treatment with olanzapine (1mg/kg), but not ABM300 (10mg/kg), attenuates avoidance behaviour and enhances escape responding in CAR testing. </w:t>
      </w:r>
      <w:r w:rsidR="00D52D3C" w:rsidRPr="00506C9D">
        <w:rPr>
          <w:rFonts w:ascii="Calibri" w:hAnsi="Calibri" w:cs="Calibri"/>
          <w:bCs/>
          <w:lang w:val="en-CA"/>
        </w:rPr>
        <w:t>Effect of ABM300 (ABM; n=7) and olanzapine (OLA; n=7) on shock avoidance (A), shock escape (B), and escape failures (C) in CAR. Baseline response following vehicle injection (Days 1-3) and response after drug injection (Day 4-10).</w:t>
      </w:r>
      <w:r w:rsidR="00D52D3C" w:rsidRPr="00506C9D">
        <w:rPr>
          <w:rFonts w:ascii="Calibri" w:hAnsi="Calibri" w:cs="Calibri"/>
          <w:b/>
          <w:lang w:val="en-CA"/>
        </w:rPr>
        <w:t xml:space="preserve"> </w:t>
      </w:r>
      <w:r w:rsidR="00D52D3C" w:rsidRPr="00506C9D">
        <w:rPr>
          <w:rFonts w:ascii="Calibri" w:hAnsi="Calibri" w:cs="Calibri"/>
          <w:bCs/>
          <w:lang w:val="en-CA"/>
        </w:rPr>
        <w:t xml:space="preserve">Re-emergence of avoidance behaviour under CS-only conditions evaluated following </w:t>
      </w:r>
      <w:r w:rsidR="00D52D3C" w:rsidRPr="00537F73">
        <w:rPr>
          <w:rFonts w:ascii="Calibri" w:hAnsi="Calibri" w:cs="Calibri"/>
          <w:bCs/>
          <w:lang w:val="en-CA"/>
        </w:rPr>
        <w:t xml:space="preserve">drug administration regimen (Days 11-12). </w:t>
      </w:r>
      <w:r w:rsidR="00D52D3C" w:rsidRPr="00537F73">
        <w:rPr>
          <w:rFonts w:ascii="Calibri" w:hAnsi="Calibri" w:cs="Calibri"/>
          <w:bCs/>
        </w:rPr>
        <w:t xml:space="preserve">Data shown as mean ± SEM, </w:t>
      </w:r>
      <w:r w:rsidR="00D52D3C" w:rsidRPr="00537F73">
        <w:rPr>
          <w:rFonts w:ascii="Calibri" w:hAnsi="Calibri" w:cs="Calibri"/>
          <w:b/>
          <w:bCs/>
          <w:vertAlign w:val="superscript"/>
        </w:rPr>
        <w:t>#</w:t>
      </w:r>
      <w:r w:rsidR="00D52D3C" w:rsidRPr="00537F73">
        <w:rPr>
          <w:rFonts w:ascii="Calibri" w:hAnsi="Calibri" w:cs="Calibri"/>
          <w:bCs/>
        </w:rPr>
        <w:t>p≤0.05</w:t>
      </w:r>
      <w:r w:rsidR="00D52D3C" w:rsidRPr="00537F73">
        <w:rPr>
          <w:rFonts w:ascii="Calibri" w:hAnsi="Calibri" w:cs="Calibri"/>
          <w:b/>
          <w:bCs/>
        </w:rPr>
        <w:t xml:space="preserve"> </w:t>
      </w:r>
      <w:r w:rsidR="00D52D3C" w:rsidRPr="00537F73">
        <w:rPr>
          <w:rFonts w:ascii="Calibri" w:hAnsi="Calibri" w:cs="Calibri"/>
          <w:bCs/>
        </w:rPr>
        <w:t>group difference between baseline Day 3 and drug testing data (</w:t>
      </w:r>
      <w:r w:rsidR="00D52D3C" w:rsidRPr="00537F73">
        <w:rPr>
          <w:rFonts w:ascii="Calibri" w:hAnsi="Calibri" w:cs="Calibri"/>
          <w:bCs/>
          <w:vertAlign w:val="superscript"/>
        </w:rPr>
        <w:t>#</w:t>
      </w:r>
      <w:r w:rsidR="00D52D3C" w:rsidRPr="00537F73">
        <w:rPr>
          <w:rFonts w:ascii="Calibri" w:hAnsi="Calibri" w:cs="Calibri"/>
          <w:bCs/>
        </w:rPr>
        <w:t xml:space="preserve">p&lt;0.05, </w:t>
      </w:r>
      <w:r w:rsidR="00D52D3C" w:rsidRPr="00537F73">
        <w:rPr>
          <w:rFonts w:ascii="Calibri" w:hAnsi="Calibri" w:cs="Calibri"/>
          <w:bCs/>
          <w:vertAlign w:val="superscript"/>
        </w:rPr>
        <w:t>##</w:t>
      </w:r>
      <w:r w:rsidR="00D52D3C" w:rsidRPr="00537F73">
        <w:rPr>
          <w:rFonts w:ascii="Calibri" w:hAnsi="Calibri" w:cs="Calibri"/>
          <w:bCs/>
        </w:rPr>
        <w:t xml:space="preserve">p&lt;0.01), </w:t>
      </w:r>
      <w:r w:rsidR="00D52D3C" w:rsidRPr="00537F73">
        <w:rPr>
          <w:rFonts w:ascii="Calibri" w:hAnsi="Calibri" w:cs="Calibri"/>
          <w:b/>
          <w:bCs/>
        </w:rPr>
        <w:t>*</w:t>
      </w:r>
      <w:r w:rsidR="00D52D3C" w:rsidRPr="00537F73">
        <w:rPr>
          <w:rFonts w:ascii="Calibri" w:hAnsi="Calibri" w:cs="Calibri"/>
          <w:bCs/>
        </w:rPr>
        <w:t>p≤0.05 vehicle baseline data used as covariates to determine main effects, interactions, and between group differences (*p&lt;0.05, **p&lt;0.01), RM ANOVA with Bonferroni correction.</w:t>
      </w:r>
    </w:p>
    <w:p w14:paraId="68124724" w14:textId="77777777" w:rsidR="00D52D3C" w:rsidRPr="00536541" w:rsidRDefault="00D52D3C" w:rsidP="009F2EC0">
      <w:pPr>
        <w:rPr>
          <w:rFonts w:ascii="Calibri" w:hAnsi="Calibri" w:cs="Calibri"/>
          <w:lang w:val="en-CA"/>
        </w:rPr>
      </w:pPr>
    </w:p>
    <w:p w14:paraId="20401A41" w14:textId="77777777" w:rsidR="00D52D3C" w:rsidRPr="00536541" w:rsidRDefault="00D52D3C" w:rsidP="009F2EC0">
      <w:pPr>
        <w:rPr>
          <w:rFonts w:ascii="Calibri" w:hAnsi="Calibri" w:cs="Calibri"/>
        </w:rPr>
      </w:pPr>
    </w:p>
    <w:p w14:paraId="563BF1D9" w14:textId="77777777" w:rsidR="00D52D3C" w:rsidRPr="00536541" w:rsidRDefault="00D52D3C" w:rsidP="009F2EC0">
      <w:pPr>
        <w:rPr>
          <w:rFonts w:ascii="Calibri" w:hAnsi="Calibri" w:cs="Calibri"/>
        </w:rPr>
      </w:pPr>
    </w:p>
    <w:p w14:paraId="14E871BD" w14:textId="77777777" w:rsidR="001B5F72" w:rsidRDefault="001B5F72" w:rsidP="009F2EC0"/>
    <w:sectPr w:rsidR="001B5F72" w:rsidSect="00506C9D">
      <w:headerReference w:type="default" r:id="rId17"/>
      <w:footerReference w:type="even" r:id="rId18"/>
      <w:footerReference w:type="default" r:id="rId19"/>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F5951" w14:textId="77777777" w:rsidR="00185311" w:rsidRDefault="00185311">
      <w:r>
        <w:separator/>
      </w:r>
    </w:p>
  </w:endnote>
  <w:endnote w:type="continuationSeparator" w:id="0">
    <w:p w14:paraId="28B5724F" w14:textId="77777777" w:rsidR="00185311" w:rsidRDefault="00185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4077900"/>
      <w:docPartObj>
        <w:docPartGallery w:val="Page Numbers (Bottom of Page)"/>
        <w:docPartUnique/>
      </w:docPartObj>
    </w:sdtPr>
    <w:sdtEndPr>
      <w:rPr>
        <w:rStyle w:val="PageNumber"/>
      </w:rPr>
    </w:sdtEndPr>
    <w:sdtContent>
      <w:p w14:paraId="79C20335" w14:textId="77777777" w:rsidR="00A2508B" w:rsidRDefault="00D52D3C" w:rsidP="00047E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020383" w14:textId="77777777" w:rsidR="00A2508B" w:rsidRDefault="00185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cs="Arial"/>
      </w:rPr>
      <w:id w:val="248015664"/>
      <w:docPartObj>
        <w:docPartGallery w:val="Page Numbers (Bottom of Page)"/>
        <w:docPartUnique/>
      </w:docPartObj>
    </w:sdtPr>
    <w:sdtEndPr>
      <w:rPr>
        <w:rStyle w:val="PageNumber"/>
      </w:rPr>
    </w:sdtEndPr>
    <w:sdtContent>
      <w:p w14:paraId="7CD224D2" w14:textId="36890357" w:rsidR="00A2508B" w:rsidRPr="009F2EC0" w:rsidRDefault="00D52D3C" w:rsidP="00047E88">
        <w:pPr>
          <w:pStyle w:val="Footer"/>
          <w:framePr w:wrap="none" w:vAnchor="text" w:hAnchor="margin" w:xAlign="center" w:y="1"/>
          <w:rPr>
            <w:rStyle w:val="PageNumber"/>
            <w:rFonts w:cs="Arial"/>
          </w:rPr>
        </w:pPr>
        <w:r w:rsidRPr="009F2EC0">
          <w:rPr>
            <w:rStyle w:val="PageNumber"/>
            <w:rFonts w:cs="Arial"/>
          </w:rPr>
          <w:fldChar w:fldCharType="begin"/>
        </w:r>
        <w:r w:rsidRPr="009F2EC0">
          <w:rPr>
            <w:rStyle w:val="PageNumber"/>
            <w:rFonts w:cs="Arial"/>
          </w:rPr>
          <w:instrText xml:space="preserve"> PAGE </w:instrText>
        </w:r>
        <w:r w:rsidRPr="009F2EC0">
          <w:rPr>
            <w:rStyle w:val="PageNumber"/>
            <w:rFonts w:cs="Arial"/>
          </w:rPr>
          <w:fldChar w:fldCharType="separate"/>
        </w:r>
        <w:r w:rsidR="00965815" w:rsidRPr="009F2EC0">
          <w:rPr>
            <w:rStyle w:val="PageNumber"/>
            <w:rFonts w:cs="Arial"/>
            <w:noProof/>
          </w:rPr>
          <w:t>1</w:t>
        </w:r>
        <w:r w:rsidRPr="009F2EC0">
          <w:rPr>
            <w:rStyle w:val="PageNumber"/>
            <w:rFonts w:cs="Arial"/>
          </w:rPr>
          <w:fldChar w:fldCharType="end"/>
        </w:r>
      </w:p>
    </w:sdtContent>
  </w:sdt>
  <w:p w14:paraId="24DB8A65" w14:textId="77777777" w:rsidR="00A2508B" w:rsidRPr="009F2EC0" w:rsidRDefault="00185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421C7" w14:textId="77777777" w:rsidR="00185311" w:rsidRDefault="00185311">
      <w:r>
        <w:separator/>
      </w:r>
    </w:p>
  </w:footnote>
  <w:footnote w:type="continuationSeparator" w:id="0">
    <w:p w14:paraId="4BCE905F" w14:textId="77777777" w:rsidR="00185311" w:rsidRDefault="00185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8D74B" w14:textId="25972256" w:rsidR="00A2508B" w:rsidRPr="000A4B8B" w:rsidRDefault="00D52D3C" w:rsidP="006164A5">
    <w:pPr>
      <w:pStyle w:val="Header"/>
      <w:tabs>
        <w:tab w:val="clear" w:pos="4680"/>
        <w:tab w:val="clear" w:pos="9360"/>
        <w:tab w:val="left" w:pos="6387"/>
      </w:tabs>
      <w:jc w:val="right"/>
      <w:rPr>
        <w:rFonts w:ascii="Calibri" w:hAnsi="Calibri" w:cs="Arial"/>
      </w:rPr>
    </w:pPr>
    <w:r w:rsidRPr="000A4B8B">
      <w:rPr>
        <w:rFonts w:ascii="Calibri" w:hAnsi="Calibri"/>
      </w:rPr>
      <w:tab/>
    </w:r>
    <w:r w:rsidRPr="000A4B8B">
      <w:rPr>
        <w:rFonts w:ascii="Calibri" w:hAnsi="Calibri" w:cs="Arial"/>
      </w:rPr>
      <w:t>Mielnik et al., 20</w:t>
    </w:r>
    <w:r w:rsidR="00B134E2" w:rsidRPr="000A4B8B">
      <w:rPr>
        <w:rFonts w:ascii="Calibri" w:hAnsi="Calibri" w:cs="Arial"/>
      </w:rPr>
      <w:t>20</w:t>
    </w:r>
    <w:r w:rsidRPr="000A4B8B">
      <w:rPr>
        <w:rFonts w:ascii="Calibri" w:hAnsi="Calibri" w:cs="Arial"/>
      </w:rPr>
      <w:t>_</w:t>
    </w:r>
    <w:r w:rsidR="00F375C8" w:rsidRPr="000A4B8B">
      <w:rPr>
        <w:rFonts w:ascii="Calibri" w:hAnsi="Calibri" w:cs="Arial"/>
      </w:rPr>
      <w:t>NPP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A2F06"/>
    <w:multiLevelType w:val="multilevel"/>
    <w:tmpl w:val="29A4D09A"/>
    <w:lvl w:ilvl="0">
      <w:start w:val="1"/>
      <mc:AlternateContent>
        <mc:Choice Requires="w14">
          <w:numFmt w:val="custom" w:format="0001, 0002, 0003, ..."/>
        </mc:Choice>
        <mc:Fallback>
          <w:numFmt w:val="decimal"/>
        </mc:Fallback>
      </mc:AlternateContent>
      <w:pStyle w:val="US0000"/>
      <w:lvlText w:val="[%1]"/>
      <w:lvlJc w:val="left"/>
      <w:pPr>
        <w:tabs>
          <w:tab w:val="num" w:pos="1440"/>
        </w:tabs>
        <w:ind w:left="0" w:firstLine="0"/>
      </w:pPr>
      <w:rPr>
        <w:rFonts w:ascii="Arial" w:hAnsi="Arial" w:cs="Times New Roman" w:hint="default"/>
        <w:b w:val="0"/>
        <w:i w:val="0"/>
        <w:caps w:val="0"/>
        <w:strike w:val="0"/>
        <w:dstrike w:val="0"/>
        <w:vanish w:val="0"/>
        <w:webHidden w:val="0"/>
        <w:color w:val="000000"/>
        <w:sz w:val="24"/>
        <w:u w:val="none"/>
        <w:effect w:val="none"/>
        <w:vertAlign w:val="baseline"/>
        <w:specVanish w:val="0"/>
      </w:rPr>
    </w:lvl>
    <w:lvl w:ilvl="1">
      <w:start w:val="1"/>
      <w:numFmt w:val="none"/>
      <w:isLgl/>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3C"/>
    <w:rsid w:val="00016DBA"/>
    <w:rsid w:val="0008163C"/>
    <w:rsid w:val="000871BD"/>
    <w:rsid w:val="000A4B8B"/>
    <w:rsid w:val="000C2573"/>
    <w:rsid w:val="000F0D9E"/>
    <w:rsid w:val="000F19ED"/>
    <w:rsid w:val="000F2144"/>
    <w:rsid w:val="000F5FAC"/>
    <w:rsid w:val="0012300D"/>
    <w:rsid w:val="001567EF"/>
    <w:rsid w:val="001719E2"/>
    <w:rsid w:val="00185311"/>
    <w:rsid w:val="00185862"/>
    <w:rsid w:val="00195A67"/>
    <w:rsid w:val="001B5F72"/>
    <w:rsid w:val="001D518D"/>
    <w:rsid w:val="001F7307"/>
    <w:rsid w:val="001F787B"/>
    <w:rsid w:val="00204429"/>
    <w:rsid w:val="00217C3E"/>
    <w:rsid w:val="00224516"/>
    <w:rsid w:val="002368D3"/>
    <w:rsid w:val="002545D7"/>
    <w:rsid w:val="002805BB"/>
    <w:rsid w:val="0028743B"/>
    <w:rsid w:val="0029439E"/>
    <w:rsid w:val="003365E6"/>
    <w:rsid w:val="00354C64"/>
    <w:rsid w:val="00360E32"/>
    <w:rsid w:val="003679C9"/>
    <w:rsid w:val="003720E7"/>
    <w:rsid w:val="00384DD6"/>
    <w:rsid w:val="00386358"/>
    <w:rsid w:val="0039085B"/>
    <w:rsid w:val="003C5310"/>
    <w:rsid w:val="003D4CB2"/>
    <w:rsid w:val="003E0B2F"/>
    <w:rsid w:val="00433BBC"/>
    <w:rsid w:val="00461384"/>
    <w:rsid w:val="00487EF8"/>
    <w:rsid w:val="00497FB6"/>
    <w:rsid w:val="004D25ED"/>
    <w:rsid w:val="004D2DF9"/>
    <w:rsid w:val="004D5215"/>
    <w:rsid w:val="00500962"/>
    <w:rsid w:val="00504E45"/>
    <w:rsid w:val="00506C9D"/>
    <w:rsid w:val="00537F73"/>
    <w:rsid w:val="00553EE1"/>
    <w:rsid w:val="005608E8"/>
    <w:rsid w:val="005779C7"/>
    <w:rsid w:val="00583CC8"/>
    <w:rsid w:val="00590443"/>
    <w:rsid w:val="00591C3C"/>
    <w:rsid w:val="005B1C76"/>
    <w:rsid w:val="005D2A1B"/>
    <w:rsid w:val="005E6E9A"/>
    <w:rsid w:val="006037F8"/>
    <w:rsid w:val="00624996"/>
    <w:rsid w:val="00624EF3"/>
    <w:rsid w:val="00684E91"/>
    <w:rsid w:val="006B1167"/>
    <w:rsid w:val="006B1A16"/>
    <w:rsid w:val="006B48C6"/>
    <w:rsid w:val="006C3489"/>
    <w:rsid w:val="006D6D9D"/>
    <w:rsid w:val="006F68D2"/>
    <w:rsid w:val="007029BD"/>
    <w:rsid w:val="00742385"/>
    <w:rsid w:val="007534B3"/>
    <w:rsid w:val="007610EF"/>
    <w:rsid w:val="007A44CD"/>
    <w:rsid w:val="007C7EFB"/>
    <w:rsid w:val="007D2CED"/>
    <w:rsid w:val="007F0CC9"/>
    <w:rsid w:val="007F21D4"/>
    <w:rsid w:val="007F273D"/>
    <w:rsid w:val="007F3CB8"/>
    <w:rsid w:val="00800CBB"/>
    <w:rsid w:val="00824F57"/>
    <w:rsid w:val="00844B81"/>
    <w:rsid w:val="0089390C"/>
    <w:rsid w:val="008C2AF9"/>
    <w:rsid w:val="008C5D07"/>
    <w:rsid w:val="008D401C"/>
    <w:rsid w:val="008D6C76"/>
    <w:rsid w:val="008E29D9"/>
    <w:rsid w:val="008F24F1"/>
    <w:rsid w:val="00923AEF"/>
    <w:rsid w:val="00925125"/>
    <w:rsid w:val="009603E5"/>
    <w:rsid w:val="00963B4C"/>
    <w:rsid w:val="00965815"/>
    <w:rsid w:val="0096741D"/>
    <w:rsid w:val="00975F04"/>
    <w:rsid w:val="00983613"/>
    <w:rsid w:val="009A1395"/>
    <w:rsid w:val="009D6D21"/>
    <w:rsid w:val="009F2EC0"/>
    <w:rsid w:val="009F7DCD"/>
    <w:rsid w:val="00A11E83"/>
    <w:rsid w:val="00A211BF"/>
    <w:rsid w:val="00A24C88"/>
    <w:rsid w:val="00A309A3"/>
    <w:rsid w:val="00A44A8E"/>
    <w:rsid w:val="00A61B70"/>
    <w:rsid w:val="00A7201F"/>
    <w:rsid w:val="00A96404"/>
    <w:rsid w:val="00AA5343"/>
    <w:rsid w:val="00AB5CC5"/>
    <w:rsid w:val="00B07E83"/>
    <w:rsid w:val="00B10E57"/>
    <w:rsid w:val="00B134E2"/>
    <w:rsid w:val="00B236B2"/>
    <w:rsid w:val="00B64613"/>
    <w:rsid w:val="00BE4782"/>
    <w:rsid w:val="00BF0922"/>
    <w:rsid w:val="00C570BB"/>
    <w:rsid w:val="00C67BCE"/>
    <w:rsid w:val="00C8365A"/>
    <w:rsid w:val="00C974B3"/>
    <w:rsid w:val="00CA1453"/>
    <w:rsid w:val="00CD315B"/>
    <w:rsid w:val="00CE78CF"/>
    <w:rsid w:val="00CF740B"/>
    <w:rsid w:val="00D35C51"/>
    <w:rsid w:val="00D433AC"/>
    <w:rsid w:val="00D52B6D"/>
    <w:rsid w:val="00D52D3C"/>
    <w:rsid w:val="00D560D2"/>
    <w:rsid w:val="00D577B0"/>
    <w:rsid w:val="00D64E07"/>
    <w:rsid w:val="00D71D6F"/>
    <w:rsid w:val="00D75BB1"/>
    <w:rsid w:val="00D93193"/>
    <w:rsid w:val="00DD10AA"/>
    <w:rsid w:val="00DF54C4"/>
    <w:rsid w:val="00E021DE"/>
    <w:rsid w:val="00E104FC"/>
    <w:rsid w:val="00E21E9A"/>
    <w:rsid w:val="00E55A01"/>
    <w:rsid w:val="00E66485"/>
    <w:rsid w:val="00E74189"/>
    <w:rsid w:val="00E866A1"/>
    <w:rsid w:val="00EA119E"/>
    <w:rsid w:val="00EB1B38"/>
    <w:rsid w:val="00EB2009"/>
    <w:rsid w:val="00EC0E5F"/>
    <w:rsid w:val="00ED7420"/>
    <w:rsid w:val="00ED7F98"/>
    <w:rsid w:val="00EE29B6"/>
    <w:rsid w:val="00F00987"/>
    <w:rsid w:val="00F109C6"/>
    <w:rsid w:val="00F222FF"/>
    <w:rsid w:val="00F36FEF"/>
    <w:rsid w:val="00F375C8"/>
    <w:rsid w:val="00F50385"/>
    <w:rsid w:val="00F85EBC"/>
    <w:rsid w:val="00F86162"/>
    <w:rsid w:val="00F95209"/>
    <w:rsid w:val="00FB2DF6"/>
    <w:rsid w:val="00FE2A33"/>
    <w:rsid w:val="00FF1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15F35"/>
  <w15:chartTrackingRefBased/>
  <w15:docId w15:val="{4C96192E-A8BE-44E8-B371-12CF1A1D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3C"/>
    <w:pPr>
      <w:spacing w:after="0" w:line="240" w:lineRule="auto"/>
    </w:pPr>
    <w:rPr>
      <w:sz w:val="24"/>
      <w:szCs w:val="24"/>
    </w:rPr>
  </w:style>
  <w:style w:type="paragraph" w:styleId="Heading2">
    <w:name w:val="heading 2"/>
    <w:basedOn w:val="Normal"/>
    <w:next w:val="Normal"/>
    <w:link w:val="Heading2Char"/>
    <w:qFormat/>
    <w:rsid w:val="00D52D3C"/>
    <w:pPr>
      <w:keepNext/>
      <w:jc w:val="both"/>
      <w:outlineLvl w:val="1"/>
    </w:pPr>
    <w:rPr>
      <w:rFonts w:ascii="Times New Roman" w:eastAsia="Times" w:hAnsi="Times New Roman" w:cs="Times New Roman"/>
      <w:i/>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52D3C"/>
    <w:rPr>
      <w:rFonts w:ascii="Times New Roman" w:eastAsia="Times" w:hAnsi="Times New Roman" w:cs="Times New Roman"/>
      <w:i/>
      <w:sz w:val="24"/>
      <w:szCs w:val="20"/>
      <w:lang w:val="en-GB" w:eastAsia="en-GB"/>
    </w:rPr>
  </w:style>
  <w:style w:type="character" w:styleId="Hyperlink">
    <w:name w:val="Hyperlink"/>
    <w:basedOn w:val="DefaultParagraphFont"/>
    <w:uiPriority w:val="99"/>
    <w:unhideWhenUsed/>
    <w:rsid w:val="00D52D3C"/>
    <w:rPr>
      <w:color w:val="0000FF" w:themeColor="hyperlink"/>
      <w:u w:val="single"/>
    </w:rPr>
  </w:style>
  <w:style w:type="paragraph" w:styleId="Header">
    <w:name w:val="header"/>
    <w:basedOn w:val="Normal"/>
    <w:link w:val="HeaderChar"/>
    <w:uiPriority w:val="99"/>
    <w:unhideWhenUsed/>
    <w:rsid w:val="00D52D3C"/>
    <w:pPr>
      <w:tabs>
        <w:tab w:val="center" w:pos="4680"/>
        <w:tab w:val="right" w:pos="9360"/>
      </w:tabs>
    </w:pPr>
  </w:style>
  <w:style w:type="character" w:customStyle="1" w:styleId="HeaderChar">
    <w:name w:val="Header Char"/>
    <w:basedOn w:val="DefaultParagraphFont"/>
    <w:link w:val="Header"/>
    <w:uiPriority w:val="99"/>
    <w:rsid w:val="00D52D3C"/>
    <w:rPr>
      <w:sz w:val="24"/>
      <w:szCs w:val="24"/>
    </w:rPr>
  </w:style>
  <w:style w:type="paragraph" w:styleId="Footer">
    <w:name w:val="footer"/>
    <w:basedOn w:val="Normal"/>
    <w:link w:val="FooterChar"/>
    <w:uiPriority w:val="99"/>
    <w:unhideWhenUsed/>
    <w:rsid w:val="00D52D3C"/>
    <w:pPr>
      <w:tabs>
        <w:tab w:val="center" w:pos="4680"/>
        <w:tab w:val="right" w:pos="9360"/>
      </w:tabs>
    </w:pPr>
  </w:style>
  <w:style w:type="character" w:customStyle="1" w:styleId="FooterChar">
    <w:name w:val="Footer Char"/>
    <w:basedOn w:val="DefaultParagraphFont"/>
    <w:link w:val="Footer"/>
    <w:uiPriority w:val="99"/>
    <w:rsid w:val="00D52D3C"/>
    <w:rPr>
      <w:sz w:val="24"/>
      <w:szCs w:val="24"/>
    </w:rPr>
  </w:style>
  <w:style w:type="character" w:styleId="PageNumber">
    <w:name w:val="page number"/>
    <w:basedOn w:val="DefaultParagraphFont"/>
    <w:uiPriority w:val="99"/>
    <w:semiHidden/>
    <w:unhideWhenUsed/>
    <w:rsid w:val="00D52D3C"/>
  </w:style>
  <w:style w:type="paragraph" w:styleId="BalloonText">
    <w:name w:val="Balloon Text"/>
    <w:basedOn w:val="Normal"/>
    <w:link w:val="BalloonTextChar"/>
    <w:uiPriority w:val="99"/>
    <w:semiHidden/>
    <w:unhideWhenUsed/>
    <w:rsid w:val="008C5D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5D0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679C9"/>
    <w:rPr>
      <w:sz w:val="16"/>
      <w:szCs w:val="16"/>
    </w:rPr>
  </w:style>
  <w:style w:type="paragraph" w:styleId="CommentText">
    <w:name w:val="annotation text"/>
    <w:basedOn w:val="Normal"/>
    <w:link w:val="CommentTextChar"/>
    <w:uiPriority w:val="99"/>
    <w:unhideWhenUsed/>
    <w:rsid w:val="003679C9"/>
    <w:rPr>
      <w:sz w:val="20"/>
      <w:szCs w:val="20"/>
    </w:rPr>
  </w:style>
  <w:style w:type="character" w:customStyle="1" w:styleId="CommentTextChar">
    <w:name w:val="Comment Text Char"/>
    <w:basedOn w:val="DefaultParagraphFont"/>
    <w:link w:val="CommentText"/>
    <w:uiPriority w:val="99"/>
    <w:rsid w:val="003679C9"/>
    <w:rPr>
      <w:sz w:val="20"/>
      <w:szCs w:val="20"/>
    </w:rPr>
  </w:style>
  <w:style w:type="paragraph" w:styleId="CommentSubject">
    <w:name w:val="annotation subject"/>
    <w:basedOn w:val="CommentText"/>
    <w:next w:val="CommentText"/>
    <w:link w:val="CommentSubjectChar"/>
    <w:uiPriority w:val="99"/>
    <w:semiHidden/>
    <w:unhideWhenUsed/>
    <w:rsid w:val="00D71D6F"/>
    <w:rPr>
      <w:b/>
      <w:bCs/>
    </w:rPr>
  </w:style>
  <w:style w:type="character" w:customStyle="1" w:styleId="CommentSubjectChar">
    <w:name w:val="Comment Subject Char"/>
    <w:basedOn w:val="CommentTextChar"/>
    <w:link w:val="CommentSubject"/>
    <w:uiPriority w:val="99"/>
    <w:semiHidden/>
    <w:rsid w:val="00D71D6F"/>
    <w:rPr>
      <w:b/>
      <w:bCs/>
      <w:sz w:val="20"/>
      <w:szCs w:val="20"/>
    </w:rPr>
  </w:style>
  <w:style w:type="paragraph" w:styleId="Revision">
    <w:name w:val="Revision"/>
    <w:hidden/>
    <w:uiPriority w:val="99"/>
    <w:semiHidden/>
    <w:rsid w:val="00EC0E5F"/>
    <w:pPr>
      <w:spacing w:after="0" w:line="240" w:lineRule="auto"/>
    </w:pPr>
    <w:rPr>
      <w:sz w:val="24"/>
      <w:szCs w:val="24"/>
    </w:rPr>
  </w:style>
  <w:style w:type="paragraph" w:customStyle="1" w:styleId="US0000">
    <w:name w:val="US [0000]"/>
    <w:basedOn w:val="Normal"/>
    <w:uiPriority w:val="2"/>
    <w:qFormat/>
    <w:rsid w:val="00E021DE"/>
    <w:pPr>
      <w:numPr>
        <w:numId w:val="1"/>
      </w:numPr>
      <w:spacing w:after="120" w:line="360" w:lineRule="auto"/>
    </w:pPr>
    <w:rPr>
      <w:rFonts w:ascii="Arial" w:eastAsia="Times New Roman" w:hAnsi="Arial" w:cs="Times New Roman"/>
      <w:szCs w:val="20"/>
    </w:rPr>
  </w:style>
  <w:style w:type="paragraph" w:styleId="Caption">
    <w:name w:val="caption"/>
    <w:basedOn w:val="Normal"/>
    <w:uiPriority w:val="35"/>
    <w:unhideWhenUsed/>
    <w:qFormat/>
    <w:rsid w:val="00195A67"/>
    <w:pPr>
      <w:spacing w:line="360" w:lineRule="auto"/>
    </w:pPr>
    <w:rPr>
      <w:rFonts w:ascii="Times New Roman" w:hAnsi="Times New Roman" w:cs="Times New Roman"/>
      <w:b/>
      <w:bCs/>
      <w:sz w:val="20"/>
      <w:szCs w:val="20"/>
    </w:rPr>
  </w:style>
  <w:style w:type="character" w:styleId="LineNumber">
    <w:name w:val="line number"/>
    <w:basedOn w:val="DefaultParagraphFont"/>
    <w:uiPriority w:val="99"/>
    <w:semiHidden/>
    <w:unhideWhenUsed/>
    <w:rsid w:val="00B10E57"/>
  </w:style>
  <w:style w:type="character" w:customStyle="1" w:styleId="a-size-medium">
    <w:name w:val="a-size-medium"/>
    <w:basedOn w:val="DefaultParagraphFont"/>
    <w:rsid w:val="00ED7F98"/>
  </w:style>
  <w:style w:type="table" w:styleId="TableGrid">
    <w:name w:val="Table Grid"/>
    <w:basedOn w:val="TableNormal"/>
    <w:uiPriority w:val="39"/>
    <w:rsid w:val="008F2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509778">
      <w:bodyDiv w:val="1"/>
      <w:marLeft w:val="0"/>
      <w:marRight w:val="0"/>
      <w:marTop w:val="0"/>
      <w:marBottom w:val="0"/>
      <w:divBdr>
        <w:top w:val="none" w:sz="0" w:space="0" w:color="auto"/>
        <w:left w:val="none" w:sz="0" w:space="0" w:color="auto"/>
        <w:bottom w:val="none" w:sz="0" w:space="0" w:color="auto"/>
        <w:right w:val="none" w:sz="0" w:space="0" w:color="auto"/>
      </w:divBdr>
    </w:div>
    <w:div w:id="121257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finsdiscoveryservices.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finsdiscoveryservice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8F2FB-39C1-6749-BDC2-42D31F93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10112</Words>
  <Characters>57645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Ross</dc:creator>
  <cp:keywords/>
  <dc:description/>
  <cp:lastModifiedBy>Catharine Mielnik</cp:lastModifiedBy>
  <cp:revision>6</cp:revision>
  <dcterms:created xsi:type="dcterms:W3CDTF">2020-06-01T20:49:00Z</dcterms:created>
  <dcterms:modified xsi:type="dcterms:W3CDTF">2020-06-01T20:56:00Z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8f1c15cb-75f8-3947-a050-0f66f44e55d9</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http://www.zotero.org/styles/biological-psychiatry</vt:lpwstr>
  </property>
  <property fmtid="{D5CDD505-2E9C-101B-9397-08002B2CF9AE}" pid="8" name="Mendeley Recent Style Name 1_1">
    <vt:lpwstr>Biological Psychiatry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http://www.zotero.org/styles/molecular-psychiatry</vt:lpwstr>
  </property>
  <property fmtid="{D5CDD505-2E9C-101B-9397-08002B2CF9AE}" pid="16" name="Mendeley Recent Style Name 5_1">
    <vt:lpwstr>Molecular Psychiatry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http://www.zotero.org/styles/progress-in-neuropsychopharmacology-and-biological-psychiatry</vt:lpwstr>
  </property>
  <property fmtid="{D5CDD505-2E9C-101B-9397-08002B2CF9AE}" pid="20" name="Mendeley Recent Style Name 7_1">
    <vt:lpwstr>Progress in Neuropsychopharmacology &amp; Biological Psychiatry</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