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E8" w:rsidRPr="00B10A10" w:rsidRDefault="00C73F4F" w:rsidP="00BE24E8">
      <w:pPr>
        <w:spacing w:line="480" w:lineRule="auto"/>
        <w:rPr>
          <w:rFonts w:ascii="Arial" w:hAnsi="Arial" w:cs="Arial"/>
          <w:b/>
          <w:lang w:val="en-US"/>
        </w:rPr>
      </w:pPr>
      <w:r>
        <w:rPr>
          <w:rFonts w:ascii="Arial" w:hAnsi="Arial" w:cs="Arial"/>
          <w:b/>
          <w:lang w:val="en-US"/>
        </w:rPr>
        <w:t>Supplementa</w:t>
      </w:r>
      <w:r w:rsidR="00FA5C6D">
        <w:rPr>
          <w:rFonts w:ascii="Arial" w:hAnsi="Arial" w:cs="Arial"/>
          <w:b/>
          <w:lang w:val="en-US"/>
        </w:rPr>
        <w:t>ry</w:t>
      </w:r>
      <w:r>
        <w:rPr>
          <w:rFonts w:ascii="Arial" w:hAnsi="Arial" w:cs="Arial"/>
          <w:b/>
          <w:lang w:val="en-US"/>
        </w:rPr>
        <w:t xml:space="preserve"> </w:t>
      </w:r>
      <w:r w:rsidR="00BE24E8" w:rsidRPr="00B10A10">
        <w:rPr>
          <w:rFonts w:ascii="Arial" w:hAnsi="Arial" w:cs="Arial"/>
          <w:b/>
          <w:lang w:val="en-US"/>
        </w:rPr>
        <w:t>Materials and Methods</w:t>
      </w:r>
    </w:p>
    <w:p w:rsidR="00BE24E8" w:rsidRPr="00B10A10" w:rsidRDefault="00BE24E8" w:rsidP="00BE24E8">
      <w:pPr>
        <w:spacing w:after="0" w:line="480" w:lineRule="auto"/>
        <w:jc w:val="both"/>
        <w:rPr>
          <w:rFonts w:ascii="Arial" w:hAnsi="Arial" w:cs="Arial"/>
          <w:b/>
          <w:lang w:val="en-US"/>
        </w:rPr>
      </w:pPr>
      <w:r w:rsidRPr="00B10A10">
        <w:rPr>
          <w:rFonts w:ascii="Arial" w:hAnsi="Arial" w:cs="Arial"/>
          <w:b/>
          <w:lang w:val="en-US"/>
        </w:rPr>
        <w:t>Animals</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 xml:space="preserve">Experimental designs and procedures were approved by the Complutense University Animal Research Committee in accordance with the European Commission regulations. All efforts were made to minimize the number of animals and their suffering throughout the experiments. </w:t>
      </w:r>
      <w:proofErr w:type="gramStart"/>
      <w:r w:rsidRPr="00B10A10">
        <w:rPr>
          <w:rFonts w:ascii="Arial" w:hAnsi="Arial" w:cs="Arial"/>
          <w:lang w:val="en-US"/>
        </w:rPr>
        <w:t>Nex-</w:t>
      </w:r>
      <w:proofErr w:type="gramEnd"/>
      <w:r w:rsidRPr="00B10A10">
        <w:rPr>
          <w:rFonts w:ascii="Arial" w:hAnsi="Arial" w:cs="Arial"/>
          <w:lang w:val="en-US"/>
        </w:rPr>
        <w:t>CB</w:t>
      </w:r>
      <w:r w:rsidRPr="00B10A10">
        <w:rPr>
          <w:rFonts w:ascii="Arial" w:hAnsi="Arial" w:cs="Arial"/>
          <w:vertAlign w:val="subscript"/>
          <w:lang w:val="en-US"/>
        </w:rPr>
        <w:t>1</w:t>
      </w:r>
      <w:r w:rsidRPr="00B10A10">
        <w:rPr>
          <w:rFonts w:ascii="Arial" w:hAnsi="Arial" w:cs="Arial"/>
          <w:vertAlign w:val="superscript"/>
          <w:lang w:val="en-US"/>
        </w:rPr>
        <w:t>-/-</w:t>
      </w:r>
      <w:r w:rsidRPr="00B10A10">
        <w:rPr>
          <w:rFonts w:ascii="Arial" w:hAnsi="Arial" w:cs="Arial"/>
          <w:lang w:val="en-US"/>
        </w:rPr>
        <w:t xml:space="preserve"> and Dlx5/6-CB</w:t>
      </w:r>
      <w:r w:rsidRPr="00B10A10">
        <w:rPr>
          <w:rFonts w:ascii="Arial" w:hAnsi="Arial" w:cs="Arial"/>
          <w:vertAlign w:val="subscript"/>
          <w:lang w:val="en-US"/>
        </w:rPr>
        <w:t>1</w:t>
      </w:r>
      <w:r w:rsidRPr="00B10A10">
        <w:rPr>
          <w:rFonts w:ascii="Arial" w:hAnsi="Arial" w:cs="Arial"/>
          <w:vertAlign w:val="superscript"/>
          <w:lang w:val="en-US"/>
        </w:rPr>
        <w:t>-/-</w:t>
      </w:r>
      <w:r w:rsidRPr="00B10A10">
        <w:rPr>
          <w:rFonts w:ascii="Arial" w:hAnsi="Arial" w:cs="Arial"/>
          <w:lang w:val="en-US"/>
        </w:rPr>
        <w:t xml:space="preserve"> colony-founding mice were provided by Beat Lutz (Mainz, Germany). Mice were maintained in standard conditions, keeping littermates grouped in breeding cages, at a constant temperature (20±2 </w:t>
      </w:r>
      <w:r w:rsidRPr="00B10A10">
        <w:rPr>
          <w:rFonts w:ascii="Arial" w:hAnsi="Arial" w:cs="Arial"/>
          <w:bCs/>
          <w:lang w:val="en-US"/>
        </w:rPr>
        <w:t>°C</w:t>
      </w:r>
      <w:r w:rsidRPr="00B10A10">
        <w:rPr>
          <w:rFonts w:ascii="Arial" w:hAnsi="Arial" w:cs="Arial"/>
          <w:lang w:val="en-US"/>
        </w:rPr>
        <w:t xml:space="preserve">) on a 12h light/dark cycle with food and water </w:t>
      </w:r>
      <w:r w:rsidRPr="00B10A10">
        <w:rPr>
          <w:rFonts w:ascii="Arial" w:hAnsi="Arial" w:cs="Arial"/>
          <w:i/>
          <w:lang w:val="en-US"/>
        </w:rPr>
        <w:t>ad libitum</w:t>
      </w:r>
      <w:r w:rsidRPr="00B10A10">
        <w:rPr>
          <w:rFonts w:ascii="Arial" w:hAnsi="Arial" w:cs="Arial"/>
          <w:lang w:val="en-US"/>
        </w:rPr>
        <w:t>. The generation and genotyping of Nex-CB</w:t>
      </w:r>
      <w:r w:rsidRPr="00B10A10">
        <w:rPr>
          <w:rFonts w:ascii="Arial" w:hAnsi="Arial" w:cs="Arial"/>
          <w:vertAlign w:val="subscript"/>
          <w:lang w:val="en-US"/>
        </w:rPr>
        <w:t>1</w:t>
      </w:r>
      <w:r w:rsidRPr="00B10A10">
        <w:rPr>
          <w:rFonts w:ascii="Arial" w:hAnsi="Arial" w:cs="Arial"/>
          <w:vertAlign w:val="superscript"/>
          <w:lang w:val="en-US"/>
        </w:rPr>
        <w:t>-/-</w:t>
      </w:r>
      <w:r w:rsidRPr="00B10A10">
        <w:rPr>
          <w:rFonts w:ascii="Arial" w:hAnsi="Arial" w:cs="Arial"/>
          <w:lang w:val="en-US"/>
        </w:rPr>
        <w:t>, Dlx5/6-CB</w:t>
      </w:r>
      <w:r w:rsidRPr="00B10A10">
        <w:rPr>
          <w:rFonts w:ascii="Arial" w:hAnsi="Arial" w:cs="Arial"/>
          <w:vertAlign w:val="subscript"/>
          <w:lang w:val="en-US"/>
        </w:rPr>
        <w:t>1</w:t>
      </w:r>
      <w:r w:rsidRPr="00B10A10">
        <w:rPr>
          <w:rFonts w:ascii="Arial" w:hAnsi="Arial" w:cs="Arial"/>
          <w:vertAlign w:val="superscript"/>
          <w:lang w:val="en-US"/>
        </w:rPr>
        <w:t>-/-</w:t>
      </w:r>
      <w:r w:rsidRPr="00B10A10">
        <w:rPr>
          <w:rFonts w:ascii="Arial" w:hAnsi="Arial" w:cs="Arial"/>
          <w:lang w:val="en-US"/>
        </w:rPr>
        <w:t xml:space="preserve"> and wild-type (WT) littermates has been reported elsewhere, and was performed accordingly</w:t>
      </w:r>
      <w:r>
        <w:rPr>
          <w:rFonts w:ascii="Arial" w:hAnsi="Arial" w:cs="Arial"/>
          <w:lang w:val="en-US"/>
        </w:rPr>
        <w:t xml:space="preserve"> </w:t>
      </w:r>
      <w:r>
        <w:rPr>
          <w:rFonts w:ascii="Arial" w:hAnsi="Arial" w:cs="Arial"/>
          <w:lang w:val="en-US"/>
        </w:rPr>
        <w:fldChar w:fldCharType="begin" w:fldLock="1"/>
      </w:r>
      <w:r w:rsidR="005275D9">
        <w:rPr>
          <w:rFonts w:ascii="Arial" w:hAnsi="Arial" w:cs="Arial"/>
          <w:lang w:val="en-US"/>
        </w:rPr>
        <w:instrText>ADDIN CSL_CITATION {"citationItems":[{"id":"ITEM-1","itemData":{"DOI":"10.1371/journal.pbio.0050269","ISBN":"1545-7885 (Electronic)\\r1544-9173 (Linking)","ISSN":"1545-7885","PMID":"17927447","abstract":"Marijuana and its main psychotropic ingredient Delta(9)-tetrahydrocannabinol (THC) exert a plethora of psychoactive effects through the activation of the neuronal cannabinoid receptor type 1 (CB1), which is expressed by different neuronal subpopulations in the central nervous system. The exact neuroanatomical substrates underlying each effect of THC are, however, not known. We tested locomotor, hypothermic, analgesic, and cataleptic effects of THC in conditional knockout mouse lines, which lack the expression of CB1 in different neuronal subpopulations, including principal brain neurons, GABAergic neurons (those that release gamma aminobutyric acid), cortical glutamatergic neurons, and neurons expressing the dopamine receptor D1, respectively. Surprisingly, mice lacking CB1 in GABAergic neurons responded to THC similarly as wild-type littermates did, whereas deletion of the receptor in all principal neurons abolished or strongly reduced the behavioural and autonomic responses to the drug. Moreover, locomotor and hypothermic effects of THC depend on cortical glutamatergic neurons, whereas the deletion of CB1 from the majority of striatal neurons and a subpopulation of cortical glutamatergic neurons blocked the cataleptic effect of the drug. These data show that several important pharmacological actions of THC do not depend on functional expression of CB1 on GABAergic interneurons, but on other neuronal populations, and pave the way to a refined interpretation of the pharmacological effects of cannabinoids on neuronal functions.","author":[{"dropping-particle":"","family":"Monory","given":"Krisztina","non-dropping-particle":"","parse-names":false,"suffix":""},{"dropping-particle":"","family":"Blaudzun","given":"Heike","non-dropping-particle":"","parse-names":false,"suffix":""},{"dropping-particle":"","family":"Massa","given":"Federico","non-dropping-particle":"","parse-names":false,"suffix":""},{"dropping-particle":"","family":"Kaiser","given":"Nadine","non-dropping-particle":"","parse-names":false,"suffix":""},{"dropping-particle":"","family":"Lemberger","given":"Thomas","non-dropping-particle":"","parse-names":false,"suffix":""},{"dropping-particle":"","family":"Schütz","given":"Günther","non-dropping-particle":"","parse-names":false,"suffix":""},{"dropping-particle":"","family":"Wotjak","given":"Carsten T","non-dropping-particle":"","parse-names":false,"suffix":""},{"dropping-particle":"","family":"Lutz","given":"Beat","non-dropping-particle":"","parse-names":false,"suffix":""},{"dropping-particle":"","family":"Marsicano","given":"Giovanni","non-dropping-particle":"","parse-names":false,"suffix":""}],"container-title":"PLoS biology","id":"ITEM-1","issue":"10","issued":{"date-parts":[["2007","10"]]},"page":"e269","title":"Genetic dissection of behavioural and autonomic effects of Delta(9)-tetrahydrocannabinol in mice.","type":"article-journal","volume":"5"},"uris":["http://www.mendeley.com/documents/?uuid=0fe13150-7427-45ec-83f0-f20b20f00b47"]}],"mendeley":{"formattedCitation":"[1]","plainTextFormattedCitation":"[1]","previouslyFormattedCitation":"[1]"},"properties":{"noteIndex":0},"schema":"https://github.com/citation-style-language/schema/raw/master/csl-citation.json"}</w:instrText>
      </w:r>
      <w:r>
        <w:rPr>
          <w:rFonts w:ascii="Arial" w:hAnsi="Arial" w:cs="Arial"/>
          <w:lang w:val="en-US"/>
        </w:rPr>
        <w:fldChar w:fldCharType="separate"/>
      </w:r>
      <w:r w:rsidR="0082752D" w:rsidRPr="0082752D">
        <w:rPr>
          <w:rFonts w:ascii="Arial" w:hAnsi="Arial" w:cs="Arial"/>
          <w:noProof/>
          <w:lang w:val="en-US"/>
        </w:rPr>
        <w:t>[1]</w:t>
      </w:r>
      <w:r>
        <w:rPr>
          <w:rFonts w:ascii="Arial" w:hAnsi="Arial" w:cs="Arial"/>
          <w:lang w:val="en-US"/>
        </w:rPr>
        <w:fldChar w:fldCharType="end"/>
      </w:r>
      <w:r w:rsidRPr="00B10A10">
        <w:rPr>
          <w:rFonts w:ascii="Arial" w:hAnsi="Arial" w:cs="Arial"/>
          <w:lang w:val="en-US"/>
        </w:rPr>
        <w:t>. Mouse embryonic tissues were obtained upon timed mating as assessed by vaginal plug observation (E0.5).</w:t>
      </w:r>
    </w:p>
    <w:p w:rsidR="00BE24E8" w:rsidRPr="00B10A10" w:rsidRDefault="00BE24E8" w:rsidP="00BE24E8">
      <w:pPr>
        <w:spacing w:after="0" w:line="480" w:lineRule="auto"/>
        <w:rPr>
          <w:rFonts w:ascii="Arial" w:hAnsi="Arial" w:cs="Arial"/>
          <w:lang w:val="en-US"/>
        </w:rPr>
      </w:pPr>
    </w:p>
    <w:p w:rsidR="00BE24E8" w:rsidRPr="00B10A10" w:rsidRDefault="00BE24E8" w:rsidP="00BE24E8">
      <w:pPr>
        <w:spacing w:after="0" w:line="480" w:lineRule="auto"/>
        <w:rPr>
          <w:rFonts w:ascii="Arial" w:hAnsi="Arial" w:cs="Arial"/>
          <w:lang w:val="en-US"/>
        </w:rPr>
      </w:pPr>
      <w:r w:rsidRPr="00B10A10">
        <w:rPr>
          <w:rFonts w:ascii="Arial" w:hAnsi="Arial" w:cs="Arial"/>
          <w:b/>
          <w:bCs/>
          <w:lang w:val="en-US"/>
        </w:rPr>
        <w:t xml:space="preserve">THC administration </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 xml:space="preserve">THC (≥99 % HPLC; THC Pharm, Frankfurt am Main, Germany) was diluted in 0.9% </w:t>
      </w:r>
      <w:proofErr w:type="spellStart"/>
      <w:r w:rsidRPr="00B10A10">
        <w:rPr>
          <w:rFonts w:ascii="Arial" w:hAnsi="Arial" w:cs="Arial"/>
          <w:lang w:val="en-US"/>
        </w:rPr>
        <w:t>NaCl</w:t>
      </w:r>
      <w:proofErr w:type="spellEnd"/>
      <w:r w:rsidRPr="00B10A10">
        <w:rPr>
          <w:rFonts w:ascii="Arial" w:hAnsi="Arial" w:cs="Arial"/>
          <w:lang w:val="en-US"/>
        </w:rPr>
        <w:t xml:space="preserve"> (saline) solution containing 3% (v/v) DMSO and 2% (v/v) Tween-80 and administered </w:t>
      </w:r>
      <w:proofErr w:type="spellStart"/>
      <w:r w:rsidRPr="00B10A10">
        <w:rPr>
          <w:rFonts w:ascii="Arial" w:hAnsi="Arial" w:cs="Arial"/>
          <w:lang w:val="en-US"/>
        </w:rPr>
        <w:t>intraperitoneally</w:t>
      </w:r>
      <w:proofErr w:type="spellEnd"/>
      <w:r w:rsidRPr="00B10A10">
        <w:rPr>
          <w:rFonts w:ascii="Arial" w:hAnsi="Arial" w:cs="Arial"/>
          <w:lang w:val="en-US"/>
        </w:rPr>
        <w:t xml:space="preserve"> (</w:t>
      </w:r>
      <w:proofErr w:type="spellStart"/>
      <w:r w:rsidRPr="00B10A10">
        <w:rPr>
          <w:rFonts w:ascii="Arial" w:hAnsi="Arial" w:cs="Arial"/>
          <w:lang w:val="en-US"/>
        </w:rPr>
        <w:t>i.p</w:t>
      </w:r>
      <w:proofErr w:type="spellEnd"/>
      <w:r w:rsidRPr="00B10A10">
        <w:rPr>
          <w:rFonts w:ascii="Arial" w:hAnsi="Arial" w:cs="Arial"/>
          <w:lang w:val="en-US"/>
        </w:rPr>
        <w:t xml:space="preserve">.) at a final dose of 3 mg/kg to pregnant dams (at 10 µL/g) for 8 consecutive days, from E10.5 to E17.5. Control mice were injected with vehicle solution. There was no statistically significant difference in body weight or sex ratio between </w:t>
      </w:r>
      <w:r>
        <w:rPr>
          <w:rFonts w:ascii="Arial" w:hAnsi="Arial" w:cs="Arial"/>
          <w:lang w:val="en-US"/>
        </w:rPr>
        <w:t>vehicle and THC-treated litters</w:t>
      </w:r>
      <w:r w:rsidRPr="00B10A10">
        <w:rPr>
          <w:rFonts w:ascii="Arial" w:hAnsi="Arial" w:cs="Arial"/>
          <w:lang w:val="en-US"/>
        </w:rPr>
        <w:t>.</w:t>
      </w:r>
    </w:p>
    <w:p w:rsidR="00BE24E8" w:rsidRPr="00B10A10" w:rsidRDefault="00BE24E8" w:rsidP="00BE24E8">
      <w:pPr>
        <w:spacing w:line="360" w:lineRule="auto"/>
        <w:rPr>
          <w:rFonts w:ascii="Arial" w:hAnsi="Arial" w:cs="Arial"/>
          <w:lang w:val="en-US"/>
        </w:rPr>
      </w:pPr>
    </w:p>
    <w:p w:rsidR="00BE24E8" w:rsidRPr="00B10A10" w:rsidRDefault="00BE24E8" w:rsidP="00BE24E8">
      <w:pPr>
        <w:spacing w:after="0" w:line="480" w:lineRule="auto"/>
        <w:rPr>
          <w:rFonts w:ascii="Arial" w:hAnsi="Arial" w:cs="Arial"/>
          <w:b/>
          <w:lang w:val="en-US"/>
        </w:rPr>
      </w:pPr>
      <w:r w:rsidRPr="00B10A10">
        <w:rPr>
          <w:rFonts w:ascii="Arial" w:hAnsi="Arial" w:cs="Arial"/>
          <w:b/>
          <w:lang w:val="en-US"/>
        </w:rPr>
        <w:t>Immunofluorescence and confocal microscopy</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Postnatal murine brain slices (30 µm-thick) were fixed in paraformaldehyde solution [4% in phosphate buffered saline (PBS)] at 4</w:t>
      </w:r>
      <w:r w:rsidRPr="00B10A10">
        <w:rPr>
          <w:rFonts w:ascii="Arial" w:hAnsi="Arial" w:cs="Arial"/>
          <w:bCs/>
          <w:lang w:val="en-US"/>
        </w:rPr>
        <w:t>°C</w:t>
      </w:r>
      <w:r w:rsidRPr="00B10A10">
        <w:rPr>
          <w:rFonts w:ascii="Arial" w:hAnsi="Arial" w:cs="Arial"/>
          <w:lang w:val="en-US"/>
        </w:rPr>
        <w:t xml:space="preserve"> and immunofluorescence performed. After 2 h blockade with 5% goat serum, overnight incubation at 4</w:t>
      </w:r>
      <w:r w:rsidRPr="00B10A10">
        <w:rPr>
          <w:rFonts w:ascii="Arial" w:hAnsi="Arial" w:cs="Arial"/>
          <w:bCs/>
          <w:lang w:val="en-US"/>
        </w:rPr>
        <w:t>°C</w:t>
      </w:r>
      <w:r w:rsidRPr="00B10A10">
        <w:rPr>
          <w:rFonts w:ascii="Arial" w:hAnsi="Arial" w:cs="Arial"/>
          <w:lang w:val="en-US"/>
        </w:rPr>
        <w:t xml:space="preserve"> with polyclonal guinea pig anti-CB</w:t>
      </w:r>
      <w:r w:rsidRPr="00B10A10">
        <w:rPr>
          <w:rFonts w:ascii="Arial" w:hAnsi="Arial" w:cs="Arial"/>
          <w:vertAlign w:val="subscript"/>
          <w:lang w:val="en-US"/>
        </w:rPr>
        <w:t>1</w:t>
      </w:r>
      <w:r w:rsidRPr="00B10A10">
        <w:rPr>
          <w:rFonts w:ascii="Arial" w:hAnsi="Arial" w:cs="Arial"/>
          <w:lang w:val="en-US"/>
        </w:rPr>
        <w:t>R (1:500, Frontier Institute, Japan) antibody was performed. Samples were subsequently incubated for 2h at room temperature with highly cross-</w:t>
      </w:r>
      <w:r w:rsidRPr="00B10A10">
        <w:rPr>
          <w:rFonts w:ascii="Arial" w:hAnsi="Arial" w:cs="Arial"/>
          <w:lang w:val="en-US"/>
        </w:rPr>
        <w:lastRenderedPageBreak/>
        <w:t xml:space="preserve">adsorbed anti-guinea pig </w:t>
      </w:r>
      <w:proofErr w:type="spellStart"/>
      <w:r w:rsidRPr="00B10A10">
        <w:rPr>
          <w:rFonts w:ascii="Arial" w:hAnsi="Arial" w:cs="Arial"/>
          <w:lang w:val="en-US"/>
        </w:rPr>
        <w:t>AlexaFluor</w:t>
      </w:r>
      <w:proofErr w:type="spellEnd"/>
      <w:r w:rsidRPr="00B10A10">
        <w:rPr>
          <w:rFonts w:ascii="Arial" w:hAnsi="Arial" w:cs="Arial"/>
          <w:lang w:val="en-US"/>
        </w:rPr>
        <w:t xml:space="preserve"> 647 secondary antibody (1:500; Invitrogen, Carlsbad, CA, US). Confocal fluorescence images were acquired by using LAS-X software with a SP8 microscope, with 3 passes by </w:t>
      </w:r>
      <w:proofErr w:type="spellStart"/>
      <w:r w:rsidRPr="00B10A10">
        <w:rPr>
          <w:rFonts w:ascii="Arial" w:hAnsi="Arial" w:cs="Arial"/>
          <w:lang w:val="en-US"/>
        </w:rPr>
        <w:t>Kalman</w:t>
      </w:r>
      <w:proofErr w:type="spellEnd"/>
      <w:r w:rsidRPr="00B10A10">
        <w:rPr>
          <w:rFonts w:ascii="Arial" w:hAnsi="Arial" w:cs="Arial"/>
          <w:lang w:val="en-US"/>
        </w:rPr>
        <w:t xml:space="preserve"> filter and a 2048x2048 collection box. Immunofluorescence data were obtained in a blinded manner and sample code remained unsealed during the whole data processing and analysis. Immunoreactivity was measured using Fiji open source software establishing a threshold to measure only specific signal. The resulting binary mask was then used along the built-in measure function to acquire the total integrated grey density among all the pixels inside the binary mask overlaid on top of the original image. The obtained value was then referred to the number of DAPI</w:t>
      </w:r>
      <w:r w:rsidRPr="00B10A10">
        <w:rPr>
          <w:rFonts w:ascii="Arial" w:hAnsi="Arial" w:cs="Arial"/>
          <w:vertAlign w:val="superscript"/>
          <w:lang w:val="en-US"/>
        </w:rPr>
        <w:t>+</w:t>
      </w:r>
      <w:r w:rsidRPr="00B10A10">
        <w:rPr>
          <w:rFonts w:ascii="Arial" w:hAnsi="Arial" w:cs="Arial"/>
          <w:lang w:val="en-US"/>
        </w:rPr>
        <w:t xml:space="preserve"> cell nuclei present in the optic field.</w:t>
      </w:r>
    </w:p>
    <w:p w:rsidR="00BE24E8" w:rsidRPr="00B10A10" w:rsidRDefault="00BE24E8" w:rsidP="00BE24E8">
      <w:pPr>
        <w:spacing w:after="0" w:line="480" w:lineRule="auto"/>
        <w:rPr>
          <w:rFonts w:ascii="Arial" w:hAnsi="Arial" w:cs="Arial"/>
          <w:lang w:val="en-US"/>
        </w:rPr>
      </w:pPr>
    </w:p>
    <w:p w:rsidR="00BE24E8" w:rsidRPr="00B10A10" w:rsidRDefault="00BE24E8" w:rsidP="00BE24E8">
      <w:pPr>
        <w:spacing w:after="0" w:line="480" w:lineRule="auto"/>
        <w:rPr>
          <w:rFonts w:ascii="Arial" w:hAnsi="Arial" w:cs="Arial"/>
          <w:b/>
          <w:lang w:val="en-US"/>
        </w:rPr>
      </w:pPr>
      <w:r w:rsidRPr="00B10A10">
        <w:rPr>
          <w:rFonts w:ascii="Arial" w:hAnsi="Arial" w:cs="Arial"/>
          <w:b/>
          <w:i/>
          <w:lang w:val="en-US"/>
        </w:rPr>
        <w:t>In situ</w:t>
      </w:r>
      <w:r w:rsidRPr="00B10A10">
        <w:rPr>
          <w:rFonts w:ascii="Arial" w:hAnsi="Arial" w:cs="Arial"/>
          <w:b/>
          <w:lang w:val="en-US"/>
        </w:rPr>
        <w:t xml:space="preserve"> hybridization</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 xml:space="preserve">Coronal sections (30 µm) of P60 mouse brains were mounted on </w:t>
      </w:r>
      <w:proofErr w:type="spellStart"/>
      <w:r w:rsidRPr="00B10A10">
        <w:rPr>
          <w:rFonts w:ascii="Arial" w:hAnsi="Arial" w:cs="Arial"/>
          <w:lang w:val="en-US"/>
        </w:rPr>
        <w:t>SuperFrost</w:t>
      </w:r>
      <w:proofErr w:type="spellEnd"/>
      <w:r w:rsidRPr="00B10A10">
        <w:rPr>
          <w:rFonts w:ascii="Arial" w:hAnsi="Arial" w:cs="Arial"/>
          <w:lang w:val="en-US"/>
        </w:rPr>
        <w:t xml:space="preserve"> Ultra Plus glass slides (Thermo Fisher Scientific). When completely dry, they were subjected to </w:t>
      </w:r>
      <w:r w:rsidRPr="00B10A10">
        <w:rPr>
          <w:rFonts w:ascii="Arial" w:hAnsi="Arial" w:cs="Arial"/>
          <w:i/>
          <w:lang w:val="en-US"/>
        </w:rPr>
        <w:t>in situ</w:t>
      </w:r>
      <w:r w:rsidRPr="00B10A10">
        <w:rPr>
          <w:rFonts w:ascii="Arial" w:hAnsi="Arial" w:cs="Arial"/>
          <w:lang w:val="en-US"/>
        </w:rPr>
        <w:t xml:space="preserve"> hybridization using CCK </w:t>
      </w:r>
      <w:proofErr w:type="spellStart"/>
      <w:r w:rsidRPr="00B10A10">
        <w:rPr>
          <w:rFonts w:ascii="Arial" w:hAnsi="Arial" w:cs="Arial"/>
          <w:lang w:val="en-US"/>
        </w:rPr>
        <w:t>digoxygenin</w:t>
      </w:r>
      <w:proofErr w:type="spellEnd"/>
      <w:r w:rsidRPr="00B10A10">
        <w:rPr>
          <w:rFonts w:ascii="Arial" w:hAnsi="Arial" w:cs="Arial"/>
          <w:lang w:val="en-US"/>
        </w:rPr>
        <w:t xml:space="preserve">-labelled </w:t>
      </w:r>
      <w:proofErr w:type="spellStart"/>
      <w:r w:rsidRPr="00B10A10">
        <w:rPr>
          <w:rFonts w:ascii="Arial" w:hAnsi="Arial" w:cs="Arial"/>
          <w:lang w:val="en-US"/>
        </w:rPr>
        <w:t>riboprobes</w:t>
      </w:r>
      <w:proofErr w:type="spellEnd"/>
      <w:r w:rsidRPr="00B10A10">
        <w:rPr>
          <w:rFonts w:ascii="Arial" w:hAnsi="Arial" w:cs="Arial"/>
          <w:lang w:val="en-US"/>
        </w:rPr>
        <w:t xml:space="preserve"> obtained by PCR amplification and </w:t>
      </w:r>
      <w:proofErr w:type="spellStart"/>
      <w:r w:rsidRPr="00B10A10">
        <w:rPr>
          <w:rFonts w:ascii="Arial" w:hAnsi="Arial" w:cs="Arial"/>
          <w:lang w:val="en-US"/>
        </w:rPr>
        <w:t>retrotranscription</w:t>
      </w:r>
      <w:proofErr w:type="spellEnd"/>
      <w:r w:rsidRPr="00B10A10">
        <w:rPr>
          <w:rFonts w:ascii="Arial" w:hAnsi="Arial" w:cs="Arial"/>
          <w:lang w:val="en-US"/>
        </w:rPr>
        <w:t xml:space="preserve"> (forward primer 5’-AGAGAGCGGCGTATGTCTGT-3’, reverse primer 5’-CTGCATTGCACACTCTGGAC-3’). Briefly, samples were acetylated and then incubated in a hybridization buffer containing 0.5-1.0 µg/mL DIG-labelled </w:t>
      </w:r>
      <w:proofErr w:type="spellStart"/>
      <w:r w:rsidRPr="00B10A10">
        <w:rPr>
          <w:rFonts w:ascii="Arial" w:hAnsi="Arial" w:cs="Arial"/>
          <w:lang w:val="en-US"/>
        </w:rPr>
        <w:t>riboprobes</w:t>
      </w:r>
      <w:proofErr w:type="spellEnd"/>
      <w:r w:rsidRPr="00B10A10">
        <w:rPr>
          <w:rFonts w:ascii="Arial" w:hAnsi="Arial" w:cs="Arial"/>
          <w:lang w:val="en-US"/>
        </w:rPr>
        <w:t xml:space="preserve"> at 65 °C overnight. Sections were sequentially washed twice in a medium containing 2x standard saline citrate and 50% formamide for 1 hour at 60°C and then 20 min at 37°C in 2x SSC. The hybridized probe was detected after incubation with alkaline phosphatase-conjugated anti-DIG antibody (Roche) and subsequent incubation with NBT/BCIP (Roche) in alkaline buffer (pH 9.5). The resulting blue precipitate was post-fixed by incubation in PFA 4% during 10 min. There </w:t>
      </w:r>
      <w:r>
        <w:rPr>
          <w:rFonts w:ascii="Arial" w:hAnsi="Arial" w:cs="Arial"/>
          <w:lang w:val="en-US"/>
        </w:rPr>
        <w:t>was</w:t>
      </w:r>
      <w:r w:rsidRPr="00B10A10">
        <w:rPr>
          <w:rFonts w:ascii="Arial" w:hAnsi="Arial" w:cs="Arial"/>
          <w:lang w:val="en-US"/>
        </w:rPr>
        <w:t xml:space="preserve"> no apparent signal in control sections with the sense probes.</w:t>
      </w:r>
    </w:p>
    <w:p w:rsidR="00BE24E8" w:rsidRPr="00B10A10" w:rsidRDefault="00BE24E8" w:rsidP="00BE24E8">
      <w:pPr>
        <w:spacing w:after="0" w:line="480" w:lineRule="auto"/>
        <w:rPr>
          <w:rFonts w:ascii="Arial" w:hAnsi="Arial" w:cs="Arial"/>
          <w:lang w:val="en-US"/>
        </w:rPr>
      </w:pPr>
    </w:p>
    <w:p w:rsidR="00BE24E8" w:rsidRPr="00B10A10" w:rsidRDefault="00BE24E8" w:rsidP="00BE24E8">
      <w:pPr>
        <w:spacing w:after="0" w:line="480" w:lineRule="auto"/>
        <w:rPr>
          <w:rFonts w:ascii="Arial" w:hAnsi="Arial" w:cs="Arial"/>
          <w:lang w:val="en-US"/>
        </w:rPr>
      </w:pPr>
      <w:r w:rsidRPr="00B10A10">
        <w:rPr>
          <w:rFonts w:ascii="Arial" w:hAnsi="Arial" w:cs="Arial"/>
          <w:b/>
          <w:lang w:val="en-US"/>
        </w:rPr>
        <w:t>Immunohistochemistry</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lastRenderedPageBreak/>
        <w:t xml:space="preserve">Samples from ISH assays were subsequently used for </w:t>
      </w:r>
      <w:r>
        <w:rPr>
          <w:rFonts w:ascii="Arial" w:hAnsi="Arial" w:cs="Arial"/>
          <w:lang w:val="en-US"/>
        </w:rPr>
        <w:t>IHC</w:t>
      </w:r>
      <w:r w:rsidRPr="00B10A10">
        <w:rPr>
          <w:rFonts w:ascii="Arial" w:hAnsi="Arial" w:cs="Arial"/>
          <w:lang w:val="en-US"/>
        </w:rPr>
        <w:t xml:space="preserve">. Briefly, after washing, slides were subjected to a heat-induced antigen retrieval step with sodium citrate buffer (10 </w:t>
      </w:r>
      <w:proofErr w:type="spellStart"/>
      <w:r w:rsidRPr="00B10A10">
        <w:rPr>
          <w:rFonts w:ascii="Arial" w:hAnsi="Arial" w:cs="Arial"/>
          <w:lang w:val="en-US"/>
        </w:rPr>
        <w:t>mM</w:t>
      </w:r>
      <w:proofErr w:type="spellEnd"/>
      <w:r w:rsidRPr="00B10A10">
        <w:rPr>
          <w:rFonts w:ascii="Arial" w:hAnsi="Arial" w:cs="Arial"/>
          <w:lang w:val="en-US"/>
        </w:rPr>
        <w:t>, pH 6) at 96ºC, as well as a 1 hour blockade, prior to exposure to a mouse monoclonal anti-GABA primary antibody (A0310; Sigma-Aldrich, Spain). Immunodetection was achieved using the Envision+ Dual Link System-HRP (DAB+) kit (</w:t>
      </w:r>
      <w:proofErr w:type="spellStart"/>
      <w:r w:rsidRPr="00B10A10">
        <w:rPr>
          <w:rFonts w:ascii="Arial" w:hAnsi="Arial" w:cs="Arial"/>
          <w:lang w:val="en-US"/>
        </w:rPr>
        <w:t>Dako</w:t>
      </w:r>
      <w:proofErr w:type="spellEnd"/>
      <w:r w:rsidRPr="00B10A10">
        <w:rPr>
          <w:rFonts w:ascii="Arial" w:hAnsi="Arial" w:cs="Arial"/>
          <w:lang w:val="en-US"/>
        </w:rPr>
        <w:t xml:space="preserve">-Agilent Technologies, Santa Clara, CA, USA), following manufacturer’s instructions. Samples were then mounted using </w:t>
      </w:r>
      <w:proofErr w:type="spellStart"/>
      <w:r w:rsidRPr="00B10A10">
        <w:rPr>
          <w:rFonts w:ascii="Arial" w:hAnsi="Arial" w:cs="Arial"/>
          <w:lang w:val="en-US"/>
        </w:rPr>
        <w:t>Entellan</w:t>
      </w:r>
      <w:proofErr w:type="spellEnd"/>
      <w:r w:rsidRPr="00B10A10">
        <w:rPr>
          <w:rFonts w:ascii="Arial" w:hAnsi="Arial" w:cs="Arial"/>
          <w:lang w:val="en-US"/>
        </w:rPr>
        <w:t xml:space="preserve"> resin.</w:t>
      </w:r>
    </w:p>
    <w:p w:rsidR="00BE24E8" w:rsidRPr="00B10A10" w:rsidRDefault="00BE24E8" w:rsidP="00BE24E8">
      <w:pPr>
        <w:spacing w:after="0" w:line="480" w:lineRule="auto"/>
        <w:rPr>
          <w:rFonts w:ascii="Arial" w:hAnsi="Arial" w:cs="Arial"/>
          <w:b/>
          <w:lang w:val="en-US"/>
        </w:rPr>
      </w:pPr>
    </w:p>
    <w:p w:rsidR="00BE24E8" w:rsidRPr="00B10A10" w:rsidRDefault="00BE24E8" w:rsidP="00BE24E8">
      <w:pPr>
        <w:spacing w:after="0" w:line="480" w:lineRule="auto"/>
        <w:rPr>
          <w:rFonts w:ascii="Arial" w:hAnsi="Arial" w:cs="Arial"/>
          <w:b/>
          <w:lang w:val="en-US"/>
        </w:rPr>
      </w:pPr>
      <w:r w:rsidRPr="00B10A10">
        <w:rPr>
          <w:rFonts w:ascii="Arial" w:hAnsi="Arial" w:cs="Arial"/>
          <w:b/>
          <w:lang w:val="en-US"/>
        </w:rPr>
        <w:t>Stereological analysis of cell density</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 xml:space="preserve">Brain sections stained by CCK-ISH and GABA-IHC were </w:t>
      </w:r>
      <w:proofErr w:type="spellStart"/>
      <w:r w:rsidRPr="00B10A10">
        <w:rPr>
          <w:rFonts w:ascii="Arial" w:hAnsi="Arial" w:cs="Arial"/>
          <w:lang w:val="en-US"/>
        </w:rPr>
        <w:t>analysed</w:t>
      </w:r>
      <w:proofErr w:type="spellEnd"/>
      <w:r w:rsidRPr="00B10A10">
        <w:rPr>
          <w:rFonts w:ascii="Arial" w:hAnsi="Arial" w:cs="Arial"/>
          <w:lang w:val="en-US"/>
        </w:rPr>
        <w:t xml:space="preserve"> using a Olympus BX61 microscope (Olympus, Tokyo, Japan) operated by VIS software with </w:t>
      </w:r>
      <w:proofErr w:type="spellStart"/>
      <w:r w:rsidRPr="00B10A10">
        <w:rPr>
          <w:rFonts w:ascii="Arial" w:hAnsi="Arial" w:cs="Arial"/>
          <w:lang w:val="en-US"/>
        </w:rPr>
        <w:t>newCAST</w:t>
      </w:r>
      <w:proofErr w:type="spellEnd"/>
      <w:r w:rsidRPr="00B10A10">
        <w:rPr>
          <w:rFonts w:ascii="Arial" w:hAnsi="Arial" w:cs="Arial"/>
          <w:lang w:val="en-US"/>
        </w:rPr>
        <w:t xml:space="preserve"> incorporated (</w:t>
      </w:r>
      <w:proofErr w:type="spellStart"/>
      <w:r w:rsidRPr="00B10A10">
        <w:rPr>
          <w:rFonts w:ascii="Arial" w:hAnsi="Arial" w:cs="Arial"/>
          <w:lang w:val="en-US"/>
        </w:rPr>
        <w:t>Visiopharm</w:t>
      </w:r>
      <w:proofErr w:type="spellEnd"/>
      <w:r w:rsidRPr="00B10A10">
        <w:rPr>
          <w:rFonts w:ascii="Arial" w:hAnsi="Arial" w:cs="Arial"/>
          <w:lang w:val="en-US"/>
        </w:rPr>
        <w:t xml:space="preserve">, </w:t>
      </w:r>
      <w:proofErr w:type="spellStart"/>
      <w:r w:rsidRPr="00B10A10">
        <w:rPr>
          <w:rFonts w:ascii="Arial" w:hAnsi="Arial" w:cs="Arial"/>
          <w:lang w:val="en-US"/>
        </w:rPr>
        <w:t>Hoersholm</w:t>
      </w:r>
      <w:proofErr w:type="spellEnd"/>
      <w:r w:rsidRPr="00B10A10">
        <w:rPr>
          <w:rFonts w:ascii="Arial" w:hAnsi="Arial" w:cs="Arial"/>
          <w:lang w:val="en-US"/>
        </w:rPr>
        <w:t xml:space="preserve">, Denmark). Hippocampal </w:t>
      </w:r>
      <w:r w:rsidRPr="00B10A10">
        <w:rPr>
          <w:rFonts w:ascii="Arial" w:hAnsi="Arial" w:cs="Arial"/>
          <w:i/>
          <w:lang w:val="en-US"/>
        </w:rPr>
        <w:t>strata</w:t>
      </w:r>
      <w:r w:rsidRPr="00B10A10">
        <w:rPr>
          <w:rFonts w:ascii="Arial" w:hAnsi="Arial" w:cs="Arial"/>
          <w:lang w:val="en-US"/>
        </w:rPr>
        <w:t xml:space="preserve"> were manually delineated within CA1 region before performing a stereological counting of the total number of CCK</w:t>
      </w:r>
      <w:r w:rsidRPr="00B10A10">
        <w:rPr>
          <w:rFonts w:ascii="Arial" w:hAnsi="Arial" w:cs="Arial"/>
          <w:vertAlign w:val="superscript"/>
          <w:lang w:val="en-US"/>
        </w:rPr>
        <w:t>+</w:t>
      </w:r>
      <w:r w:rsidRPr="00B10A10">
        <w:rPr>
          <w:rFonts w:ascii="Arial" w:hAnsi="Arial" w:cs="Arial"/>
          <w:lang w:val="en-US"/>
        </w:rPr>
        <w:t>GABA</w:t>
      </w:r>
      <w:r w:rsidRPr="00B10A10">
        <w:rPr>
          <w:rFonts w:ascii="Arial" w:hAnsi="Arial" w:cs="Arial"/>
          <w:vertAlign w:val="superscript"/>
          <w:lang w:val="en-US"/>
        </w:rPr>
        <w:t>+</w:t>
      </w:r>
      <w:r w:rsidRPr="00B10A10">
        <w:rPr>
          <w:rFonts w:ascii="Arial" w:hAnsi="Arial" w:cs="Arial"/>
          <w:lang w:val="en-US"/>
        </w:rPr>
        <w:t xml:space="preserve"> cells.</w:t>
      </w:r>
      <w:r w:rsidRPr="00B10A10">
        <w:rPr>
          <w:rFonts w:ascii="Arial" w:hAnsi="Arial" w:cs="Arial"/>
          <w:color w:val="FF0000"/>
          <w:lang w:val="en-US"/>
        </w:rPr>
        <w:t xml:space="preserve"> </w:t>
      </w:r>
      <w:r w:rsidRPr="00B10A10">
        <w:rPr>
          <w:rFonts w:ascii="Arial" w:hAnsi="Arial" w:cs="Arial"/>
          <w:lang w:val="en-US"/>
        </w:rPr>
        <w:t xml:space="preserve">The frame area was set to </w:t>
      </w:r>
      <w:r w:rsidRPr="005804E9">
        <w:rPr>
          <w:rFonts w:ascii="Arial" w:hAnsi="Arial" w:cs="Arial"/>
          <w:color w:val="000000" w:themeColor="text1"/>
          <w:lang w:val="en-US"/>
        </w:rPr>
        <w:t>625 μm</w:t>
      </w:r>
      <w:r w:rsidRPr="005804E9">
        <w:rPr>
          <w:rFonts w:ascii="Arial" w:hAnsi="Arial" w:cs="Arial"/>
          <w:color w:val="000000" w:themeColor="text1"/>
          <w:vertAlign w:val="superscript"/>
          <w:lang w:val="en-US"/>
        </w:rPr>
        <w:t>2</w:t>
      </w:r>
      <w:r w:rsidRPr="005804E9">
        <w:rPr>
          <w:rFonts w:ascii="Arial" w:hAnsi="Arial" w:cs="Arial"/>
          <w:color w:val="000000" w:themeColor="text1"/>
          <w:lang w:val="en-US"/>
        </w:rPr>
        <w:t xml:space="preserve"> </w:t>
      </w:r>
      <w:r w:rsidRPr="00B10A10">
        <w:rPr>
          <w:rFonts w:ascii="Arial" w:hAnsi="Arial" w:cs="Arial"/>
          <w:lang w:val="en-US"/>
        </w:rPr>
        <w:t xml:space="preserve">with a sampling interval of </w:t>
      </w:r>
      <w:r w:rsidRPr="005804E9">
        <w:rPr>
          <w:rFonts w:ascii="Arial" w:hAnsi="Arial" w:cs="Arial"/>
          <w:color w:val="000000" w:themeColor="text1"/>
          <w:lang w:val="en-US"/>
        </w:rPr>
        <w:t xml:space="preserve">120 </w:t>
      </w:r>
      <w:proofErr w:type="spellStart"/>
      <w:r w:rsidRPr="00B10A10">
        <w:rPr>
          <w:rFonts w:ascii="Arial" w:hAnsi="Arial" w:cs="Arial"/>
          <w:lang w:val="en-US"/>
        </w:rPr>
        <w:t>μm</w:t>
      </w:r>
      <w:proofErr w:type="spellEnd"/>
      <w:r w:rsidRPr="00B10A10">
        <w:rPr>
          <w:rFonts w:ascii="Arial" w:hAnsi="Arial" w:cs="Arial"/>
          <w:lang w:val="en-US"/>
        </w:rPr>
        <w:t xml:space="preserve"> at the </w:t>
      </w:r>
      <w:r>
        <w:rPr>
          <w:rFonts w:ascii="Arial" w:hAnsi="Arial" w:cs="Arial"/>
          <w:lang w:val="en-US"/>
        </w:rPr>
        <w:t>z</w:t>
      </w:r>
      <w:r w:rsidRPr="00B10A10">
        <w:rPr>
          <w:rFonts w:ascii="Arial" w:hAnsi="Arial" w:cs="Arial"/>
          <w:lang w:val="en-US"/>
        </w:rPr>
        <w:t xml:space="preserve"> level</w:t>
      </w:r>
      <w:r>
        <w:rPr>
          <w:rFonts w:ascii="Arial" w:hAnsi="Arial" w:cs="Arial"/>
          <w:lang w:val="en-US"/>
        </w:rPr>
        <w:t>.</w:t>
      </w:r>
      <w:r w:rsidRPr="00B10A10">
        <w:rPr>
          <w:rFonts w:ascii="Arial" w:hAnsi="Arial" w:cs="Arial"/>
          <w:lang w:val="en-US"/>
        </w:rPr>
        <w:t xml:space="preserve"> Results are expressed as number of immunoreactive cells per mm</w:t>
      </w:r>
      <w:r w:rsidRPr="00B10A10">
        <w:rPr>
          <w:rFonts w:ascii="Arial" w:hAnsi="Arial" w:cs="Arial"/>
          <w:vertAlign w:val="superscript"/>
          <w:lang w:val="en-US"/>
        </w:rPr>
        <w:t>2</w:t>
      </w:r>
      <w:r w:rsidRPr="00B10A10">
        <w:rPr>
          <w:rFonts w:ascii="Arial" w:hAnsi="Arial" w:cs="Arial"/>
          <w:lang w:val="en-US"/>
        </w:rPr>
        <w:t xml:space="preserve">. </w:t>
      </w:r>
      <w:proofErr w:type="spellStart"/>
      <w:r w:rsidRPr="00B10A10">
        <w:rPr>
          <w:rFonts w:ascii="Arial" w:hAnsi="Arial" w:cs="Arial"/>
          <w:lang w:val="en-US"/>
        </w:rPr>
        <w:t>Gundersen’s</w:t>
      </w:r>
      <w:proofErr w:type="spellEnd"/>
      <w:r w:rsidRPr="00B10A10">
        <w:rPr>
          <w:rFonts w:ascii="Arial" w:hAnsi="Arial" w:cs="Arial"/>
          <w:lang w:val="en-US"/>
        </w:rPr>
        <w:t xml:space="preserve"> coefficient of error was always below 0.1. Data were obtained in a blinded manner and sample code remained unsealed during the whole data processing and analysis.</w:t>
      </w:r>
    </w:p>
    <w:p w:rsidR="00BE24E8" w:rsidRPr="00B10A10" w:rsidRDefault="00BE24E8" w:rsidP="00BE24E8">
      <w:pPr>
        <w:spacing w:after="0" w:line="480" w:lineRule="auto"/>
        <w:jc w:val="both"/>
        <w:rPr>
          <w:rFonts w:ascii="Times New Roman" w:hAnsi="Times New Roman" w:cs="Times New Roman"/>
          <w:b/>
          <w:sz w:val="18"/>
          <w:szCs w:val="18"/>
          <w:lang w:val="en-US"/>
        </w:rPr>
      </w:pPr>
    </w:p>
    <w:p w:rsidR="00BE24E8" w:rsidRPr="00B10A10" w:rsidRDefault="00BE24E8" w:rsidP="00BE24E8">
      <w:pPr>
        <w:spacing w:after="0" w:line="480" w:lineRule="auto"/>
        <w:jc w:val="both"/>
        <w:rPr>
          <w:rFonts w:ascii="Arial" w:hAnsi="Arial" w:cs="Arial"/>
          <w:b/>
          <w:lang w:val="en-US"/>
        </w:rPr>
      </w:pPr>
      <w:r w:rsidRPr="00B10A10">
        <w:rPr>
          <w:rFonts w:ascii="Arial" w:hAnsi="Arial" w:cs="Arial"/>
          <w:b/>
          <w:lang w:val="en-US"/>
        </w:rPr>
        <w:t>Pentylenetetrazol-induced seizures assay</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 xml:space="preserve">Pentylenetetrazol (PTZ) (Sigma-Aldrich Spain) was dissolved in 0.9% saline and administered </w:t>
      </w:r>
      <w:proofErr w:type="spellStart"/>
      <w:r w:rsidRPr="00B10A10">
        <w:rPr>
          <w:rFonts w:ascii="Arial" w:hAnsi="Arial" w:cs="Arial"/>
          <w:lang w:val="en-US"/>
        </w:rPr>
        <w:t>i.p</w:t>
      </w:r>
      <w:proofErr w:type="spellEnd"/>
      <w:r w:rsidRPr="00B10A10">
        <w:rPr>
          <w:rFonts w:ascii="Arial" w:hAnsi="Arial" w:cs="Arial"/>
          <w:lang w:val="en-US"/>
        </w:rPr>
        <w:t>. to mice at P60 at a concentration of 22.5 mg/kg (at 10 µL/g). Mice were then placed in Plexiglas cages and re-injected with the PTZ-containing solution every 10 min until generalized seizures occurred. This was considered the end of the experiment. All the procedure was video-recorded and analy</w:t>
      </w:r>
      <w:r>
        <w:rPr>
          <w:rFonts w:ascii="Arial" w:hAnsi="Arial" w:cs="Arial"/>
          <w:lang w:val="en-US"/>
        </w:rPr>
        <w:t>z</w:t>
      </w:r>
      <w:r w:rsidRPr="00B10A10">
        <w:rPr>
          <w:rFonts w:ascii="Arial" w:hAnsi="Arial" w:cs="Arial"/>
          <w:lang w:val="en-US"/>
        </w:rPr>
        <w:t>ed later by an experimenter blinded to the experimental groups, who determined the precise moment of generalized seizure onset.</w:t>
      </w:r>
    </w:p>
    <w:p w:rsidR="00BE24E8" w:rsidRPr="00B10A10" w:rsidRDefault="00BE24E8" w:rsidP="00BE24E8">
      <w:pPr>
        <w:spacing w:after="0" w:line="480" w:lineRule="auto"/>
        <w:jc w:val="both"/>
        <w:rPr>
          <w:rFonts w:ascii="Arial" w:hAnsi="Arial" w:cs="Arial"/>
          <w:lang w:val="en-US"/>
        </w:rPr>
      </w:pPr>
    </w:p>
    <w:p w:rsidR="00BE24E8" w:rsidRPr="00B10A10" w:rsidRDefault="00BE24E8" w:rsidP="00BE24E8">
      <w:pPr>
        <w:spacing w:after="0" w:line="480" w:lineRule="auto"/>
        <w:jc w:val="both"/>
        <w:rPr>
          <w:rFonts w:ascii="Arial" w:hAnsi="Arial" w:cs="Arial"/>
          <w:b/>
          <w:lang w:val="en-US"/>
        </w:rPr>
      </w:pPr>
      <w:r w:rsidRPr="00B10A10">
        <w:rPr>
          <w:rFonts w:ascii="Arial" w:hAnsi="Arial" w:cs="Arial"/>
          <w:b/>
          <w:lang w:val="en-US"/>
        </w:rPr>
        <w:lastRenderedPageBreak/>
        <w:t>Novel object recognition task</w:t>
      </w:r>
    </w:p>
    <w:p w:rsidR="00BE24E8" w:rsidRPr="00B10A10" w:rsidRDefault="00BE24E8" w:rsidP="00BE24E8">
      <w:pPr>
        <w:spacing w:line="480" w:lineRule="auto"/>
        <w:rPr>
          <w:rFonts w:ascii="Arial" w:hAnsi="Arial" w:cs="Arial"/>
          <w:lang w:val="en-US"/>
        </w:rPr>
      </w:pPr>
      <w:r w:rsidRPr="00B10A10">
        <w:rPr>
          <w:rFonts w:ascii="Arial" w:hAnsi="Arial" w:cs="Arial"/>
          <w:lang w:val="en-US"/>
        </w:rPr>
        <w:t>All tests were video-recorded</w:t>
      </w:r>
      <w:r>
        <w:rPr>
          <w:rFonts w:ascii="Arial" w:hAnsi="Arial" w:cs="Arial"/>
          <w:lang w:val="en-US"/>
        </w:rPr>
        <w:t xml:space="preserve"> and systematically </w:t>
      </w:r>
      <w:r w:rsidRPr="00B10A10">
        <w:rPr>
          <w:rFonts w:ascii="Arial" w:hAnsi="Arial" w:cs="Arial"/>
          <w:lang w:val="en-US"/>
        </w:rPr>
        <w:t>analy</w:t>
      </w:r>
      <w:r>
        <w:rPr>
          <w:rFonts w:ascii="Arial" w:hAnsi="Arial" w:cs="Arial"/>
          <w:lang w:val="en-US"/>
        </w:rPr>
        <w:t>zed</w:t>
      </w:r>
      <w:r w:rsidRPr="00B10A10">
        <w:rPr>
          <w:rFonts w:ascii="Arial" w:hAnsi="Arial" w:cs="Arial"/>
          <w:lang w:val="en-US"/>
        </w:rPr>
        <w:t xml:space="preserve"> </w:t>
      </w:r>
      <w:r>
        <w:rPr>
          <w:rFonts w:ascii="Arial" w:hAnsi="Arial" w:cs="Arial"/>
          <w:lang w:val="en-US"/>
        </w:rPr>
        <w:t>by mean of the SMART 3.0 video tracking software (</w:t>
      </w:r>
      <w:proofErr w:type="spellStart"/>
      <w:r>
        <w:rPr>
          <w:rFonts w:ascii="Arial" w:hAnsi="Arial" w:cs="Arial"/>
          <w:lang w:val="en-US"/>
        </w:rPr>
        <w:t>Panlab</w:t>
      </w:r>
      <w:proofErr w:type="spellEnd"/>
      <w:r>
        <w:rPr>
          <w:rFonts w:ascii="Arial" w:hAnsi="Arial" w:cs="Arial"/>
          <w:lang w:val="en-US"/>
        </w:rPr>
        <w:t>, Barcelona, Spain)</w:t>
      </w:r>
      <w:r w:rsidRPr="00B10A10">
        <w:rPr>
          <w:rFonts w:ascii="Arial" w:hAnsi="Arial" w:cs="Arial"/>
          <w:lang w:val="en-US"/>
        </w:rPr>
        <w:t>. P60 mice were habituated to an arena consisting on a grey methacrylate open field of 70 x 70 x 40 cm under uniform lightning conditions of 25 lux. Mice were allowed to freely explore the arena for 10 min the day before the novel object recognition (NOR) test to let them familiarize with the arena and minimize cage-exploring-derived distractions during the subsequent test. Test consisted of two parts: training and test sessions. During the former mice were allowed to individually explore two objects for 10 min. Then mice were returned to the home cage and the open field and objects were cleaned to avoid olfactory cues. After an inter-trial interval of 50 min, m</w:t>
      </w:r>
      <w:r>
        <w:rPr>
          <w:rFonts w:ascii="Arial" w:hAnsi="Arial" w:cs="Arial"/>
          <w:lang w:val="en-US"/>
        </w:rPr>
        <w:t>ice</w:t>
      </w:r>
      <w:r w:rsidRPr="00B10A10">
        <w:rPr>
          <w:rFonts w:ascii="Arial" w:hAnsi="Arial" w:cs="Arial"/>
          <w:lang w:val="en-US"/>
        </w:rPr>
        <w:t xml:space="preserve"> w</w:t>
      </w:r>
      <w:r>
        <w:rPr>
          <w:rFonts w:ascii="Arial" w:hAnsi="Arial" w:cs="Arial"/>
          <w:lang w:val="en-US"/>
        </w:rPr>
        <w:t>ere</w:t>
      </w:r>
      <w:r w:rsidRPr="00B10A10">
        <w:rPr>
          <w:rFonts w:ascii="Arial" w:hAnsi="Arial" w:cs="Arial"/>
          <w:lang w:val="en-US"/>
        </w:rPr>
        <w:t xml:space="preserve"> placed back into the same open field for the test session, in which one of the familiar objects had been replaced by a novel object. Mice were allowed to explore the objects for 10 min. </w:t>
      </w:r>
      <w:r>
        <w:rPr>
          <w:rFonts w:ascii="Arial" w:hAnsi="Arial" w:cs="Arial"/>
          <w:lang w:val="en-US"/>
        </w:rPr>
        <w:t>M</w:t>
      </w:r>
      <w:r w:rsidRPr="00B10A10">
        <w:rPr>
          <w:rFonts w:ascii="Arial" w:hAnsi="Arial" w:cs="Arial"/>
          <w:lang w:val="en-US"/>
        </w:rPr>
        <w:t>ice did not show preference for any object before trials. Mice were excluded from the analysis only if the total time of exploration for each mouse was lower than 5 seconds in the test session. Object exploration was defined as the mouse being within 2 cm of an object, directing its nose at the object, and being involved in active exploration such as sniffing. A discrimination index (I</w:t>
      </w:r>
      <w:r w:rsidRPr="00B10A10">
        <w:rPr>
          <w:rFonts w:ascii="Arial" w:hAnsi="Arial" w:cs="Arial"/>
          <w:vertAlign w:val="subscript"/>
          <w:lang w:val="en-US"/>
        </w:rPr>
        <w:t>d</w:t>
      </w:r>
      <w:r w:rsidRPr="00B10A10">
        <w:rPr>
          <w:rFonts w:ascii="Arial" w:hAnsi="Arial" w:cs="Arial"/>
          <w:lang w:val="en-US"/>
        </w:rPr>
        <w:t>) was calculated to measure recognition memory as follows:</w:t>
      </w:r>
    </w:p>
    <w:p w:rsidR="00BE24E8" w:rsidRPr="00B10A10" w:rsidRDefault="005275D9" w:rsidP="00BE24E8">
      <w:pPr>
        <w:spacing w:after="0" w:line="480" w:lineRule="auto"/>
        <w:ind w:firstLine="284"/>
        <w:jc w:val="both"/>
        <w:rPr>
          <w:rFonts w:ascii="Arial" w:eastAsiaTheme="minorEastAsia" w:hAnsi="Arial" w:cs="Arial"/>
          <w:lang w:val="en-US"/>
        </w:rPr>
      </w:pPr>
      <m:oMathPara>
        <m:oMath>
          <m:sSub>
            <m:sSubPr>
              <m:ctrlPr>
                <w:rPr>
                  <w:rFonts w:ascii="Cambria Math" w:hAnsi="Cambria Math" w:cs="Arial"/>
                  <w:i/>
                  <w:lang w:val="en-US"/>
                </w:rPr>
              </m:ctrlPr>
            </m:sSubPr>
            <m:e>
              <m:r>
                <w:rPr>
                  <w:rFonts w:ascii="Cambria Math" w:hAnsi="Cambria Math" w:cs="Arial"/>
                  <w:lang w:val="en-US"/>
                </w:rPr>
                <m:t>I</m:t>
              </m:r>
            </m:e>
            <m:sub>
              <m:r>
                <w:rPr>
                  <w:rFonts w:ascii="Cambria Math" w:hAnsi="Cambria Math" w:cs="Arial"/>
                  <w:lang w:val="en-US"/>
                </w:rPr>
                <m:t>d</m:t>
              </m:r>
            </m:sub>
          </m:sSub>
          <m:r>
            <w:rPr>
              <w:rFonts w:ascii="Cambria Math" w:hAnsi="Cambria Math" w:cs="Arial"/>
              <w:lang w:val="en-US"/>
            </w:rPr>
            <m:t xml:space="preserve">= </m:t>
          </m:r>
          <m:f>
            <m:fPr>
              <m:ctrlPr>
                <w:rPr>
                  <w:rFonts w:ascii="Cambria Math" w:hAnsi="Cambria Math" w:cs="Arial"/>
                  <w:i/>
                  <w:lang w:val="en-US"/>
                </w:rPr>
              </m:ctrlPr>
            </m:fPr>
            <m:num>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new object</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familiar object</m:t>
                  </m:r>
                </m:sub>
              </m:sSub>
              <m:r>
                <w:rPr>
                  <w:rFonts w:ascii="Cambria Math" w:hAnsi="Cambria Math" w:cs="Arial"/>
                  <w:lang w:val="en-US"/>
                </w:rPr>
                <m:t>)</m:t>
              </m:r>
            </m:num>
            <m:den>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new object</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familiar object</m:t>
                  </m:r>
                </m:sub>
              </m:sSub>
              <m:r>
                <w:rPr>
                  <w:rFonts w:ascii="Cambria Math" w:hAnsi="Cambria Math" w:cs="Arial"/>
                  <w:lang w:val="en-US"/>
                </w:rPr>
                <m:t>)</m:t>
              </m:r>
            </m:den>
          </m:f>
        </m:oMath>
      </m:oMathPara>
    </w:p>
    <w:p w:rsidR="00BE24E8" w:rsidRPr="00B10A10" w:rsidRDefault="00BE24E8" w:rsidP="00BE24E8">
      <w:pPr>
        <w:spacing w:after="0" w:line="480" w:lineRule="auto"/>
        <w:jc w:val="both"/>
        <w:rPr>
          <w:rFonts w:ascii="Arial" w:hAnsi="Arial" w:cs="Arial"/>
          <w:b/>
          <w:lang w:val="en-US"/>
        </w:rPr>
      </w:pPr>
      <w:r w:rsidRPr="00B10A10">
        <w:rPr>
          <w:rFonts w:ascii="Arial" w:hAnsi="Arial" w:cs="Arial"/>
          <w:b/>
          <w:lang w:val="en-US"/>
        </w:rPr>
        <w:t>Object location task</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 xml:space="preserve">The day after NOR test, mice were subjected to an object-place recognition task in the same open field arena. This test was also structured in two sessions: similar to NOR, mice were first exposed to two identical objects that they were left to explore during 10 min. After that, mice were placed back in their home cage and the arena and object were cleaned to remove any </w:t>
      </w:r>
      <w:proofErr w:type="spellStart"/>
      <w:r w:rsidRPr="00B10A10">
        <w:rPr>
          <w:rFonts w:ascii="Arial" w:hAnsi="Arial" w:cs="Arial"/>
          <w:lang w:val="en-US"/>
        </w:rPr>
        <w:t>odour</w:t>
      </w:r>
      <w:proofErr w:type="spellEnd"/>
      <w:r w:rsidRPr="00B10A10">
        <w:rPr>
          <w:rFonts w:ascii="Arial" w:hAnsi="Arial" w:cs="Arial"/>
          <w:lang w:val="en-US"/>
        </w:rPr>
        <w:t xml:space="preserve"> cue. After 50 min, in the test session, one of the objects was placed in a different position maintaining its distance relative to the walls, and mice were allowed to explore the objects for an additional 10 min. Mice were </w:t>
      </w:r>
      <w:r w:rsidRPr="00B10A10">
        <w:rPr>
          <w:rFonts w:ascii="Arial" w:hAnsi="Arial" w:cs="Arial"/>
          <w:lang w:val="en-US"/>
        </w:rPr>
        <w:lastRenderedPageBreak/>
        <w:t>excluded from the analysis only if the total time of exploration for each mouse was lower than 5 seconds in the test session. A discrimination index (I</w:t>
      </w:r>
      <w:r w:rsidRPr="00B10A10">
        <w:rPr>
          <w:rFonts w:ascii="Arial" w:hAnsi="Arial" w:cs="Arial"/>
          <w:vertAlign w:val="subscript"/>
          <w:lang w:val="en-US"/>
        </w:rPr>
        <w:t>d</w:t>
      </w:r>
      <w:r w:rsidRPr="00B10A10">
        <w:rPr>
          <w:rFonts w:ascii="Arial" w:hAnsi="Arial" w:cs="Arial"/>
          <w:lang w:val="en-US"/>
        </w:rPr>
        <w:t>) was calculated to measure recognition memory as follows:</w:t>
      </w:r>
    </w:p>
    <w:p w:rsidR="00BE24E8" w:rsidRPr="00B10A10" w:rsidRDefault="005275D9" w:rsidP="00BE24E8">
      <w:pPr>
        <w:spacing w:after="0" w:line="480" w:lineRule="auto"/>
        <w:ind w:firstLine="284"/>
        <w:jc w:val="both"/>
        <w:rPr>
          <w:rFonts w:ascii="Arial" w:eastAsiaTheme="minorEastAsia" w:hAnsi="Arial" w:cs="Arial"/>
          <w:lang w:val="en-US"/>
        </w:rPr>
      </w:pPr>
      <m:oMathPara>
        <m:oMath>
          <m:sSub>
            <m:sSubPr>
              <m:ctrlPr>
                <w:rPr>
                  <w:rFonts w:ascii="Cambria Math" w:hAnsi="Cambria Math" w:cs="Arial"/>
                  <w:i/>
                  <w:lang w:val="en-US"/>
                </w:rPr>
              </m:ctrlPr>
            </m:sSubPr>
            <m:e>
              <m:r>
                <w:rPr>
                  <w:rFonts w:ascii="Cambria Math" w:hAnsi="Cambria Math" w:cs="Arial"/>
                  <w:lang w:val="en-US"/>
                </w:rPr>
                <m:t>I</m:t>
              </m:r>
            </m:e>
            <m:sub>
              <m:r>
                <w:rPr>
                  <w:rFonts w:ascii="Cambria Math" w:hAnsi="Cambria Math" w:cs="Arial"/>
                  <w:lang w:val="en-US"/>
                </w:rPr>
                <m:t>d</m:t>
              </m:r>
            </m:sub>
          </m:sSub>
          <m:r>
            <w:rPr>
              <w:rFonts w:ascii="Cambria Math" w:hAnsi="Cambria Math" w:cs="Arial"/>
              <w:lang w:val="en-US"/>
            </w:rPr>
            <m:t xml:space="preserve">= </m:t>
          </m:r>
          <m:f>
            <m:fPr>
              <m:ctrlPr>
                <w:rPr>
                  <w:rFonts w:ascii="Cambria Math" w:hAnsi="Cambria Math" w:cs="Arial"/>
                  <w:i/>
                  <w:lang w:val="en-US"/>
                </w:rPr>
              </m:ctrlPr>
            </m:fPr>
            <m:num>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displaced object</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undisplaced object</m:t>
                  </m:r>
                </m:sub>
              </m:sSub>
              <m:r>
                <w:rPr>
                  <w:rFonts w:ascii="Cambria Math" w:hAnsi="Cambria Math" w:cs="Arial"/>
                  <w:lang w:val="en-US"/>
                </w:rPr>
                <m:t>)</m:t>
              </m:r>
            </m:num>
            <m:den>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displaced object</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undisplaced object</m:t>
                  </m:r>
                </m:sub>
              </m:sSub>
              <m:r>
                <w:rPr>
                  <w:rFonts w:ascii="Cambria Math" w:hAnsi="Cambria Math" w:cs="Arial"/>
                  <w:lang w:val="en-US"/>
                </w:rPr>
                <m:t>)</m:t>
              </m:r>
            </m:den>
          </m:f>
        </m:oMath>
      </m:oMathPara>
    </w:p>
    <w:p w:rsidR="00BE24E8" w:rsidRPr="00B10A10" w:rsidRDefault="00BE24E8" w:rsidP="00BE24E8">
      <w:pPr>
        <w:spacing w:after="0" w:line="480" w:lineRule="auto"/>
        <w:jc w:val="both"/>
        <w:rPr>
          <w:rFonts w:ascii="Arial" w:hAnsi="Arial" w:cs="Arial"/>
          <w:b/>
          <w:lang w:val="en-US"/>
        </w:rPr>
      </w:pPr>
    </w:p>
    <w:p w:rsidR="00BE24E8" w:rsidRPr="00B10A10" w:rsidRDefault="00BE24E8" w:rsidP="00BE24E8">
      <w:pPr>
        <w:spacing w:after="0" w:line="480" w:lineRule="auto"/>
        <w:jc w:val="both"/>
        <w:rPr>
          <w:rFonts w:ascii="Arial" w:hAnsi="Arial" w:cs="Arial"/>
          <w:b/>
          <w:lang w:val="en-US"/>
        </w:rPr>
      </w:pPr>
      <w:r w:rsidRPr="00B10A10">
        <w:rPr>
          <w:rFonts w:ascii="Arial" w:hAnsi="Arial" w:cs="Arial"/>
          <w:b/>
          <w:lang w:val="en-US"/>
        </w:rPr>
        <w:t>Cannabinoid</w:t>
      </w:r>
      <w:r>
        <w:rPr>
          <w:rFonts w:ascii="Arial" w:hAnsi="Arial" w:cs="Arial"/>
          <w:b/>
          <w:lang w:val="en-US"/>
        </w:rPr>
        <w:t>-induced analgesia and hypothermia</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THC</w:t>
      </w:r>
      <w:r>
        <w:rPr>
          <w:rFonts w:ascii="Arial" w:hAnsi="Arial" w:cs="Arial"/>
          <w:lang w:val="en-US"/>
        </w:rPr>
        <w:t>-induced</w:t>
      </w:r>
      <w:r w:rsidRPr="00B10A10">
        <w:rPr>
          <w:rFonts w:ascii="Arial" w:hAnsi="Arial" w:cs="Arial"/>
          <w:lang w:val="en-US"/>
        </w:rPr>
        <w:t xml:space="preserve"> </w:t>
      </w:r>
      <w:r>
        <w:rPr>
          <w:rFonts w:ascii="Arial" w:hAnsi="Arial" w:cs="Arial"/>
          <w:lang w:val="en-US"/>
        </w:rPr>
        <w:t>actions</w:t>
      </w:r>
      <w:r w:rsidRPr="00B10A10">
        <w:rPr>
          <w:rFonts w:ascii="Arial" w:hAnsi="Arial" w:cs="Arial"/>
          <w:lang w:val="en-US"/>
        </w:rPr>
        <w:t xml:space="preserve"> that depend on CB</w:t>
      </w:r>
      <w:r w:rsidRPr="00B10A10">
        <w:rPr>
          <w:rFonts w:ascii="Arial" w:hAnsi="Arial" w:cs="Arial"/>
          <w:vertAlign w:val="subscript"/>
          <w:lang w:val="en-US"/>
        </w:rPr>
        <w:t>1</w:t>
      </w:r>
      <w:r w:rsidRPr="00B10A10">
        <w:rPr>
          <w:rFonts w:ascii="Arial" w:hAnsi="Arial" w:cs="Arial"/>
          <w:lang w:val="en-US"/>
        </w:rPr>
        <w:t xml:space="preserve">R </w:t>
      </w:r>
      <w:r>
        <w:rPr>
          <w:rFonts w:ascii="Arial" w:hAnsi="Arial" w:cs="Arial"/>
          <w:lang w:val="en-US"/>
        </w:rPr>
        <w:t xml:space="preserve">expressed in </w:t>
      </w:r>
      <w:r w:rsidRPr="00B10A10">
        <w:rPr>
          <w:rFonts w:ascii="Arial" w:hAnsi="Arial" w:cs="Arial"/>
          <w:lang w:val="en-US"/>
        </w:rPr>
        <w:t xml:space="preserve">glutamatergic </w:t>
      </w:r>
      <w:r>
        <w:rPr>
          <w:rFonts w:ascii="Arial" w:hAnsi="Arial" w:cs="Arial"/>
          <w:lang w:val="en-US"/>
        </w:rPr>
        <w:t xml:space="preserve">neurons </w:t>
      </w:r>
      <w:r w:rsidRPr="00B10A10">
        <w:rPr>
          <w:rFonts w:ascii="Arial" w:hAnsi="Arial" w:cs="Arial"/>
          <w:lang w:val="en-US"/>
        </w:rPr>
        <w:t xml:space="preserve">but </w:t>
      </w:r>
      <w:r>
        <w:rPr>
          <w:rFonts w:ascii="Arial" w:hAnsi="Arial" w:cs="Arial"/>
          <w:lang w:val="en-US"/>
        </w:rPr>
        <w:t>not in</w:t>
      </w:r>
      <w:r w:rsidRPr="00B10A10">
        <w:rPr>
          <w:rFonts w:ascii="Arial" w:hAnsi="Arial" w:cs="Arial"/>
          <w:lang w:val="en-US"/>
        </w:rPr>
        <w:t xml:space="preserve"> GABAergic </w:t>
      </w:r>
      <w:r>
        <w:rPr>
          <w:rFonts w:ascii="Arial" w:hAnsi="Arial" w:cs="Arial"/>
          <w:lang w:val="en-US"/>
        </w:rPr>
        <w:t>neurons</w:t>
      </w:r>
      <w:r w:rsidRPr="00B10A10">
        <w:rPr>
          <w:rFonts w:ascii="Arial" w:hAnsi="Arial" w:cs="Arial"/>
          <w:lang w:val="en-US"/>
        </w:rPr>
        <w:t xml:space="preserve"> were </w:t>
      </w:r>
      <w:r>
        <w:rPr>
          <w:rFonts w:ascii="Arial" w:hAnsi="Arial" w:cs="Arial"/>
          <w:lang w:val="en-US"/>
        </w:rPr>
        <w:t>evaluated in the</w:t>
      </w:r>
      <w:r w:rsidRPr="00B10A10">
        <w:rPr>
          <w:rFonts w:ascii="Arial" w:hAnsi="Arial" w:cs="Arial"/>
          <w:lang w:val="en-US"/>
        </w:rPr>
        <w:t xml:space="preserve"> P60 progeny of vehicle and THC</w:t>
      </w:r>
      <w:r>
        <w:rPr>
          <w:rFonts w:ascii="Arial" w:hAnsi="Arial" w:cs="Arial"/>
          <w:lang w:val="en-US"/>
        </w:rPr>
        <w:t>-</w:t>
      </w:r>
      <w:r w:rsidRPr="00B10A10">
        <w:rPr>
          <w:rFonts w:ascii="Arial" w:hAnsi="Arial" w:cs="Arial"/>
          <w:lang w:val="en-US"/>
        </w:rPr>
        <w:t xml:space="preserve">treated mice. Animals were injected </w:t>
      </w:r>
      <w:proofErr w:type="spellStart"/>
      <w:r w:rsidRPr="00B10A10">
        <w:rPr>
          <w:rFonts w:ascii="Arial" w:hAnsi="Arial" w:cs="Arial"/>
          <w:lang w:val="en-US"/>
        </w:rPr>
        <w:t>i.p</w:t>
      </w:r>
      <w:proofErr w:type="spellEnd"/>
      <w:r w:rsidRPr="00B10A10">
        <w:rPr>
          <w:rFonts w:ascii="Arial" w:hAnsi="Arial" w:cs="Arial"/>
          <w:lang w:val="en-US"/>
        </w:rPr>
        <w:t>. with THC (10 mg/kg) or its vehicle</w:t>
      </w:r>
      <w:r>
        <w:rPr>
          <w:rFonts w:ascii="Arial" w:hAnsi="Arial" w:cs="Arial"/>
          <w:lang w:val="en-US"/>
        </w:rPr>
        <w:t>,</w:t>
      </w:r>
      <w:r w:rsidRPr="00B10A10">
        <w:rPr>
          <w:rFonts w:ascii="Arial" w:hAnsi="Arial" w:cs="Arial"/>
          <w:lang w:val="en-US"/>
        </w:rPr>
        <w:t xml:space="preserve"> and basal temperature was measured with a rectal probe just before and 55 min after injection. Analgesia was determined 90 min after THC injection. Mice were placed in a hot plate set at 52ºC and </w:t>
      </w:r>
      <w:r>
        <w:rPr>
          <w:rFonts w:ascii="Arial" w:hAnsi="Arial" w:cs="Arial"/>
          <w:lang w:val="en-US"/>
        </w:rPr>
        <w:t xml:space="preserve">the </w:t>
      </w:r>
      <w:r w:rsidRPr="00B10A10">
        <w:rPr>
          <w:rFonts w:ascii="Arial" w:hAnsi="Arial" w:cs="Arial"/>
          <w:lang w:val="en-US"/>
        </w:rPr>
        <w:t>time until first sign of pain was quantified. In absence of signs of pain, mice were removed from the hot plate at a cut</w:t>
      </w:r>
      <w:r>
        <w:rPr>
          <w:rFonts w:ascii="Arial" w:hAnsi="Arial" w:cs="Arial"/>
          <w:lang w:val="en-US"/>
        </w:rPr>
        <w:t>-</w:t>
      </w:r>
      <w:r w:rsidRPr="00B10A10">
        <w:rPr>
          <w:rFonts w:ascii="Arial" w:hAnsi="Arial" w:cs="Arial"/>
          <w:lang w:val="en-US"/>
        </w:rPr>
        <w:t>off time of 30 seconds in order to avoid wounds to the animals.</w:t>
      </w:r>
      <w:r w:rsidRPr="005804E9">
        <w:rPr>
          <w:lang w:val="en-US"/>
        </w:rPr>
        <w:t xml:space="preserve"> </w:t>
      </w:r>
      <w:r w:rsidRPr="009034D4">
        <w:rPr>
          <w:rFonts w:ascii="Arial" w:hAnsi="Arial" w:cs="Arial"/>
          <w:lang w:val="en-US"/>
        </w:rPr>
        <w:t>A naive cohort from each genotype was injected with vehicle and used to establish the baseline for both parameters.</w:t>
      </w:r>
    </w:p>
    <w:p w:rsidR="00BE24E8" w:rsidRPr="00B10A10" w:rsidRDefault="00BE24E8" w:rsidP="00BE24E8">
      <w:pPr>
        <w:spacing w:after="0" w:line="480" w:lineRule="auto"/>
        <w:jc w:val="both"/>
        <w:rPr>
          <w:rFonts w:ascii="Arial" w:hAnsi="Arial" w:cs="Arial"/>
          <w:lang w:val="en-US"/>
        </w:rPr>
      </w:pPr>
      <w:r w:rsidRPr="00B10A10">
        <w:rPr>
          <w:rFonts w:ascii="Arial" w:hAnsi="Arial" w:cs="Arial"/>
          <w:lang w:val="en-US"/>
        </w:rPr>
        <w:t xml:space="preserve"> </w:t>
      </w:r>
    </w:p>
    <w:p w:rsidR="00BE24E8" w:rsidRPr="00B10A10" w:rsidRDefault="00BE24E8" w:rsidP="00BE24E8">
      <w:pPr>
        <w:spacing w:after="0" w:line="480" w:lineRule="auto"/>
        <w:jc w:val="both"/>
        <w:rPr>
          <w:rFonts w:ascii="Arial" w:hAnsi="Arial" w:cs="Arial"/>
          <w:b/>
          <w:lang w:val="en-US"/>
        </w:rPr>
      </w:pPr>
      <w:r w:rsidRPr="00B10A10">
        <w:rPr>
          <w:rFonts w:ascii="Arial" w:hAnsi="Arial" w:cs="Arial"/>
          <w:b/>
          <w:lang w:val="en-US"/>
        </w:rPr>
        <w:t>THC measurement</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 xml:space="preserve">Analysis of THC in embryonic brain tissue was performed as follows: samples were homogenized on ice with 700 </w:t>
      </w:r>
      <w:proofErr w:type="spellStart"/>
      <w:r w:rsidRPr="00B10A10">
        <w:rPr>
          <w:rFonts w:ascii="Arial" w:hAnsi="Arial" w:cs="Arial"/>
          <w:lang w:val="en-US"/>
        </w:rPr>
        <w:t>μl</w:t>
      </w:r>
      <w:proofErr w:type="spellEnd"/>
      <w:r w:rsidRPr="00B10A10">
        <w:rPr>
          <w:rFonts w:ascii="Arial" w:hAnsi="Arial" w:cs="Arial"/>
          <w:lang w:val="en-US"/>
        </w:rPr>
        <w:t xml:space="preserve"> of a mixture of 50 </w:t>
      </w:r>
      <w:proofErr w:type="spellStart"/>
      <w:r w:rsidRPr="00B10A10">
        <w:rPr>
          <w:rFonts w:ascii="Arial" w:hAnsi="Arial" w:cs="Arial"/>
          <w:lang w:val="en-US"/>
        </w:rPr>
        <w:t>mM</w:t>
      </w:r>
      <w:proofErr w:type="spellEnd"/>
      <w:r w:rsidRPr="00B10A10">
        <w:rPr>
          <w:rFonts w:ascii="Arial" w:hAnsi="Arial" w:cs="Arial"/>
          <w:lang w:val="en-US"/>
        </w:rPr>
        <w:t xml:space="preserve"> Tris-</w:t>
      </w:r>
      <w:proofErr w:type="spellStart"/>
      <w:r w:rsidRPr="00B10A10">
        <w:rPr>
          <w:rFonts w:ascii="Arial" w:hAnsi="Arial" w:cs="Arial"/>
          <w:lang w:val="en-US"/>
        </w:rPr>
        <w:t>HCl</w:t>
      </w:r>
      <w:proofErr w:type="spellEnd"/>
      <w:r w:rsidRPr="00B10A10">
        <w:rPr>
          <w:rFonts w:ascii="Arial" w:hAnsi="Arial" w:cs="Arial"/>
          <w:lang w:val="en-US"/>
        </w:rPr>
        <w:t xml:space="preserve"> buffer (pH 7.4): methanol (1:1) and the homogenates were transferred to 12 ml glass tubes. </w:t>
      </w:r>
      <w:r w:rsidRPr="000E2B56">
        <w:rPr>
          <w:rFonts w:ascii="Arial" w:hAnsi="Arial" w:cs="Arial"/>
          <w:lang w:val="en-US"/>
        </w:rPr>
        <w:t>The homogenizer was washed twice with 0.9 ml of the same mixture, and the contents were combined into the tube with the homogenate.</w:t>
      </w:r>
      <w:r w:rsidRPr="00B10A10">
        <w:rPr>
          <w:rFonts w:ascii="Arial" w:hAnsi="Arial" w:cs="Arial"/>
          <w:lang w:val="en-US"/>
        </w:rPr>
        <w:t xml:space="preserve"> The homogenization process took less than 5 min per sample</w:t>
      </w:r>
      <w:r>
        <w:rPr>
          <w:rFonts w:ascii="Arial" w:hAnsi="Arial" w:cs="Arial"/>
          <w:lang w:val="en-US"/>
        </w:rPr>
        <w:t>,</w:t>
      </w:r>
      <w:r w:rsidRPr="00B10A10">
        <w:rPr>
          <w:rFonts w:ascii="Arial" w:hAnsi="Arial" w:cs="Arial"/>
          <w:lang w:val="en-US"/>
        </w:rPr>
        <w:t xml:space="preserve"> and homogenates were kept on ice until organic extraction. After the homogenization step, 5 mL of hexane: ethyl acetate was added into each 12 mL glass tube and were placed in a rocking mixer over 20 min. Tubes were centrifuged at 1700 g over 5 min at room temperature and organic phase was then transferred to clean tubes, and evaporated under nitrogen stream. Extracts were subjected to a </w:t>
      </w:r>
      <w:proofErr w:type="spellStart"/>
      <w:r w:rsidRPr="00B10A10">
        <w:rPr>
          <w:rFonts w:ascii="Arial" w:hAnsi="Arial" w:cs="Arial"/>
          <w:lang w:val="en-US"/>
        </w:rPr>
        <w:lastRenderedPageBreak/>
        <w:t>derivatization</w:t>
      </w:r>
      <w:proofErr w:type="spellEnd"/>
      <w:r w:rsidRPr="00B10A10">
        <w:rPr>
          <w:rFonts w:ascii="Arial" w:hAnsi="Arial" w:cs="Arial"/>
          <w:lang w:val="en-US"/>
        </w:rPr>
        <w:t xml:space="preserve"> step using </w:t>
      </w:r>
      <w:proofErr w:type="spellStart"/>
      <w:r w:rsidRPr="00B10A10">
        <w:rPr>
          <w:rFonts w:ascii="Arial" w:hAnsi="Arial" w:cs="Arial"/>
          <w:lang w:val="en-US"/>
        </w:rPr>
        <w:t>dansyl</w:t>
      </w:r>
      <w:proofErr w:type="spellEnd"/>
      <w:r w:rsidRPr="00B10A10">
        <w:rPr>
          <w:rFonts w:ascii="Arial" w:hAnsi="Arial" w:cs="Arial"/>
          <w:lang w:val="en-US"/>
        </w:rPr>
        <w:t xml:space="preserve"> chloride. This reaction is selective for phenol functions present in THC and improves the separation and ionization efficiency. Extracts were reconstituted in 100 µl of a mixture of </w:t>
      </w:r>
      <w:proofErr w:type="spellStart"/>
      <w:r w:rsidRPr="00B10A10">
        <w:rPr>
          <w:rFonts w:ascii="Arial" w:hAnsi="Arial" w:cs="Arial"/>
          <w:lang w:val="en-US"/>
        </w:rPr>
        <w:t>water</w:t>
      </w:r>
      <w:proofErr w:type="gramStart"/>
      <w:r w:rsidRPr="00B10A10">
        <w:rPr>
          <w:rFonts w:ascii="Arial" w:hAnsi="Arial" w:cs="Arial"/>
          <w:lang w:val="en-US"/>
        </w:rPr>
        <w:t>:acetonitrile</w:t>
      </w:r>
      <w:proofErr w:type="spellEnd"/>
      <w:proofErr w:type="gramEnd"/>
      <w:r w:rsidRPr="00B10A10">
        <w:rPr>
          <w:rFonts w:ascii="Arial" w:hAnsi="Arial" w:cs="Arial"/>
          <w:lang w:val="en-US"/>
        </w:rPr>
        <w:t xml:space="preserve"> (10:90, v/v) with 0.1% formic acid (v/v) and transferred to HPLC vials. Twenty microliters were injected into an Agilent 6410 Triple </w:t>
      </w:r>
      <w:proofErr w:type="spellStart"/>
      <w:r w:rsidRPr="00B10A10">
        <w:rPr>
          <w:rFonts w:ascii="Arial" w:hAnsi="Arial" w:cs="Arial"/>
          <w:lang w:val="en-US"/>
        </w:rPr>
        <w:t>Quadrupole</w:t>
      </w:r>
      <w:proofErr w:type="spellEnd"/>
      <w:r w:rsidRPr="00B10A10">
        <w:rPr>
          <w:rFonts w:ascii="Arial" w:hAnsi="Arial" w:cs="Arial"/>
          <w:lang w:val="en-US"/>
        </w:rPr>
        <w:t xml:space="preserve"> Liquid-Chromatograph equipped with a 1200 series binary pump, a column oven and a cooled </w:t>
      </w:r>
      <w:proofErr w:type="spellStart"/>
      <w:r w:rsidRPr="00B10A10">
        <w:rPr>
          <w:rFonts w:ascii="Arial" w:hAnsi="Arial" w:cs="Arial"/>
          <w:lang w:val="en-US"/>
        </w:rPr>
        <w:t>autosampler</w:t>
      </w:r>
      <w:proofErr w:type="spellEnd"/>
      <w:r w:rsidRPr="00B10A10">
        <w:rPr>
          <w:rFonts w:ascii="Arial" w:hAnsi="Arial" w:cs="Arial"/>
          <w:lang w:val="en-US"/>
        </w:rPr>
        <w:t xml:space="preserve"> at 4 ºC (Agilent Technologies). Chromatographic separation was carried out with a Waters C18-CSH column (3.1 x 100 mm, 1.8 </w:t>
      </w:r>
      <w:proofErr w:type="spellStart"/>
      <w:r w:rsidRPr="00B10A10">
        <w:rPr>
          <w:rFonts w:ascii="Arial" w:hAnsi="Arial" w:cs="Arial"/>
          <w:lang w:val="en-US"/>
        </w:rPr>
        <w:t>μm</w:t>
      </w:r>
      <w:proofErr w:type="spellEnd"/>
      <w:r w:rsidRPr="00B10A10">
        <w:rPr>
          <w:rFonts w:ascii="Arial" w:hAnsi="Arial" w:cs="Arial"/>
          <w:lang w:val="en-US"/>
        </w:rPr>
        <w:t xml:space="preserve"> particle size; Waters, Milford, MA, USA) maintained at 40 ºC with a mobile phase flow rate of 0.4 ml/min. The composition of the mobile phase was: A: 0.1% (v/v) formic acid in water; B: 0.1% (v/v) formic acid in acetonitrile. THC was separated by gradient chromatography. The ion source was operated in the positive electrospray mode. The selective reaction monitoring mode was used for the analysis. </w:t>
      </w:r>
    </w:p>
    <w:p w:rsidR="00BE24E8" w:rsidRPr="00B10A10" w:rsidRDefault="00BE24E8" w:rsidP="00BE24E8">
      <w:pPr>
        <w:spacing w:after="0" w:line="480" w:lineRule="auto"/>
        <w:jc w:val="both"/>
        <w:rPr>
          <w:rFonts w:ascii="Arial" w:hAnsi="Arial" w:cs="Arial"/>
          <w:b/>
          <w:lang w:val="en-US"/>
        </w:rPr>
      </w:pPr>
    </w:p>
    <w:p w:rsidR="00BE24E8" w:rsidRPr="00B10A10" w:rsidRDefault="00BE24E8" w:rsidP="00BE24E8">
      <w:pPr>
        <w:spacing w:after="0" w:line="480" w:lineRule="auto"/>
        <w:jc w:val="both"/>
        <w:rPr>
          <w:rFonts w:ascii="Arial" w:hAnsi="Arial" w:cs="Arial"/>
          <w:b/>
          <w:lang w:val="en-US"/>
        </w:rPr>
      </w:pPr>
      <w:r w:rsidRPr="00B10A10">
        <w:rPr>
          <w:rFonts w:ascii="Arial" w:hAnsi="Arial" w:cs="Arial"/>
          <w:b/>
          <w:lang w:val="en-US"/>
        </w:rPr>
        <w:t>WIN</w:t>
      </w:r>
      <w:r>
        <w:rPr>
          <w:rFonts w:ascii="Arial" w:hAnsi="Arial" w:cs="Arial"/>
          <w:b/>
          <w:lang w:val="en-US"/>
        </w:rPr>
        <w:t>-</w:t>
      </w:r>
      <w:r w:rsidRPr="00B10A10">
        <w:rPr>
          <w:rFonts w:ascii="Arial" w:hAnsi="Arial" w:cs="Arial"/>
          <w:b/>
          <w:lang w:val="en-US"/>
        </w:rPr>
        <w:t>55,212-2 stimulated [</w:t>
      </w:r>
      <w:r w:rsidRPr="00B10A10">
        <w:rPr>
          <w:rFonts w:ascii="Arial" w:hAnsi="Arial" w:cs="Arial"/>
          <w:b/>
          <w:vertAlign w:val="superscript"/>
          <w:lang w:val="en-US"/>
        </w:rPr>
        <w:t>35</w:t>
      </w:r>
      <w:r w:rsidRPr="00B10A10">
        <w:rPr>
          <w:rFonts w:ascii="Arial" w:hAnsi="Arial" w:cs="Arial"/>
          <w:b/>
          <w:lang w:val="en-US"/>
        </w:rPr>
        <w:t>S]-</w:t>
      </w:r>
      <w:proofErr w:type="spellStart"/>
      <w:r w:rsidRPr="00B10A10">
        <w:rPr>
          <w:rFonts w:ascii="Arial" w:hAnsi="Arial" w:cs="Arial"/>
          <w:b/>
          <w:lang w:val="en-US"/>
        </w:rPr>
        <w:t>GTPγS</w:t>
      </w:r>
      <w:proofErr w:type="spellEnd"/>
      <w:r w:rsidRPr="00B10A10">
        <w:rPr>
          <w:rFonts w:ascii="Arial" w:hAnsi="Arial" w:cs="Arial"/>
          <w:b/>
          <w:lang w:val="en-US"/>
        </w:rPr>
        <w:t xml:space="preserve"> binding assays</w:t>
      </w:r>
    </w:p>
    <w:p w:rsidR="00BE24E8" w:rsidRPr="00B10A10" w:rsidRDefault="00BE24E8" w:rsidP="00BE24E8">
      <w:pPr>
        <w:spacing w:after="0" w:line="480" w:lineRule="auto"/>
        <w:rPr>
          <w:rFonts w:ascii="Arial" w:hAnsi="Arial" w:cs="Arial"/>
          <w:lang w:val="en-US"/>
        </w:rPr>
      </w:pPr>
      <w:r w:rsidRPr="00B10A10">
        <w:rPr>
          <w:rFonts w:ascii="Arial" w:hAnsi="Arial" w:cs="Arial"/>
          <w:lang w:val="en-US"/>
        </w:rPr>
        <w:t xml:space="preserve">Tissue samples were homogenized using a Teflon-glass grinder in 30 volumes of homogenization buffer (1 </w:t>
      </w:r>
      <w:proofErr w:type="spellStart"/>
      <w:r w:rsidRPr="00B10A10">
        <w:rPr>
          <w:rFonts w:ascii="Arial" w:hAnsi="Arial" w:cs="Arial"/>
          <w:lang w:val="en-US"/>
        </w:rPr>
        <w:t>mM</w:t>
      </w:r>
      <w:proofErr w:type="spellEnd"/>
      <w:r w:rsidRPr="00B10A10">
        <w:rPr>
          <w:rFonts w:ascii="Arial" w:hAnsi="Arial" w:cs="Arial"/>
          <w:lang w:val="en-US"/>
        </w:rPr>
        <w:t xml:space="preserve"> EGTA, 3 </w:t>
      </w:r>
      <w:proofErr w:type="spellStart"/>
      <w:r w:rsidRPr="00B10A10">
        <w:rPr>
          <w:rFonts w:ascii="Arial" w:hAnsi="Arial" w:cs="Arial"/>
          <w:lang w:val="en-US"/>
        </w:rPr>
        <w:t>mM</w:t>
      </w:r>
      <w:proofErr w:type="spellEnd"/>
      <w:r w:rsidRPr="00B10A10">
        <w:rPr>
          <w:rFonts w:ascii="Arial" w:hAnsi="Arial" w:cs="Arial"/>
          <w:lang w:val="en-US"/>
        </w:rPr>
        <w:t xml:space="preserve"> </w:t>
      </w:r>
      <w:proofErr w:type="spellStart"/>
      <w:r w:rsidRPr="00B10A10">
        <w:rPr>
          <w:rFonts w:ascii="Arial" w:hAnsi="Arial" w:cs="Arial"/>
          <w:lang w:val="en-US"/>
        </w:rPr>
        <w:t>MgCl</w:t>
      </w:r>
      <w:proofErr w:type="spellEnd"/>
      <w:r w:rsidRPr="00B10A10">
        <w:rPr>
          <w:rFonts w:ascii="Arial" w:hAnsi="Arial" w:cs="Arial"/>
          <w:lang w:val="en-US"/>
        </w:rPr>
        <w:t xml:space="preserve">, 1 </w:t>
      </w:r>
      <w:proofErr w:type="spellStart"/>
      <w:r w:rsidRPr="00B10A10">
        <w:rPr>
          <w:rFonts w:ascii="Arial" w:hAnsi="Arial" w:cs="Arial"/>
          <w:lang w:val="en-US"/>
        </w:rPr>
        <w:t>mM</w:t>
      </w:r>
      <w:proofErr w:type="spellEnd"/>
      <w:r w:rsidRPr="00B10A10">
        <w:rPr>
          <w:rFonts w:ascii="Arial" w:hAnsi="Arial" w:cs="Arial"/>
          <w:lang w:val="en-US"/>
        </w:rPr>
        <w:t xml:space="preserve"> </w:t>
      </w:r>
      <w:proofErr w:type="spellStart"/>
      <w:r w:rsidRPr="00B10A10">
        <w:rPr>
          <w:rFonts w:ascii="Arial" w:hAnsi="Arial" w:cs="Arial"/>
          <w:lang w:val="en-US"/>
        </w:rPr>
        <w:t>dithiothreitol</w:t>
      </w:r>
      <w:proofErr w:type="spellEnd"/>
      <w:r w:rsidRPr="00B10A10">
        <w:rPr>
          <w:rFonts w:ascii="Arial" w:hAnsi="Arial" w:cs="Arial"/>
          <w:lang w:val="en-US"/>
        </w:rPr>
        <w:t xml:space="preserve"> (DTT), and 50 </w:t>
      </w:r>
      <w:proofErr w:type="spellStart"/>
      <w:r w:rsidRPr="00B10A10">
        <w:rPr>
          <w:rFonts w:ascii="Arial" w:hAnsi="Arial" w:cs="Arial"/>
          <w:lang w:val="en-US"/>
        </w:rPr>
        <w:t>mM</w:t>
      </w:r>
      <w:proofErr w:type="spellEnd"/>
      <w:r w:rsidRPr="00B10A10">
        <w:rPr>
          <w:rFonts w:ascii="Arial" w:hAnsi="Arial" w:cs="Arial"/>
          <w:lang w:val="en-US"/>
        </w:rPr>
        <w:t xml:space="preserve"> Tris-</w:t>
      </w:r>
      <w:proofErr w:type="spellStart"/>
      <w:r w:rsidRPr="00B10A10">
        <w:rPr>
          <w:rFonts w:ascii="Arial" w:hAnsi="Arial" w:cs="Arial"/>
          <w:lang w:val="en-US"/>
        </w:rPr>
        <w:t>HCl</w:t>
      </w:r>
      <w:proofErr w:type="spellEnd"/>
      <w:r w:rsidRPr="00B10A10">
        <w:rPr>
          <w:rFonts w:ascii="Arial" w:hAnsi="Arial" w:cs="Arial"/>
          <w:lang w:val="en-US"/>
        </w:rPr>
        <w:t xml:space="preserve">, pH 7.4) supplemented with 250 </w:t>
      </w:r>
      <w:proofErr w:type="spellStart"/>
      <w:r w:rsidRPr="00B10A10">
        <w:rPr>
          <w:rFonts w:ascii="Arial" w:hAnsi="Arial" w:cs="Arial"/>
          <w:lang w:val="en-US"/>
        </w:rPr>
        <w:t>mM</w:t>
      </w:r>
      <w:proofErr w:type="spellEnd"/>
      <w:r w:rsidRPr="00B10A10">
        <w:rPr>
          <w:rFonts w:ascii="Arial" w:hAnsi="Arial" w:cs="Arial"/>
          <w:lang w:val="en-US"/>
        </w:rPr>
        <w:t xml:space="preserve"> sucrose. The crude homogenate was centrifuged for 5 min at 1000 g (4ºC). The resulting supernatant was centrifuged at the same conditions. Pellet was washed twice in 20 volumes of homogenization buffer and centrifuged in similar conditions. Binding assays were carried out in a final volume of 250 µL in 96 well plates, containing 1 </w:t>
      </w:r>
      <w:proofErr w:type="spellStart"/>
      <w:r w:rsidRPr="00B10A10">
        <w:rPr>
          <w:rFonts w:ascii="Arial" w:hAnsi="Arial" w:cs="Arial"/>
          <w:lang w:val="en-US"/>
        </w:rPr>
        <w:t>mM</w:t>
      </w:r>
      <w:proofErr w:type="spellEnd"/>
      <w:r w:rsidRPr="00B10A10">
        <w:rPr>
          <w:rFonts w:ascii="Arial" w:hAnsi="Arial" w:cs="Arial"/>
          <w:lang w:val="en-US"/>
        </w:rPr>
        <w:t xml:space="preserve"> EGTA, 3 </w:t>
      </w:r>
      <w:proofErr w:type="spellStart"/>
      <w:r w:rsidRPr="00B10A10">
        <w:rPr>
          <w:rFonts w:ascii="Arial" w:hAnsi="Arial" w:cs="Arial"/>
          <w:lang w:val="en-US"/>
        </w:rPr>
        <w:t>mM</w:t>
      </w:r>
      <w:proofErr w:type="spellEnd"/>
      <w:r w:rsidRPr="00B10A10">
        <w:rPr>
          <w:rFonts w:ascii="Arial" w:hAnsi="Arial" w:cs="Arial"/>
          <w:lang w:val="en-US"/>
        </w:rPr>
        <w:t xml:space="preserve"> MgCl</w:t>
      </w:r>
      <w:r w:rsidRPr="00B10A10">
        <w:rPr>
          <w:rFonts w:ascii="Arial" w:hAnsi="Arial" w:cs="Arial"/>
          <w:vertAlign w:val="subscript"/>
          <w:lang w:val="en-US"/>
        </w:rPr>
        <w:t>2</w:t>
      </w:r>
      <w:r w:rsidRPr="00B10A10">
        <w:rPr>
          <w:rFonts w:ascii="Arial" w:hAnsi="Arial" w:cs="Arial"/>
          <w:lang w:val="en-US"/>
        </w:rPr>
        <w:t xml:space="preserve">, 100 </w:t>
      </w:r>
      <w:proofErr w:type="spellStart"/>
      <w:r w:rsidRPr="00B10A10">
        <w:rPr>
          <w:rFonts w:ascii="Arial" w:hAnsi="Arial" w:cs="Arial"/>
          <w:lang w:val="en-US"/>
        </w:rPr>
        <w:t>mM</w:t>
      </w:r>
      <w:proofErr w:type="spellEnd"/>
      <w:r w:rsidRPr="00B10A10">
        <w:rPr>
          <w:rFonts w:ascii="Arial" w:hAnsi="Arial" w:cs="Arial"/>
          <w:lang w:val="en-US"/>
        </w:rPr>
        <w:t xml:space="preserve"> </w:t>
      </w:r>
      <w:proofErr w:type="spellStart"/>
      <w:r w:rsidRPr="00B10A10">
        <w:rPr>
          <w:rFonts w:ascii="Arial" w:hAnsi="Arial" w:cs="Arial"/>
          <w:lang w:val="en-US"/>
        </w:rPr>
        <w:t>NaCl</w:t>
      </w:r>
      <w:proofErr w:type="spellEnd"/>
      <w:r w:rsidRPr="00B10A10">
        <w:rPr>
          <w:rFonts w:ascii="Arial" w:hAnsi="Arial" w:cs="Arial"/>
          <w:lang w:val="en-US"/>
        </w:rPr>
        <w:t xml:space="preserve">, 0.2 </w:t>
      </w:r>
      <w:proofErr w:type="spellStart"/>
      <w:r w:rsidRPr="00B10A10">
        <w:rPr>
          <w:rFonts w:ascii="Arial" w:hAnsi="Arial" w:cs="Arial"/>
          <w:lang w:val="en-US"/>
        </w:rPr>
        <w:t>mM</w:t>
      </w:r>
      <w:proofErr w:type="spellEnd"/>
      <w:r w:rsidRPr="00B10A10">
        <w:rPr>
          <w:rFonts w:ascii="Arial" w:hAnsi="Arial" w:cs="Arial"/>
          <w:lang w:val="en-US"/>
        </w:rPr>
        <w:t xml:space="preserve"> DTT, 50 </w:t>
      </w:r>
      <w:proofErr w:type="spellStart"/>
      <w:r w:rsidRPr="00B10A10">
        <w:rPr>
          <w:rFonts w:ascii="Arial" w:hAnsi="Arial" w:cs="Arial"/>
          <w:lang w:val="en-US"/>
        </w:rPr>
        <w:t>μM</w:t>
      </w:r>
      <w:proofErr w:type="spellEnd"/>
      <w:r w:rsidRPr="00B10A10">
        <w:rPr>
          <w:rFonts w:ascii="Arial" w:hAnsi="Arial" w:cs="Arial"/>
          <w:lang w:val="en-US"/>
        </w:rPr>
        <w:t xml:space="preserve"> </w:t>
      </w:r>
      <w:proofErr w:type="spellStart"/>
      <w:r w:rsidRPr="00B10A10">
        <w:rPr>
          <w:rFonts w:ascii="Arial" w:hAnsi="Arial" w:cs="Arial"/>
          <w:lang w:val="en-US"/>
        </w:rPr>
        <w:t>guanosine</w:t>
      </w:r>
      <w:proofErr w:type="spellEnd"/>
      <w:r w:rsidRPr="00B10A10">
        <w:rPr>
          <w:rFonts w:ascii="Arial" w:hAnsi="Arial" w:cs="Arial"/>
          <w:lang w:val="en-US"/>
        </w:rPr>
        <w:t xml:space="preserve"> 5′-diphosphate sodium salt (GDP), 50 </w:t>
      </w:r>
      <w:proofErr w:type="spellStart"/>
      <w:r w:rsidRPr="00B10A10">
        <w:rPr>
          <w:rFonts w:ascii="Arial" w:hAnsi="Arial" w:cs="Arial"/>
          <w:lang w:val="en-US"/>
        </w:rPr>
        <w:t>mM</w:t>
      </w:r>
      <w:proofErr w:type="spellEnd"/>
      <w:r w:rsidRPr="00B10A10">
        <w:rPr>
          <w:rFonts w:ascii="Arial" w:hAnsi="Arial" w:cs="Arial"/>
          <w:lang w:val="en-US"/>
        </w:rPr>
        <w:t xml:space="preserve"> Tris-</w:t>
      </w:r>
      <w:proofErr w:type="spellStart"/>
      <w:r w:rsidRPr="00B10A10">
        <w:rPr>
          <w:rFonts w:ascii="Arial" w:hAnsi="Arial" w:cs="Arial"/>
          <w:lang w:val="en-US"/>
        </w:rPr>
        <w:t>HCl</w:t>
      </w:r>
      <w:proofErr w:type="spellEnd"/>
      <w:r w:rsidRPr="00B10A10">
        <w:rPr>
          <w:rFonts w:ascii="Arial" w:hAnsi="Arial" w:cs="Arial"/>
          <w:lang w:val="en-US"/>
        </w:rPr>
        <w:t xml:space="preserve"> at pH 7.4 and 0.5 </w:t>
      </w:r>
      <w:proofErr w:type="spellStart"/>
      <w:r w:rsidRPr="00B10A10">
        <w:rPr>
          <w:rFonts w:ascii="Arial" w:hAnsi="Arial" w:cs="Arial"/>
          <w:lang w:val="en-US"/>
        </w:rPr>
        <w:t>nM</w:t>
      </w:r>
      <w:proofErr w:type="spellEnd"/>
      <w:r w:rsidRPr="00B10A10">
        <w:rPr>
          <w:rFonts w:ascii="Arial" w:hAnsi="Arial" w:cs="Arial"/>
          <w:lang w:val="en-US"/>
        </w:rPr>
        <w:t xml:space="preserve"> [35S]</w:t>
      </w:r>
      <w:proofErr w:type="spellStart"/>
      <w:r w:rsidRPr="00B10A10">
        <w:rPr>
          <w:rFonts w:ascii="Arial" w:hAnsi="Arial" w:cs="Arial"/>
          <w:lang w:val="en-US"/>
        </w:rPr>
        <w:t>GTPγS</w:t>
      </w:r>
      <w:proofErr w:type="spellEnd"/>
      <w:r w:rsidRPr="00B10A10">
        <w:rPr>
          <w:rFonts w:ascii="Arial" w:hAnsi="Arial" w:cs="Arial"/>
          <w:lang w:val="en-US"/>
        </w:rPr>
        <w:t xml:space="preserve"> (Perkin Elmer Life Sciences, Waltham, MA, USA). Stimulation curves were carried out by incubating increasing concentrations of the CB</w:t>
      </w:r>
      <w:r w:rsidRPr="00B10A10">
        <w:rPr>
          <w:rFonts w:ascii="Arial" w:hAnsi="Arial" w:cs="Arial"/>
          <w:vertAlign w:val="subscript"/>
          <w:lang w:val="en-US"/>
        </w:rPr>
        <w:t>1</w:t>
      </w:r>
      <w:r w:rsidRPr="00B10A10">
        <w:rPr>
          <w:rFonts w:ascii="Arial" w:hAnsi="Arial" w:cs="Arial"/>
          <w:lang w:val="en-US"/>
        </w:rPr>
        <w:t xml:space="preserve"> receptor agonist WIN 55,212-2 (10</w:t>
      </w:r>
      <w:r w:rsidRPr="00B10A10">
        <w:rPr>
          <w:rFonts w:ascii="Arial" w:hAnsi="Arial" w:cs="Arial"/>
          <w:vertAlign w:val="superscript"/>
          <w:lang w:val="en-US"/>
        </w:rPr>
        <w:t>-12</w:t>
      </w:r>
      <w:r w:rsidRPr="00B10A10">
        <w:rPr>
          <w:rFonts w:ascii="Arial" w:hAnsi="Arial" w:cs="Arial"/>
          <w:lang w:val="en-US"/>
        </w:rPr>
        <w:t>-10</w:t>
      </w:r>
      <w:r w:rsidRPr="00B10A10">
        <w:rPr>
          <w:rFonts w:ascii="Arial" w:hAnsi="Arial" w:cs="Arial"/>
          <w:vertAlign w:val="superscript"/>
          <w:lang w:val="en-US"/>
        </w:rPr>
        <w:t>-4</w:t>
      </w:r>
      <w:r w:rsidRPr="00B10A10">
        <w:rPr>
          <w:rFonts w:ascii="Arial" w:hAnsi="Arial" w:cs="Arial"/>
          <w:lang w:val="en-US"/>
        </w:rPr>
        <w:t xml:space="preserve"> M). The incubation started by addition of the membrane suspension (30 µg of membrane proteins per well) and was performed at 30ºC for 2 h with shaking (600 rpm). Incubations were terminated by rapid filtration under vacuum (Perkin Elmer Life Sciences) through GF/C glass </w:t>
      </w:r>
      <w:proofErr w:type="spellStart"/>
      <w:r w:rsidRPr="00B10A10">
        <w:rPr>
          <w:rFonts w:ascii="Arial" w:hAnsi="Arial" w:cs="Arial"/>
          <w:lang w:val="en-US"/>
        </w:rPr>
        <w:t>fibre</w:t>
      </w:r>
      <w:proofErr w:type="spellEnd"/>
      <w:r w:rsidRPr="00B10A10">
        <w:rPr>
          <w:rFonts w:ascii="Arial" w:hAnsi="Arial" w:cs="Arial"/>
          <w:lang w:val="en-US"/>
        </w:rPr>
        <w:t xml:space="preserve"> filters (Perkin </w:t>
      </w:r>
      <w:r w:rsidRPr="00B10A10">
        <w:rPr>
          <w:rFonts w:ascii="Arial" w:hAnsi="Arial" w:cs="Arial"/>
          <w:lang w:val="en-US"/>
        </w:rPr>
        <w:lastRenderedPageBreak/>
        <w:t xml:space="preserve">Elmer Life Sciences) pre-soaked in ice-cold incubation buffer. The filters were then rinsed, air dried, and counted for radioactivity (5 min) by liquid scintillation spectrometry using a </w:t>
      </w:r>
      <w:proofErr w:type="spellStart"/>
      <w:r w:rsidRPr="00B10A10">
        <w:rPr>
          <w:rFonts w:ascii="Arial" w:hAnsi="Arial" w:cs="Arial"/>
          <w:lang w:val="en-US"/>
        </w:rPr>
        <w:t>MicroBeta</w:t>
      </w:r>
      <w:proofErr w:type="spellEnd"/>
      <w:r w:rsidRPr="00B10A10">
        <w:rPr>
          <w:rFonts w:ascii="Arial" w:hAnsi="Arial" w:cs="Arial"/>
          <w:lang w:val="en-US"/>
        </w:rPr>
        <w:t xml:space="preserve"> </w:t>
      </w:r>
      <w:proofErr w:type="spellStart"/>
      <w:r w:rsidRPr="00B10A10">
        <w:rPr>
          <w:rFonts w:ascii="Arial" w:hAnsi="Arial" w:cs="Arial"/>
          <w:lang w:val="en-US"/>
        </w:rPr>
        <w:t>TriLux</w:t>
      </w:r>
      <w:proofErr w:type="spellEnd"/>
      <w:r w:rsidRPr="00B10A10">
        <w:rPr>
          <w:rFonts w:ascii="Arial" w:hAnsi="Arial" w:cs="Arial"/>
          <w:lang w:val="en-US"/>
        </w:rPr>
        <w:t xml:space="preserve"> counter (Perkin Elmer Life Sciences). Non-specific binding was defined as the remaining [</w:t>
      </w:r>
      <w:r w:rsidRPr="00B10A10">
        <w:rPr>
          <w:rFonts w:ascii="Arial" w:hAnsi="Arial" w:cs="Arial"/>
          <w:vertAlign w:val="superscript"/>
          <w:lang w:val="en-US"/>
        </w:rPr>
        <w:t>35</w:t>
      </w:r>
      <w:r w:rsidRPr="00B10A10">
        <w:rPr>
          <w:rFonts w:ascii="Arial" w:hAnsi="Arial" w:cs="Arial"/>
          <w:lang w:val="en-US"/>
        </w:rPr>
        <w:t>S</w:t>
      </w:r>
      <w:proofErr w:type="gramStart"/>
      <w:r w:rsidRPr="00B10A10">
        <w:rPr>
          <w:rFonts w:ascii="Arial" w:hAnsi="Arial" w:cs="Arial"/>
          <w:lang w:val="en-US"/>
        </w:rPr>
        <w:t>]</w:t>
      </w:r>
      <w:proofErr w:type="spellStart"/>
      <w:r w:rsidRPr="00B10A10">
        <w:rPr>
          <w:rFonts w:ascii="Arial" w:hAnsi="Arial" w:cs="Arial"/>
          <w:lang w:val="en-US"/>
        </w:rPr>
        <w:t>GTPγS</w:t>
      </w:r>
      <w:proofErr w:type="spellEnd"/>
      <w:proofErr w:type="gramEnd"/>
      <w:r w:rsidRPr="00B10A10">
        <w:rPr>
          <w:rFonts w:ascii="Arial" w:hAnsi="Arial" w:cs="Arial"/>
          <w:lang w:val="en-US"/>
        </w:rPr>
        <w:t xml:space="preserve"> binding in the presence of 10 µM </w:t>
      </w:r>
      <w:proofErr w:type="spellStart"/>
      <w:r w:rsidRPr="00B10A10">
        <w:rPr>
          <w:rFonts w:ascii="Arial" w:hAnsi="Arial" w:cs="Arial"/>
          <w:lang w:val="en-US"/>
        </w:rPr>
        <w:t>unlabelled</w:t>
      </w:r>
      <w:proofErr w:type="spellEnd"/>
      <w:r w:rsidRPr="00B10A10">
        <w:rPr>
          <w:rFonts w:ascii="Arial" w:hAnsi="Arial" w:cs="Arial"/>
          <w:lang w:val="en-US"/>
        </w:rPr>
        <w:t xml:space="preserve"> </w:t>
      </w:r>
      <w:proofErr w:type="spellStart"/>
      <w:r w:rsidRPr="00B10A10">
        <w:rPr>
          <w:rFonts w:ascii="Arial" w:hAnsi="Arial" w:cs="Arial"/>
          <w:lang w:val="en-US"/>
        </w:rPr>
        <w:t>GTPγS</w:t>
      </w:r>
      <w:proofErr w:type="spellEnd"/>
      <w:r w:rsidRPr="00B10A10">
        <w:rPr>
          <w:rFonts w:ascii="Arial" w:hAnsi="Arial" w:cs="Arial"/>
          <w:lang w:val="en-US"/>
        </w:rPr>
        <w:t>, and the basal binding as the signal in the absence of WIN55,212-2.</w:t>
      </w:r>
    </w:p>
    <w:p w:rsidR="00BE24E8" w:rsidRPr="00B10A10" w:rsidRDefault="00BE24E8" w:rsidP="00BE24E8">
      <w:pPr>
        <w:spacing w:after="0" w:line="480" w:lineRule="auto"/>
        <w:rPr>
          <w:rFonts w:ascii="Arial" w:hAnsi="Arial" w:cs="Arial"/>
          <w:lang w:val="en-US"/>
        </w:rPr>
      </w:pPr>
    </w:p>
    <w:p w:rsidR="00BE24E8" w:rsidRPr="00B10A10" w:rsidRDefault="00BE24E8" w:rsidP="00BE24E8">
      <w:pPr>
        <w:spacing w:after="0" w:line="480" w:lineRule="auto"/>
        <w:rPr>
          <w:rFonts w:ascii="Arial" w:hAnsi="Arial" w:cs="Arial"/>
          <w:b/>
          <w:lang w:val="en-US"/>
        </w:rPr>
      </w:pPr>
      <w:r w:rsidRPr="00B10A10">
        <w:rPr>
          <w:rFonts w:ascii="Arial" w:hAnsi="Arial" w:cs="Arial"/>
          <w:b/>
          <w:lang w:val="en-US"/>
        </w:rPr>
        <w:t>Data and statistical analyses</w:t>
      </w:r>
    </w:p>
    <w:p w:rsidR="00BE24E8" w:rsidRPr="005275D9" w:rsidRDefault="00BE24E8" w:rsidP="00BE24E8">
      <w:pPr>
        <w:spacing w:after="0" w:line="480" w:lineRule="auto"/>
        <w:rPr>
          <w:rFonts w:ascii="Arial" w:hAnsi="Arial" w:cs="Arial"/>
          <w:lang w:val="en-US"/>
        </w:rPr>
      </w:pPr>
      <w:r w:rsidRPr="00B10A10">
        <w:rPr>
          <w:rFonts w:ascii="Arial" w:hAnsi="Arial" w:cs="Arial"/>
          <w:lang w:val="en-US"/>
        </w:rPr>
        <w:t xml:space="preserve">Results shown represent the means ± S.E.M., and the number of experiments is indicated in every case. Statistical analysis was performed with </w:t>
      </w:r>
      <w:proofErr w:type="spellStart"/>
      <w:r w:rsidRPr="00B10A10">
        <w:rPr>
          <w:rFonts w:ascii="Arial" w:hAnsi="Arial" w:cs="Arial"/>
          <w:lang w:val="en-US"/>
        </w:rPr>
        <w:t>GraphPad</w:t>
      </w:r>
      <w:proofErr w:type="spellEnd"/>
      <w:r w:rsidRPr="00B10A10">
        <w:rPr>
          <w:rFonts w:ascii="Arial" w:hAnsi="Arial" w:cs="Arial"/>
          <w:lang w:val="en-US"/>
        </w:rPr>
        <w:t xml:space="preserve"> Prism 6.07 (</w:t>
      </w:r>
      <w:proofErr w:type="spellStart"/>
      <w:r w:rsidRPr="00B10A10">
        <w:rPr>
          <w:rFonts w:ascii="Arial" w:hAnsi="Arial" w:cs="Arial"/>
          <w:lang w:val="en-US"/>
        </w:rPr>
        <w:t>GraphPad</w:t>
      </w:r>
      <w:proofErr w:type="spellEnd"/>
      <w:r w:rsidRPr="00B10A10">
        <w:rPr>
          <w:rFonts w:ascii="Arial" w:hAnsi="Arial" w:cs="Arial"/>
          <w:lang w:val="en-US"/>
        </w:rPr>
        <w:t xml:space="preserve"> Software, La Jolla, CA, USA)</w:t>
      </w:r>
      <w:r>
        <w:rPr>
          <w:rFonts w:ascii="Arial" w:hAnsi="Arial" w:cs="Arial"/>
          <w:lang w:val="en-US"/>
        </w:rPr>
        <w:t xml:space="preserve">. </w:t>
      </w:r>
      <w:r w:rsidRPr="00D665B7">
        <w:rPr>
          <w:rFonts w:ascii="Arial" w:hAnsi="Arial" w:cs="Arial"/>
          <w:lang w:val="en-US"/>
        </w:rPr>
        <w:t>All variables were first tested for</w:t>
      </w:r>
      <w:r>
        <w:rPr>
          <w:rFonts w:ascii="Arial" w:hAnsi="Arial" w:cs="Arial"/>
          <w:lang w:val="en-US"/>
        </w:rPr>
        <w:t xml:space="preserve"> </w:t>
      </w:r>
      <w:r w:rsidRPr="00D665B7">
        <w:rPr>
          <w:rFonts w:ascii="Arial" w:hAnsi="Arial" w:cs="Arial"/>
          <w:lang w:val="en-US"/>
        </w:rPr>
        <w:t>normality (Kolmogorov–Smirnov) and homoscedasticity (</w:t>
      </w:r>
      <w:proofErr w:type="spellStart"/>
      <w:r w:rsidRPr="00D665B7">
        <w:rPr>
          <w:rFonts w:ascii="Arial" w:hAnsi="Arial" w:cs="Arial"/>
          <w:lang w:val="en-US"/>
        </w:rPr>
        <w:t>Levene’s</w:t>
      </w:r>
      <w:proofErr w:type="spellEnd"/>
      <w:r w:rsidRPr="00D665B7">
        <w:rPr>
          <w:rFonts w:ascii="Arial" w:hAnsi="Arial" w:cs="Arial"/>
          <w:lang w:val="en-US"/>
        </w:rPr>
        <w:t>).</w:t>
      </w:r>
      <w:r>
        <w:rPr>
          <w:rFonts w:ascii="Arial" w:hAnsi="Arial" w:cs="Arial"/>
          <w:lang w:val="en-US"/>
        </w:rPr>
        <w:t xml:space="preserve"> </w:t>
      </w:r>
      <w:r w:rsidRPr="00D665B7">
        <w:rPr>
          <w:rFonts w:ascii="Arial" w:hAnsi="Arial" w:cs="Arial"/>
          <w:lang w:val="en-US"/>
        </w:rPr>
        <w:t xml:space="preserve">When variables satisfied these conditions, </w:t>
      </w:r>
      <w:r>
        <w:rPr>
          <w:rFonts w:ascii="Arial" w:hAnsi="Arial" w:cs="Arial"/>
          <w:lang w:val="en-US"/>
        </w:rPr>
        <w:t>two</w:t>
      </w:r>
      <w:r w:rsidRPr="00D665B7">
        <w:rPr>
          <w:rFonts w:ascii="Arial" w:hAnsi="Arial" w:cs="Arial"/>
          <w:lang w:val="en-US"/>
        </w:rPr>
        <w:t>-way ANOVA and</w:t>
      </w:r>
      <w:r>
        <w:rPr>
          <w:rFonts w:ascii="Arial" w:hAnsi="Arial" w:cs="Arial"/>
          <w:lang w:val="en-US"/>
        </w:rPr>
        <w:t xml:space="preserve"> </w:t>
      </w:r>
      <w:r w:rsidRPr="00D665B7">
        <w:rPr>
          <w:rFonts w:ascii="Arial" w:hAnsi="Arial" w:cs="Arial"/>
          <w:lang w:val="en-US"/>
        </w:rPr>
        <w:t xml:space="preserve">LSD Fisher </w:t>
      </w:r>
      <w:r w:rsidRPr="00861625">
        <w:rPr>
          <w:rFonts w:ascii="Arial" w:hAnsi="Arial" w:cs="Arial"/>
          <w:i/>
          <w:iCs/>
          <w:lang w:val="en-US"/>
        </w:rPr>
        <w:t>post hoc</w:t>
      </w:r>
      <w:r w:rsidRPr="00D665B7">
        <w:rPr>
          <w:rFonts w:ascii="Arial" w:hAnsi="Arial" w:cs="Arial"/>
          <w:lang w:val="en-US"/>
        </w:rPr>
        <w:t xml:space="preserve"> test were used to assess differences between</w:t>
      </w:r>
      <w:r>
        <w:rPr>
          <w:rFonts w:ascii="Arial" w:hAnsi="Arial" w:cs="Arial"/>
          <w:lang w:val="en-US"/>
        </w:rPr>
        <w:t xml:space="preserve"> </w:t>
      </w:r>
      <w:r w:rsidRPr="00D665B7">
        <w:rPr>
          <w:rFonts w:ascii="Arial" w:hAnsi="Arial" w:cs="Arial"/>
          <w:lang w:val="en-US"/>
        </w:rPr>
        <w:t>groups</w:t>
      </w:r>
      <w:r w:rsidRPr="00B10A10">
        <w:rPr>
          <w:rFonts w:ascii="Arial" w:hAnsi="Arial" w:cs="Arial"/>
          <w:lang w:val="en-US"/>
        </w:rPr>
        <w:t xml:space="preserve">. P values of &lt;0.05 were regarded as statistically </w:t>
      </w:r>
      <w:r w:rsidRPr="005275D9">
        <w:rPr>
          <w:rFonts w:ascii="Arial" w:hAnsi="Arial" w:cs="Arial"/>
          <w:lang w:val="en-US"/>
        </w:rPr>
        <w:t>significant.</w:t>
      </w:r>
      <w:bookmarkStart w:id="0" w:name="_GoBack"/>
      <w:bookmarkEnd w:id="0"/>
    </w:p>
    <w:p w:rsidR="005275D9" w:rsidRPr="005275D9" w:rsidRDefault="005275D9" w:rsidP="005275D9">
      <w:pPr>
        <w:widowControl w:val="0"/>
        <w:autoSpaceDE w:val="0"/>
        <w:autoSpaceDN w:val="0"/>
        <w:adjustRightInd w:val="0"/>
        <w:spacing w:line="240" w:lineRule="auto"/>
        <w:ind w:left="640" w:hanging="640"/>
        <w:rPr>
          <w:rFonts w:ascii="Arial" w:hAnsi="Arial" w:cs="Arial"/>
          <w:noProof/>
        </w:rPr>
      </w:pPr>
      <w:r w:rsidRPr="005275D9">
        <w:rPr>
          <w:rFonts w:ascii="Arial" w:hAnsi="Arial" w:cs="Arial"/>
        </w:rPr>
        <w:fldChar w:fldCharType="begin" w:fldLock="1"/>
      </w:r>
      <w:r w:rsidRPr="005275D9">
        <w:rPr>
          <w:rFonts w:ascii="Arial" w:hAnsi="Arial" w:cs="Arial"/>
        </w:rPr>
        <w:instrText xml:space="preserve">ADDIN Mendeley Bibliography CSL_BIBLIOGRAPHY </w:instrText>
      </w:r>
      <w:r w:rsidRPr="005275D9">
        <w:rPr>
          <w:rFonts w:ascii="Arial" w:hAnsi="Arial" w:cs="Arial"/>
        </w:rPr>
        <w:fldChar w:fldCharType="separate"/>
      </w:r>
      <w:r w:rsidRPr="005275D9">
        <w:rPr>
          <w:rFonts w:ascii="Arial" w:hAnsi="Arial" w:cs="Arial"/>
          <w:noProof/>
          <w:szCs w:val="24"/>
        </w:rPr>
        <w:t xml:space="preserve">1. </w:t>
      </w:r>
      <w:r w:rsidRPr="005275D9">
        <w:rPr>
          <w:rFonts w:ascii="Arial" w:hAnsi="Arial" w:cs="Arial"/>
          <w:noProof/>
          <w:szCs w:val="24"/>
        </w:rPr>
        <w:tab/>
        <w:t>Monory K, Blaudzun H, Massa F, et al (2007) Genetic dissection of behavioural and autonomic effects of Delta(9)-tetrahydrocannabinol in mice. PLoS Biol 5:e269. https://doi.org/10.1371/journal.pbio.0050269</w:t>
      </w:r>
    </w:p>
    <w:p w:rsidR="00344EB5" w:rsidRDefault="005275D9">
      <w:r w:rsidRPr="005275D9">
        <w:rPr>
          <w:rFonts w:ascii="Arial" w:hAnsi="Arial" w:cs="Arial"/>
        </w:rPr>
        <w:fldChar w:fldCharType="end"/>
      </w:r>
    </w:p>
    <w:sectPr w:rsidR="00344E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E8"/>
    <w:rsid w:val="00344EB5"/>
    <w:rsid w:val="005275D9"/>
    <w:rsid w:val="0082752D"/>
    <w:rsid w:val="00BE24E8"/>
    <w:rsid w:val="00C73F4F"/>
    <w:rsid w:val="00FA5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CBB32-8F89-4AD3-8363-A2D344E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4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C8070-063F-4AB8-B785-1D3BF507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2550</Words>
  <Characters>14027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L1</Company>
  <LinksUpToDate>false</LinksUpToDate>
  <CharactersWithSpaces>16544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dc:creator>
  <cp:keywords/>
  <dc:description/>
  <cp:lastModifiedBy>ISMAEL GALVE-ROPERH</cp:lastModifiedBy>
  <cp:revision>4</cp:revision>
  <dcterms:created xsi:type="dcterms:W3CDTF">2019-08-05T17:33:00Z</dcterms:created>
  <dcterms:modified xsi:type="dcterms:W3CDTF">2019-08-06T23:21:00Z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http://www.zotero.org/styles/cellular-and-molecular-life-sciences</vt:lpwstr>
  </property>
  <property fmtid="{D5CDD505-2E9C-101B-9397-08002B2CF9AE}" pid="4" name="Mendeley Unique User Id_1">
    <vt:lpwstr>2c9c0802-9d43-3beb-a748-f2415bb1f5ee</vt:lpwstr>
  </property>
</Properties>
</file>