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BF8B" w14:textId="4242AD10" w:rsidR="0095317D" w:rsidRDefault="0095317D" w:rsidP="0095317D">
      <w:pPr>
        <w:spacing w:line="360" w:lineRule="auto"/>
        <w:jc w:val="right"/>
        <w:rPr>
          <w:rFonts w:ascii="Arial" w:hAnsi="Arial" w:cs="Arial"/>
          <w:b/>
          <w:sz w:val="24"/>
          <w:szCs w:val="24"/>
        </w:rPr>
      </w:pPr>
      <w:r>
        <w:rPr>
          <w:rFonts w:ascii="Arial" w:hAnsi="Arial" w:cs="Arial"/>
          <w:b/>
          <w:sz w:val="24"/>
          <w:szCs w:val="24"/>
        </w:rPr>
        <w:t>Molecular Psychiatry</w:t>
      </w:r>
    </w:p>
    <w:p w14:paraId="7F4BDFC9" w14:textId="77777777" w:rsidR="0095317D" w:rsidRDefault="0095317D" w:rsidP="0095317D">
      <w:pPr>
        <w:spacing w:line="360" w:lineRule="auto"/>
        <w:jc w:val="center"/>
        <w:rPr>
          <w:rFonts w:ascii="Arial" w:hAnsi="Arial" w:cs="Arial"/>
          <w:b/>
          <w:sz w:val="24"/>
          <w:szCs w:val="24"/>
        </w:rPr>
      </w:pPr>
    </w:p>
    <w:p w14:paraId="366F4363" w14:textId="77777777" w:rsidR="0095317D" w:rsidRDefault="0095317D" w:rsidP="0095317D">
      <w:pPr>
        <w:spacing w:line="360" w:lineRule="auto"/>
        <w:jc w:val="center"/>
        <w:rPr>
          <w:rFonts w:ascii="Arial" w:hAnsi="Arial" w:cs="Arial"/>
          <w:b/>
          <w:sz w:val="24"/>
          <w:szCs w:val="24"/>
        </w:rPr>
      </w:pPr>
    </w:p>
    <w:p w14:paraId="3B54A491" w14:textId="1CD51ABB" w:rsidR="0095317D" w:rsidRPr="00994E27" w:rsidRDefault="0095317D" w:rsidP="0095317D">
      <w:pPr>
        <w:spacing w:line="360" w:lineRule="auto"/>
        <w:jc w:val="center"/>
        <w:rPr>
          <w:rFonts w:ascii="Arial" w:hAnsi="Arial" w:cs="Arial"/>
          <w:b/>
          <w:sz w:val="24"/>
          <w:szCs w:val="24"/>
        </w:rPr>
      </w:pPr>
      <w:r w:rsidRPr="00994E27">
        <w:rPr>
          <w:rFonts w:ascii="Arial" w:hAnsi="Arial" w:cs="Arial"/>
          <w:b/>
          <w:sz w:val="24"/>
          <w:szCs w:val="24"/>
        </w:rPr>
        <w:t xml:space="preserve">Supplementary </w:t>
      </w:r>
      <w:r>
        <w:rPr>
          <w:rFonts w:ascii="Arial" w:hAnsi="Arial" w:cs="Arial"/>
          <w:b/>
          <w:sz w:val="24"/>
          <w:szCs w:val="24"/>
        </w:rPr>
        <w:t>Information</w:t>
      </w:r>
    </w:p>
    <w:p w14:paraId="393A0FB7" w14:textId="77777777" w:rsidR="0095317D" w:rsidRDefault="0095317D" w:rsidP="0095317D">
      <w:pPr>
        <w:spacing w:line="360" w:lineRule="auto"/>
        <w:jc w:val="center"/>
        <w:rPr>
          <w:rFonts w:ascii="Arial" w:hAnsi="Arial" w:cs="Arial"/>
          <w:b/>
          <w:sz w:val="24"/>
          <w:szCs w:val="24"/>
        </w:rPr>
      </w:pPr>
    </w:p>
    <w:p w14:paraId="0379AC70" w14:textId="77777777" w:rsidR="0095317D" w:rsidRPr="0053645D" w:rsidRDefault="0095317D" w:rsidP="0095317D">
      <w:pPr>
        <w:spacing w:line="360" w:lineRule="auto"/>
        <w:jc w:val="center"/>
        <w:rPr>
          <w:rFonts w:ascii="Arial" w:hAnsi="Arial" w:cs="Arial"/>
          <w:b/>
          <w:sz w:val="24"/>
          <w:szCs w:val="24"/>
        </w:rPr>
      </w:pPr>
    </w:p>
    <w:p w14:paraId="6DD8E6B4" w14:textId="77777777" w:rsidR="0095317D" w:rsidRPr="0053645D" w:rsidRDefault="0095317D" w:rsidP="0095317D">
      <w:pPr>
        <w:spacing w:line="360" w:lineRule="auto"/>
        <w:jc w:val="center"/>
        <w:rPr>
          <w:rFonts w:ascii="Arial" w:hAnsi="Arial" w:cs="Arial"/>
          <w:b/>
          <w:sz w:val="24"/>
          <w:szCs w:val="24"/>
        </w:rPr>
      </w:pPr>
      <w:r w:rsidRPr="0053645D">
        <w:rPr>
          <w:rFonts w:ascii="Arial" w:hAnsi="Arial" w:cs="Arial"/>
          <w:b/>
          <w:sz w:val="24"/>
          <w:szCs w:val="24"/>
        </w:rPr>
        <w:t xml:space="preserve">PPARα and </w:t>
      </w:r>
      <w:proofErr w:type="spellStart"/>
      <w:r w:rsidRPr="0053645D">
        <w:rPr>
          <w:rFonts w:ascii="Arial" w:hAnsi="Arial" w:cs="Arial"/>
          <w:b/>
          <w:sz w:val="24"/>
          <w:szCs w:val="24"/>
        </w:rPr>
        <w:t>PPARγ</w:t>
      </w:r>
      <w:proofErr w:type="spellEnd"/>
      <w:r w:rsidRPr="0053645D">
        <w:rPr>
          <w:rFonts w:ascii="Arial" w:hAnsi="Arial" w:cs="Arial" w:hint="eastAsia"/>
          <w:b/>
          <w:sz w:val="24"/>
          <w:szCs w:val="24"/>
        </w:rPr>
        <w:t xml:space="preserve"> </w:t>
      </w:r>
      <w:r w:rsidRPr="0053645D">
        <w:rPr>
          <w:rFonts w:ascii="Arial" w:hAnsi="Arial" w:cs="Arial"/>
          <w:b/>
          <w:sz w:val="24"/>
          <w:szCs w:val="24"/>
        </w:rPr>
        <w:t>are expressed in midbrain dopamine neurons and modulate dopamine- and cannabinoid-</w:t>
      </w:r>
      <w:r>
        <w:rPr>
          <w:rFonts w:ascii="Arial" w:hAnsi="Arial" w:cs="Arial"/>
          <w:b/>
          <w:sz w:val="24"/>
          <w:szCs w:val="24"/>
        </w:rPr>
        <w:t>mediated</w:t>
      </w:r>
      <w:r w:rsidRPr="0053645D">
        <w:rPr>
          <w:rFonts w:ascii="Arial" w:hAnsi="Arial" w:cs="Arial"/>
          <w:b/>
          <w:sz w:val="24"/>
          <w:szCs w:val="24"/>
        </w:rPr>
        <w:t xml:space="preserve"> behavior in mice</w:t>
      </w:r>
    </w:p>
    <w:p w14:paraId="35177310" w14:textId="77777777" w:rsidR="0095317D" w:rsidRPr="0053645D" w:rsidRDefault="0095317D" w:rsidP="0095317D">
      <w:pPr>
        <w:spacing w:line="360" w:lineRule="auto"/>
        <w:rPr>
          <w:rFonts w:ascii="Arial" w:hAnsi="Arial" w:cs="Arial"/>
          <w:sz w:val="24"/>
          <w:szCs w:val="24"/>
        </w:rPr>
      </w:pPr>
    </w:p>
    <w:p w14:paraId="5FA60766" w14:textId="77777777" w:rsidR="0095317D" w:rsidRPr="0053645D" w:rsidRDefault="0095317D" w:rsidP="0095317D">
      <w:pPr>
        <w:spacing w:line="360" w:lineRule="auto"/>
        <w:jc w:val="center"/>
        <w:rPr>
          <w:rFonts w:ascii="Arial" w:hAnsi="Arial" w:cs="Arial"/>
          <w:sz w:val="24"/>
          <w:szCs w:val="24"/>
        </w:rPr>
      </w:pPr>
      <w:r w:rsidRPr="0053645D">
        <w:rPr>
          <w:rFonts w:ascii="Arial" w:hAnsi="Arial" w:cs="Arial"/>
          <w:sz w:val="24"/>
          <w:szCs w:val="24"/>
        </w:rPr>
        <w:t>Briana Hempel</w:t>
      </w:r>
      <w:r w:rsidRPr="0053645D">
        <w:rPr>
          <w:rFonts w:ascii="Arial" w:hAnsi="Arial" w:cs="Arial"/>
          <w:sz w:val="24"/>
          <w:szCs w:val="24"/>
          <w:vertAlign w:val="superscript"/>
        </w:rPr>
        <w:t>1</w:t>
      </w:r>
      <w:r>
        <w:rPr>
          <w:rFonts w:ascii="Arial" w:hAnsi="Arial" w:cs="Arial"/>
          <w:sz w:val="24"/>
          <w:szCs w:val="24"/>
          <w:vertAlign w:val="superscript"/>
        </w:rPr>
        <w:t>,2</w:t>
      </w:r>
      <w:r w:rsidRPr="0053645D">
        <w:rPr>
          <w:rFonts w:ascii="Arial" w:hAnsi="Arial" w:cs="Arial"/>
          <w:sz w:val="24"/>
          <w:szCs w:val="24"/>
        </w:rPr>
        <w:t>, Madeline Crissman</w:t>
      </w:r>
      <w:r>
        <w:rPr>
          <w:rFonts w:ascii="Arial" w:hAnsi="Arial" w:cs="Arial"/>
          <w:sz w:val="24"/>
          <w:szCs w:val="24"/>
          <w:vertAlign w:val="superscript"/>
        </w:rPr>
        <w:t>3</w:t>
      </w:r>
      <w:r w:rsidRPr="0053645D">
        <w:rPr>
          <w:rFonts w:ascii="Arial" w:hAnsi="Arial" w:cs="Arial"/>
          <w:sz w:val="24"/>
          <w:szCs w:val="24"/>
        </w:rPr>
        <w:t>, Sruti Pari</w:t>
      </w:r>
      <w:r>
        <w:rPr>
          <w:rFonts w:ascii="Arial" w:hAnsi="Arial" w:cs="Arial"/>
          <w:sz w:val="24"/>
          <w:szCs w:val="24"/>
          <w:vertAlign w:val="superscript"/>
        </w:rPr>
        <w:t>3</w:t>
      </w:r>
      <w:r w:rsidRPr="0053645D">
        <w:rPr>
          <w:rFonts w:ascii="Arial" w:hAnsi="Arial" w:cs="Arial"/>
          <w:sz w:val="24"/>
          <w:szCs w:val="24"/>
        </w:rPr>
        <w:t>, Benjamin Klein</w:t>
      </w:r>
      <w:r w:rsidRPr="0053645D">
        <w:rPr>
          <w:rFonts w:ascii="Arial" w:hAnsi="Arial" w:cs="Arial"/>
          <w:sz w:val="24"/>
          <w:szCs w:val="24"/>
          <w:vertAlign w:val="superscript"/>
        </w:rPr>
        <w:t>1</w:t>
      </w:r>
      <w:r>
        <w:rPr>
          <w:rFonts w:ascii="Arial" w:hAnsi="Arial" w:cs="Arial"/>
          <w:sz w:val="24"/>
          <w:szCs w:val="24"/>
          <w:vertAlign w:val="superscript"/>
        </w:rPr>
        <w:t>,2</w:t>
      </w:r>
      <w:r w:rsidRPr="0053645D">
        <w:rPr>
          <w:rFonts w:ascii="Arial" w:hAnsi="Arial" w:cs="Arial"/>
          <w:sz w:val="24"/>
          <w:szCs w:val="24"/>
        </w:rPr>
        <w:t>, Guo-Hua Bi</w:t>
      </w:r>
      <w:r w:rsidRPr="0053645D">
        <w:rPr>
          <w:rFonts w:ascii="Arial" w:hAnsi="Arial" w:cs="Arial"/>
          <w:sz w:val="24"/>
          <w:szCs w:val="24"/>
          <w:vertAlign w:val="superscript"/>
        </w:rPr>
        <w:t>1</w:t>
      </w:r>
      <w:r>
        <w:rPr>
          <w:rFonts w:ascii="Arial" w:hAnsi="Arial" w:cs="Arial"/>
          <w:sz w:val="24"/>
          <w:szCs w:val="24"/>
          <w:vertAlign w:val="superscript"/>
        </w:rPr>
        <w:t>,2</w:t>
      </w:r>
      <w:r w:rsidRPr="0053645D">
        <w:rPr>
          <w:rFonts w:ascii="Arial" w:hAnsi="Arial" w:cs="Arial"/>
          <w:sz w:val="24"/>
          <w:szCs w:val="24"/>
        </w:rPr>
        <w:t>,</w:t>
      </w:r>
      <w:r>
        <w:rPr>
          <w:rFonts w:ascii="Arial" w:hAnsi="Arial" w:cs="Arial"/>
          <w:sz w:val="24"/>
          <w:szCs w:val="24"/>
        </w:rPr>
        <w:t xml:space="preserve"> Hannah Alton</w:t>
      </w:r>
      <w:r w:rsidRPr="003B668A">
        <w:rPr>
          <w:rFonts w:ascii="Arial" w:hAnsi="Arial" w:cs="Arial"/>
          <w:sz w:val="24"/>
          <w:szCs w:val="24"/>
          <w:vertAlign w:val="superscript"/>
        </w:rPr>
        <w:t>1</w:t>
      </w:r>
      <w:r>
        <w:rPr>
          <w:rFonts w:ascii="Arial" w:hAnsi="Arial" w:cs="Arial"/>
          <w:sz w:val="24"/>
          <w:szCs w:val="24"/>
          <w:vertAlign w:val="superscript"/>
        </w:rPr>
        <w:t>,2</w:t>
      </w:r>
      <w:r>
        <w:rPr>
          <w:rFonts w:ascii="Arial" w:hAnsi="Arial" w:cs="Arial"/>
          <w:sz w:val="24"/>
          <w:szCs w:val="24"/>
        </w:rPr>
        <w:t xml:space="preserve">, </w:t>
      </w:r>
      <w:r w:rsidRPr="0053645D">
        <w:rPr>
          <w:rFonts w:ascii="Arial" w:hAnsi="Arial" w:cs="Arial"/>
          <w:sz w:val="24"/>
          <w:szCs w:val="24"/>
        </w:rPr>
        <w:t>Zheng-Xiong Xi</w:t>
      </w:r>
      <w:r w:rsidRPr="00412C82">
        <w:rPr>
          <w:rFonts w:ascii="Arial" w:hAnsi="Arial" w:cs="Arial"/>
          <w:sz w:val="24"/>
          <w:szCs w:val="24"/>
          <w:vertAlign w:val="superscript"/>
        </w:rPr>
        <w:t xml:space="preserve"> </w:t>
      </w:r>
      <w:r w:rsidRPr="0053645D">
        <w:rPr>
          <w:rFonts w:ascii="Arial" w:hAnsi="Arial" w:cs="Arial"/>
          <w:sz w:val="24"/>
          <w:szCs w:val="24"/>
          <w:vertAlign w:val="superscript"/>
        </w:rPr>
        <w:t>1</w:t>
      </w:r>
    </w:p>
    <w:p w14:paraId="7F76C50B" w14:textId="77777777" w:rsidR="0095317D" w:rsidRPr="0053645D" w:rsidRDefault="0095317D" w:rsidP="0095317D">
      <w:pPr>
        <w:spacing w:line="360" w:lineRule="auto"/>
        <w:jc w:val="both"/>
        <w:rPr>
          <w:rFonts w:ascii="Arial" w:hAnsi="Arial" w:cs="Arial"/>
          <w:sz w:val="24"/>
          <w:szCs w:val="24"/>
        </w:rPr>
      </w:pPr>
    </w:p>
    <w:p w14:paraId="0A7233E8" w14:textId="77777777" w:rsidR="0095317D" w:rsidRPr="006D5FA5" w:rsidRDefault="0095317D" w:rsidP="0095317D">
      <w:pPr>
        <w:spacing w:line="360" w:lineRule="auto"/>
        <w:contextualSpacing/>
        <w:jc w:val="both"/>
        <w:rPr>
          <w:rStyle w:val="Hyperlink"/>
          <w:rFonts w:ascii="Arial" w:hAnsi="Arial" w:cs="Arial"/>
          <w:sz w:val="24"/>
          <w:szCs w:val="24"/>
        </w:rPr>
      </w:pPr>
      <w:r w:rsidRPr="0053645D">
        <w:rPr>
          <w:rFonts w:ascii="Arial" w:hAnsi="Arial" w:cs="Arial"/>
          <w:b/>
          <w:bCs/>
          <w:sz w:val="24"/>
          <w:szCs w:val="24"/>
        </w:rPr>
        <w:t>Corresponding Author:</w:t>
      </w:r>
      <w:r w:rsidRPr="0053645D">
        <w:rPr>
          <w:rFonts w:ascii="Arial" w:hAnsi="Arial" w:cs="Arial"/>
          <w:sz w:val="24"/>
          <w:szCs w:val="24"/>
        </w:rPr>
        <w:t xml:space="preserve"> Zheng-Xiong Xi,</w:t>
      </w:r>
      <w:r>
        <w:rPr>
          <w:rFonts w:ascii="Arial" w:hAnsi="Arial" w:cs="Arial"/>
          <w:sz w:val="24"/>
          <w:szCs w:val="24"/>
        </w:rPr>
        <w:t xml:space="preserve"> </w:t>
      </w:r>
      <w:r w:rsidRPr="0053645D">
        <w:rPr>
          <w:rFonts w:ascii="Arial" w:hAnsi="Arial" w:cs="Arial"/>
          <w:sz w:val="24"/>
          <w:szCs w:val="24"/>
        </w:rPr>
        <w:t>251 Bayview Boulevard</w:t>
      </w:r>
      <w:r>
        <w:rPr>
          <w:rFonts w:ascii="Arial" w:hAnsi="Arial" w:cs="Arial"/>
          <w:sz w:val="24"/>
          <w:szCs w:val="24"/>
        </w:rPr>
        <w:t>,</w:t>
      </w:r>
      <w:r w:rsidRPr="0053645D">
        <w:rPr>
          <w:rFonts w:ascii="Arial" w:hAnsi="Arial" w:cs="Arial"/>
          <w:sz w:val="24"/>
          <w:szCs w:val="24"/>
        </w:rPr>
        <w:t xml:space="preserve"> Baltimore, MD 21224</w:t>
      </w:r>
      <w:r>
        <w:rPr>
          <w:rFonts w:ascii="Arial" w:hAnsi="Arial" w:cs="Arial"/>
          <w:sz w:val="24"/>
          <w:szCs w:val="24"/>
        </w:rPr>
        <w:t xml:space="preserve">. Phone: </w:t>
      </w:r>
      <w:r w:rsidRPr="0053645D">
        <w:rPr>
          <w:rFonts w:ascii="Arial" w:hAnsi="Arial" w:cs="Arial"/>
          <w:sz w:val="24"/>
          <w:szCs w:val="24"/>
        </w:rPr>
        <w:t>(443) 740-2517</w:t>
      </w:r>
      <w:r>
        <w:rPr>
          <w:rFonts w:ascii="Arial" w:hAnsi="Arial" w:cs="Arial"/>
          <w:sz w:val="24"/>
          <w:szCs w:val="24"/>
        </w:rPr>
        <w:t xml:space="preserve">. Email: </w:t>
      </w:r>
      <w:hyperlink r:id="rId7" w:history="1">
        <w:r w:rsidRPr="0053645D">
          <w:rPr>
            <w:rStyle w:val="Hyperlink"/>
            <w:rFonts w:ascii="Arial" w:hAnsi="Arial" w:cs="Arial"/>
            <w:sz w:val="24"/>
            <w:szCs w:val="24"/>
          </w:rPr>
          <w:t>zxi@intra.nida.nih.gov</w:t>
        </w:r>
      </w:hyperlink>
    </w:p>
    <w:p w14:paraId="5A3DF6F7" w14:textId="77777777" w:rsidR="0095317D" w:rsidRDefault="0095317D" w:rsidP="0095317D">
      <w:pPr>
        <w:spacing w:line="480" w:lineRule="auto"/>
        <w:rPr>
          <w:rFonts w:ascii="Arial" w:hAnsi="Arial" w:cs="Arial"/>
          <w:b/>
          <w:bCs/>
          <w:sz w:val="24"/>
          <w:szCs w:val="24"/>
        </w:rPr>
      </w:pPr>
    </w:p>
    <w:p w14:paraId="1638379A" w14:textId="77777777" w:rsidR="0095317D" w:rsidRDefault="0095317D" w:rsidP="0095317D">
      <w:pPr>
        <w:rPr>
          <w:rFonts w:ascii="Arial" w:hAnsi="Arial" w:cs="Arial"/>
          <w:b/>
          <w:bCs/>
          <w:sz w:val="24"/>
          <w:szCs w:val="24"/>
        </w:rPr>
      </w:pPr>
      <w:r>
        <w:rPr>
          <w:rFonts w:ascii="Arial" w:hAnsi="Arial" w:cs="Arial"/>
          <w:b/>
          <w:bCs/>
          <w:sz w:val="24"/>
          <w:szCs w:val="24"/>
        </w:rPr>
        <w:br w:type="page"/>
      </w:r>
    </w:p>
    <w:p w14:paraId="05B9C892" w14:textId="77777777" w:rsidR="0095317D" w:rsidRDefault="0095317D" w:rsidP="0095317D">
      <w:pPr>
        <w:spacing w:line="480" w:lineRule="auto"/>
        <w:rPr>
          <w:rFonts w:ascii="Arial" w:hAnsi="Arial" w:cs="Arial"/>
          <w:b/>
          <w:bCs/>
          <w:sz w:val="24"/>
          <w:szCs w:val="24"/>
        </w:rPr>
      </w:pPr>
      <w:r w:rsidRPr="00305672">
        <w:rPr>
          <w:rFonts w:ascii="Arial" w:hAnsi="Arial" w:cs="Arial"/>
          <w:b/>
          <w:bCs/>
          <w:sz w:val="24"/>
          <w:szCs w:val="24"/>
        </w:rPr>
        <w:lastRenderedPageBreak/>
        <w:t>MATERIALS AND METHODS</w:t>
      </w:r>
    </w:p>
    <w:p w14:paraId="4350304D" w14:textId="77777777" w:rsidR="0095317D" w:rsidRPr="00B762DE" w:rsidRDefault="0095317D" w:rsidP="0095317D">
      <w:pPr>
        <w:spacing w:line="480" w:lineRule="auto"/>
        <w:rPr>
          <w:rFonts w:ascii="Arial" w:hAnsi="Arial" w:cs="Arial"/>
          <w:b/>
          <w:bCs/>
          <w:sz w:val="24"/>
          <w:szCs w:val="24"/>
        </w:rPr>
      </w:pPr>
      <w:r w:rsidRPr="00B762DE">
        <w:rPr>
          <w:rFonts w:ascii="Arial" w:hAnsi="Arial" w:cs="Arial"/>
          <w:b/>
          <w:bCs/>
          <w:sz w:val="24"/>
          <w:szCs w:val="24"/>
        </w:rPr>
        <w:t xml:space="preserve">Experiment 1: </w:t>
      </w:r>
      <w:proofErr w:type="spellStart"/>
      <w:r w:rsidRPr="00B762DE">
        <w:rPr>
          <w:rFonts w:ascii="Arial" w:hAnsi="Arial" w:cs="Arial"/>
          <w:sz w:val="24"/>
          <w:szCs w:val="24"/>
        </w:rPr>
        <w:t>RNAscope</w:t>
      </w:r>
      <w:proofErr w:type="spellEnd"/>
      <w:r w:rsidRPr="00B762DE">
        <w:rPr>
          <w:rFonts w:ascii="Arial" w:hAnsi="Arial" w:cs="Arial"/>
          <w:sz w:val="24"/>
          <w:szCs w:val="24"/>
        </w:rPr>
        <w:t xml:space="preserve"> in situ hybridization</w:t>
      </w:r>
    </w:p>
    <w:p w14:paraId="7659DAB4" w14:textId="77777777" w:rsidR="0095317D" w:rsidRPr="0053645D" w:rsidRDefault="0095317D" w:rsidP="0095317D">
      <w:pPr>
        <w:spacing w:line="480" w:lineRule="auto"/>
        <w:ind w:firstLine="720"/>
        <w:rPr>
          <w:rFonts w:ascii="Arial" w:hAnsi="Arial" w:cs="Arial"/>
          <w:sz w:val="24"/>
          <w:szCs w:val="24"/>
        </w:rPr>
      </w:pPr>
      <w:r w:rsidRPr="0053645D">
        <w:rPr>
          <w:rFonts w:ascii="Arial" w:hAnsi="Arial" w:cs="Arial"/>
          <w:sz w:val="24"/>
          <w:szCs w:val="24"/>
        </w:rPr>
        <w:t xml:space="preserve">Mice were sacrificed via rapid decapitation and brains </w:t>
      </w:r>
      <w:r>
        <w:rPr>
          <w:rFonts w:ascii="Arial" w:hAnsi="Arial" w:cs="Arial"/>
          <w:sz w:val="24"/>
          <w:szCs w:val="24"/>
        </w:rPr>
        <w:t xml:space="preserve">were </w:t>
      </w:r>
      <w:r w:rsidRPr="0053645D">
        <w:rPr>
          <w:rFonts w:ascii="Arial" w:hAnsi="Arial" w:cs="Arial"/>
          <w:sz w:val="24"/>
          <w:szCs w:val="24"/>
        </w:rPr>
        <w:t xml:space="preserve">wrapped in aluminum foil on dry ice and stored in a -80°C freezer until use. Coronal sections were taken at 16 </w:t>
      </w:r>
      <w:proofErr w:type="spellStart"/>
      <w:r w:rsidRPr="0053645D">
        <w:rPr>
          <w:rFonts w:ascii="Arial" w:hAnsi="Arial" w:cs="Arial"/>
          <w:sz w:val="24"/>
          <w:szCs w:val="24"/>
        </w:rPr>
        <w:t>μm</w:t>
      </w:r>
      <w:proofErr w:type="spellEnd"/>
      <w:r w:rsidRPr="0053645D">
        <w:rPr>
          <w:rFonts w:ascii="Arial" w:hAnsi="Arial" w:cs="Arial"/>
          <w:sz w:val="24"/>
          <w:szCs w:val="24"/>
        </w:rPr>
        <w:t xml:space="preserve"> thickness and mounted onto positively charged glass slides (</w:t>
      </w:r>
      <w:proofErr w:type="spellStart"/>
      <w:r w:rsidRPr="0053645D">
        <w:rPr>
          <w:rFonts w:ascii="Arial" w:hAnsi="Arial" w:cs="Arial"/>
          <w:sz w:val="24"/>
          <w:szCs w:val="24"/>
        </w:rPr>
        <w:t>Fisherbrand</w:t>
      </w:r>
      <w:proofErr w:type="spellEnd"/>
      <w:r w:rsidRPr="0053645D">
        <w:rPr>
          <w:rFonts w:ascii="Arial" w:hAnsi="Arial" w:cs="Arial"/>
          <w:sz w:val="24"/>
          <w:szCs w:val="24"/>
        </w:rPr>
        <w:t xml:space="preserve"> </w:t>
      </w:r>
      <w:proofErr w:type="spellStart"/>
      <w:r w:rsidRPr="0053645D">
        <w:rPr>
          <w:rFonts w:ascii="Arial" w:hAnsi="Arial" w:cs="Arial"/>
          <w:sz w:val="24"/>
          <w:szCs w:val="24"/>
        </w:rPr>
        <w:t>Superfrost</w:t>
      </w:r>
      <w:proofErr w:type="spellEnd"/>
      <w:r w:rsidRPr="0053645D">
        <w:rPr>
          <w:rFonts w:ascii="Arial" w:hAnsi="Arial" w:cs="Arial"/>
          <w:sz w:val="24"/>
          <w:szCs w:val="24"/>
        </w:rPr>
        <w:t xml:space="preserve"> Plus; Fisher Scientific, Pittsburgh, PA). Slides were incubated in 10% cold formalin for 20 min, washed in PBS (x2), and dehydrated in graduated ethanol (50%, 75% and 100%). Samples were prepared using the manufacturer’s instructions for the </w:t>
      </w:r>
      <w:proofErr w:type="spellStart"/>
      <w:r w:rsidRPr="0053645D">
        <w:rPr>
          <w:rFonts w:ascii="Arial" w:hAnsi="Arial" w:cs="Arial"/>
          <w:sz w:val="24"/>
          <w:szCs w:val="24"/>
        </w:rPr>
        <w:t>RNAscope</w:t>
      </w:r>
      <w:proofErr w:type="spellEnd"/>
      <w:r w:rsidRPr="0053645D">
        <w:rPr>
          <w:rFonts w:ascii="Arial" w:hAnsi="Arial" w:cs="Arial"/>
          <w:sz w:val="24"/>
          <w:szCs w:val="24"/>
        </w:rPr>
        <w:t xml:space="preserve"> Multiplex Fluorescent Reagent Kit v2 (Advanced Cell Diagnostics, Newark, CA). During pretreatment, slides were incubated in hydrogen peroxide (10 min, room temperature), washed in dH</w:t>
      </w:r>
      <w:r w:rsidRPr="0053645D">
        <w:rPr>
          <w:rFonts w:ascii="Arial" w:hAnsi="Arial" w:cs="Arial"/>
          <w:sz w:val="24"/>
          <w:szCs w:val="24"/>
          <w:vertAlign w:val="subscript"/>
        </w:rPr>
        <w:t>2</w:t>
      </w:r>
      <w:r w:rsidRPr="0053645D">
        <w:rPr>
          <w:rFonts w:ascii="Arial" w:hAnsi="Arial" w:cs="Arial"/>
          <w:sz w:val="24"/>
          <w:szCs w:val="24"/>
        </w:rPr>
        <w:t xml:space="preserve">O (x2), incubated in Protease-Pretreat IV solution (20 min, room temperature), and washed in PBS (x2). The appropriate </w:t>
      </w:r>
      <w:r w:rsidRPr="000F1933">
        <w:rPr>
          <w:rFonts w:ascii="Arial" w:hAnsi="Arial" w:cs="Arial"/>
          <w:sz w:val="24"/>
          <w:szCs w:val="24"/>
        </w:rPr>
        <w:t>mRNA probes</w:t>
      </w:r>
      <w:r w:rsidRPr="0053645D">
        <w:rPr>
          <w:rFonts w:ascii="Arial" w:hAnsi="Arial" w:cs="Arial"/>
          <w:sz w:val="24"/>
          <w:szCs w:val="24"/>
        </w:rPr>
        <w:t xml:space="preserve"> were then added to the slides, hybridized in the</w:t>
      </w:r>
      <w:r>
        <w:rPr>
          <w:rFonts w:ascii="Arial" w:hAnsi="Arial" w:cs="Arial"/>
          <w:sz w:val="24"/>
          <w:szCs w:val="24"/>
        </w:rPr>
        <w:t xml:space="preserve"> </w:t>
      </w:r>
      <w:proofErr w:type="spellStart"/>
      <w:r>
        <w:rPr>
          <w:rFonts w:ascii="Arial" w:hAnsi="Arial" w:cs="Arial"/>
          <w:sz w:val="24"/>
          <w:szCs w:val="24"/>
        </w:rPr>
        <w:t>HybEZ</w:t>
      </w:r>
      <w:proofErr w:type="spellEnd"/>
      <w:r w:rsidRPr="0053645D">
        <w:rPr>
          <w:rFonts w:ascii="Arial" w:hAnsi="Arial" w:cs="Arial"/>
          <w:sz w:val="24"/>
          <w:szCs w:val="24"/>
        </w:rPr>
        <w:t xml:space="preserve"> oven (40°C) for 2 </w:t>
      </w:r>
      <w:proofErr w:type="spellStart"/>
      <w:r w:rsidRPr="0053645D">
        <w:rPr>
          <w:rFonts w:ascii="Arial" w:hAnsi="Arial" w:cs="Arial"/>
          <w:sz w:val="24"/>
          <w:szCs w:val="24"/>
        </w:rPr>
        <w:t>hrs</w:t>
      </w:r>
      <w:proofErr w:type="spellEnd"/>
      <w:r w:rsidRPr="0053645D">
        <w:rPr>
          <w:rFonts w:ascii="Arial" w:hAnsi="Arial" w:cs="Arial"/>
          <w:sz w:val="24"/>
          <w:szCs w:val="24"/>
        </w:rPr>
        <w:t xml:space="preserve"> and washed with a prepared </w:t>
      </w:r>
      <w:proofErr w:type="spellStart"/>
      <w:r w:rsidRPr="0053645D">
        <w:rPr>
          <w:rFonts w:ascii="Arial" w:hAnsi="Arial" w:cs="Arial"/>
          <w:sz w:val="24"/>
          <w:szCs w:val="24"/>
        </w:rPr>
        <w:t>RNAscope</w:t>
      </w:r>
      <w:proofErr w:type="spellEnd"/>
      <w:r w:rsidRPr="0053645D">
        <w:rPr>
          <w:rFonts w:ascii="Arial" w:hAnsi="Arial" w:cs="Arial"/>
          <w:sz w:val="24"/>
          <w:szCs w:val="24"/>
        </w:rPr>
        <w:t xml:space="preserve"> wash buffer (x2). Three additional hybridization steps in the oven followed with AMP1 (30 min), AMP2 (30 min), and AMP3 (15 min) solutions applied to the slides and rinsed with wash buffer (x2) between each step. Next, each individual probe signal was developed using Opal Dyes (Akoya Biosciences, Marlborough, MA). For a given channel (1, 2 and/or 3), HRP-C(n) was added to the slides (15 min, 40°C), followed by a diluted Opal dye (520, 570 or 690; 30 min, 40°C), and HRP blocker (15 min, 40°C) with 2 buffer washes between each addition. The following dilution ratios were utilized for each probe: 1:750 (</w:t>
      </w:r>
      <w:r w:rsidRPr="0053645D">
        <w:rPr>
          <w:rFonts w:ascii="Arial" w:hAnsi="Arial" w:cs="Arial"/>
          <w:i/>
          <w:iCs/>
          <w:sz w:val="24"/>
          <w:szCs w:val="24"/>
        </w:rPr>
        <w:t>PPARA</w:t>
      </w:r>
      <w:r>
        <w:rPr>
          <w:rFonts w:ascii="Arial" w:hAnsi="Arial" w:cs="Arial"/>
          <w:i/>
          <w:iCs/>
          <w:sz w:val="24"/>
          <w:szCs w:val="24"/>
        </w:rPr>
        <w:t>:</w:t>
      </w:r>
      <w:r>
        <w:rPr>
          <w:rFonts w:ascii="Arial" w:hAnsi="Arial" w:cs="Arial"/>
          <w:sz w:val="24"/>
          <w:szCs w:val="24"/>
        </w:rPr>
        <w:t xml:space="preserve"> Cat No. 454051</w:t>
      </w:r>
      <w:r w:rsidRPr="0053645D">
        <w:rPr>
          <w:rFonts w:ascii="Arial" w:hAnsi="Arial" w:cs="Arial"/>
          <w:i/>
          <w:iCs/>
          <w:sz w:val="24"/>
          <w:szCs w:val="24"/>
        </w:rPr>
        <w:t>, PPARG</w:t>
      </w:r>
      <w:r>
        <w:rPr>
          <w:rFonts w:ascii="Arial" w:hAnsi="Arial" w:cs="Arial"/>
          <w:i/>
          <w:iCs/>
          <w:sz w:val="24"/>
          <w:szCs w:val="24"/>
        </w:rPr>
        <w:t xml:space="preserve">: </w:t>
      </w:r>
      <w:r>
        <w:rPr>
          <w:rFonts w:ascii="Arial" w:hAnsi="Arial" w:cs="Arial"/>
          <w:sz w:val="24"/>
          <w:szCs w:val="24"/>
        </w:rPr>
        <w:t>418821</w:t>
      </w:r>
      <w:r w:rsidRPr="0053645D">
        <w:rPr>
          <w:rFonts w:ascii="Arial" w:hAnsi="Arial" w:cs="Arial"/>
          <w:sz w:val="24"/>
          <w:szCs w:val="24"/>
        </w:rPr>
        <w:t>), 1:1500 (</w:t>
      </w:r>
      <w:r w:rsidRPr="0053645D">
        <w:rPr>
          <w:rFonts w:ascii="Arial" w:hAnsi="Arial" w:cs="Arial"/>
          <w:i/>
          <w:iCs/>
          <w:sz w:val="24"/>
          <w:szCs w:val="24"/>
        </w:rPr>
        <w:t>GAD1</w:t>
      </w:r>
      <w:r>
        <w:rPr>
          <w:rFonts w:ascii="Arial" w:hAnsi="Arial" w:cs="Arial"/>
          <w:sz w:val="24"/>
          <w:szCs w:val="24"/>
        </w:rPr>
        <w:t>:511931-C2, 511931-C3</w:t>
      </w:r>
      <w:r w:rsidRPr="0053645D">
        <w:rPr>
          <w:rFonts w:ascii="Arial" w:hAnsi="Arial" w:cs="Arial"/>
          <w:i/>
          <w:iCs/>
          <w:sz w:val="24"/>
          <w:szCs w:val="24"/>
        </w:rPr>
        <w:t>, Slc17a6</w:t>
      </w:r>
      <w:r>
        <w:rPr>
          <w:rFonts w:ascii="Arial" w:hAnsi="Arial" w:cs="Arial"/>
          <w:i/>
          <w:iCs/>
          <w:sz w:val="24"/>
          <w:szCs w:val="24"/>
        </w:rPr>
        <w:t>: 428871-C2</w:t>
      </w:r>
      <w:r w:rsidRPr="0053645D">
        <w:rPr>
          <w:rFonts w:ascii="Arial" w:hAnsi="Arial" w:cs="Arial"/>
          <w:sz w:val="24"/>
          <w:szCs w:val="24"/>
        </w:rPr>
        <w:t>), and 1:3000 (</w:t>
      </w:r>
      <w:r w:rsidRPr="0053645D">
        <w:rPr>
          <w:rFonts w:ascii="Arial" w:hAnsi="Arial" w:cs="Arial"/>
          <w:i/>
          <w:iCs/>
          <w:sz w:val="24"/>
          <w:szCs w:val="24"/>
        </w:rPr>
        <w:t>TH</w:t>
      </w:r>
      <w:r>
        <w:rPr>
          <w:rFonts w:ascii="Arial" w:hAnsi="Arial" w:cs="Arial"/>
          <w:i/>
          <w:iCs/>
          <w:sz w:val="24"/>
          <w:szCs w:val="24"/>
        </w:rPr>
        <w:t>: 317621-C3</w:t>
      </w:r>
      <w:r w:rsidRPr="0053645D">
        <w:rPr>
          <w:rFonts w:ascii="Arial" w:hAnsi="Arial" w:cs="Arial"/>
          <w:sz w:val="24"/>
          <w:szCs w:val="24"/>
        </w:rPr>
        <w:t>). After a short incubation with DAPI (30 s), each slide received fluorescent mounting medium (</w:t>
      </w:r>
      <w:proofErr w:type="spellStart"/>
      <w:r w:rsidRPr="0053645D">
        <w:rPr>
          <w:rFonts w:ascii="Arial" w:hAnsi="Arial" w:cs="Arial"/>
          <w:sz w:val="24"/>
          <w:szCs w:val="24"/>
        </w:rPr>
        <w:t>Fluoro</w:t>
      </w:r>
      <w:proofErr w:type="spellEnd"/>
      <w:r w:rsidRPr="0053645D">
        <w:rPr>
          <w:rFonts w:ascii="Arial" w:hAnsi="Arial" w:cs="Arial"/>
          <w:sz w:val="24"/>
          <w:szCs w:val="24"/>
        </w:rPr>
        <w:t>-</w:t>
      </w:r>
      <w:r w:rsidRPr="0053645D">
        <w:rPr>
          <w:rFonts w:ascii="Arial" w:hAnsi="Arial" w:cs="Arial"/>
          <w:sz w:val="24"/>
          <w:szCs w:val="24"/>
        </w:rPr>
        <w:lastRenderedPageBreak/>
        <w:t xml:space="preserve">Gel; #17 985, Electron Microscopy Science) and a coverslip. A Keyence BZ-X800 Fluorescence Microscope was used to take images at 60x magnification. </w:t>
      </w:r>
    </w:p>
    <w:p w14:paraId="70281855" w14:textId="77777777" w:rsidR="0095317D" w:rsidRDefault="0095317D" w:rsidP="0095317D">
      <w:pPr>
        <w:spacing w:line="480" w:lineRule="auto"/>
        <w:rPr>
          <w:rFonts w:ascii="Arial" w:hAnsi="Arial" w:cs="Arial"/>
          <w:b/>
          <w:bCs/>
          <w:sz w:val="24"/>
          <w:szCs w:val="24"/>
        </w:rPr>
      </w:pPr>
    </w:p>
    <w:p w14:paraId="4D3A7947" w14:textId="77777777" w:rsidR="0095317D" w:rsidRPr="00876513" w:rsidRDefault="0095317D" w:rsidP="0095317D">
      <w:pPr>
        <w:spacing w:line="480" w:lineRule="auto"/>
        <w:rPr>
          <w:rFonts w:ascii="Arial" w:hAnsi="Arial" w:cs="Arial"/>
          <w:b/>
          <w:bCs/>
          <w:sz w:val="24"/>
          <w:szCs w:val="24"/>
        </w:rPr>
      </w:pPr>
      <w:r w:rsidRPr="00876513">
        <w:rPr>
          <w:rFonts w:ascii="Arial" w:hAnsi="Arial" w:cs="Arial"/>
          <w:b/>
          <w:bCs/>
          <w:sz w:val="24"/>
          <w:szCs w:val="24"/>
        </w:rPr>
        <w:t xml:space="preserve">Experiment 2: </w:t>
      </w:r>
      <w:r>
        <w:rPr>
          <w:rFonts w:ascii="Arial" w:hAnsi="Arial" w:cs="Arial"/>
          <w:b/>
          <w:bCs/>
          <w:sz w:val="24"/>
          <w:szCs w:val="24"/>
        </w:rPr>
        <w:t>I</w:t>
      </w:r>
      <w:r w:rsidRPr="00876513">
        <w:rPr>
          <w:rFonts w:ascii="Arial" w:hAnsi="Arial" w:cs="Arial"/>
          <w:b/>
          <w:bCs/>
          <w:sz w:val="24"/>
          <w:szCs w:val="24"/>
        </w:rPr>
        <w:t>mmunofluorescence</w:t>
      </w:r>
      <w:r w:rsidRPr="00876513">
        <w:rPr>
          <w:rFonts w:ascii="Arial" w:hAnsi="Arial" w:cs="Arial"/>
          <w:sz w:val="24"/>
          <w:szCs w:val="24"/>
        </w:rPr>
        <w:t xml:space="preserve"> </w:t>
      </w:r>
      <w:r w:rsidRPr="00876513">
        <w:rPr>
          <w:rFonts w:ascii="Arial" w:hAnsi="Arial" w:cs="Arial"/>
          <w:b/>
          <w:bCs/>
          <w:sz w:val="24"/>
          <w:szCs w:val="24"/>
        </w:rPr>
        <w:t xml:space="preserve"> </w:t>
      </w:r>
    </w:p>
    <w:p w14:paraId="574B7122" w14:textId="77777777" w:rsidR="0095317D" w:rsidRPr="0053645D" w:rsidRDefault="0095317D" w:rsidP="0095317D">
      <w:pPr>
        <w:spacing w:line="480" w:lineRule="auto"/>
        <w:ind w:firstLine="720"/>
        <w:rPr>
          <w:rFonts w:ascii="Arial" w:hAnsi="Arial" w:cs="Arial"/>
          <w:sz w:val="24"/>
          <w:szCs w:val="24"/>
        </w:rPr>
      </w:pPr>
      <w:r w:rsidRPr="0053645D">
        <w:rPr>
          <w:rFonts w:ascii="Arial" w:hAnsi="Arial" w:cs="Arial"/>
          <w:sz w:val="24"/>
          <w:szCs w:val="24"/>
        </w:rPr>
        <w:t xml:space="preserve">Mice were anesthetized with isoflurane gas and intracardially perfused with ice-cold 0.9% saline then 4% PFA. Brains were removed and placed in 4% PFA overnight. The following morning, the tissue was transferred to a 30% sucrose solution. After 48 </w:t>
      </w:r>
      <w:proofErr w:type="spellStart"/>
      <w:r w:rsidRPr="0053645D">
        <w:rPr>
          <w:rFonts w:ascii="Arial" w:hAnsi="Arial" w:cs="Arial"/>
          <w:sz w:val="24"/>
          <w:szCs w:val="24"/>
        </w:rPr>
        <w:t>hr</w:t>
      </w:r>
      <w:proofErr w:type="spellEnd"/>
      <w:r w:rsidRPr="0053645D">
        <w:rPr>
          <w:rFonts w:ascii="Arial" w:hAnsi="Arial" w:cs="Arial"/>
          <w:sz w:val="24"/>
          <w:szCs w:val="24"/>
        </w:rPr>
        <w:t xml:space="preserve"> in sucrose, brains were frozen and sliced in 30 </w:t>
      </w:r>
      <w:proofErr w:type="spellStart"/>
      <w:r w:rsidRPr="0053645D">
        <w:rPr>
          <w:rFonts w:ascii="Arial" w:hAnsi="Arial" w:cs="Arial"/>
          <w:sz w:val="24"/>
          <w:szCs w:val="24"/>
        </w:rPr>
        <w:t>μm</w:t>
      </w:r>
      <w:proofErr w:type="spellEnd"/>
      <w:r w:rsidRPr="0053645D">
        <w:rPr>
          <w:rFonts w:ascii="Arial" w:hAnsi="Arial" w:cs="Arial"/>
          <w:sz w:val="24"/>
          <w:szCs w:val="24"/>
        </w:rPr>
        <w:t xml:space="preserve"> coronal sections. Free floating slices were rinsed in PB (x3, 10 min each) and blocked in a 5% donkey serum and 0.3% Triton X-100 solution in PB for 1 </w:t>
      </w:r>
      <w:proofErr w:type="spellStart"/>
      <w:r w:rsidRPr="0053645D">
        <w:rPr>
          <w:rFonts w:ascii="Arial" w:hAnsi="Arial" w:cs="Arial"/>
          <w:sz w:val="24"/>
          <w:szCs w:val="24"/>
        </w:rPr>
        <w:t>hr</w:t>
      </w:r>
      <w:proofErr w:type="spellEnd"/>
      <w:r w:rsidRPr="0053645D">
        <w:rPr>
          <w:rFonts w:ascii="Arial" w:hAnsi="Arial" w:cs="Arial"/>
          <w:sz w:val="24"/>
          <w:szCs w:val="24"/>
        </w:rPr>
        <w:t xml:space="preserve"> with agitation. Sections were incubated overnight at 4°C on a shaker with two primary antibodies in PB containing 3% donkey serum and 0.3% Triton X-100. The following antibodies were selected: rabbit anti-PPARα (1:200; </w:t>
      </w:r>
      <w:proofErr w:type="spellStart"/>
      <w:r w:rsidRPr="0053645D">
        <w:rPr>
          <w:rFonts w:ascii="Arial" w:hAnsi="Arial" w:cs="Arial"/>
          <w:sz w:val="24"/>
          <w:szCs w:val="24"/>
        </w:rPr>
        <w:t>ThermoFisher</w:t>
      </w:r>
      <w:proofErr w:type="spellEnd"/>
      <w:r w:rsidRPr="0053645D">
        <w:rPr>
          <w:rFonts w:ascii="Arial" w:hAnsi="Arial" w:cs="Arial"/>
          <w:sz w:val="24"/>
          <w:szCs w:val="24"/>
        </w:rPr>
        <w:t xml:space="preserve"> Scientific, PA1-822A), rabbit anti-</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(1:250; Abcam, ab45036), sheep anti-TH (1:1500; </w:t>
      </w:r>
      <w:proofErr w:type="spellStart"/>
      <w:r w:rsidRPr="0053645D">
        <w:rPr>
          <w:rFonts w:ascii="Arial" w:hAnsi="Arial" w:cs="Arial"/>
          <w:sz w:val="24"/>
          <w:szCs w:val="24"/>
        </w:rPr>
        <w:t>ThermoFisher</w:t>
      </w:r>
      <w:proofErr w:type="spellEnd"/>
      <w:r w:rsidRPr="0053645D">
        <w:rPr>
          <w:rFonts w:ascii="Arial" w:hAnsi="Arial" w:cs="Arial"/>
          <w:sz w:val="24"/>
          <w:szCs w:val="24"/>
        </w:rPr>
        <w:t xml:space="preserve"> Scientific, PA1-4679), GAD67 anti-chicken (1:200; Abcam, ab75712), and VGluT2 anti-chicken (1:500; Synaptic Systems, 135 416). Sections were rinsed in PB (x3, 10 min each) and carefully transferred to a cocktail of two fluorescent labeled secondary antibodies including Alexa Fluor 488 Donkey Anti-Sheep (1:1500; Abcam, ab150177) Alexa Fluor 594 Donkey Anti-Rabbit (1:500; Abcam, ab150076), and Alexa Fluor 647 Donkey Anti-Chicken (1:500; Jackson </w:t>
      </w:r>
      <w:proofErr w:type="spellStart"/>
      <w:r w:rsidRPr="0053645D">
        <w:rPr>
          <w:rFonts w:ascii="Arial" w:hAnsi="Arial" w:cs="Arial"/>
          <w:sz w:val="24"/>
          <w:szCs w:val="24"/>
        </w:rPr>
        <w:t>ImmunoResearch</w:t>
      </w:r>
      <w:proofErr w:type="spellEnd"/>
      <w:r w:rsidRPr="0053645D">
        <w:rPr>
          <w:rFonts w:ascii="Arial" w:hAnsi="Arial" w:cs="Arial"/>
          <w:sz w:val="24"/>
          <w:szCs w:val="24"/>
        </w:rPr>
        <w:t xml:space="preserve">, 703-605-155) for two hours at room temperature with agitation. After another round of rinses (x3, 10 min each), slices were incubated with DAPI for 5 minutes in PB (1 drop per 500 </w:t>
      </w:r>
      <w:proofErr w:type="spellStart"/>
      <w:r w:rsidRPr="0053645D">
        <w:rPr>
          <w:rFonts w:ascii="Arial" w:hAnsi="Arial" w:cs="Arial"/>
          <w:sz w:val="24"/>
          <w:szCs w:val="24"/>
        </w:rPr>
        <w:t>μL</w:t>
      </w:r>
      <w:proofErr w:type="spellEnd"/>
      <w:r w:rsidRPr="0053645D">
        <w:rPr>
          <w:rFonts w:ascii="Arial" w:hAnsi="Arial" w:cs="Arial"/>
          <w:sz w:val="24"/>
          <w:szCs w:val="24"/>
        </w:rPr>
        <w:t xml:space="preserve">) and mounted on gelatin-coated slides. Fluorescent </w:t>
      </w:r>
      <w:r w:rsidRPr="0053645D">
        <w:rPr>
          <w:rFonts w:ascii="Arial" w:hAnsi="Arial" w:cs="Arial"/>
          <w:sz w:val="24"/>
          <w:szCs w:val="24"/>
        </w:rPr>
        <w:lastRenderedPageBreak/>
        <w:t xml:space="preserve">mounting medium was applied, and slides were cover slipped and allowed to dry in a dark place.  </w:t>
      </w:r>
    </w:p>
    <w:p w14:paraId="0440051D" w14:textId="77777777" w:rsidR="0095317D" w:rsidRPr="0053645D" w:rsidRDefault="0095317D" w:rsidP="0095317D">
      <w:pPr>
        <w:spacing w:line="480" w:lineRule="auto"/>
        <w:ind w:firstLine="720"/>
        <w:rPr>
          <w:rFonts w:ascii="Arial" w:hAnsi="Arial" w:cs="Arial"/>
          <w:sz w:val="24"/>
          <w:szCs w:val="24"/>
        </w:rPr>
      </w:pPr>
      <w:r w:rsidRPr="0053645D">
        <w:rPr>
          <w:rFonts w:ascii="Arial" w:hAnsi="Arial" w:cs="Arial"/>
          <w:sz w:val="24"/>
          <w:szCs w:val="24"/>
        </w:rPr>
        <w:t xml:space="preserve">Images were obtained using a Keyence BZ-X800 Fluorescence Microscope at 40x magnification. For cell counting analyses, sections were acquired from 3 mice and 6 brain slices were selected from each </w:t>
      </w:r>
      <w:r>
        <w:rPr>
          <w:rFonts w:ascii="Arial" w:hAnsi="Arial" w:cs="Arial"/>
          <w:sz w:val="24"/>
          <w:szCs w:val="24"/>
        </w:rPr>
        <w:t>brain</w:t>
      </w:r>
      <w:r w:rsidRPr="0053645D">
        <w:rPr>
          <w:rFonts w:ascii="Arial" w:hAnsi="Arial" w:cs="Arial"/>
          <w:sz w:val="24"/>
          <w:szCs w:val="24"/>
        </w:rPr>
        <w:t xml:space="preserve">. 2-4 images were taken per brain section, depending on the size of the region. DAPI-positive cells that expressed PPARα or </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in combination with TH, GAD67, or VGluT2 were counted using Keyence image analysis software. </w:t>
      </w:r>
    </w:p>
    <w:p w14:paraId="2710E242" w14:textId="77777777" w:rsidR="0095317D" w:rsidRDefault="0095317D" w:rsidP="0095317D">
      <w:pPr>
        <w:spacing w:line="480" w:lineRule="auto"/>
        <w:rPr>
          <w:rFonts w:ascii="Arial" w:hAnsi="Arial" w:cs="Arial"/>
          <w:b/>
          <w:bCs/>
          <w:sz w:val="24"/>
          <w:szCs w:val="24"/>
        </w:rPr>
      </w:pPr>
    </w:p>
    <w:p w14:paraId="4DC4C4B5" w14:textId="77777777" w:rsidR="0095317D" w:rsidRPr="003138CF" w:rsidRDefault="0095317D" w:rsidP="0095317D">
      <w:pPr>
        <w:spacing w:line="480" w:lineRule="auto"/>
        <w:rPr>
          <w:rFonts w:ascii="Arial" w:hAnsi="Arial" w:cs="Arial"/>
          <w:b/>
          <w:bCs/>
          <w:sz w:val="24"/>
          <w:szCs w:val="24"/>
        </w:rPr>
      </w:pPr>
      <w:r w:rsidRPr="00876513">
        <w:rPr>
          <w:rFonts w:ascii="Arial" w:hAnsi="Arial" w:cs="Arial"/>
          <w:b/>
          <w:bCs/>
          <w:sz w:val="24"/>
          <w:szCs w:val="24"/>
        </w:rPr>
        <w:t xml:space="preserve">Experiment 3: </w:t>
      </w:r>
      <w:r w:rsidRPr="00425CD0">
        <w:rPr>
          <w:rFonts w:ascii="Arial" w:hAnsi="Arial" w:cs="Arial"/>
          <w:b/>
          <w:bCs/>
          <w:sz w:val="24"/>
          <w:szCs w:val="24"/>
        </w:rPr>
        <w:t>Optical Intracranial self-stimulation</w:t>
      </w:r>
    </w:p>
    <w:p w14:paraId="10BB3F94" w14:textId="77777777" w:rsidR="0095317D" w:rsidRPr="0053645D" w:rsidRDefault="0095317D" w:rsidP="0095317D">
      <w:pPr>
        <w:spacing w:line="480" w:lineRule="auto"/>
        <w:ind w:firstLine="720"/>
        <w:contextualSpacing/>
        <w:rPr>
          <w:rFonts w:ascii="Arial" w:hAnsi="Arial" w:cs="Arial"/>
          <w:sz w:val="24"/>
          <w:szCs w:val="24"/>
        </w:rPr>
      </w:pPr>
      <w:r w:rsidRPr="001067A3">
        <w:rPr>
          <w:rFonts w:ascii="Arial" w:hAnsi="Arial" w:cs="Arial"/>
          <w:b/>
          <w:bCs/>
          <w:i/>
          <w:iCs/>
          <w:sz w:val="24"/>
          <w:szCs w:val="24"/>
        </w:rPr>
        <w:t>Surgery</w:t>
      </w:r>
      <w:r w:rsidRPr="0053645D">
        <w:rPr>
          <w:rFonts w:ascii="Arial" w:hAnsi="Arial" w:cs="Arial"/>
          <w:i/>
          <w:iCs/>
          <w:sz w:val="24"/>
          <w:szCs w:val="24"/>
        </w:rPr>
        <w:t xml:space="preserve">: </w:t>
      </w:r>
      <w:r w:rsidRPr="0053645D">
        <w:rPr>
          <w:rFonts w:ascii="Arial" w:hAnsi="Arial" w:cs="Arial"/>
          <w:sz w:val="24"/>
          <w:szCs w:val="24"/>
        </w:rPr>
        <w:t>Male and female DAT-</w:t>
      </w:r>
      <w:proofErr w:type="spellStart"/>
      <w:r w:rsidRPr="0053645D">
        <w:rPr>
          <w:rFonts w:ascii="Arial" w:hAnsi="Arial" w:cs="Arial"/>
          <w:sz w:val="24"/>
          <w:szCs w:val="24"/>
        </w:rPr>
        <w:t>cre</w:t>
      </w:r>
      <w:proofErr w:type="spellEnd"/>
      <w:r w:rsidRPr="0053645D">
        <w:rPr>
          <w:rFonts w:ascii="Arial" w:hAnsi="Arial" w:cs="Arial"/>
          <w:sz w:val="24"/>
          <w:szCs w:val="24"/>
        </w:rPr>
        <w:t xml:space="preserve"> mice were anesthetized with a ketamine (100 mg/kg) xylazine (10 mg/kg) mixture and placed in a stereotaxic device (David Kopf Instruments, Tujunga, CA). Subjects received bilateral microinjections of an excitatory </w:t>
      </w:r>
      <w:proofErr w:type="spellStart"/>
      <w:r w:rsidRPr="0053645D">
        <w:rPr>
          <w:rFonts w:ascii="Arial" w:hAnsi="Arial" w:cs="Arial"/>
          <w:sz w:val="24"/>
          <w:szCs w:val="24"/>
        </w:rPr>
        <w:t>channelrhodopsin</w:t>
      </w:r>
      <w:proofErr w:type="spellEnd"/>
      <w:r w:rsidRPr="0053645D">
        <w:rPr>
          <w:rFonts w:ascii="Arial" w:hAnsi="Arial" w:cs="Arial"/>
          <w:sz w:val="24"/>
          <w:szCs w:val="24"/>
        </w:rPr>
        <w:t xml:space="preserve"> virus (AAV5-EF1α-DIO-ChR2-EYFP, University of North Carolina Gene Therapy Center) in the VTA (AP -3.28, ML ± 0.43, DV -4.41; 10° angle from the midline). Infusions were delivered at a rate of 50 </w:t>
      </w:r>
      <w:proofErr w:type="spellStart"/>
      <w:r w:rsidRPr="0053645D">
        <w:rPr>
          <w:rFonts w:ascii="Arial" w:hAnsi="Arial" w:cs="Arial"/>
          <w:sz w:val="24"/>
          <w:szCs w:val="24"/>
        </w:rPr>
        <w:t>nl</w:t>
      </w:r>
      <w:proofErr w:type="spellEnd"/>
      <w:r w:rsidRPr="0053645D">
        <w:rPr>
          <w:rFonts w:ascii="Arial" w:hAnsi="Arial" w:cs="Arial"/>
          <w:sz w:val="24"/>
          <w:szCs w:val="24"/>
        </w:rPr>
        <w:t xml:space="preserve">/min (150 </w:t>
      </w:r>
      <w:proofErr w:type="spellStart"/>
      <w:r w:rsidRPr="0053645D">
        <w:rPr>
          <w:rFonts w:ascii="Arial" w:hAnsi="Arial" w:cs="Arial"/>
          <w:sz w:val="24"/>
          <w:szCs w:val="24"/>
        </w:rPr>
        <w:t>nl</w:t>
      </w:r>
      <w:proofErr w:type="spellEnd"/>
      <w:r w:rsidRPr="0053645D">
        <w:rPr>
          <w:rFonts w:ascii="Arial" w:hAnsi="Arial" w:cs="Arial"/>
          <w:sz w:val="24"/>
          <w:szCs w:val="24"/>
        </w:rPr>
        <w:t xml:space="preserve"> per side) using two 10 </w:t>
      </w:r>
      <w:proofErr w:type="spellStart"/>
      <w:r w:rsidRPr="0053645D">
        <w:rPr>
          <w:rFonts w:ascii="Arial" w:hAnsi="Arial" w:cs="Arial"/>
          <w:sz w:val="24"/>
          <w:szCs w:val="24"/>
        </w:rPr>
        <w:t>μl</w:t>
      </w:r>
      <w:proofErr w:type="spellEnd"/>
      <w:r w:rsidRPr="0053645D">
        <w:rPr>
          <w:rFonts w:ascii="Arial" w:hAnsi="Arial" w:cs="Arial"/>
          <w:sz w:val="24"/>
          <w:szCs w:val="24"/>
        </w:rPr>
        <w:t xml:space="preserve"> stainless steel syringes (</w:t>
      </w:r>
      <w:proofErr w:type="spellStart"/>
      <w:r w:rsidRPr="0053645D">
        <w:rPr>
          <w:rFonts w:ascii="Arial" w:hAnsi="Arial" w:cs="Arial"/>
          <w:sz w:val="24"/>
          <w:szCs w:val="24"/>
        </w:rPr>
        <w:t>Nanofil</w:t>
      </w:r>
      <w:proofErr w:type="spellEnd"/>
      <w:r w:rsidRPr="0053645D">
        <w:rPr>
          <w:rFonts w:ascii="Arial" w:hAnsi="Arial" w:cs="Arial"/>
          <w:sz w:val="24"/>
          <w:szCs w:val="24"/>
        </w:rPr>
        <w:t xml:space="preserve">) and a Micro 4 Pump (World Precision Instruments). Injectors remained in place for an additional 5 minutes following AAV delivery. Custom built ferrule fibers (200 </w:t>
      </w:r>
      <w:proofErr w:type="spellStart"/>
      <w:r w:rsidRPr="0053645D">
        <w:rPr>
          <w:rFonts w:ascii="Arial" w:hAnsi="Arial" w:cs="Arial"/>
          <w:sz w:val="24"/>
          <w:szCs w:val="24"/>
        </w:rPr>
        <w:t>μM</w:t>
      </w:r>
      <w:proofErr w:type="spellEnd"/>
      <w:r w:rsidRPr="0053645D">
        <w:rPr>
          <w:rFonts w:ascii="Arial" w:hAnsi="Arial" w:cs="Arial"/>
          <w:sz w:val="24"/>
          <w:szCs w:val="24"/>
        </w:rPr>
        <w:t xml:space="preserve"> diameter, Thorlabs, Newton, NJ) were implanted 0.5 mm above the virus injection sites and secured to the skull using dental cement. Four weeks separated the surgical procedures from the start of testing to facilitate viral expression.</w:t>
      </w:r>
    </w:p>
    <w:p w14:paraId="7A82D2D9" w14:textId="77777777" w:rsidR="0095317D" w:rsidRDefault="0095317D" w:rsidP="0095317D">
      <w:pPr>
        <w:spacing w:line="480" w:lineRule="auto"/>
        <w:contextualSpacing/>
        <w:rPr>
          <w:rFonts w:ascii="Arial" w:hAnsi="Arial" w:cs="Arial"/>
          <w:b/>
          <w:bCs/>
          <w:i/>
          <w:iCs/>
          <w:sz w:val="24"/>
          <w:szCs w:val="24"/>
        </w:rPr>
      </w:pPr>
    </w:p>
    <w:p w14:paraId="07DFD6FB" w14:textId="77777777" w:rsidR="0095317D" w:rsidRPr="0053645D" w:rsidRDefault="0095317D" w:rsidP="0095317D">
      <w:pPr>
        <w:spacing w:line="480" w:lineRule="auto"/>
        <w:ind w:firstLine="720"/>
        <w:contextualSpacing/>
        <w:rPr>
          <w:rFonts w:ascii="Arial" w:hAnsi="Arial" w:cs="Arial"/>
          <w:sz w:val="24"/>
          <w:szCs w:val="24"/>
        </w:rPr>
      </w:pPr>
      <w:proofErr w:type="spellStart"/>
      <w:r w:rsidRPr="001067A3">
        <w:rPr>
          <w:rFonts w:ascii="Arial" w:hAnsi="Arial" w:cs="Arial"/>
          <w:b/>
          <w:bCs/>
          <w:i/>
          <w:iCs/>
          <w:sz w:val="24"/>
          <w:szCs w:val="24"/>
        </w:rPr>
        <w:lastRenderedPageBreak/>
        <w:t>oICSS</w:t>
      </w:r>
      <w:proofErr w:type="spellEnd"/>
      <w:r w:rsidRPr="001067A3">
        <w:rPr>
          <w:rFonts w:ascii="Arial" w:hAnsi="Arial" w:cs="Arial"/>
          <w:b/>
          <w:bCs/>
          <w:i/>
          <w:iCs/>
          <w:sz w:val="24"/>
          <w:szCs w:val="24"/>
        </w:rPr>
        <w:t xml:space="preserve"> Procedure</w:t>
      </w:r>
      <w:r w:rsidRPr="0053645D">
        <w:rPr>
          <w:rFonts w:ascii="Arial" w:hAnsi="Arial" w:cs="Arial"/>
          <w:b/>
          <w:bCs/>
          <w:sz w:val="24"/>
          <w:szCs w:val="24"/>
        </w:rPr>
        <w:t xml:space="preserve">:  </w:t>
      </w:r>
      <w:r w:rsidRPr="0053645D">
        <w:rPr>
          <w:rFonts w:ascii="Arial" w:hAnsi="Arial" w:cs="Arial"/>
          <w:sz w:val="24"/>
          <w:szCs w:val="24"/>
        </w:rPr>
        <w:t xml:space="preserve">Subjects were tested in operant conditioning chambers (Med Associates, Fairfax, VT) with two retractable levers, cue light panels, a house light, and a speaker. A patch cord (Doric Lenses Inc., Quebec, QC, Canada) on a swivel connected subject’s ferrule head mounts to a 473 nm laser (OEM Laser Systems, Inc., Draper, UT). Initially, mice were placed on an FR1 schedule in which a single response on the active lever led to a 1-s pulse of laser stimulation (473 nm, 20 </w:t>
      </w:r>
      <w:proofErr w:type="spellStart"/>
      <w:r w:rsidRPr="0053645D">
        <w:rPr>
          <w:rFonts w:ascii="Arial" w:hAnsi="Arial" w:cs="Arial"/>
          <w:sz w:val="24"/>
          <w:szCs w:val="24"/>
        </w:rPr>
        <w:t>mW</w:t>
      </w:r>
      <w:proofErr w:type="spellEnd"/>
      <w:r w:rsidRPr="0053645D">
        <w:rPr>
          <w:rFonts w:ascii="Arial" w:hAnsi="Arial" w:cs="Arial"/>
          <w:sz w:val="24"/>
          <w:szCs w:val="24"/>
        </w:rPr>
        <w:t xml:space="preserve">, 5 </w:t>
      </w:r>
      <w:proofErr w:type="spellStart"/>
      <w:r w:rsidRPr="0053645D">
        <w:rPr>
          <w:rFonts w:ascii="Arial" w:hAnsi="Arial" w:cs="Arial"/>
          <w:sz w:val="24"/>
          <w:szCs w:val="24"/>
        </w:rPr>
        <w:t>ms</w:t>
      </w:r>
      <w:proofErr w:type="spellEnd"/>
      <w:r w:rsidRPr="0053645D">
        <w:rPr>
          <w:rFonts w:ascii="Arial" w:hAnsi="Arial" w:cs="Arial"/>
          <w:sz w:val="24"/>
          <w:szCs w:val="24"/>
        </w:rPr>
        <w:t xml:space="preserve"> duration, 50 Hz) and a 1-s activation of the cue light above the active lever. Responses on the inactive lever had no programmed consequences. Daily sessions were 60 min in length. Once stable lever pressing was observed, a rate-frequency </w:t>
      </w:r>
      <w:proofErr w:type="spellStart"/>
      <w:r w:rsidRPr="0053645D">
        <w:rPr>
          <w:rFonts w:ascii="Arial" w:hAnsi="Arial" w:cs="Arial"/>
          <w:sz w:val="24"/>
          <w:szCs w:val="24"/>
        </w:rPr>
        <w:t>oICSS</w:t>
      </w:r>
      <w:proofErr w:type="spellEnd"/>
      <w:r w:rsidRPr="0053645D">
        <w:rPr>
          <w:rFonts w:ascii="Arial" w:hAnsi="Arial" w:cs="Arial"/>
          <w:sz w:val="24"/>
          <w:szCs w:val="24"/>
        </w:rPr>
        <w:t xml:space="preserve"> procedure was instituted. In this program, 6 stimulation frequencies (100, 50, 25, 10, 5, 1 Hz) were available in descending order during sessions, with a new frequency presented every 10 minutes. </w:t>
      </w:r>
    </w:p>
    <w:p w14:paraId="0E497839" w14:textId="001D6879" w:rsidR="0095317D" w:rsidRDefault="0095317D" w:rsidP="00CA7EE8">
      <w:pPr>
        <w:spacing w:line="480" w:lineRule="auto"/>
        <w:ind w:firstLine="720"/>
        <w:contextualSpacing/>
        <w:rPr>
          <w:rFonts w:ascii="Arial" w:hAnsi="Arial" w:cs="Arial"/>
          <w:sz w:val="24"/>
          <w:szCs w:val="24"/>
        </w:rPr>
      </w:pPr>
      <w:r w:rsidRPr="0053645D">
        <w:rPr>
          <w:rFonts w:ascii="Arial" w:hAnsi="Arial" w:cs="Arial"/>
          <w:sz w:val="24"/>
          <w:szCs w:val="24"/>
        </w:rPr>
        <w:t>Initially, we tested one group of mice with Δ</w:t>
      </w:r>
      <w:r w:rsidRPr="0053645D">
        <w:rPr>
          <w:rFonts w:ascii="Arial" w:hAnsi="Arial" w:cs="Arial"/>
          <w:sz w:val="24"/>
          <w:szCs w:val="24"/>
          <w:vertAlign w:val="superscript"/>
        </w:rPr>
        <w:t>9</w:t>
      </w:r>
      <w:r w:rsidRPr="0053645D">
        <w:rPr>
          <w:rFonts w:ascii="Arial" w:hAnsi="Arial" w:cs="Arial"/>
          <w:sz w:val="24"/>
          <w:szCs w:val="24"/>
        </w:rPr>
        <w:t xml:space="preserve">-THC (1 &amp; 3 mg/kg IP; 15 min prior to testing) and found that 3 mg/kg shifted the response-frequency curve to the right without suppressing locomotor activity. We then </w:t>
      </w:r>
      <w:r w:rsidR="00970B44">
        <w:rPr>
          <w:rFonts w:ascii="Arial" w:hAnsi="Arial" w:cs="Arial"/>
          <w:sz w:val="24"/>
          <w:szCs w:val="24"/>
        </w:rPr>
        <w:t>divided the animals into two groups to examine</w:t>
      </w:r>
      <w:r w:rsidRPr="0053645D">
        <w:rPr>
          <w:rFonts w:ascii="Arial" w:hAnsi="Arial" w:cs="Arial"/>
          <w:sz w:val="24"/>
          <w:szCs w:val="24"/>
        </w:rPr>
        <w:t xml:space="preserve"> </w:t>
      </w:r>
      <w:r w:rsidR="00970B44">
        <w:rPr>
          <w:rFonts w:ascii="Arial" w:hAnsi="Arial" w:cs="Arial"/>
          <w:sz w:val="24"/>
          <w:szCs w:val="24"/>
        </w:rPr>
        <w:t xml:space="preserve">the effects of </w:t>
      </w:r>
      <w:r w:rsidRPr="0053645D">
        <w:rPr>
          <w:rFonts w:ascii="Arial" w:hAnsi="Arial" w:cs="Arial"/>
          <w:sz w:val="24"/>
          <w:szCs w:val="24"/>
        </w:rPr>
        <w:t>PPAR</w:t>
      </w:r>
      <w:r w:rsidR="00970B44" w:rsidRPr="00970B44">
        <w:rPr>
          <w:rFonts w:ascii="Symbol" w:hAnsi="Symbol" w:cs="Arial"/>
          <w:sz w:val="24"/>
          <w:szCs w:val="24"/>
        </w:rPr>
        <w:t>a</w:t>
      </w:r>
      <w:r w:rsidR="00970B44">
        <w:rPr>
          <w:rFonts w:ascii="Arial" w:hAnsi="Arial" w:cs="Arial"/>
          <w:sz w:val="24"/>
          <w:szCs w:val="24"/>
        </w:rPr>
        <w:t xml:space="preserve"> and PPAR</w:t>
      </w:r>
      <w:r w:rsidR="00970B44" w:rsidRPr="00970B44">
        <w:rPr>
          <w:rFonts w:ascii="Symbol" w:hAnsi="Symbol" w:cs="Arial"/>
          <w:sz w:val="24"/>
          <w:szCs w:val="24"/>
        </w:rPr>
        <w:t>g</w:t>
      </w:r>
      <w:r w:rsidRPr="0053645D">
        <w:rPr>
          <w:rFonts w:ascii="Arial" w:hAnsi="Arial" w:cs="Arial"/>
          <w:sz w:val="24"/>
          <w:szCs w:val="24"/>
        </w:rPr>
        <w:t xml:space="preserve"> antagonists </w:t>
      </w:r>
      <w:r w:rsidR="00970B44">
        <w:rPr>
          <w:rFonts w:ascii="Arial" w:hAnsi="Arial" w:cs="Arial"/>
          <w:sz w:val="24"/>
          <w:szCs w:val="24"/>
        </w:rPr>
        <w:t>on 3 mg/kg</w:t>
      </w:r>
      <w:r w:rsidRPr="0053645D">
        <w:rPr>
          <w:rFonts w:ascii="Arial" w:hAnsi="Arial" w:cs="Arial"/>
          <w:sz w:val="24"/>
          <w:szCs w:val="24"/>
        </w:rPr>
        <w:t xml:space="preserve"> Δ</w:t>
      </w:r>
      <w:r w:rsidRPr="0053645D">
        <w:rPr>
          <w:rFonts w:ascii="Arial" w:hAnsi="Arial" w:cs="Arial"/>
          <w:sz w:val="24"/>
          <w:szCs w:val="24"/>
          <w:vertAlign w:val="superscript"/>
        </w:rPr>
        <w:t>9</w:t>
      </w:r>
      <w:r w:rsidRPr="0053645D">
        <w:rPr>
          <w:rFonts w:ascii="Arial" w:hAnsi="Arial" w:cs="Arial"/>
          <w:sz w:val="24"/>
          <w:szCs w:val="24"/>
        </w:rPr>
        <w:t>-THC</w:t>
      </w:r>
      <w:r w:rsidR="00970B44">
        <w:rPr>
          <w:rFonts w:ascii="Arial" w:hAnsi="Arial" w:cs="Arial"/>
          <w:sz w:val="24"/>
          <w:szCs w:val="24"/>
        </w:rPr>
        <w:t xml:space="preserve">-induced changes in </w:t>
      </w:r>
      <w:proofErr w:type="spellStart"/>
      <w:r w:rsidR="00970B44">
        <w:rPr>
          <w:rFonts w:ascii="Arial" w:hAnsi="Arial" w:cs="Arial"/>
          <w:sz w:val="24"/>
          <w:szCs w:val="24"/>
        </w:rPr>
        <w:t>oICSS</w:t>
      </w:r>
      <w:proofErr w:type="spellEnd"/>
      <w:r w:rsidR="00970B44">
        <w:rPr>
          <w:rFonts w:ascii="Arial" w:hAnsi="Arial" w:cs="Arial"/>
          <w:sz w:val="24"/>
          <w:szCs w:val="24"/>
        </w:rPr>
        <w:t>, respectively.</w:t>
      </w:r>
      <w:r w:rsidRPr="0053645D">
        <w:rPr>
          <w:rFonts w:ascii="Arial" w:hAnsi="Arial" w:cs="Arial"/>
          <w:sz w:val="24"/>
          <w:szCs w:val="24"/>
        </w:rPr>
        <w:t xml:space="preserve"> GW6471 (a selective PPARα antagonist, 3 &amp; 5 mg/kg) and GW9662 (a selective PPAR</w:t>
      </w:r>
      <w:r w:rsidRPr="0053645D">
        <w:rPr>
          <w:rFonts w:ascii="Symbol" w:hAnsi="Symbol" w:cs="Arial"/>
          <w:sz w:val="24"/>
          <w:szCs w:val="24"/>
        </w:rPr>
        <w:t>g</w:t>
      </w:r>
      <w:r w:rsidRPr="0053645D">
        <w:rPr>
          <w:rFonts w:ascii="Arial" w:hAnsi="Arial" w:cs="Arial"/>
          <w:sz w:val="24"/>
          <w:szCs w:val="24"/>
        </w:rPr>
        <w:t xml:space="preserve"> antagonist, 2 &amp; 5 mg/kg) were delivered IP 15 minutes prior to 3 mg/kg Δ</w:t>
      </w:r>
      <w:r w:rsidRPr="0053645D">
        <w:rPr>
          <w:rFonts w:ascii="Arial" w:hAnsi="Arial" w:cs="Arial"/>
          <w:sz w:val="24"/>
          <w:szCs w:val="24"/>
          <w:vertAlign w:val="superscript"/>
        </w:rPr>
        <w:t>9</w:t>
      </w:r>
      <w:r w:rsidRPr="0053645D">
        <w:rPr>
          <w:rFonts w:ascii="Arial" w:hAnsi="Arial" w:cs="Arial"/>
          <w:sz w:val="24"/>
          <w:szCs w:val="24"/>
        </w:rPr>
        <w:t xml:space="preserve">-THC and after a 15 min drug absorption period, mice were placed in the </w:t>
      </w:r>
      <w:proofErr w:type="spellStart"/>
      <w:r w:rsidRPr="0053645D">
        <w:rPr>
          <w:rFonts w:ascii="Arial" w:hAnsi="Arial" w:cs="Arial"/>
          <w:sz w:val="24"/>
          <w:szCs w:val="24"/>
        </w:rPr>
        <w:t>oICSS</w:t>
      </w:r>
      <w:proofErr w:type="spellEnd"/>
      <w:r w:rsidRPr="0053645D">
        <w:rPr>
          <w:rFonts w:ascii="Arial" w:hAnsi="Arial" w:cs="Arial"/>
          <w:sz w:val="24"/>
          <w:szCs w:val="24"/>
        </w:rPr>
        <w:t xml:space="preserve"> chambers for testing. PPAR antagonists </w:t>
      </w:r>
      <w:r w:rsidR="00970B44">
        <w:rPr>
          <w:rFonts w:ascii="Arial" w:hAnsi="Arial" w:cs="Arial"/>
          <w:sz w:val="24"/>
          <w:szCs w:val="24"/>
        </w:rPr>
        <w:t>or</w:t>
      </w:r>
      <w:r w:rsidRPr="0053645D">
        <w:rPr>
          <w:rFonts w:ascii="Arial" w:hAnsi="Arial" w:cs="Arial"/>
          <w:sz w:val="24"/>
          <w:szCs w:val="24"/>
        </w:rPr>
        <w:t xml:space="preserve"> agonists </w:t>
      </w:r>
      <w:r w:rsidR="00970B44">
        <w:rPr>
          <w:rFonts w:ascii="Arial" w:hAnsi="Arial" w:cs="Arial"/>
          <w:sz w:val="24"/>
          <w:szCs w:val="24"/>
        </w:rPr>
        <w:t xml:space="preserve">alone </w:t>
      </w:r>
      <w:r w:rsidRPr="0053645D">
        <w:rPr>
          <w:rFonts w:ascii="Arial" w:hAnsi="Arial" w:cs="Arial"/>
          <w:sz w:val="24"/>
          <w:szCs w:val="24"/>
        </w:rPr>
        <w:t xml:space="preserve">were also tested </w:t>
      </w:r>
      <w:r>
        <w:rPr>
          <w:rFonts w:ascii="Arial" w:hAnsi="Arial" w:cs="Arial"/>
          <w:sz w:val="24"/>
          <w:szCs w:val="24"/>
        </w:rPr>
        <w:t>individually</w:t>
      </w:r>
      <w:r w:rsidRPr="0053645D">
        <w:rPr>
          <w:rFonts w:ascii="Arial" w:hAnsi="Arial" w:cs="Arial"/>
          <w:sz w:val="24"/>
          <w:szCs w:val="24"/>
        </w:rPr>
        <w:t xml:space="preserve">. Specifically, </w:t>
      </w:r>
      <w:r>
        <w:rPr>
          <w:rFonts w:ascii="Arial" w:hAnsi="Arial" w:cs="Arial"/>
          <w:sz w:val="24"/>
          <w:szCs w:val="24"/>
        </w:rPr>
        <w:t xml:space="preserve">different doses of </w:t>
      </w:r>
      <w:r w:rsidRPr="0053645D">
        <w:rPr>
          <w:rFonts w:ascii="Arial" w:hAnsi="Arial" w:cs="Arial"/>
          <w:sz w:val="24"/>
          <w:szCs w:val="24"/>
        </w:rPr>
        <w:t>GW6471 (3 &amp; 5 mg/kg), GW9662 (2 &amp; 5 mg/kg), GW7647 (a selective PPARα agonist, 3, 5, 10 mg/kg) and Pioglitazone (a selective PPAR</w:t>
      </w:r>
      <w:r w:rsidRPr="0053645D">
        <w:rPr>
          <w:rFonts w:ascii="Symbol" w:hAnsi="Symbol" w:cs="Arial"/>
          <w:sz w:val="24"/>
          <w:szCs w:val="24"/>
        </w:rPr>
        <w:t>g</w:t>
      </w:r>
      <w:r w:rsidRPr="0053645D">
        <w:rPr>
          <w:rFonts w:ascii="Arial" w:hAnsi="Arial" w:cs="Arial"/>
          <w:sz w:val="24"/>
          <w:szCs w:val="24"/>
        </w:rPr>
        <w:t xml:space="preserve"> antagonist, 3, 5, 10 mg/kg) were administered 15 minutes prior to a </w:t>
      </w:r>
      <w:r w:rsidRPr="0053645D">
        <w:rPr>
          <w:rFonts w:ascii="Arial" w:hAnsi="Arial" w:cs="Arial"/>
          <w:sz w:val="24"/>
          <w:szCs w:val="24"/>
        </w:rPr>
        <w:lastRenderedPageBreak/>
        <w:t xml:space="preserve">typical </w:t>
      </w:r>
      <w:proofErr w:type="spellStart"/>
      <w:r w:rsidRPr="0053645D">
        <w:rPr>
          <w:rFonts w:ascii="Arial" w:hAnsi="Arial" w:cs="Arial"/>
          <w:sz w:val="24"/>
          <w:szCs w:val="24"/>
        </w:rPr>
        <w:t>oICSS</w:t>
      </w:r>
      <w:proofErr w:type="spellEnd"/>
      <w:r w:rsidRPr="0053645D">
        <w:rPr>
          <w:rFonts w:ascii="Arial" w:hAnsi="Arial" w:cs="Arial"/>
          <w:sz w:val="24"/>
          <w:szCs w:val="24"/>
        </w:rPr>
        <w:t xml:space="preserve"> session</w:t>
      </w:r>
      <w:r w:rsidRPr="006337E7">
        <w:rPr>
          <w:rFonts w:ascii="Arial" w:hAnsi="Arial" w:cs="Arial"/>
          <w:sz w:val="24"/>
          <w:szCs w:val="24"/>
        </w:rPr>
        <w:t xml:space="preserve">. </w:t>
      </w:r>
      <w:r w:rsidR="006337E7" w:rsidRPr="006337E7">
        <w:rPr>
          <w:rFonts w:ascii="Arial" w:eastAsia="Times New Roman" w:hAnsi="Arial" w:cs="Arial"/>
          <w:sz w:val="24"/>
          <w:szCs w:val="24"/>
        </w:rPr>
        <w:t xml:space="preserve">Tests were conducted 3-5 days apart. </w:t>
      </w:r>
      <w:r w:rsidR="006337E7" w:rsidRPr="006337E7">
        <w:rPr>
          <w:rFonts w:ascii="Arial" w:eastAsia="Times New Roman" w:hAnsi="Arial" w:cs="Arial"/>
          <w:color w:val="000000"/>
          <w:sz w:val="24"/>
          <w:szCs w:val="24"/>
        </w:rPr>
        <w:t xml:space="preserve">The order of testing with different doses of </w:t>
      </w:r>
      <w:r w:rsidR="006337E7">
        <w:rPr>
          <w:rFonts w:ascii="Arial" w:eastAsia="Times New Roman" w:hAnsi="Arial" w:cs="Arial"/>
          <w:color w:val="000000"/>
          <w:sz w:val="24"/>
          <w:szCs w:val="24"/>
        </w:rPr>
        <w:t>a drug</w:t>
      </w:r>
      <w:r w:rsidR="006337E7" w:rsidRPr="006337E7">
        <w:rPr>
          <w:rFonts w:ascii="Arial" w:eastAsia="Times New Roman" w:hAnsi="Arial" w:cs="Arial"/>
          <w:color w:val="000000"/>
          <w:sz w:val="24"/>
          <w:szCs w:val="24"/>
        </w:rPr>
        <w:t xml:space="preserve"> was counterbalanced</w:t>
      </w:r>
      <w:r w:rsidR="006337E7">
        <w:rPr>
          <w:rFonts w:ascii="Arial" w:eastAsia="Times New Roman" w:hAnsi="Arial" w:cs="Arial"/>
          <w:color w:val="000000"/>
          <w:sz w:val="24"/>
          <w:szCs w:val="24"/>
        </w:rPr>
        <w:t>.</w:t>
      </w:r>
    </w:p>
    <w:p w14:paraId="033DAB39" w14:textId="77777777" w:rsidR="00CA7EE8" w:rsidRPr="0053645D" w:rsidRDefault="00CA7EE8" w:rsidP="00CA7EE8">
      <w:pPr>
        <w:spacing w:line="480" w:lineRule="auto"/>
        <w:ind w:firstLine="720"/>
        <w:contextualSpacing/>
        <w:rPr>
          <w:rFonts w:ascii="Arial" w:hAnsi="Arial" w:cs="Arial"/>
          <w:sz w:val="24"/>
          <w:szCs w:val="24"/>
        </w:rPr>
      </w:pPr>
    </w:p>
    <w:p w14:paraId="3395EE29" w14:textId="77777777" w:rsidR="0095317D" w:rsidRPr="00425CD0" w:rsidRDefault="0095317D" w:rsidP="0095317D">
      <w:pPr>
        <w:spacing w:line="480" w:lineRule="auto"/>
        <w:rPr>
          <w:rFonts w:ascii="Arial" w:hAnsi="Arial" w:cs="Arial"/>
          <w:b/>
          <w:bCs/>
          <w:sz w:val="24"/>
          <w:szCs w:val="24"/>
        </w:rPr>
      </w:pPr>
      <w:r w:rsidRPr="00425CD0">
        <w:rPr>
          <w:rFonts w:ascii="Arial" w:hAnsi="Arial" w:cs="Arial"/>
          <w:b/>
          <w:bCs/>
          <w:sz w:val="24"/>
          <w:szCs w:val="24"/>
        </w:rPr>
        <w:t xml:space="preserve">Experiment 4: </w:t>
      </w:r>
      <w:r>
        <w:rPr>
          <w:rFonts w:ascii="Arial" w:hAnsi="Arial" w:cs="Arial"/>
          <w:b/>
          <w:bCs/>
          <w:sz w:val="24"/>
          <w:szCs w:val="24"/>
        </w:rPr>
        <w:t>Conditioned p</w:t>
      </w:r>
      <w:r w:rsidRPr="00425CD0">
        <w:rPr>
          <w:rFonts w:ascii="Arial" w:hAnsi="Arial" w:cs="Arial"/>
          <w:b/>
          <w:bCs/>
          <w:sz w:val="24"/>
          <w:szCs w:val="24"/>
        </w:rPr>
        <w:t xml:space="preserve">lace </w:t>
      </w:r>
      <w:r>
        <w:rPr>
          <w:rFonts w:ascii="Arial" w:hAnsi="Arial" w:cs="Arial"/>
          <w:b/>
          <w:bCs/>
          <w:sz w:val="24"/>
          <w:szCs w:val="24"/>
        </w:rPr>
        <w:t>preference or aversion (CPP/CPA)</w:t>
      </w:r>
    </w:p>
    <w:p w14:paraId="05AFC7CB" w14:textId="6FDE6533" w:rsidR="0095317D" w:rsidRDefault="0095317D" w:rsidP="00CA7EE8">
      <w:pPr>
        <w:spacing w:line="480" w:lineRule="auto"/>
        <w:ind w:firstLine="720"/>
        <w:rPr>
          <w:rFonts w:ascii="Arial" w:hAnsi="Arial" w:cs="Arial"/>
          <w:sz w:val="24"/>
          <w:szCs w:val="24"/>
        </w:rPr>
      </w:pPr>
      <w:r>
        <w:rPr>
          <w:rFonts w:ascii="Arial" w:hAnsi="Arial" w:cs="Arial"/>
          <w:sz w:val="24"/>
          <w:szCs w:val="24"/>
        </w:rPr>
        <w:t>S</w:t>
      </w:r>
      <w:r w:rsidRPr="0053645D">
        <w:rPr>
          <w:rFonts w:ascii="Arial" w:hAnsi="Arial" w:cs="Arial"/>
          <w:sz w:val="24"/>
          <w:szCs w:val="24"/>
        </w:rPr>
        <w:t xml:space="preserve">ubjects underwent an 11-day place conditioning regimen. During the preconditioning (Day 1 &amp; 2) and postconditioning (Day 10 &amp; 11) phase, mice were placed in the center aisle of a place conditioning apparatus and allowed to explore all three compartments for 15 min. Time spent in each chamber was calculated. On days 3-9, subjects were restricted to one of the two large chambers for 45 min conditioning sessions. On drug days (3,5,7,9), </w:t>
      </w:r>
      <w:r w:rsidR="006337E7">
        <w:rPr>
          <w:rFonts w:ascii="Arial" w:hAnsi="Arial" w:cs="Arial"/>
          <w:sz w:val="24"/>
          <w:szCs w:val="24"/>
        </w:rPr>
        <w:t xml:space="preserve">different groups of mice were randomly </w:t>
      </w:r>
      <w:r w:rsidRPr="0053645D">
        <w:rPr>
          <w:rFonts w:ascii="Arial" w:hAnsi="Arial" w:cs="Arial"/>
          <w:sz w:val="24"/>
          <w:szCs w:val="24"/>
        </w:rPr>
        <w:t>pretrea</w:t>
      </w:r>
      <w:r w:rsidR="006337E7">
        <w:rPr>
          <w:rFonts w:ascii="Arial" w:hAnsi="Arial" w:cs="Arial"/>
          <w:sz w:val="24"/>
          <w:szCs w:val="24"/>
        </w:rPr>
        <w:t>ted</w:t>
      </w:r>
      <w:r w:rsidRPr="0053645D">
        <w:rPr>
          <w:rFonts w:ascii="Arial" w:hAnsi="Arial" w:cs="Arial"/>
          <w:sz w:val="24"/>
          <w:szCs w:val="24"/>
        </w:rPr>
        <w:t xml:space="preserve"> </w:t>
      </w:r>
      <w:r w:rsidR="006337E7">
        <w:rPr>
          <w:rFonts w:ascii="Arial" w:hAnsi="Arial" w:cs="Arial"/>
          <w:sz w:val="24"/>
          <w:szCs w:val="24"/>
        </w:rPr>
        <w:t>with</w:t>
      </w:r>
      <w:r w:rsidRPr="0053645D">
        <w:rPr>
          <w:rFonts w:ascii="Arial" w:hAnsi="Arial" w:cs="Arial"/>
          <w:sz w:val="24"/>
          <w:szCs w:val="24"/>
        </w:rPr>
        <w:t xml:space="preserve"> vehicle, GW6471 (3, 5 mg/kg) or GW9662 (2 or 5 mg/kg)</w:t>
      </w:r>
      <w:r w:rsidR="006337E7">
        <w:rPr>
          <w:rFonts w:ascii="Arial" w:hAnsi="Arial" w:cs="Arial"/>
          <w:sz w:val="24"/>
          <w:szCs w:val="24"/>
        </w:rPr>
        <w:t>, respectively,</w:t>
      </w:r>
      <w:r w:rsidRPr="0053645D">
        <w:rPr>
          <w:rFonts w:ascii="Arial" w:hAnsi="Arial" w:cs="Arial"/>
          <w:sz w:val="24"/>
          <w:szCs w:val="24"/>
        </w:rPr>
        <w:t xml:space="preserve"> 15 minutes prior to Δ</w:t>
      </w:r>
      <w:r w:rsidRPr="0053645D">
        <w:rPr>
          <w:rFonts w:ascii="Arial" w:hAnsi="Arial" w:cs="Arial"/>
          <w:sz w:val="24"/>
          <w:szCs w:val="24"/>
          <w:vertAlign w:val="superscript"/>
        </w:rPr>
        <w:t>9</w:t>
      </w:r>
      <w:r w:rsidRPr="0053645D">
        <w:rPr>
          <w:rFonts w:ascii="Arial" w:hAnsi="Arial" w:cs="Arial"/>
          <w:sz w:val="24"/>
          <w:szCs w:val="24"/>
        </w:rPr>
        <w:t xml:space="preserve">-THC (0 or 5 mg/kg) </w:t>
      </w:r>
      <w:r>
        <w:rPr>
          <w:rFonts w:ascii="Arial" w:hAnsi="Arial" w:cs="Arial"/>
          <w:sz w:val="24"/>
          <w:szCs w:val="24"/>
        </w:rPr>
        <w:t xml:space="preserve">injections </w:t>
      </w:r>
      <w:r w:rsidRPr="0053645D">
        <w:rPr>
          <w:rFonts w:ascii="Arial" w:hAnsi="Arial" w:cs="Arial"/>
          <w:sz w:val="24"/>
          <w:szCs w:val="24"/>
        </w:rPr>
        <w:t xml:space="preserve">and </w:t>
      </w:r>
      <w:r w:rsidR="006337E7">
        <w:rPr>
          <w:rFonts w:ascii="Arial" w:hAnsi="Arial" w:cs="Arial"/>
          <w:sz w:val="24"/>
          <w:szCs w:val="24"/>
        </w:rPr>
        <w:t xml:space="preserve">then </w:t>
      </w:r>
      <w:r w:rsidRPr="0053645D">
        <w:rPr>
          <w:rFonts w:ascii="Arial" w:hAnsi="Arial" w:cs="Arial"/>
          <w:sz w:val="24"/>
          <w:szCs w:val="24"/>
        </w:rPr>
        <w:t>immediate</w:t>
      </w:r>
      <w:r w:rsidR="006337E7">
        <w:rPr>
          <w:rFonts w:ascii="Arial" w:hAnsi="Arial" w:cs="Arial"/>
          <w:sz w:val="24"/>
          <w:szCs w:val="24"/>
        </w:rPr>
        <w:t>ly</w:t>
      </w:r>
      <w:r w:rsidRPr="0053645D">
        <w:rPr>
          <w:rFonts w:ascii="Arial" w:hAnsi="Arial" w:cs="Arial"/>
          <w:sz w:val="24"/>
          <w:szCs w:val="24"/>
        </w:rPr>
        <w:t xml:space="preserve"> place</w:t>
      </w:r>
      <w:r w:rsidR="006337E7">
        <w:rPr>
          <w:rFonts w:ascii="Arial" w:hAnsi="Arial" w:cs="Arial"/>
          <w:sz w:val="24"/>
          <w:szCs w:val="24"/>
        </w:rPr>
        <w:t>d</w:t>
      </w:r>
      <w:r w:rsidRPr="0053645D">
        <w:rPr>
          <w:rFonts w:ascii="Arial" w:hAnsi="Arial" w:cs="Arial"/>
          <w:sz w:val="24"/>
          <w:szCs w:val="24"/>
        </w:rPr>
        <w:t xml:space="preserve"> in one of the conditioning chambers. On saline days (4,6,8), subjects received two saline injections 15 minutes apart and entered the opposite chamber. The drug associated compartment was randomly selected. </w:t>
      </w:r>
    </w:p>
    <w:p w14:paraId="41DD4648" w14:textId="77777777" w:rsidR="00CA7EE8" w:rsidRPr="00CA7EE8" w:rsidRDefault="00CA7EE8" w:rsidP="00CA7EE8">
      <w:pPr>
        <w:spacing w:line="480" w:lineRule="auto"/>
        <w:ind w:firstLine="720"/>
        <w:rPr>
          <w:rFonts w:ascii="Arial" w:hAnsi="Arial" w:cs="Arial"/>
          <w:sz w:val="24"/>
          <w:szCs w:val="24"/>
        </w:rPr>
      </w:pPr>
    </w:p>
    <w:p w14:paraId="43906367" w14:textId="77777777" w:rsidR="0095317D" w:rsidRPr="00425CD0" w:rsidRDefault="0095317D" w:rsidP="0095317D">
      <w:pPr>
        <w:spacing w:line="480" w:lineRule="auto"/>
        <w:rPr>
          <w:rFonts w:ascii="Arial" w:hAnsi="Arial" w:cs="Arial"/>
          <w:b/>
          <w:bCs/>
          <w:sz w:val="24"/>
          <w:szCs w:val="24"/>
        </w:rPr>
      </w:pPr>
      <w:r w:rsidRPr="00425CD0">
        <w:rPr>
          <w:rFonts w:ascii="Arial" w:hAnsi="Arial" w:cs="Arial"/>
          <w:b/>
          <w:bCs/>
          <w:sz w:val="24"/>
          <w:szCs w:val="24"/>
        </w:rPr>
        <w:t xml:space="preserve">Experiment </w:t>
      </w:r>
      <w:r>
        <w:rPr>
          <w:rFonts w:ascii="Arial" w:hAnsi="Arial" w:cs="Arial"/>
          <w:b/>
          <w:bCs/>
          <w:sz w:val="24"/>
          <w:szCs w:val="24"/>
        </w:rPr>
        <w:t>5</w:t>
      </w:r>
      <w:r w:rsidRPr="00425CD0">
        <w:rPr>
          <w:rFonts w:ascii="Arial" w:hAnsi="Arial" w:cs="Arial"/>
          <w:b/>
          <w:bCs/>
          <w:sz w:val="24"/>
          <w:szCs w:val="24"/>
        </w:rPr>
        <w:t>: Elevated Plus Maze</w:t>
      </w:r>
    </w:p>
    <w:p w14:paraId="15424A27" w14:textId="451095AE" w:rsidR="0095317D" w:rsidRPr="0053645D" w:rsidRDefault="0095317D" w:rsidP="006337E7">
      <w:pPr>
        <w:spacing w:line="480" w:lineRule="auto"/>
        <w:ind w:firstLine="720"/>
        <w:contextualSpacing/>
        <w:rPr>
          <w:rFonts w:ascii="Arial" w:hAnsi="Arial" w:cs="Arial"/>
          <w:sz w:val="24"/>
          <w:szCs w:val="24"/>
        </w:rPr>
      </w:pPr>
      <w:r w:rsidRPr="0053645D">
        <w:rPr>
          <w:rFonts w:ascii="Arial" w:hAnsi="Arial" w:cs="Arial"/>
          <w:sz w:val="24"/>
          <w:szCs w:val="24"/>
        </w:rPr>
        <w:t>Mice were acclimated to the testing room containing the</w:t>
      </w:r>
      <w:r>
        <w:rPr>
          <w:rFonts w:ascii="Arial" w:hAnsi="Arial" w:cs="Arial"/>
          <w:sz w:val="24"/>
          <w:szCs w:val="24"/>
        </w:rPr>
        <w:t xml:space="preserve"> maze</w:t>
      </w:r>
      <w:r w:rsidRPr="0053645D">
        <w:rPr>
          <w:rFonts w:ascii="Arial" w:hAnsi="Arial" w:cs="Arial"/>
          <w:sz w:val="24"/>
          <w:szCs w:val="24"/>
        </w:rPr>
        <w:t xml:space="preserve"> for 1 </w:t>
      </w:r>
      <w:proofErr w:type="spellStart"/>
      <w:r w:rsidRPr="0053645D">
        <w:rPr>
          <w:rFonts w:ascii="Arial" w:hAnsi="Arial" w:cs="Arial"/>
          <w:sz w:val="24"/>
          <w:szCs w:val="24"/>
        </w:rPr>
        <w:t>hr</w:t>
      </w:r>
      <w:proofErr w:type="spellEnd"/>
      <w:r w:rsidRPr="0053645D">
        <w:rPr>
          <w:rFonts w:ascii="Arial" w:hAnsi="Arial" w:cs="Arial"/>
          <w:sz w:val="24"/>
          <w:szCs w:val="24"/>
        </w:rPr>
        <w:t xml:space="preserve"> and administered IP injections in a separate area. The testing room was dark with illumination provided by two standing lamps with red lightbulbs placed on opposite sides of the maze. After habituation, different groups of mice (9-13 per group) were injected with vehicle, GW6471 (3, 5 mg/kg), or GW9662 (2, 5 mg/kg) followed by a 15 min drug </w:t>
      </w:r>
      <w:r w:rsidRPr="0053645D">
        <w:rPr>
          <w:rFonts w:ascii="Arial" w:hAnsi="Arial" w:cs="Arial"/>
          <w:sz w:val="24"/>
          <w:szCs w:val="24"/>
        </w:rPr>
        <w:lastRenderedPageBreak/>
        <w:t>absorption period.</w:t>
      </w:r>
      <w:r>
        <w:rPr>
          <w:rFonts w:ascii="Arial" w:hAnsi="Arial" w:cs="Arial"/>
          <w:sz w:val="24"/>
          <w:szCs w:val="24"/>
        </w:rPr>
        <w:t xml:space="preserve"> A</w:t>
      </w:r>
      <w:r w:rsidRPr="0053645D">
        <w:rPr>
          <w:rFonts w:ascii="Arial" w:hAnsi="Arial" w:cs="Arial"/>
          <w:sz w:val="24"/>
          <w:szCs w:val="24"/>
        </w:rPr>
        <w:t>n anxiogenic dose of Δ</w:t>
      </w:r>
      <w:r w:rsidRPr="0053645D">
        <w:rPr>
          <w:rFonts w:ascii="Arial" w:hAnsi="Arial" w:cs="Arial"/>
          <w:sz w:val="24"/>
          <w:szCs w:val="24"/>
          <w:vertAlign w:val="superscript"/>
        </w:rPr>
        <w:t>9</w:t>
      </w:r>
      <w:r w:rsidRPr="0053645D">
        <w:rPr>
          <w:rFonts w:ascii="Arial" w:hAnsi="Arial" w:cs="Arial"/>
          <w:sz w:val="24"/>
          <w:szCs w:val="24"/>
        </w:rPr>
        <w:t xml:space="preserve">-THC (5 mg/kg) or vehicle was administered, and 30 min post injection mice were placed in the center of the EPM for five minutes. </w:t>
      </w:r>
      <w:proofErr w:type="spellStart"/>
      <w:r w:rsidRPr="0053645D">
        <w:rPr>
          <w:rFonts w:ascii="Arial" w:hAnsi="Arial" w:cs="Arial"/>
          <w:sz w:val="24"/>
          <w:szCs w:val="24"/>
        </w:rPr>
        <w:t>EthoVision</w:t>
      </w:r>
      <w:proofErr w:type="spellEnd"/>
      <w:r w:rsidRPr="0053645D">
        <w:rPr>
          <w:rFonts w:ascii="Arial" w:hAnsi="Arial" w:cs="Arial"/>
          <w:sz w:val="24"/>
          <w:szCs w:val="24"/>
        </w:rPr>
        <w:t xml:space="preserve"> software recorded time spent in the open and closed arms of the maze. </w:t>
      </w:r>
      <w:r>
        <w:rPr>
          <w:rFonts w:ascii="Arial" w:hAnsi="Arial" w:cs="Arial"/>
          <w:sz w:val="24"/>
          <w:szCs w:val="24"/>
        </w:rPr>
        <w:t xml:space="preserve">We were also interested in </w:t>
      </w:r>
      <w:r w:rsidRPr="0053645D">
        <w:rPr>
          <w:rFonts w:ascii="Arial" w:hAnsi="Arial" w:cs="Arial"/>
          <w:sz w:val="24"/>
          <w:szCs w:val="24"/>
        </w:rPr>
        <w:t xml:space="preserve">whether activation </w:t>
      </w:r>
      <w:r>
        <w:rPr>
          <w:rFonts w:ascii="Arial" w:hAnsi="Arial" w:cs="Arial"/>
          <w:sz w:val="24"/>
          <w:szCs w:val="24"/>
        </w:rPr>
        <w:t>or</w:t>
      </w:r>
      <w:r w:rsidRPr="0053645D">
        <w:rPr>
          <w:rFonts w:ascii="Arial" w:hAnsi="Arial" w:cs="Arial"/>
          <w:sz w:val="24"/>
          <w:szCs w:val="24"/>
        </w:rPr>
        <w:t xml:space="preserve"> inhibition </w:t>
      </w:r>
      <w:r>
        <w:rPr>
          <w:rFonts w:ascii="Arial" w:hAnsi="Arial" w:cs="Arial"/>
          <w:sz w:val="24"/>
          <w:szCs w:val="24"/>
        </w:rPr>
        <w:t>of</w:t>
      </w:r>
      <w:r w:rsidRPr="0053645D">
        <w:rPr>
          <w:rFonts w:ascii="Arial" w:hAnsi="Arial" w:cs="Arial"/>
          <w:sz w:val="24"/>
          <w:szCs w:val="24"/>
        </w:rPr>
        <w:t xml:space="preserve"> PPARα </w:t>
      </w:r>
      <w:r>
        <w:rPr>
          <w:rFonts w:ascii="Arial" w:hAnsi="Arial" w:cs="Arial"/>
          <w:sz w:val="24"/>
          <w:szCs w:val="24"/>
        </w:rPr>
        <w:t>or</w:t>
      </w:r>
      <w:r w:rsidRPr="0053645D">
        <w:rPr>
          <w:rFonts w:ascii="Arial" w:hAnsi="Arial" w:cs="Arial"/>
          <w:sz w:val="24"/>
          <w:szCs w:val="24"/>
        </w:rPr>
        <w:t xml:space="preserve"> </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w:t>
      </w:r>
      <w:r>
        <w:rPr>
          <w:rFonts w:ascii="Arial" w:hAnsi="Arial" w:cs="Arial"/>
          <w:sz w:val="24"/>
          <w:szCs w:val="24"/>
        </w:rPr>
        <w:t xml:space="preserve">produces changes in anxiety </w:t>
      </w:r>
      <w:r w:rsidRPr="0053645D">
        <w:rPr>
          <w:rFonts w:ascii="Arial" w:hAnsi="Arial" w:cs="Arial"/>
          <w:sz w:val="24"/>
          <w:szCs w:val="24"/>
        </w:rPr>
        <w:t>in the absence of Δ</w:t>
      </w:r>
      <w:r w:rsidRPr="0053645D">
        <w:rPr>
          <w:rFonts w:ascii="Arial" w:hAnsi="Arial" w:cs="Arial"/>
          <w:sz w:val="24"/>
          <w:szCs w:val="24"/>
          <w:vertAlign w:val="superscript"/>
        </w:rPr>
        <w:t>9</w:t>
      </w:r>
      <w:r w:rsidRPr="0053645D">
        <w:rPr>
          <w:rFonts w:ascii="Arial" w:hAnsi="Arial" w:cs="Arial"/>
          <w:sz w:val="24"/>
          <w:szCs w:val="24"/>
        </w:rPr>
        <w:t>-THC</w:t>
      </w:r>
      <w:r>
        <w:rPr>
          <w:rFonts w:ascii="Arial" w:hAnsi="Arial" w:cs="Arial"/>
          <w:sz w:val="24"/>
          <w:szCs w:val="24"/>
        </w:rPr>
        <w:t>. To test this,</w:t>
      </w:r>
      <w:r w:rsidRPr="0053645D">
        <w:rPr>
          <w:rFonts w:ascii="Arial" w:hAnsi="Arial" w:cs="Arial"/>
          <w:sz w:val="24"/>
          <w:szCs w:val="24"/>
        </w:rPr>
        <w:t xml:space="preserve"> the PPAR agonists pioglitazone and GW7647 (5 &amp; 10 mg/kg) and the PPAR antagonists GW6471 (3 &amp; 5 mg/kg) and GW9662 (2 &amp; 5 mg/kg) were tested alone in the EPM. Mice were injected 15 min prior to placement in the maze. </w:t>
      </w:r>
      <w:r w:rsidR="006337E7" w:rsidRPr="006337E7">
        <w:rPr>
          <w:rFonts w:ascii="Arial" w:eastAsia="Times New Roman" w:hAnsi="Arial" w:cs="Arial"/>
          <w:sz w:val="24"/>
          <w:szCs w:val="24"/>
        </w:rPr>
        <w:t xml:space="preserve">Tests were conducted 3-5 days apart. </w:t>
      </w:r>
      <w:r w:rsidR="006337E7" w:rsidRPr="006337E7">
        <w:rPr>
          <w:rFonts w:ascii="Arial" w:eastAsia="Times New Roman" w:hAnsi="Arial" w:cs="Arial"/>
          <w:color w:val="000000"/>
          <w:sz w:val="24"/>
          <w:szCs w:val="24"/>
        </w:rPr>
        <w:t xml:space="preserve">The order of testing with different doses of </w:t>
      </w:r>
      <w:r w:rsidR="006337E7">
        <w:rPr>
          <w:rFonts w:ascii="Arial" w:eastAsia="Times New Roman" w:hAnsi="Arial" w:cs="Arial"/>
          <w:color w:val="000000"/>
          <w:sz w:val="24"/>
          <w:szCs w:val="24"/>
        </w:rPr>
        <w:t>a drug</w:t>
      </w:r>
      <w:r w:rsidR="006337E7" w:rsidRPr="006337E7">
        <w:rPr>
          <w:rFonts w:ascii="Arial" w:eastAsia="Times New Roman" w:hAnsi="Arial" w:cs="Arial"/>
          <w:color w:val="000000"/>
          <w:sz w:val="24"/>
          <w:szCs w:val="24"/>
        </w:rPr>
        <w:t xml:space="preserve"> was counterbalanced</w:t>
      </w:r>
      <w:r w:rsidR="006337E7">
        <w:rPr>
          <w:rFonts w:ascii="Arial" w:eastAsia="Times New Roman" w:hAnsi="Arial" w:cs="Arial"/>
          <w:color w:val="000000"/>
          <w:sz w:val="24"/>
          <w:szCs w:val="24"/>
        </w:rPr>
        <w:t>.</w:t>
      </w:r>
    </w:p>
    <w:p w14:paraId="2B236494" w14:textId="77777777" w:rsidR="0095317D" w:rsidRDefault="0095317D" w:rsidP="0095317D">
      <w:pPr>
        <w:spacing w:line="480" w:lineRule="auto"/>
        <w:rPr>
          <w:rFonts w:ascii="Arial" w:hAnsi="Arial" w:cs="Arial"/>
          <w:b/>
          <w:bCs/>
          <w:sz w:val="24"/>
          <w:szCs w:val="24"/>
        </w:rPr>
      </w:pPr>
    </w:p>
    <w:p w14:paraId="07D65444" w14:textId="77777777" w:rsidR="0095317D" w:rsidRPr="00425CD0" w:rsidRDefault="0095317D" w:rsidP="0095317D">
      <w:pPr>
        <w:spacing w:line="480" w:lineRule="auto"/>
        <w:rPr>
          <w:rFonts w:ascii="Arial" w:hAnsi="Arial" w:cs="Arial"/>
          <w:b/>
          <w:bCs/>
          <w:sz w:val="24"/>
          <w:szCs w:val="24"/>
        </w:rPr>
      </w:pPr>
      <w:r w:rsidRPr="00425CD0">
        <w:rPr>
          <w:rFonts w:ascii="Arial" w:hAnsi="Arial" w:cs="Arial"/>
          <w:b/>
          <w:bCs/>
          <w:sz w:val="24"/>
          <w:szCs w:val="24"/>
        </w:rPr>
        <w:t xml:space="preserve">Experiment </w:t>
      </w:r>
      <w:r>
        <w:rPr>
          <w:rFonts w:ascii="Arial" w:hAnsi="Arial" w:cs="Arial"/>
          <w:b/>
          <w:bCs/>
          <w:sz w:val="24"/>
          <w:szCs w:val="24"/>
        </w:rPr>
        <w:t>6</w:t>
      </w:r>
      <w:r w:rsidRPr="00425CD0">
        <w:rPr>
          <w:rFonts w:ascii="Arial" w:hAnsi="Arial" w:cs="Arial"/>
          <w:b/>
          <w:bCs/>
          <w:sz w:val="24"/>
          <w:szCs w:val="24"/>
        </w:rPr>
        <w:t>: Open field Locomotion</w:t>
      </w:r>
    </w:p>
    <w:p w14:paraId="718919F7" w14:textId="77777777" w:rsidR="006337E7" w:rsidRPr="006337E7" w:rsidRDefault="0095317D" w:rsidP="006337E7">
      <w:pPr>
        <w:spacing w:line="480" w:lineRule="auto"/>
        <w:ind w:firstLine="720"/>
        <w:contextualSpacing/>
        <w:rPr>
          <w:rFonts w:ascii="Arial" w:hAnsi="Arial" w:cs="Arial"/>
          <w:sz w:val="24"/>
          <w:szCs w:val="24"/>
        </w:rPr>
      </w:pPr>
      <w:r w:rsidRPr="0053645D">
        <w:rPr>
          <w:rFonts w:ascii="Arial" w:hAnsi="Arial" w:cs="Arial"/>
          <w:sz w:val="24"/>
          <w:szCs w:val="24"/>
        </w:rPr>
        <w:t>Two groups of WT mice (n=8/group) were used to evaluate the locomotor effects of PPAR</w:t>
      </w:r>
      <w:r w:rsidRPr="0053645D">
        <w:rPr>
          <w:rFonts w:ascii="Symbol" w:hAnsi="Symbol" w:cs="Arial"/>
          <w:sz w:val="24"/>
          <w:szCs w:val="24"/>
        </w:rPr>
        <w:t>a</w:t>
      </w:r>
      <w:r w:rsidRPr="0053645D">
        <w:rPr>
          <w:rFonts w:ascii="Arial" w:hAnsi="Arial" w:cs="Arial"/>
          <w:sz w:val="24"/>
          <w:szCs w:val="24"/>
        </w:rPr>
        <w:t xml:space="preserve"> and PPAR</w:t>
      </w:r>
      <w:r w:rsidRPr="0053645D">
        <w:rPr>
          <w:rFonts w:ascii="Symbol" w:hAnsi="Symbol" w:cs="Arial"/>
          <w:sz w:val="24"/>
          <w:szCs w:val="24"/>
        </w:rPr>
        <w:t>g</w:t>
      </w:r>
      <w:r w:rsidRPr="0053645D">
        <w:rPr>
          <w:rFonts w:ascii="Arial" w:hAnsi="Arial" w:cs="Arial"/>
          <w:sz w:val="24"/>
          <w:szCs w:val="24"/>
        </w:rPr>
        <w:t xml:space="preserve"> compounds. Subjects were initially given a single 2-hr session to habituate to the chambers. On testing days, the PPARα antagonist GW6471 (0, 3, 5 mg/kg) or the </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antagonist GW9662 (0, 2, 5 mg/kg) was administered 15 minutes prior to injections of vehicle (5% </w:t>
      </w:r>
      <w:proofErr w:type="spellStart"/>
      <w:r w:rsidRPr="0053645D">
        <w:rPr>
          <w:rFonts w:ascii="Arial" w:hAnsi="Arial" w:cs="Arial"/>
          <w:sz w:val="24"/>
          <w:szCs w:val="24"/>
        </w:rPr>
        <w:t>cremophor</w:t>
      </w:r>
      <w:proofErr w:type="spellEnd"/>
      <w:r w:rsidRPr="0053645D">
        <w:rPr>
          <w:rFonts w:ascii="Arial" w:hAnsi="Arial" w:cs="Arial"/>
          <w:sz w:val="24"/>
          <w:szCs w:val="24"/>
        </w:rPr>
        <w:t>) or 3 mg/kg Δ</w:t>
      </w:r>
      <w:r w:rsidRPr="0053645D">
        <w:rPr>
          <w:rFonts w:ascii="Arial" w:hAnsi="Arial" w:cs="Arial"/>
          <w:sz w:val="24"/>
          <w:szCs w:val="24"/>
          <w:vertAlign w:val="superscript"/>
        </w:rPr>
        <w:t>9</w:t>
      </w:r>
      <w:r w:rsidRPr="0053645D">
        <w:rPr>
          <w:rFonts w:ascii="Arial" w:hAnsi="Arial" w:cs="Arial"/>
          <w:sz w:val="24"/>
          <w:szCs w:val="24"/>
        </w:rPr>
        <w:t xml:space="preserve">-THC. Animals were placed in the open field chambers for 2 </w:t>
      </w:r>
      <w:proofErr w:type="spellStart"/>
      <w:r w:rsidRPr="0053645D">
        <w:rPr>
          <w:rFonts w:ascii="Arial" w:hAnsi="Arial" w:cs="Arial"/>
          <w:sz w:val="24"/>
          <w:szCs w:val="24"/>
        </w:rPr>
        <w:t>hrs</w:t>
      </w:r>
      <w:proofErr w:type="spellEnd"/>
      <w:r w:rsidRPr="0053645D">
        <w:rPr>
          <w:rFonts w:ascii="Arial" w:hAnsi="Arial" w:cs="Arial"/>
          <w:sz w:val="24"/>
          <w:szCs w:val="24"/>
        </w:rPr>
        <w:t xml:space="preserve"> immediately following Δ</w:t>
      </w:r>
      <w:r w:rsidRPr="0053645D">
        <w:rPr>
          <w:rFonts w:ascii="Arial" w:hAnsi="Arial" w:cs="Arial"/>
          <w:sz w:val="24"/>
          <w:szCs w:val="24"/>
          <w:vertAlign w:val="superscript"/>
        </w:rPr>
        <w:t>9</w:t>
      </w:r>
      <w:r w:rsidRPr="0053645D">
        <w:rPr>
          <w:rFonts w:ascii="Arial" w:hAnsi="Arial" w:cs="Arial"/>
          <w:sz w:val="24"/>
          <w:szCs w:val="24"/>
        </w:rPr>
        <w:t>-THC injections. Th</w:t>
      </w:r>
      <w:r>
        <w:rPr>
          <w:rFonts w:ascii="Arial" w:hAnsi="Arial" w:cs="Arial"/>
          <w:sz w:val="24"/>
          <w:szCs w:val="24"/>
        </w:rPr>
        <w:t>e</w:t>
      </w:r>
      <w:r w:rsidRPr="0053645D">
        <w:rPr>
          <w:rFonts w:ascii="Arial" w:hAnsi="Arial" w:cs="Arial"/>
          <w:sz w:val="24"/>
          <w:szCs w:val="24"/>
        </w:rPr>
        <w:t xml:space="preserve"> dose of Δ</w:t>
      </w:r>
      <w:r w:rsidRPr="0053645D">
        <w:rPr>
          <w:rFonts w:ascii="Arial" w:hAnsi="Arial" w:cs="Arial"/>
          <w:sz w:val="24"/>
          <w:szCs w:val="24"/>
          <w:vertAlign w:val="superscript"/>
        </w:rPr>
        <w:t>9</w:t>
      </w:r>
      <w:r w:rsidRPr="0053645D">
        <w:rPr>
          <w:rFonts w:ascii="Arial" w:hAnsi="Arial" w:cs="Arial"/>
          <w:sz w:val="24"/>
          <w:szCs w:val="24"/>
        </w:rPr>
        <w:t xml:space="preserve">-THC was selected based on </w:t>
      </w:r>
      <w:r>
        <w:rPr>
          <w:rFonts w:ascii="Arial" w:hAnsi="Arial" w:cs="Arial"/>
          <w:sz w:val="24"/>
          <w:szCs w:val="24"/>
        </w:rPr>
        <w:t xml:space="preserve">a </w:t>
      </w:r>
      <w:r w:rsidRPr="0053645D">
        <w:rPr>
          <w:rFonts w:ascii="Arial" w:hAnsi="Arial" w:cs="Arial"/>
          <w:sz w:val="24"/>
          <w:szCs w:val="24"/>
        </w:rPr>
        <w:t xml:space="preserve">pilot study demonstrating a significant decrease in open field activity, </w:t>
      </w:r>
      <w:r>
        <w:rPr>
          <w:rFonts w:ascii="Arial" w:hAnsi="Arial" w:cs="Arial"/>
          <w:sz w:val="24"/>
          <w:szCs w:val="24"/>
        </w:rPr>
        <w:t xml:space="preserve">without </w:t>
      </w:r>
      <w:r w:rsidRPr="0053645D">
        <w:rPr>
          <w:rFonts w:ascii="Arial" w:hAnsi="Arial" w:cs="Arial"/>
          <w:sz w:val="24"/>
          <w:szCs w:val="24"/>
        </w:rPr>
        <w:t xml:space="preserve">altering </w:t>
      </w:r>
      <w:r>
        <w:rPr>
          <w:rFonts w:ascii="Arial" w:hAnsi="Arial" w:cs="Arial"/>
          <w:sz w:val="24"/>
          <w:szCs w:val="24"/>
        </w:rPr>
        <w:t xml:space="preserve">performance on the </w:t>
      </w:r>
      <w:r w:rsidRPr="0053645D">
        <w:rPr>
          <w:rFonts w:ascii="Arial" w:hAnsi="Arial" w:cs="Arial"/>
          <w:sz w:val="24"/>
          <w:szCs w:val="24"/>
        </w:rPr>
        <w:t xml:space="preserve">rotarod. We were also interested in whether manipulations of the PPAR by itself would affect locomotion. To assess this, four additional groups of mice (n = 8/group) were administered a PPARα agonist (5 and 10 mg/kg GW7647), </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agonist (5 and 10 mg/kg Pioglitazone), PPARα antagonist (3 and 5 mg/kg GW6471), or a </w:t>
      </w:r>
      <w:proofErr w:type="spellStart"/>
      <w:r w:rsidRPr="0053645D">
        <w:rPr>
          <w:rFonts w:ascii="Arial" w:hAnsi="Arial" w:cs="Arial"/>
          <w:sz w:val="24"/>
          <w:szCs w:val="24"/>
        </w:rPr>
        <w:t>PPARγ</w:t>
      </w:r>
      <w:proofErr w:type="spellEnd"/>
      <w:r w:rsidRPr="0053645D">
        <w:rPr>
          <w:rFonts w:ascii="Arial" w:hAnsi="Arial" w:cs="Arial"/>
          <w:sz w:val="24"/>
          <w:szCs w:val="24"/>
        </w:rPr>
        <w:t xml:space="preserve"> antagonist and placed in the open-field </w:t>
      </w:r>
      <w:r w:rsidRPr="0053645D">
        <w:rPr>
          <w:rFonts w:ascii="Arial" w:hAnsi="Arial" w:cs="Arial"/>
          <w:sz w:val="24"/>
          <w:szCs w:val="24"/>
        </w:rPr>
        <w:lastRenderedPageBreak/>
        <w:t xml:space="preserve">chambers for 2 hrs. </w:t>
      </w:r>
      <w:r w:rsidR="006337E7" w:rsidRPr="006337E7">
        <w:rPr>
          <w:rFonts w:ascii="Arial" w:eastAsia="Times New Roman" w:hAnsi="Arial" w:cs="Arial"/>
          <w:sz w:val="24"/>
          <w:szCs w:val="24"/>
        </w:rPr>
        <w:t xml:space="preserve">Tests were conducted 3-5 days apart. </w:t>
      </w:r>
      <w:r w:rsidR="006337E7" w:rsidRPr="006337E7">
        <w:rPr>
          <w:rFonts w:ascii="Arial" w:eastAsia="Times New Roman" w:hAnsi="Arial" w:cs="Arial"/>
          <w:color w:val="000000"/>
          <w:sz w:val="24"/>
          <w:szCs w:val="24"/>
        </w:rPr>
        <w:t xml:space="preserve">The order of testing with different doses of </w:t>
      </w:r>
      <w:r w:rsidR="006337E7">
        <w:rPr>
          <w:rFonts w:ascii="Arial" w:eastAsia="Times New Roman" w:hAnsi="Arial" w:cs="Arial"/>
          <w:color w:val="000000"/>
          <w:sz w:val="24"/>
          <w:szCs w:val="24"/>
        </w:rPr>
        <w:t>a drug</w:t>
      </w:r>
      <w:r w:rsidR="006337E7" w:rsidRPr="006337E7">
        <w:rPr>
          <w:rFonts w:ascii="Arial" w:eastAsia="Times New Roman" w:hAnsi="Arial" w:cs="Arial"/>
          <w:color w:val="000000"/>
          <w:sz w:val="24"/>
          <w:szCs w:val="24"/>
        </w:rPr>
        <w:t xml:space="preserve"> was counterbalanced</w:t>
      </w:r>
      <w:r w:rsidR="006337E7">
        <w:rPr>
          <w:rFonts w:ascii="Arial" w:eastAsia="Times New Roman" w:hAnsi="Arial" w:cs="Arial"/>
          <w:color w:val="000000"/>
          <w:sz w:val="24"/>
          <w:szCs w:val="24"/>
        </w:rPr>
        <w:t>.</w:t>
      </w:r>
    </w:p>
    <w:p w14:paraId="767869C1" w14:textId="77777777" w:rsidR="0095317D" w:rsidRDefault="0095317D" w:rsidP="0095317D">
      <w:pPr>
        <w:spacing w:line="480" w:lineRule="auto"/>
        <w:rPr>
          <w:rFonts w:ascii="Arial" w:hAnsi="Arial" w:cs="Arial"/>
          <w:b/>
          <w:bCs/>
          <w:sz w:val="24"/>
          <w:szCs w:val="24"/>
        </w:rPr>
      </w:pPr>
    </w:p>
    <w:p w14:paraId="047E0315" w14:textId="77777777" w:rsidR="0095317D" w:rsidRPr="00425CD0" w:rsidRDefault="0095317D" w:rsidP="0095317D">
      <w:pPr>
        <w:spacing w:line="480" w:lineRule="auto"/>
        <w:rPr>
          <w:rFonts w:ascii="Arial" w:hAnsi="Arial" w:cs="Arial"/>
          <w:b/>
          <w:bCs/>
          <w:sz w:val="24"/>
          <w:szCs w:val="24"/>
        </w:rPr>
      </w:pPr>
      <w:r w:rsidRPr="00425CD0">
        <w:rPr>
          <w:rFonts w:ascii="Arial" w:hAnsi="Arial" w:cs="Arial"/>
          <w:b/>
          <w:bCs/>
          <w:sz w:val="24"/>
          <w:szCs w:val="24"/>
        </w:rPr>
        <w:t xml:space="preserve">Experiment </w:t>
      </w:r>
      <w:r>
        <w:rPr>
          <w:rFonts w:ascii="Arial" w:hAnsi="Arial" w:cs="Arial"/>
          <w:b/>
          <w:bCs/>
          <w:sz w:val="24"/>
          <w:szCs w:val="24"/>
        </w:rPr>
        <w:t>7</w:t>
      </w:r>
      <w:r w:rsidRPr="00425CD0">
        <w:rPr>
          <w:rFonts w:ascii="Arial" w:hAnsi="Arial" w:cs="Arial"/>
          <w:b/>
          <w:bCs/>
          <w:sz w:val="24"/>
          <w:szCs w:val="24"/>
        </w:rPr>
        <w:t xml:space="preserve">: </w:t>
      </w:r>
      <w:r w:rsidRPr="00425CD0">
        <w:rPr>
          <w:rFonts w:ascii="Symbol" w:hAnsi="Symbol" w:cs="Arial"/>
          <w:b/>
          <w:bCs/>
          <w:sz w:val="24"/>
          <w:szCs w:val="24"/>
        </w:rPr>
        <w:t>D</w:t>
      </w:r>
      <w:r w:rsidRPr="00425CD0">
        <w:rPr>
          <w:rFonts w:ascii="Arial" w:hAnsi="Arial" w:cs="Arial"/>
          <w:b/>
          <w:bCs/>
          <w:sz w:val="24"/>
          <w:szCs w:val="24"/>
          <w:vertAlign w:val="superscript"/>
        </w:rPr>
        <w:t>9</w:t>
      </w:r>
      <w:r w:rsidRPr="00425CD0">
        <w:rPr>
          <w:rFonts w:ascii="Arial" w:hAnsi="Arial" w:cs="Arial"/>
          <w:b/>
          <w:bCs/>
          <w:sz w:val="24"/>
          <w:szCs w:val="24"/>
        </w:rPr>
        <w:t>-THC-</w:t>
      </w:r>
      <w:r>
        <w:rPr>
          <w:rFonts w:ascii="Arial" w:hAnsi="Arial" w:cs="Arial"/>
          <w:b/>
          <w:bCs/>
          <w:sz w:val="24"/>
          <w:szCs w:val="24"/>
        </w:rPr>
        <w:t>in</w:t>
      </w:r>
      <w:r w:rsidRPr="00425CD0">
        <w:rPr>
          <w:rFonts w:ascii="Arial" w:hAnsi="Arial" w:cs="Arial"/>
          <w:b/>
          <w:bCs/>
          <w:sz w:val="24"/>
          <w:szCs w:val="24"/>
        </w:rPr>
        <w:t>duced</w:t>
      </w:r>
      <w:r w:rsidRPr="0053645D">
        <w:rPr>
          <w:rFonts w:ascii="Arial" w:hAnsi="Arial" w:cs="Arial"/>
          <w:sz w:val="24"/>
          <w:szCs w:val="24"/>
        </w:rPr>
        <w:t xml:space="preserve"> </w:t>
      </w:r>
      <w:r w:rsidRPr="00425CD0">
        <w:rPr>
          <w:rFonts w:ascii="Arial" w:hAnsi="Arial" w:cs="Arial"/>
          <w:b/>
          <w:bCs/>
          <w:sz w:val="24"/>
          <w:szCs w:val="24"/>
        </w:rPr>
        <w:t>Tetrad</w:t>
      </w:r>
    </w:p>
    <w:p w14:paraId="7148FABE" w14:textId="0508E2D8" w:rsidR="0095317D" w:rsidRPr="0053645D" w:rsidRDefault="0095317D" w:rsidP="0095317D">
      <w:pPr>
        <w:spacing w:line="480" w:lineRule="auto"/>
        <w:ind w:firstLine="720"/>
        <w:rPr>
          <w:rFonts w:ascii="Arial" w:hAnsi="Arial" w:cs="Arial"/>
          <w:sz w:val="24"/>
          <w:szCs w:val="24"/>
        </w:rPr>
      </w:pPr>
      <w:r>
        <w:rPr>
          <w:rFonts w:ascii="Arial" w:hAnsi="Arial" w:cs="Arial"/>
          <w:sz w:val="24"/>
          <w:szCs w:val="24"/>
        </w:rPr>
        <w:t xml:space="preserve">Five groups of mice (n = 8 per group) were pretreated with vehicle, a PPARα (3 or 5 mg/kg GW6471), or </w:t>
      </w:r>
      <w:proofErr w:type="spellStart"/>
      <w:r>
        <w:rPr>
          <w:rFonts w:ascii="Arial" w:hAnsi="Arial" w:cs="Arial"/>
          <w:sz w:val="24"/>
          <w:szCs w:val="24"/>
        </w:rPr>
        <w:t>PPARγ</w:t>
      </w:r>
      <w:proofErr w:type="spellEnd"/>
      <w:r>
        <w:rPr>
          <w:rFonts w:ascii="Arial" w:hAnsi="Arial" w:cs="Arial"/>
          <w:sz w:val="24"/>
          <w:szCs w:val="24"/>
        </w:rPr>
        <w:t xml:space="preserve"> (2 or 5 mg/kg GW9662) antagonist and then were administered Δ</w:t>
      </w:r>
      <w:r>
        <w:rPr>
          <w:rFonts w:ascii="Arial" w:hAnsi="Arial" w:cs="Arial"/>
          <w:sz w:val="24"/>
          <w:szCs w:val="24"/>
          <w:vertAlign w:val="superscript"/>
        </w:rPr>
        <w:t>9</w:t>
      </w:r>
      <w:r>
        <w:rPr>
          <w:rFonts w:ascii="Arial" w:hAnsi="Arial" w:cs="Arial"/>
          <w:sz w:val="24"/>
          <w:szCs w:val="24"/>
        </w:rPr>
        <w:t xml:space="preserve">-THC. Baseline (time 0) data was collected on a series of four behavioral tests commonly referred to as ‘the tetrad’ </w:t>
      </w:r>
      <w:r>
        <w:rPr>
          <w:rFonts w:ascii="Arial" w:hAnsi="Arial" w:cs="Arial"/>
          <w:sz w:val="24"/>
          <w:szCs w:val="24"/>
        </w:rPr>
        <w:fldChar w:fldCharType="begin">
          <w:fldData xml:space="preserve">PEVuZE5vdGU+PENpdGU+PEF1dGhvcj5GcmlkZTwvQXV0aG9yPjxZZWFyPjIwMDY8L1llYXI+PFJl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==
</w:fldData>
        </w:fldChar>
      </w:r>
      <w:r w:rsidR="00AB38DA">
        <w:rPr>
          <w:rFonts w:ascii="Arial" w:hAnsi="Arial" w:cs="Arial"/>
          <w:sz w:val="24"/>
          <w:szCs w:val="24"/>
        </w:rPr>
        <w:instrText xml:space="preserve"> ADDIN EN.CITE </w:instrText>
      </w:r>
      <w:r w:rsidR="00AB38DA">
        <w:rPr>
          <w:rFonts w:ascii="Arial" w:hAnsi="Arial" w:cs="Arial"/>
          <w:sz w:val="24"/>
          <w:szCs w:val="24"/>
        </w:rPr>
        <w:fldChar w:fldCharType="begin">
          <w:fldData xml:space="preserve">PEVuZE5vdGU+PENpdGU+PEF1dGhvcj5GcmlkZTwvQXV0aG9yPjxZZWFyPjIwMDY8L1llYXI+PFJl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==
</w:fldData>
        </w:fldChar>
      </w:r>
      <w:r w:rsidR="00AB38DA">
        <w:rPr>
          <w:rFonts w:ascii="Arial" w:hAnsi="Arial" w:cs="Arial"/>
          <w:sz w:val="24"/>
          <w:szCs w:val="24"/>
        </w:rPr>
        <w:instrText xml:space="preserve"> ADDIN EN.CITE.DATA </w:instrText>
      </w:r>
      <w:r w:rsidR="00AB38DA">
        <w:rPr>
          <w:rFonts w:ascii="Arial" w:hAnsi="Arial" w:cs="Arial"/>
          <w:sz w:val="24"/>
          <w:szCs w:val="24"/>
        </w:rPr>
      </w:r>
      <w:r w:rsidR="00AB38DA">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AB38DA" w:rsidRPr="00AB38DA">
        <w:rPr>
          <w:rFonts w:ascii="Arial" w:hAnsi="Arial" w:cs="Arial"/>
          <w:noProof/>
          <w:sz w:val="24"/>
          <w:szCs w:val="24"/>
          <w:vertAlign w:val="superscript"/>
        </w:rPr>
        <w:t>1-3</w:t>
      </w:r>
      <w:r>
        <w:rPr>
          <w:rFonts w:ascii="Arial" w:hAnsi="Arial" w:cs="Arial"/>
          <w:sz w:val="24"/>
          <w:szCs w:val="24"/>
        </w:rPr>
        <w:fldChar w:fldCharType="end"/>
      </w:r>
      <w:r>
        <w:rPr>
          <w:rFonts w:ascii="Arial" w:hAnsi="Arial" w:cs="Arial"/>
          <w:sz w:val="24"/>
          <w:szCs w:val="24"/>
        </w:rPr>
        <w:t xml:space="preserve"> to measure cannabinoid-induced analgesia, catalepsy, </w:t>
      </w:r>
      <w:proofErr w:type="spellStart"/>
      <w:r>
        <w:rPr>
          <w:rFonts w:ascii="Arial" w:hAnsi="Arial" w:cs="Arial"/>
          <w:sz w:val="24"/>
          <w:szCs w:val="24"/>
        </w:rPr>
        <w:t>hypolocomotion</w:t>
      </w:r>
      <w:proofErr w:type="spellEnd"/>
      <w:r>
        <w:rPr>
          <w:rFonts w:ascii="Arial" w:hAnsi="Arial" w:cs="Arial"/>
          <w:sz w:val="24"/>
          <w:szCs w:val="24"/>
        </w:rPr>
        <w:t xml:space="preserve">, and hypothermia. The order of testing was randomized to prevent order effects. Each mouse received one of the five pretreatment injections followed by a </w:t>
      </w:r>
      <w:proofErr w:type="gramStart"/>
      <w:r>
        <w:rPr>
          <w:rFonts w:ascii="Arial" w:hAnsi="Arial" w:cs="Arial"/>
          <w:sz w:val="24"/>
          <w:szCs w:val="24"/>
        </w:rPr>
        <w:t>15 minute</w:t>
      </w:r>
      <w:proofErr w:type="gramEnd"/>
      <w:r>
        <w:rPr>
          <w:rFonts w:ascii="Arial" w:hAnsi="Arial" w:cs="Arial"/>
          <w:sz w:val="24"/>
          <w:szCs w:val="24"/>
        </w:rPr>
        <w:t xml:space="preserve"> drug absorption period. Next, Δ</w:t>
      </w:r>
      <w:r>
        <w:rPr>
          <w:rFonts w:ascii="Arial" w:hAnsi="Arial" w:cs="Arial"/>
          <w:sz w:val="24"/>
          <w:szCs w:val="24"/>
          <w:vertAlign w:val="superscript"/>
        </w:rPr>
        <w:t>9</w:t>
      </w:r>
      <w:r>
        <w:rPr>
          <w:rFonts w:ascii="Arial" w:hAnsi="Arial" w:cs="Arial"/>
          <w:sz w:val="24"/>
          <w:szCs w:val="24"/>
        </w:rPr>
        <w:t>-THC (0, 10, or 30 mg/kg) was administered, and tetrad assessments were taken 0.5, 1, 2 and 3 hrs. post injection. Subjects were assigned to a single pretreatment group but received all three doses of Δ</w:t>
      </w:r>
      <w:r>
        <w:rPr>
          <w:rFonts w:ascii="Arial" w:hAnsi="Arial" w:cs="Arial"/>
          <w:sz w:val="24"/>
          <w:szCs w:val="24"/>
          <w:vertAlign w:val="superscript"/>
        </w:rPr>
        <w:t>9</w:t>
      </w:r>
      <w:r>
        <w:rPr>
          <w:rFonts w:ascii="Arial" w:hAnsi="Arial" w:cs="Arial"/>
          <w:sz w:val="24"/>
          <w:szCs w:val="24"/>
        </w:rPr>
        <w:t xml:space="preserve">-THC in a random order with three washout days between rounds of testing. </w:t>
      </w:r>
      <w:r w:rsidRPr="00425CD0">
        <w:rPr>
          <w:rFonts w:ascii="Arial" w:hAnsi="Arial" w:cs="Arial"/>
          <w:b/>
          <w:bCs/>
          <w:i/>
          <w:iCs/>
          <w:sz w:val="24"/>
          <w:szCs w:val="24"/>
        </w:rPr>
        <w:t>Catalepsy</w:t>
      </w:r>
      <w:r w:rsidRPr="0053645D">
        <w:rPr>
          <w:rFonts w:ascii="Arial" w:hAnsi="Arial" w:cs="Arial"/>
          <w:i/>
          <w:iCs/>
          <w:sz w:val="24"/>
          <w:szCs w:val="24"/>
        </w:rPr>
        <w:t xml:space="preserve">: </w:t>
      </w:r>
      <w:r w:rsidRPr="0053645D">
        <w:rPr>
          <w:rFonts w:ascii="Arial" w:hAnsi="Arial" w:cs="Arial"/>
          <w:sz w:val="24"/>
          <w:szCs w:val="24"/>
        </w:rPr>
        <w:t>The elevated bar test evaluate</w:t>
      </w:r>
      <w:r>
        <w:rPr>
          <w:rFonts w:ascii="Arial" w:hAnsi="Arial" w:cs="Arial"/>
          <w:sz w:val="24"/>
          <w:szCs w:val="24"/>
        </w:rPr>
        <w:t>d</w:t>
      </w:r>
      <w:r w:rsidRPr="0053645D">
        <w:rPr>
          <w:rFonts w:ascii="Arial" w:hAnsi="Arial" w:cs="Arial"/>
          <w:sz w:val="24"/>
          <w:szCs w:val="24"/>
        </w:rPr>
        <w:t xml:space="preserve"> cataleptic behavior. Subjects’ front paws were arranged on a metal bar at a height to which their hind paws were just able to reach the ground. The latency for mice to reorient themselves and place both front paws on the ground was timed with a cut off period of 180 s. </w:t>
      </w:r>
    </w:p>
    <w:p w14:paraId="17C83B1E" w14:textId="77777777" w:rsidR="0095317D" w:rsidRPr="0053645D" w:rsidRDefault="0095317D" w:rsidP="0095317D">
      <w:pPr>
        <w:spacing w:line="480" w:lineRule="auto"/>
        <w:ind w:firstLine="720"/>
        <w:rPr>
          <w:rFonts w:ascii="Arial" w:hAnsi="Arial" w:cs="Arial"/>
          <w:sz w:val="24"/>
          <w:szCs w:val="24"/>
        </w:rPr>
      </w:pPr>
      <w:r w:rsidRPr="00425CD0">
        <w:rPr>
          <w:rFonts w:ascii="Arial" w:hAnsi="Arial" w:cs="Arial"/>
          <w:b/>
          <w:bCs/>
          <w:i/>
          <w:iCs/>
          <w:sz w:val="24"/>
          <w:szCs w:val="24"/>
        </w:rPr>
        <w:t>Analgesia</w:t>
      </w:r>
      <w:r w:rsidRPr="0053645D">
        <w:rPr>
          <w:rFonts w:ascii="Arial" w:hAnsi="Arial" w:cs="Arial"/>
          <w:i/>
          <w:iCs/>
          <w:sz w:val="24"/>
          <w:szCs w:val="24"/>
        </w:rPr>
        <w:t xml:space="preserve">: </w:t>
      </w:r>
      <w:r w:rsidRPr="0053645D">
        <w:rPr>
          <w:rFonts w:ascii="Arial" w:hAnsi="Arial" w:cs="Arial"/>
          <w:sz w:val="24"/>
          <w:szCs w:val="24"/>
        </w:rPr>
        <w:t xml:space="preserve">Analgesia was assessed using a hot plate device (Model 39, IITC Life Science Inc., CA). Mice were placed on a platform heated to 52°C with a transparent barrier in place and the latency to the first sign of pain was recorded. Thermal nociceptive signs included paw licking, stomping hind paws, or jumping. </w:t>
      </w:r>
      <w:r w:rsidRPr="0053645D">
        <w:rPr>
          <w:rFonts w:ascii="Arial" w:hAnsi="Arial" w:cs="Arial"/>
          <w:sz w:val="24"/>
          <w:szCs w:val="24"/>
        </w:rPr>
        <w:lastRenderedPageBreak/>
        <w:t xml:space="preserve">Animals were removed from the platform immediately following these behaviors or when </w:t>
      </w:r>
      <w:r>
        <w:rPr>
          <w:rFonts w:ascii="Arial" w:hAnsi="Arial" w:cs="Arial"/>
          <w:sz w:val="24"/>
          <w:szCs w:val="24"/>
        </w:rPr>
        <w:t xml:space="preserve">the </w:t>
      </w:r>
      <w:r w:rsidRPr="0053645D">
        <w:rPr>
          <w:rFonts w:ascii="Arial" w:hAnsi="Arial" w:cs="Arial"/>
          <w:sz w:val="24"/>
          <w:szCs w:val="24"/>
        </w:rPr>
        <w:t xml:space="preserve">60s duration was reached to avoid tissue damage. </w:t>
      </w:r>
    </w:p>
    <w:p w14:paraId="7790BD8B" w14:textId="77777777" w:rsidR="0095317D" w:rsidRPr="0053645D" w:rsidRDefault="0095317D" w:rsidP="0095317D">
      <w:pPr>
        <w:spacing w:line="480" w:lineRule="auto"/>
        <w:ind w:firstLine="720"/>
        <w:rPr>
          <w:rFonts w:ascii="Arial" w:hAnsi="Arial" w:cs="Arial"/>
          <w:sz w:val="24"/>
          <w:szCs w:val="24"/>
        </w:rPr>
      </w:pPr>
      <w:r w:rsidRPr="00425CD0">
        <w:rPr>
          <w:rFonts w:ascii="Arial" w:hAnsi="Arial" w:cs="Arial"/>
          <w:b/>
          <w:bCs/>
          <w:i/>
          <w:iCs/>
          <w:sz w:val="24"/>
          <w:szCs w:val="24"/>
        </w:rPr>
        <w:t>Hypothermia</w:t>
      </w:r>
      <w:r w:rsidRPr="0053645D">
        <w:rPr>
          <w:rFonts w:ascii="Arial" w:hAnsi="Arial" w:cs="Arial"/>
          <w:i/>
          <w:iCs/>
          <w:sz w:val="24"/>
          <w:szCs w:val="24"/>
        </w:rPr>
        <w:t>:</w:t>
      </w:r>
      <w:r w:rsidRPr="0053645D">
        <w:rPr>
          <w:rFonts w:ascii="Arial" w:hAnsi="Arial" w:cs="Arial"/>
          <w:sz w:val="24"/>
          <w:szCs w:val="24"/>
        </w:rPr>
        <w:t xml:space="preserve"> A rectal thermometer measured decreases in body temperature (°C). The RET-2 rectal probe (Harvard Apparatus, Holliston, MA) was lubricated and gently inserted 2 cm into the rectum. </w:t>
      </w:r>
    </w:p>
    <w:p w14:paraId="06C480ED" w14:textId="77777777" w:rsidR="0095317D" w:rsidRPr="00014BDD" w:rsidRDefault="0095317D" w:rsidP="0095317D">
      <w:pPr>
        <w:spacing w:line="480" w:lineRule="auto"/>
        <w:ind w:firstLine="720"/>
        <w:rPr>
          <w:rFonts w:ascii="Arial" w:hAnsi="Arial" w:cs="Arial"/>
          <w:sz w:val="24"/>
          <w:szCs w:val="24"/>
        </w:rPr>
      </w:pPr>
      <w:r w:rsidRPr="00425CD0">
        <w:rPr>
          <w:rFonts w:ascii="Arial" w:hAnsi="Arial" w:cs="Arial"/>
          <w:b/>
          <w:bCs/>
          <w:i/>
          <w:iCs/>
          <w:sz w:val="24"/>
          <w:szCs w:val="24"/>
        </w:rPr>
        <w:t>Immobility</w:t>
      </w:r>
      <w:r w:rsidRPr="0053645D">
        <w:rPr>
          <w:rFonts w:ascii="Arial" w:hAnsi="Arial" w:cs="Arial"/>
          <w:sz w:val="24"/>
          <w:szCs w:val="24"/>
        </w:rPr>
        <w:t xml:space="preserve">: Decreased coordination and mobility was assessed with a rotarod device (Harvard Apparatus). Subjects were trained for four days prior to the start of tetrad procedures. They were initially placed on the rotating bar at a low speed (5 revolutions per minute) which was incrementally increased until animals were able to maintain a 20 rev/min speed for at least 1 minute without falling. During testing, the rotarod program gradually increased speed from 4 to 40 rev/min over 5 minutes and the </w:t>
      </w:r>
      <w:r w:rsidRPr="00014BDD">
        <w:rPr>
          <w:rFonts w:ascii="Arial" w:hAnsi="Arial" w:cs="Arial"/>
          <w:sz w:val="24"/>
          <w:szCs w:val="24"/>
        </w:rPr>
        <w:t xml:space="preserve">amount of time it took for mice to fall off the bar was recorded.    </w:t>
      </w:r>
    </w:p>
    <w:p w14:paraId="49B36E10" w14:textId="3EB0B86C" w:rsidR="00AB38DA" w:rsidRPr="00014BDD" w:rsidRDefault="00AB38DA">
      <w:pPr>
        <w:rPr>
          <w:rFonts w:ascii="Arial" w:hAnsi="Arial" w:cs="Arial"/>
          <w:b/>
          <w:bCs/>
          <w:sz w:val="24"/>
          <w:szCs w:val="24"/>
        </w:rPr>
      </w:pPr>
    </w:p>
    <w:p w14:paraId="1BFE6F62" w14:textId="59F5A001" w:rsidR="00AB38DA" w:rsidRPr="00014BDD" w:rsidRDefault="00AB38DA">
      <w:pPr>
        <w:rPr>
          <w:rFonts w:ascii="Arial" w:hAnsi="Arial" w:cs="Arial"/>
          <w:b/>
          <w:bCs/>
          <w:sz w:val="24"/>
          <w:szCs w:val="24"/>
        </w:rPr>
      </w:pPr>
      <w:r w:rsidRPr="00014BDD">
        <w:rPr>
          <w:rFonts w:ascii="Arial" w:hAnsi="Arial" w:cs="Arial"/>
          <w:b/>
          <w:bCs/>
          <w:sz w:val="24"/>
          <w:szCs w:val="24"/>
        </w:rPr>
        <w:t>References:</w:t>
      </w:r>
    </w:p>
    <w:p w14:paraId="3F082B11" w14:textId="77777777" w:rsidR="00AB38DA" w:rsidRPr="00014BDD" w:rsidRDefault="00AB38DA">
      <w:pPr>
        <w:rPr>
          <w:rFonts w:ascii="Arial" w:hAnsi="Arial" w:cs="Arial"/>
          <w:sz w:val="24"/>
          <w:szCs w:val="24"/>
        </w:rPr>
      </w:pPr>
    </w:p>
    <w:p w14:paraId="4103D4BB" w14:textId="77777777" w:rsidR="00AB38DA" w:rsidRPr="00014BDD" w:rsidRDefault="00AB38DA" w:rsidP="00AB38DA">
      <w:pPr>
        <w:pStyle w:val="EndNoteBibliography"/>
        <w:ind w:left="720" w:hanging="720"/>
        <w:rPr>
          <w:rFonts w:ascii="Arial" w:hAnsi="Arial" w:cs="Arial"/>
          <w:sz w:val="24"/>
          <w:szCs w:val="24"/>
        </w:rPr>
      </w:pPr>
      <w:r w:rsidRPr="00014BDD">
        <w:rPr>
          <w:rFonts w:ascii="Arial" w:hAnsi="Arial" w:cs="Arial"/>
          <w:sz w:val="24"/>
          <w:szCs w:val="24"/>
        </w:rPr>
        <w:fldChar w:fldCharType="begin"/>
      </w:r>
      <w:r w:rsidRPr="00014BDD">
        <w:rPr>
          <w:rFonts w:ascii="Arial" w:hAnsi="Arial" w:cs="Arial"/>
          <w:sz w:val="24"/>
          <w:szCs w:val="24"/>
        </w:rPr>
        <w:instrText xml:space="preserve"> ADDIN EN.REFLIST </w:instrText>
      </w:r>
      <w:r w:rsidRPr="00014BDD">
        <w:rPr>
          <w:rFonts w:ascii="Arial" w:hAnsi="Arial" w:cs="Arial"/>
          <w:sz w:val="24"/>
          <w:szCs w:val="24"/>
        </w:rPr>
        <w:fldChar w:fldCharType="separate"/>
      </w:r>
      <w:r w:rsidRPr="00014BDD">
        <w:rPr>
          <w:rFonts w:ascii="Arial" w:hAnsi="Arial" w:cs="Arial"/>
          <w:sz w:val="24"/>
          <w:szCs w:val="24"/>
        </w:rPr>
        <w:t>1.</w:t>
      </w:r>
      <w:r w:rsidRPr="00014BDD">
        <w:rPr>
          <w:rFonts w:ascii="Arial" w:hAnsi="Arial" w:cs="Arial"/>
          <w:sz w:val="24"/>
          <w:szCs w:val="24"/>
        </w:rPr>
        <w:tab/>
        <w:t xml:space="preserve">Fride E, Perchuk A, Hall FS, Uhl GR, Onaivi ES. Behavioral Methods in Cannabinoid Research. In: Onaivi ES (ed). </w:t>
      </w:r>
      <w:r w:rsidRPr="00014BDD">
        <w:rPr>
          <w:rFonts w:ascii="Arial" w:hAnsi="Arial" w:cs="Arial"/>
          <w:i/>
          <w:sz w:val="24"/>
          <w:szCs w:val="24"/>
        </w:rPr>
        <w:t>Marijuana and Cannabinoid Research: Methods and Protocols</w:t>
      </w:r>
      <w:r w:rsidRPr="00014BDD">
        <w:rPr>
          <w:rFonts w:ascii="Arial" w:hAnsi="Arial" w:cs="Arial"/>
          <w:sz w:val="24"/>
          <w:szCs w:val="24"/>
        </w:rPr>
        <w:t>. Humana Press: Totowa, NJ, 2006, pp 269-290.</w:t>
      </w:r>
    </w:p>
    <w:p w14:paraId="12A37722" w14:textId="77777777" w:rsidR="00AB38DA" w:rsidRPr="00014BDD" w:rsidRDefault="00AB38DA" w:rsidP="00AB38DA">
      <w:pPr>
        <w:pStyle w:val="EndNoteBibliography"/>
        <w:spacing w:after="0"/>
        <w:rPr>
          <w:rFonts w:ascii="Arial" w:hAnsi="Arial" w:cs="Arial"/>
          <w:sz w:val="24"/>
          <w:szCs w:val="24"/>
        </w:rPr>
      </w:pPr>
    </w:p>
    <w:p w14:paraId="58F64DD3" w14:textId="77777777" w:rsidR="00AB38DA" w:rsidRPr="00014BDD" w:rsidRDefault="00AB38DA" w:rsidP="00AB38DA">
      <w:pPr>
        <w:pStyle w:val="EndNoteBibliography"/>
        <w:ind w:left="720" w:hanging="720"/>
        <w:rPr>
          <w:rFonts w:ascii="Arial" w:hAnsi="Arial" w:cs="Arial"/>
          <w:sz w:val="24"/>
          <w:szCs w:val="24"/>
        </w:rPr>
      </w:pPr>
      <w:r w:rsidRPr="00014BDD">
        <w:rPr>
          <w:rFonts w:ascii="Arial" w:hAnsi="Arial" w:cs="Arial"/>
          <w:sz w:val="24"/>
          <w:szCs w:val="24"/>
        </w:rPr>
        <w:t>2.</w:t>
      </w:r>
      <w:r w:rsidRPr="00014BDD">
        <w:rPr>
          <w:rFonts w:ascii="Arial" w:hAnsi="Arial" w:cs="Arial"/>
          <w:sz w:val="24"/>
          <w:szCs w:val="24"/>
        </w:rPr>
        <w:tab/>
        <w:t xml:space="preserve">Compton DR, Johnson MR, Melvin LS, Martin BR. Pharmacological profile of a series of bicyclic cannabinoid analogs: classification as cannabimimetic agents. </w:t>
      </w:r>
      <w:r w:rsidRPr="00014BDD">
        <w:rPr>
          <w:rFonts w:ascii="Arial" w:hAnsi="Arial" w:cs="Arial"/>
          <w:i/>
          <w:sz w:val="24"/>
          <w:szCs w:val="24"/>
        </w:rPr>
        <w:t>J Pharmacol Exp Ther</w:t>
      </w:r>
      <w:r w:rsidRPr="00014BDD">
        <w:rPr>
          <w:rFonts w:ascii="Arial" w:hAnsi="Arial" w:cs="Arial"/>
          <w:sz w:val="24"/>
          <w:szCs w:val="24"/>
        </w:rPr>
        <w:t xml:space="preserve"> 1992; </w:t>
      </w:r>
      <w:r w:rsidRPr="00014BDD">
        <w:rPr>
          <w:rFonts w:ascii="Arial" w:hAnsi="Arial" w:cs="Arial"/>
          <w:b/>
          <w:sz w:val="24"/>
          <w:szCs w:val="24"/>
        </w:rPr>
        <w:t>260</w:t>
      </w:r>
      <w:r w:rsidRPr="00014BDD">
        <w:rPr>
          <w:rFonts w:ascii="Arial" w:hAnsi="Arial" w:cs="Arial"/>
          <w:sz w:val="24"/>
          <w:szCs w:val="24"/>
        </w:rPr>
        <w:t>(1)</w:t>
      </w:r>
      <w:r w:rsidRPr="00014BDD">
        <w:rPr>
          <w:rFonts w:ascii="Arial" w:hAnsi="Arial" w:cs="Arial"/>
          <w:b/>
          <w:sz w:val="24"/>
          <w:szCs w:val="24"/>
        </w:rPr>
        <w:t xml:space="preserve">: </w:t>
      </w:r>
      <w:r w:rsidRPr="00014BDD">
        <w:rPr>
          <w:rFonts w:ascii="Arial" w:hAnsi="Arial" w:cs="Arial"/>
          <w:sz w:val="24"/>
          <w:szCs w:val="24"/>
        </w:rPr>
        <w:t>201-209.</w:t>
      </w:r>
    </w:p>
    <w:p w14:paraId="3797BD58" w14:textId="77777777" w:rsidR="00AB38DA" w:rsidRPr="00014BDD" w:rsidRDefault="00AB38DA" w:rsidP="00AB38DA">
      <w:pPr>
        <w:pStyle w:val="EndNoteBibliography"/>
        <w:spacing w:after="0"/>
        <w:rPr>
          <w:rFonts w:ascii="Arial" w:hAnsi="Arial" w:cs="Arial"/>
          <w:sz w:val="24"/>
          <w:szCs w:val="24"/>
        </w:rPr>
      </w:pPr>
    </w:p>
    <w:p w14:paraId="610FAD33" w14:textId="77777777" w:rsidR="00AB38DA" w:rsidRPr="00014BDD" w:rsidRDefault="00AB38DA" w:rsidP="00AB38DA">
      <w:pPr>
        <w:pStyle w:val="EndNoteBibliography"/>
        <w:ind w:left="720" w:hanging="720"/>
        <w:rPr>
          <w:rFonts w:ascii="Arial" w:hAnsi="Arial" w:cs="Arial"/>
          <w:sz w:val="24"/>
          <w:szCs w:val="24"/>
        </w:rPr>
      </w:pPr>
      <w:r w:rsidRPr="00014BDD">
        <w:rPr>
          <w:rFonts w:ascii="Arial" w:hAnsi="Arial" w:cs="Arial"/>
          <w:sz w:val="24"/>
          <w:szCs w:val="24"/>
        </w:rPr>
        <w:t>3.</w:t>
      </w:r>
      <w:r w:rsidRPr="00014BDD">
        <w:rPr>
          <w:rFonts w:ascii="Arial" w:hAnsi="Arial" w:cs="Arial"/>
          <w:sz w:val="24"/>
          <w:szCs w:val="24"/>
        </w:rPr>
        <w:tab/>
        <w:t xml:space="preserve">Little PJ, Compton DR, Johnson MR, Melvin LS, Martin BR. Pharmacology and stereoselectivity of structurally novel cannabinoids in mice. </w:t>
      </w:r>
      <w:r w:rsidRPr="00014BDD">
        <w:rPr>
          <w:rFonts w:ascii="Arial" w:hAnsi="Arial" w:cs="Arial"/>
          <w:i/>
          <w:sz w:val="24"/>
          <w:szCs w:val="24"/>
        </w:rPr>
        <w:t>J Pharmacol Exp Ther</w:t>
      </w:r>
      <w:r w:rsidRPr="00014BDD">
        <w:rPr>
          <w:rFonts w:ascii="Arial" w:hAnsi="Arial" w:cs="Arial"/>
          <w:sz w:val="24"/>
          <w:szCs w:val="24"/>
        </w:rPr>
        <w:t xml:space="preserve"> 1988; </w:t>
      </w:r>
      <w:r w:rsidRPr="00014BDD">
        <w:rPr>
          <w:rFonts w:ascii="Arial" w:hAnsi="Arial" w:cs="Arial"/>
          <w:b/>
          <w:sz w:val="24"/>
          <w:szCs w:val="24"/>
        </w:rPr>
        <w:t>247</w:t>
      </w:r>
      <w:r w:rsidRPr="00014BDD">
        <w:rPr>
          <w:rFonts w:ascii="Arial" w:hAnsi="Arial" w:cs="Arial"/>
          <w:sz w:val="24"/>
          <w:szCs w:val="24"/>
        </w:rPr>
        <w:t>(3)</w:t>
      </w:r>
      <w:r w:rsidRPr="00014BDD">
        <w:rPr>
          <w:rFonts w:ascii="Arial" w:hAnsi="Arial" w:cs="Arial"/>
          <w:b/>
          <w:sz w:val="24"/>
          <w:szCs w:val="24"/>
        </w:rPr>
        <w:t xml:space="preserve">: </w:t>
      </w:r>
      <w:r w:rsidRPr="00014BDD">
        <w:rPr>
          <w:rFonts w:ascii="Arial" w:hAnsi="Arial" w:cs="Arial"/>
          <w:sz w:val="24"/>
          <w:szCs w:val="24"/>
        </w:rPr>
        <w:t>1046-1051.</w:t>
      </w:r>
    </w:p>
    <w:p w14:paraId="5BB50FDD" w14:textId="77777777" w:rsidR="00AB38DA" w:rsidRPr="00014BDD" w:rsidRDefault="00AB38DA" w:rsidP="00AB38DA">
      <w:pPr>
        <w:pStyle w:val="EndNoteBibliography"/>
        <w:rPr>
          <w:rFonts w:ascii="Arial" w:hAnsi="Arial" w:cs="Arial"/>
          <w:sz w:val="24"/>
          <w:szCs w:val="24"/>
        </w:rPr>
      </w:pPr>
    </w:p>
    <w:p w14:paraId="4200D38C" w14:textId="481F6163" w:rsidR="00014BDD" w:rsidRDefault="00AB38DA" w:rsidP="00014BDD">
      <w:pPr>
        <w:rPr>
          <w:rFonts w:ascii="Arial" w:hAnsi="Arial" w:cs="Arial"/>
          <w:b/>
          <w:bCs/>
          <w:sz w:val="24"/>
          <w:szCs w:val="24"/>
        </w:rPr>
      </w:pPr>
      <w:r w:rsidRPr="00014BDD">
        <w:rPr>
          <w:rFonts w:ascii="Arial" w:hAnsi="Arial" w:cs="Arial"/>
          <w:sz w:val="24"/>
          <w:szCs w:val="24"/>
        </w:rPr>
        <w:lastRenderedPageBreak/>
        <w:fldChar w:fldCharType="end"/>
      </w:r>
      <w:r w:rsidR="00014BDD">
        <w:rPr>
          <w:rFonts w:ascii="Arial" w:hAnsi="Arial" w:cs="Arial"/>
          <w:b/>
          <w:bCs/>
          <w:sz w:val="24"/>
          <w:szCs w:val="24"/>
        </w:rPr>
        <w:t>Supplementary figure legends:</w:t>
      </w:r>
    </w:p>
    <w:p w14:paraId="76E7EED3" w14:textId="77777777" w:rsidR="00014BDD" w:rsidRDefault="00014BDD" w:rsidP="00014BDD">
      <w:pPr>
        <w:rPr>
          <w:rFonts w:ascii="Arial" w:hAnsi="Arial" w:cs="Arial"/>
          <w:b/>
          <w:bCs/>
          <w:sz w:val="24"/>
          <w:szCs w:val="24"/>
        </w:rPr>
      </w:pPr>
    </w:p>
    <w:p w14:paraId="34C069B7" w14:textId="77777777" w:rsidR="00014BDD" w:rsidRDefault="00014BDD" w:rsidP="00014BDD">
      <w:pPr>
        <w:rPr>
          <w:rFonts w:ascii="Arial" w:hAnsi="Arial" w:cs="Arial"/>
          <w:b/>
          <w:bCs/>
          <w:sz w:val="24"/>
          <w:szCs w:val="24"/>
        </w:rPr>
      </w:pPr>
      <w:r>
        <w:rPr>
          <w:rFonts w:ascii="Arial" w:hAnsi="Arial" w:cs="Arial"/>
          <w:b/>
          <w:bCs/>
          <w:sz w:val="24"/>
          <w:szCs w:val="24"/>
        </w:rPr>
        <w:t xml:space="preserve">Figure Suppl-1 </w:t>
      </w:r>
      <w:r w:rsidRPr="00FC315D">
        <w:rPr>
          <w:rFonts w:ascii="Arial" w:hAnsi="Arial" w:cs="Arial"/>
          <w:sz w:val="24"/>
          <w:szCs w:val="24"/>
        </w:rPr>
        <w:t>(related to Fig. 1):</w:t>
      </w:r>
      <w:r>
        <w:rPr>
          <w:rFonts w:ascii="Arial" w:hAnsi="Arial" w:cs="Arial"/>
          <w:b/>
          <w:bCs/>
          <w:sz w:val="24"/>
          <w:szCs w:val="24"/>
        </w:rPr>
        <w:t xml:space="preserve"> </w:t>
      </w:r>
      <w:r w:rsidRPr="00716089">
        <w:rPr>
          <w:rFonts w:ascii="Arial" w:hAnsi="Arial" w:cs="Arial"/>
          <w:sz w:val="24"/>
          <w:szCs w:val="24"/>
        </w:rPr>
        <w:t>PPAR</w:t>
      </w:r>
      <w:r>
        <w:rPr>
          <w:rFonts w:ascii="Arial" w:hAnsi="Arial" w:cs="Arial"/>
          <w:b/>
          <w:bCs/>
          <w:sz w:val="24"/>
          <w:szCs w:val="24"/>
        </w:rPr>
        <w:t xml:space="preserve"> </w:t>
      </w:r>
      <w:proofErr w:type="spellStart"/>
      <w:r>
        <w:rPr>
          <w:rFonts w:ascii="Arial" w:hAnsi="Arial" w:cs="Arial"/>
          <w:sz w:val="24"/>
          <w:szCs w:val="24"/>
        </w:rPr>
        <w:t>RNAscope</w:t>
      </w:r>
      <w:proofErr w:type="spellEnd"/>
      <w:r>
        <w:rPr>
          <w:rFonts w:ascii="Arial" w:hAnsi="Arial" w:cs="Arial"/>
          <w:sz w:val="24"/>
          <w:szCs w:val="24"/>
        </w:rPr>
        <w:t xml:space="preserve"> ISH results - the same images as shown in Fig. 1 (</w:t>
      </w:r>
      <w:r w:rsidRPr="00136E2B">
        <w:rPr>
          <w:rFonts w:ascii="Arial" w:hAnsi="Arial" w:cs="Arial"/>
          <w:sz w:val="24"/>
          <w:szCs w:val="24"/>
        </w:rPr>
        <w:t>A, B</w:t>
      </w:r>
      <w:r>
        <w:rPr>
          <w:rFonts w:ascii="Arial" w:hAnsi="Arial" w:cs="Arial"/>
          <w:sz w:val="24"/>
          <w:szCs w:val="24"/>
        </w:rPr>
        <w:t>) under high magnification, illustrating that more DA neurons expressed PPAR</w:t>
      </w:r>
      <w:r w:rsidRPr="00F419C0">
        <w:rPr>
          <w:rFonts w:ascii="Symbol" w:hAnsi="Symbol" w:cs="Arial"/>
          <w:sz w:val="24"/>
          <w:szCs w:val="24"/>
        </w:rPr>
        <w:t>g</w:t>
      </w:r>
      <w:r w:rsidRPr="00F419C0">
        <w:rPr>
          <w:rFonts w:ascii="Arial" w:hAnsi="Arial" w:cs="Arial"/>
          <w:sz w:val="24"/>
          <w:szCs w:val="24"/>
        </w:rPr>
        <w:t xml:space="preserve"> </w:t>
      </w:r>
      <w:r w:rsidRPr="00136E2B">
        <w:rPr>
          <w:rFonts w:ascii="Arial" w:hAnsi="Arial" w:cs="Arial"/>
          <w:sz w:val="24"/>
          <w:szCs w:val="24"/>
        </w:rPr>
        <w:t xml:space="preserve">transcript </w:t>
      </w:r>
      <w:r>
        <w:rPr>
          <w:rFonts w:ascii="Arial" w:hAnsi="Arial" w:cs="Arial"/>
          <w:sz w:val="24"/>
          <w:szCs w:val="24"/>
        </w:rPr>
        <w:t>(</w:t>
      </w:r>
      <w:r w:rsidRPr="00136E2B">
        <w:rPr>
          <w:rFonts w:ascii="Arial" w:hAnsi="Arial" w:cs="Arial"/>
          <w:b/>
          <w:bCs/>
          <w:sz w:val="24"/>
          <w:szCs w:val="24"/>
        </w:rPr>
        <w:t>B</w:t>
      </w:r>
      <w:r>
        <w:rPr>
          <w:rFonts w:ascii="Arial" w:hAnsi="Arial" w:cs="Arial"/>
          <w:sz w:val="24"/>
          <w:szCs w:val="24"/>
        </w:rPr>
        <w:t>)</w:t>
      </w:r>
      <w:r w:rsidRPr="00136E2B">
        <w:rPr>
          <w:rFonts w:ascii="Arial" w:hAnsi="Arial" w:cs="Arial"/>
          <w:sz w:val="24"/>
          <w:szCs w:val="24"/>
        </w:rPr>
        <w:t xml:space="preserve"> than DA neurons </w:t>
      </w:r>
      <w:r>
        <w:rPr>
          <w:rFonts w:ascii="Arial" w:hAnsi="Arial" w:cs="Arial"/>
          <w:sz w:val="24"/>
          <w:szCs w:val="24"/>
        </w:rPr>
        <w:t>expressing</w:t>
      </w:r>
      <w:r w:rsidRPr="00136E2B">
        <w:rPr>
          <w:rFonts w:ascii="Arial" w:hAnsi="Arial" w:cs="Arial"/>
          <w:sz w:val="24"/>
          <w:szCs w:val="24"/>
        </w:rPr>
        <w:t xml:space="preserve"> PPAR</w:t>
      </w:r>
      <w:r w:rsidRPr="00136E2B">
        <w:rPr>
          <w:rFonts w:ascii="Symbol" w:hAnsi="Symbol" w:cs="Arial"/>
          <w:sz w:val="24"/>
          <w:szCs w:val="24"/>
        </w:rPr>
        <w:t>a</w:t>
      </w:r>
      <w:r w:rsidRPr="00136E2B">
        <w:rPr>
          <w:rFonts w:ascii="Arial" w:hAnsi="Arial" w:cs="Arial"/>
          <w:sz w:val="24"/>
          <w:szCs w:val="24"/>
        </w:rPr>
        <w:t xml:space="preserve"> transcript </w:t>
      </w:r>
      <w:r>
        <w:rPr>
          <w:rFonts w:ascii="Arial" w:hAnsi="Arial" w:cs="Arial"/>
          <w:sz w:val="24"/>
          <w:szCs w:val="24"/>
        </w:rPr>
        <w:t>(</w:t>
      </w:r>
      <w:r w:rsidRPr="00136E2B">
        <w:rPr>
          <w:rFonts w:ascii="Arial" w:hAnsi="Arial" w:cs="Arial"/>
          <w:b/>
          <w:bCs/>
          <w:sz w:val="24"/>
          <w:szCs w:val="24"/>
        </w:rPr>
        <w:t>A</w:t>
      </w:r>
      <w:r>
        <w:rPr>
          <w:rFonts w:ascii="Arial" w:hAnsi="Arial" w:cs="Arial"/>
          <w:sz w:val="24"/>
          <w:szCs w:val="24"/>
        </w:rPr>
        <w:t xml:space="preserve">). </w:t>
      </w:r>
      <w:r w:rsidRPr="00136E2B">
        <w:rPr>
          <w:rFonts w:ascii="Arial" w:hAnsi="Arial" w:cs="Arial"/>
          <w:sz w:val="24"/>
          <w:szCs w:val="24"/>
        </w:rPr>
        <w:t xml:space="preserve"> </w:t>
      </w:r>
    </w:p>
    <w:p w14:paraId="40E0BBBD" w14:textId="77777777" w:rsidR="00014BDD" w:rsidRDefault="00014BDD" w:rsidP="00014BDD">
      <w:pPr>
        <w:rPr>
          <w:rFonts w:ascii="Arial" w:hAnsi="Arial" w:cs="Arial"/>
          <w:b/>
          <w:bCs/>
          <w:sz w:val="24"/>
          <w:szCs w:val="24"/>
        </w:rPr>
      </w:pPr>
    </w:p>
    <w:p w14:paraId="54A472BD" w14:textId="3AC20904" w:rsidR="00014BDD" w:rsidRPr="00014BDD" w:rsidRDefault="00014BDD" w:rsidP="00014BDD">
      <w:pPr>
        <w:rPr>
          <w:rFonts w:ascii="Arial" w:hAnsi="Arial" w:cs="Arial"/>
          <w:b/>
          <w:bCs/>
          <w:sz w:val="24"/>
          <w:szCs w:val="24"/>
        </w:rPr>
      </w:pPr>
      <w:r>
        <w:rPr>
          <w:rFonts w:ascii="Arial" w:hAnsi="Arial" w:cs="Arial"/>
          <w:b/>
          <w:bCs/>
          <w:sz w:val="24"/>
          <w:szCs w:val="24"/>
        </w:rPr>
        <w:t xml:space="preserve">Figure Suppl-2: </w:t>
      </w:r>
      <w:proofErr w:type="spellStart"/>
      <w:r w:rsidRPr="004F0CF8">
        <w:rPr>
          <w:rFonts w:ascii="Arial" w:hAnsi="Arial" w:cs="Arial"/>
          <w:sz w:val="24"/>
          <w:szCs w:val="24"/>
        </w:rPr>
        <w:t>RNAscope</w:t>
      </w:r>
      <w:proofErr w:type="spellEnd"/>
      <w:r w:rsidRPr="004F0CF8">
        <w:rPr>
          <w:rFonts w:ascii="Arial" w:hAnsi="Arial" w:cs="Arial"/>
          <w:sz w:val="24"/>
          <w:szCs w:val="24"/>
        </w:rPr>
        <w:t xml:space="preserve"> ISH results indicating that PPAR</w:t>
      </w:r>
      <w:r w:rsidRPr="00490677">
        <w:rPr>
          <w:rFonts w:ascii="Symbol" w:hAnsi="Symbol" w:cs="Arial"/>
          <w:sz w:val="24"/>
          <w:szCs w:val="24"/>
        </w:rPr>
        <w:t>a</w:t>
      </w:r>
      <w:r w:rsidRPr="004F0CF8">
        <w:rPr>
          <w:rFonts w:ascii="Arial" w:hAnsi="Arial" w:cs="Arial"/>
          <w:sz w:val="24"/>
          <w:szCs w:val="24"/>
        </w:rPr>
        <w:t xml:space="preserve"> transcripts </w:t>
      </w:r>
      <w:r>
        <w:rPr>
          <w:rFonts w:ascii="Arial" w:hAnsi="Arial" w:cs="Arial"/>
          <w:sz w:val="24"/>
          <w:szCs w:val="24"/>
        </w:rPr>
        <w:t xml:space="preserve">were detected in a small subset of VGluT2-positive glutamate neurons and GAD1-positive GABA neurons in the VTA, </w:t>
      </w:r>
      <w:proofErr w:type="spellStart"/>
      <w:r>
        <w:rPr>
          <w:rFonts w:ascii="Arial" w:hAnsi="Arial" w:cs="Arial"/>
          <w:sz w:val="24"/>
          <w:szCs w:val="24"/>
        </w:rPr>
        <w:t>NAc</w:t>
      </w:r>
      <w:proofErr w:type="spellEnd"/>
      <w:r>
        <w:rPr>
          <w:rFonts w:ascii="Arial" w:hAnsi="Arial" w:cs="Arial"/>
          <w:sz w:val="24"/>
          <w:szCs w:val="24"/>
        </w:rPr>
        <w:t xml:space="preserve"> and amygdala.</w:t>
      </w:r>
    </w:p>
    <w:p w14:paraId="75F0A5BA" w14:textId="77777777" w:rsidR="00014BDD" w:rsidRDefault="00014BDD" w:rsidP="00014BDD">
      <w:pPr>
        <w:rPr>
          <w:rFonts w:ascii="Arial" w:hAnsi="Arial" w:cs="Arial"/>
          <w:b/>
          <w:bCs/>
          <w:sz w:val="24"/>
          <w:szCs w:val="24"/>
        </w:rPr>
      </w:pPr>
    </w:p>
    <w:p w14:paraId="43D28DA8" w14:textId="088F20F9" w:rsidR="00014BDD" w:rsidRPr="004F0CF8" w:rsidRDefault="00014BDD" w:rsidP="00014BDD">
      <w:pPr>
        <w:rPr>
          <w:rFonts w:ascii="Arial" w:hAnsi="Arial" w:cs="Arial"/>
          <w:sz w:val="24"/>
          <w:szCs w:val="24"/>
        </w:rPr>
      </w:pPr>
      <w:r>
        <w:rPr>
          <w:rFonts w:ascii="Arial" w:hAnsi="Arial" w:cs="Arial"/>
          <w:b/>
          <w:bCs/>
          <w:sz w:val="24"/>
          <w:szCs w:val="24"/>
        </w:rPr>
        <w:t xml:space="preserve">Figure Suppl-3: </w:t>
      </w:r>
      <w:proofErr w:type="spellStart"/>
      <w:r w:rsidRPr="004F0CF8">
        <w:rPr>
          <w:rFonts w:ascii="Arial" w:hAnsi="Arial" w:cs="Arial"/>
          <w:sz w:val="24"/>
          <w:szCs w:val="24"/>
        </w:rPr>
        <w:t>RNAscope</w:t>
      </w:r>
      <w:proofErr w:type="spellEnd"/>
      <w:r w:rsidRPr="004F0CF8">
        <w:rPr>
          <w:rFonts w:ascii="Arial" w:hAnsi="Arial" w:cs="Arial"/>
          <w:sz w:val="24"/>
          <w:szCs w:val="24"/>
        </w:rPr>
        <w:t xml:space="preserve"> ISH results indicating that PPAR</w:t>
      </w:r>
      <w:r>
        <w:rPr>
          <w:rFonts w:ascii="Symbol" w:hAnsi="Symbol" w:cs="Arial"/>
          <w:sz w:val="24"/>
          <w:szCs w:val="24"/>
        </w:rPr>
        <w:t>g</w:t>
      </w:r>
      <w:r w:rsidRPr="004F0CF8">
        <w:rPr>
          <w:rFonts w:ascii="Arial" w:hAnsi="Arial" w:cs="Arial"/>
          <w:sz w:val="24"/>
          <w:szCs w:val="24"/>
        </w:rPr>
        <w:t xml:space="preserve"> transcripts </w:t>
      </w:r>
      <w:r>
        <w:rPr>
          <w:rFonts w:ascii="Arial" w:hAnsi="Arial" w:cs="Arial"/>
          <w:sz w:val="24"/>
          <w:szCs w:val="24"/>
        </w:rPr>
        <w:t xml:space="preserve">were detected in a small subset of VGluT2-positive glutamate neurons and GAD1-positive GABA neurons in the VTA, </w:t>
      </w:r>
      <w:proofErr w:type="spellStart"/>
      <w:r>
        <w:rPr>
          <w:rFonts w:ascii="Arial" w:hAnsi="Arial" w:cs="Arial"/>
          <w:sz w:val="24"/>
          <w:szCs w:val="24"/>
        </w:rPr>
        <w:t>NAc</w:t>
      </w:r>
      <w:proofErr w:type="spellEnd"/>
      <w:r>
        <w:rPr>
          <w:rFonts w:ascii="Arial" w:hAnsi="Arial" w:cs="Arial"/>
          <w:sz w:val="24"/>
          <w:szCs w:val="24"/>
        </w:rPr>
        <w:t xml:space="preserve"> and amygdala.</w:t>
      </w:r>
    </w:p>
    <w:p w14:paraId="69B7A40D" w14:textId="77777777" w:rsidR="00014BDD" w:rsidRDefault="00014BDD" w:rsidP="00014BDD">
      <w:pPr>
        <w:rPr>
          <w:rFonts w:ascii="Arial" w:hAnsi="Arial" w:cs="Arial"/>
          <w:b/>
          <w:bCs/>
          <w:sz w:val="24"/>
          <w:szCs w:val="24"/>
        </w:rPr>
      </w:pPr>
    </w:p>
    <w:p w14:paraId="7F914D6E" w14:textId="2C12D665" w:rsidR="00014BDD" w:rsidRPr="00014BDD" w:rsidRDefault="00014BDD" w:rsidP="00014BDD">
      <w:pPr>
        <w:rPr>
          <w:rFonts w:ascii="Arial" w:hAnsi="Arial" w:cs="Arial"/>
          <w:sz w:val="24"/>
          <w:szCs w:val="24"/>
        </w:rPr>
      </w:pPr>
      <w:r>
        <w:rPr>
          <w:rFonts w:ascii="Arial" w:hAnsi="Arial" w:cs="Arial"/>
          <w:b/>
          <w:bCs/>
          <w:sz w:val="24"/>
          <w:szCs w:val="24"/>
        </w:rPr>
        <w:t xml:space="preserve">Figure Suppl-4: </w:t>
      </w:r>
      <w:r>
        <w:rPr>
          <w:rFonts w:ascii="Arial" w:hAnsi="Arial" w:cs="Arial"/>
          <w:sz w:val="24"/>
          <w:szCs w:val="24"/>
        </w:rPr>
        <w:t>PPAR</w:t>
      </w:r>
      <w:r w:rsidRPr="00490677">
        <w:rPr>
          <w:rFonts w:ascii="Symbol" w:hAnsi="Symbol" w:cs="Arial"/>
          <w:sz w:val="24"/>
          <w:szCs w:val="24"/>
        </w:rPr>
        <w:t>a</w:t>
      </w:r>
      <w:r>
        <w:rPr>
          <w:rFonts w:ascii="Arial" w:hAnsi="Arial" w:cs="Arial"/>
          <w:sz w:val="24"/>
          <w:szCs w:val="24"/>
        </w:rPr>
        <w:t>/</w:t>
      </w:r>
      <w:r w:rsidRPr="00490677">
        <w:rPr>
          <w:rFonts w:ascii="Symbol" w:hAnsi="Symbol" w:cs="Arial"/>
          <w:sz w:val="24"/>
          <w:szCs w:val="24"/>
        </w:rPr>
        <w:t>g</w:t>
      </w:r>
      <w:r>
        <w:rPr>
          <w:rFonts w:ascii="Arial" w:hAnsi="Arial" w:cs="Arial"/>
          <w:sz w:val="24"/>
          <w:szCs w:val="24"/>
        </w:rPr>
        <w:t>-immunostaining in the VTA,</w:t>
      </w:r>
      <w:r w:rsidRPr="004F0CF8">
        <w:rPr>
          <w:rFonts w:ascii="Arial" w:hAnsi="Arial" w:cs="Arial"/>
          <w:sz w:val="24"/>
          <w:szCs w:val="24"/>
        </w:rPr>
        <w:t xml:space="preserve"> indicating that PPAR</w:t>
      </w:r>
      <w:r w:rsidRPr="00490677">
        <w:rPr>
          <w:rFonts w:ascii="Symbol" w:hAnsi="Symbol" w:cs="Arial"/>
          <w:sz w:val="24"/>
          <w:szCs w:val="24"/>
        </w:rPr>
        <w:t>a</w:t>
      </w:r>
      <w:r w:rsidRPr="004F0CF8">
        <w:rPr>
          <w:rFonts w:ascii="Arial" w:hAnsi="Arial" w:cs="Arial"/>
          <w:sz w:val="24"/>
          <w:szCs w:val="24"/>
        </w:rPr>
        <w:t xml:space="preserve"> </w:t>
      </w:r>
      <w:r>
        <w:rPr>
          <w:rFonts w:ascii="Arial" w:hAnsi="Arial" w:cs="Arial"/>
          <w:sz w:val="24"/>
          <w:szCs w:val="24"/>
        </w:rPr>
        <w:t>and PPAR</w:t>
      </w:r>
      <w:r w:rsidRPr="00490677">
        <w:rPr>
          <w:rFonts w:ascii="Symbol" w:hAnsi="Symbol" w:cs="Arial"/>
          <w:sz w:val="24"/>
          <w:szCs w:val="24"/>
        </w:rPr>
        <w:t>g</w:t>
      </w:r>
      <w:r>
        <w:rPr>
          <w:rFonts w:ascii="Arial" w:hAnsi="Arial" w:cs="Arial"/>
          <w:sz w:val="24"/>
          <w:szCs w:val="24"/>
        </w:rPr>
        <w:t xml:space="preserve"> were detected in a subset of VGluT2-positive glutamate neurons and GAD67-positive GABA neurons.</w:t>
      </w:r>
    </w:p>
    <w:p w14:paraId="14C05276" w14:textId="77777777" w:rsidR="00014BDD" w:rsidRDefault="00014BDD" w:rsidP="00014BDD">
      <w:pPr>
        <w:rPr>
          <w:rFonts w:ascii="Arial" w:hAnsi="Arial" w:cs="Arial"/>
          <w:b/>
          <w:bCs/>
          <w:sz w:val="24"/>
          <w:szCs w:val="24"/>
        </w:rPr>
      </w:pPr>
    </w:p>
    <w:p w14:paraId="04546848" w14:textId="451D6BE0" w:rsidR="00014BDD" w:rsidRPr="00014BDD" w:rsidRDefault="00014BDD" w:rsidP="00014BDD">
      <w:pPr>
        <w:rPr>
          <w:rFonts w:ascii="Arial" w:hAnsi="Arial" w:cs="Arial"/>
          <w:sz w:val="24"/>
          <w:szCs w:val="24"/>
        </w:rPr>
      </w:pPr>
      <w:r>
        <w:rPr>
          <w:rFonts w:ascii="Arial" w:hAnsi="Arial" w:cs="Arial"/>
          <w:b/>
          <w:bCs/>
          <w:sz w:val="24"/>
          <w:szCs w:val="24"/>
        </w:rPr>
        <w:t xml:space="preserve">Figure Suppl-5: </w:t>
      </w:r>
      <w:r>
        <w:rPr>
          <w:rFonts w:ascii="Arial" w:hAnsi="Arial" w:cs="Arial"/>
          <w:sz w:val="24"/>
          <w:szCs w:val="24"/>
        </w:rPr>
        <w:t>PPAR</w:t>
      </w:r>
      <w:r w:rsidRPr="00490677">
        <w:rPr>
          <w:rFonts w:ascii="Symbol" w:hAnsi="Symbol" w:cs="Arial"/>
          <w:sz w:val="24"/>
          <w:szCs w:val="24"/>
        </w:rPr>
        <w:t>a</w:t>
      </w:r>
      <w:r>
        <w:rPr>
          <w:rFonts w:ascii="Arial" w:hAnsi="Arial" w:cs="Arial"/>
          <w:sz w:val="24"/>
          <w:szCs w:val="24"/>
        </w:rPr>
        <w:t>/</w:t>
      </w:r>
      <w:r w:rsidRPr="00490677">
        <w:rPr>
          <w:rFonts w:ascii="Symbol" w:hAnsi="Symbol" w:cs="Arial"/>
          <w:sz w:val="24"/>
          <w:szCs w:val="24"/>
        </w:rPr>
        <w:t>g</w:t>
      </w:r>
      <w:r>
        <w:rPr>
          <w:rFonts w:ascii="Arial" w:hAnsi="Arial" w:cs="Arial"/>
          <w:sz w:val="24"/>
          <w:szCs w:val="24"/>
        </w:rPr>
        <w:t>-immunostaining in the amygdala,</w:t>
      </w:r>
      <w:r w:rsidRPr="004F0CF8">
        <w:rPr>
          <w:rFonts w:ascii="Arial" w:hAnsi="Arial" w:cs="Arial"/>
          <w:sz w:val="24"/>
          <w:szCs w:val="24"/>
        </w:rPr>
        <w:t xml:space="preserve"> indicating that PPAR</w:t>
      </w:r>
      <w:r w:rsidRPr="00490677">
        <w:rPr>
          <w:rFonts w:ascii="Symbol" w:hAnsi="Symbol" w:cs="Arial"/>
          <w:sz w:val="24"/>
          <w:szCs w:val="24"/>
        </w:rPr>
        <w:t>a</w:t>
      </w:r>
      <w:r w:rsidRPr="004F0CF8">
        <w:rPr>
          <w:rFonts w:ascii="Arial" w:hAnsi="Arial" w:cs="Arial"/>
          <w:sz w:val="24"/>
          <w:szCs w:val="24"/>
        </w:rPr>
        <w:t xml:space="preserve"> </w:t>
      </w:r>
      <w:r>
        <w:rPr>
          <w:rFonts w:ascii="Arial" w:hAnsi="Arial" w:cs="Arial"/>
          <w:sz w:val="24"/>
          <w:szCs w:val="24"/>
        </w:rPr>
        <w:t>and PPAR</w:t>
      </w:r>
      <w:r w:rsidRPr="00490677">
        <w:rPr>
          <w:rFonts w:ascii="Symbol" w:hAnsi="Symbol" w:cs="Arial"/>
          <w:sz w:val="24"/>
          <w:szCs w:val="24"/>
        </w:rPr>
        <w:t>g</w:t>
      </w:r>
      <w:r>
        <w:rPr>
          <w:rFonts w:ascii="Arial" w:hAnsi="Arial" w:cs="Arial"/>
          <w:sz w:val="24"/>
          <w:szCs w:val="24"/>
        </w:rPr>
        <w:t xml:space="preserve"> were detected in a subset of VGluT2-positive glutamate neurons and GAD67-positive GABA neurons.</w:t>
      </w:r>
    </w:p>
    <w:p w14:paraId="6BE3ED07" w14:textId="77777777" w:rsidR="00014BDD" w:rsidRDefault="00014BDD" w:rsidP="00014BDD">
      <w:pPr>
        <w:rPr>
          <w:rFonts w:ascii="Arial" w:hAnsi="Arial" w:cs="Arial"/>
          <w:b/>
          <w:bCs/>
          <w:sz w:val="24"/>
          <w:szCs w:val="24"/>
        </w:rPr>
      </w:pPr>
    </w:p>
    <w:p w14:paraId="35313440" w14:textId="3128236D" w:rsidR="00014BDD" w:rsidRPr="004F0CF8" w:rsidRDefault="00014BDD" w:rsidP="00014BDD">
      <w:pPr>
        <w:rPr>
          <w:rFonts w:ascii="Arial" w:hAnsi="Arial" w:cs="Arial"/>
          <w:sz w:val="24"/>
          <w:szCs w:val="24"/>
        </w:rPr>
      </w:pPr>
      <w:r>
        <w:rPr>
          <w:rFonts w:ascii="Arial" w:hAnsi="Arial" w:cs="Arial"/>
          <w:b/>
          <w:bCs/>
          <w:sz w:val="24"/>
          <w:szCs w:val="24"/>
        </w:rPr>
        <w:t xml:space="preserve">Figure Suppl-6: </w:t>
      </w:r>
      <w:r>
        <w:rPr>
          <w:rFonts w:ascii="Arial" w:hAnsi="Arial" w:cs="Arial"/>
          <w:sz w:val="24"/>
          <w:szCs w:val="24"/>
        </w:rPr>
        <w:t>PPAR</w:t>
      </w:r>
      <w:r w:rsidRPr="00490677">
        <w:rPr>
          <w:rFonts w:ascii="Symbol" w:hAnsi="Symbol" w:cs="Arial"/>
          <w:sz w:val="24"/>
          <w:szCs w:val="24"/>
        </w:rPr>
        <w:t>a</w:t>
      </w:r>
      <w:r>
        <w:rPr>
          <w:rFonts w:ascii="Arial" w:hAnsi="Arial" w:cs="Arial"/>
          <w:sz w:val="24"/>
          <w:szCs w:val="24"/>
        </w:rPr>
        <w:t>/</w:t>
      </w:r>
      <w:r w:rsidRPr="00490677">
        <w:rPr>
          <w:rFonts w:ascii="Symbol" w:hAnsi="Symbol" w:cs="Arial"/>
          <w:sz w:val="24"/>
          <w:szCs w:val="24"/>
        </w:rPr>
        <w:t>g</w:t>
      </w:r>
      <w:r>
        <w:rPr>
          <w:rFonts w:ascii="Arial" w:hAnsi="Arial" w:cs="Arial"/>
          <w:sz w:val="24"/>
          <w:szCs w:val="24"/>
        </w:rPr>
        <w:t xml:space="preserve">-immunostaining in the </w:t>
      </w:r>
      <w:proofErr w:type="spellStart"/>
      <w:r>
        <w:rPr>
          <w:rFonts w:ascii="Arial" w:hAnsi="Arial" w:cs="Arial"/>
          <w:sz w:val="24"/>
          <w:szCs w:val="24"/>
        </w:rPr>
        <w:t>NAc</w:t>
      </w:r>
      <w:proofErr w:type="spellEnd"/>
      <w:r>
        <w:rPr>
          <w:rFonts w:ascii="Arial" w:hAnsi="Arial" w:cs="Arial"/>
          <w:sz w:val="24"/>
          <w:szCs w:val="24"/>
        </w:rPr>
        <w:t>,</w:t>
      </w:r>
      <w:r w:rsidRPr="004F0CF8">
        <w:rPr>
          <w:rFonts w:ascii="Arial" w:hAnsi="Arial" w:cs="Arial"/>
          <w:sz w:val="24"/>
          <w:szCs w:val="24"/>
        </w:rPr>
        <w:t xml:space="preserve"> indicating that PPAR</w:t>
      </w:r>
      <w:r w:rsidRPr="00490677">
        <w:rPr>
          <w:rFonts w:ascii="Symbol" w:hAnsi="Symbol" w:cs="Arial"/>
          <w:sz w:val="24"/>
          <w:szCs w:val="24"/>
        </w:rPr>
        <w:t>a</w:t>
      </w:r>
      <w:r w:rsidRPr="004F0CF8">
        <w:rPr>
          <w:rFonts w:ascii="Arial" w:hAnsi="Arial" w:cs="Arial"/>
          <w:sz w:val="24"/>
          <w:szCs w:val="24"/>
        </w:rPr>
        <w:t xml:space="preserve"> </w:t>
      </w:r>
      <w:r>
        <w:rPr>
          <w:rFonts w:ascii="Arial" w:hAnsi="Arial" w:cs="Arial"/>
          <w:sz w:val="24"/>
          <w:szCs w:val="24"/>
        </w:rPr>
        <w:t>and PPAR</w:t>
      </w:r>
      <w:r w:rsidRPr="00490677">
        <w:rPr>
          <w:rFonts w:ascii="Symbol" w:hAnsi="Symbol" w:cs="Arial"/>
          <w:sz w:val="24"/>
          <w:szCs w:val="24"/>
        </w:rPr>
        <w:t>g</w:t>
      </w:r>
      <w:r>
        <w:rPr>
          <w:rFonts w:ascii="Arial" w:hAnsi="Arial" w:cs="Arial"/>
          <w:sz w:val="24"/>
          <w:szCs w:val="24"/>
        </w:rPr>
        <w:t xml:space="preserve"> were detected in astrocyte-like cells, not in GAD67-positive GABA neurons.</w:t>
      </w:r>
    </w:p>
    <w:p w14:paraId="52A99157" w14:textId="77777777" w:rsidR="00014BDD" w:rsidRDefault="00014BDD" w:rsidP="00014BDD">
      <w:pPr>
        <w:rPr>
          <w:rFonts w:ascii="Arial" w:eastAsiaTheme="minorEastAsia" w:hAnsi="Arial" w:cs="Arial"/>
          <w:b/>
          <w:bCs/>
          <w:color w:val="000000" w:themeColor="text1"/>
          <w:kern w:val="24"/>
          <w:sz w:val="24"/>
          <w:szCs w:val="24"/>
        </w:rPr>
      </w:pPr>
    </w:p>
    <w:p w14:paraId="3BAE4787" w14:textId="22091CFB" w:rsidR="00014BDD" w:rsidRDefault="00014BDD" w:rsidP="00014BDD">
      <w:pPr>
        <w:rPr>
          <w:rFonts w:ascii="Arial" w:eastAsiaTheme="minorEastAsia" w:hAnsi="Arial" w:cs="Arial"/>
          <w:noProof/>
          <w:color w:val="000000" w:themeColor="text1"/>
          <w:kern w:val="24"/>
          <w:sz w:val="24"/>
          <w:szCs w:val="24"/>
        </w:rPr>
      </w:pPr>
      <w:r w:rsidRPr="0053645D">
        <w:rPr>
          <w:rFonts w:ascii="Arial" w:eastAsiaTheme="minorEastAsia" w:hAnsi="Arial" w:cs="Arial"/>
          <w:b/>
          <w:bCs/>
          <w:color w:val="000000" w:themeColor="text1"/>
          <w:kern w:val="24"/>
          <w:sz w:val="24"/>
          <w:szCs w:val="24"/>
        </w:rPr>
        <w:t xml:space="preserve">Figure </w:t>
      </w:r>
      <w:r>
        <w:rPr>
          <w:rFonts w:ascii="Arial" w:eastAsiaTheme="minorEastAsia" w:hAnsi="Arial" w:cs="Arial"/>
          <w:b/>
          <w:bCs/>
          <w:color w:val="000000" w:themeColor="text1"/>
          <w:kern w:val="24"/>
          <w:sz w:val="24"/>
          <w:szCs w:val="24"/>
        </w:rPr>
        <w:t>Suppl-7</w:t>
      </w:r>
      <w:r w:rsidRPr="0053645D">
        <w:rPr>
          <w:rFonts w:ascii="Arial" w:eastAsiaTheme="minorEastAsia" w:hAnsi="Arial" w:cs="Arial"/>
          <w:b/>
          <w:bCs/>
          <w:color w:val="000000" w:themeColor="text1"/>
          <w:kern w:val="24"/>
          <w:sz w:val="24"/>
          <w:szCs w:val="24"/>
        </w:rPr>
        <w:t>.</w:t>
      </w:r>
      <w:r w:rsidRPr="0053645D">
        <w:rPr>
          <w:rFonts w:ascii="Arial" w:eastAsiaTheme="minorEastAsia" w:hAnsi="Arial" w:cs="Arial"/>
          <w:color w:val="000000" w:themeColor="text1"/>
          <w:kern w:val="24"/>
          <w:sz w:val="24"/>
          <w:szCs w:val="24"/>
        </w:rPr>
        <w:t xml:space="preserve"> </w:t>
      </w:r>
      <w:r w:rsidRPr="0053645D">
        <w:rPr>
          <w:rFonts w:ascii="Arial" w:hAnsi="Arial" w:cs="Arial"/>
          <w:sz w:val="24"/>
          <w:szCs w:val="24"/>
        </w:rPr>
        <w:t>Δ</w:t>
      </w:r>
      <w:r w:rsidRPr="0053645D">
        <w:rPr>
          <w:rFonts w:ascii="Arial" w:hAnsi="Arial" w:cs="Arial"/>
          <w:sz w:val="24"/>
          <w:szCs w:val="24"/>
          <w:vertAlign w:val="superscript"/>
        </w:rPr>
        <w:t>9</w:t>
      </w:r>
      <w:r w:rsidRPr="0053645D">
        <w:rPr>
          <w:rFonts w:ascii="Arial" w:hAnsi="Arial" w:cs="Arial"/>
          <w:sz w:val="24"/>
          <w:szCs w:val="24"/>
        </w:rPr>
        <w:t>-THC</w:t>
      </w:r>
      <w:r w:rsidRPr="0053645D">
        <w:rPr>
          <w:rFonts w:ascii="Arial" w:eastAsiaTheme="minorEastAsia" w:hAnsi="Arial" w:cs="Arial"/>
          <w:color w:val="000000" w:themeColor="text1"/>
          <w:kern w:val="24"/>
          <w:sz w:val="24"/>
          <w:szCs w:val="24"/>
        </w:rPr>
        <w:t xml:space="preserve"> and/or PPAR antagonist-induced CPP or CPA. (</w:t>
      </w:r>
      <w:r w:rsidRPr="0053645D">
        <w:rPr>
          <w:rFonts w:ascii="Arial" w:eastAsiaTheme="minorEastAsia" w:hAnsi="Arial" w:cs="Arial"/>
          <w:b/>
          <w:bCs/>
          <w:color w:val="000000" w:themeColor="text1"/>
          <w:kern w:val="24"/>
          <w:sz w:val="24"/>
          <w:szCs w:val="24"/>
        </w:rPr>
        <w:t>A</w:t>
      </w:r>
      <w:r w:rsidRPr="0053645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The general CPP/CPA procedures. (</w:t>
      </w:r>
      <w:r w:rsidRPr="00D12F01">
        <w:rPr>
          <w:rFonts w:ascii="Arial" w:eastAsiaTheme="minorEastAsia" w:hAnsi="Arial" w:cs="Arial"/>
          <w:b/>
          <w:bCs/>
          <w:color w:val="000000" w:themeColor="text1"/>
          <w:kern w:val="24"/>
          <w:sz w:val="24"/>
          <w:szCs w:val="24"/>
        </w:rPr>
        <w:t>B</w:t>
      </w:r>
      <w:r>
        <w:rPr>
          <w:rFonts w:ascii="Arial" w:eastAsiaTheme="minorEastAsia" w:hAnsi="Arial" w:cs="Arial"/>
          <w:b/>
          <w:bCs/>
          <w:color w:val="000000" w:themeColor="text1"/>
          <w:kern w:val="24"/>
          <w:sz w:val="24"/>
          <w:szCs w:val="24"/>
        </w:rPr>
        <w:t>/C</w:t>
      </w:r>
      <w:r>
        <w:rPr>
          <w:rFonts w:ascii="Arial" w:eastAsiaTheme="minorEastAsia" w:hAnsi="Arial" w:cs="Arial"/>
          <w:color w:val="000000" w:themeColor="text1"/>
          <w:kern w:val="24"/>
          <w:sz w:val="24"/>
          <w:szCs w:val="24"/>
        </w:rPr>
        <w:t>) P</w:t>
      </w:r>
      <w:r w:rsidRPr="0053645D">
        <w:rPr>
          <w:rFonts w:ascii="Arial" w:eastAsiaTheme="minorEastAsia" w:hAnsi="Arial" w:cs="Arial"/>
          <w:color w:val="000000" w:themeColor="text1"/>
          <w:kern w:val="24"/>
          <w:sz w:val="24"/>
          <w:szCs w:val="24"/>
        </w:rPr>
        <w:t xml:space="preserve">retreatment with </w:t>
      </w:r>
      <w:r>
        <w:rPr>
          <w:rFonts w:ascii="Arial" w:eastAsiaTheme="minorEastAsia" w:hAnsi="Arial" w:cs="Arial"/>
          <w:color w:val="000000" w:themeColor="text1"/>
          <w:kern w:val="24"/>
          <w:sz w:val="24"/>
          <w:szCs w:val="24"/>
        </w:rPr>
        <w:t xml:space="preserve">a </w:t>
      </w:r>
      <w:r w:rsidRPr="0053645D">
        <w:rPr>
          <w:rFonts w:ascii="Arial" w:eastAsiaTheme="minorEastAsia" w:hAnsi="Arial" w:cs="Arial"/>
          <w:color w:val="000000" w:themeColor="text1"/>
          <w:kern w:val="24"/>
          <w:sz w:val="24"/>
          <w:szCs w:val="24"/>
        </w:rPr>
        <w:t>PPAR</w:t>
      </w:r>
      <w:r w:rsidRPr="0053645D">
        <w:rPr>
          <w:rFonts w:ascii="Arial" w:eastAsiaTheme="minorEastAsia" w:hAnsi="Arial" w:cs="Arial"/>
          <w:color w:val="000000" w:themeColor="text1"/>
          <w:kern w:val="24"/>
          <w:sz w:val="24"/>
          <w:szCs w:val="24"/>
          <w:lang w:val="el-GR"/>
        </w:rPr>
        <w:t>α</w:t>
      </w:r>
      <w:r w:rsidRPr="0053645D">
        <w:rPr>
          <w:rFonts w:ascii="Arial" w:eastAsiaTheme="minorEastAsia" w:hAnsi="Arial" w:cs="Arial"/>
          <w:color w:val="000000" w:themeColor="text1"/>
          <w:kern w:val="24"/>
          <w:sz w:val="24"/>
          <w:szCs w:val="24"/>
        </w:rPr>
        <w:t xml:space="preserve"> (</w:t>
      </w:r>
      <w:r w:rsidRPr="0053645D">
        <w:rPr>
          <w:rFonts w:ascii="Arial" w:eastAsiaTheme="minorEastAsia" w:hAnsi="Arial" w:cs="Arial"/>
          <w:b/>
          <w:bCs/>
          <w:color w:val="000000" w:themeColor="text1"/>
          <w:kern w:val="24"/>
          <w:sz w:val="24"/>
          <w:szCs w:val="24"/>
        </w:rPr>
        <w:t>B</w:t>
      </w:r>
      <w:r w:rsidRPr="0053645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 xml:space="preserve">or </w:t>
      </w:r>
      <w:r w:rsidRPr="0053645D">
        <w:rPr>
          <w:rFonts w:ascii="Arial" w:eastAsiaTheme="minorEastAsia" w:hAnsi="Arial" w:cs="Arial"/>
          <w:color w:val="000000" w:themeColor="text1"/>
          <w:kern w:val="24"/>
          <w:sz w:val="24"/>
          <w:szCs w:val="24"/>
        </w:rPr>
        <w:t>PPAR</w:t>
      </w:r>
      <w:r w:rsidRPr="0053645D">
        <w:rPr>
          <w:rFonts w:ascii="Arial" w:eastAsiaTheme="minorEastAsia" w:hAnsi="Arial" w:cs="Arial"/>
          <w:color w:val="000000" w:themeColor="text1"/>
          <w:kern w:val="24"/>
          <w:sz w:val="24"/>
          <w:szCs w:val="24"/>
          <w:lang w:val="el-GR"/>
        </w:rPr>
        <w:t>γ</w:t>
      </w:r>
      <w:r w:rsidRPr="0053645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w:t>
      </w:r>
      <w:r w:rsidRPr="00D12F01">
        <w:rPr>
          <w:rFonts w:ascii="Arial" w:eastAsiaTheme="minorEastAsia" w:hAnsi="Arial" w:cs="Arial"/>
          <w:b/>
          <w:bCs/>
          <w:color w:val="000000" w:themeColor="text1"/>
          <w:kern w:val="24"/>
          <w:sz w:val="24"/>
          <w:szCs w:val="24"/>
        </w:rPr>
        <w:t>C</w:t>
      </w:r>
      <w:r>
        <w:rPr>
          <w:rFonts w:ascii="Arial" w:eastAsiaTheme="minorEastAsia" w:hAnsi="Arial" w:cs="Arial"/>
          <w:color w:val="000000" w:themeColor="text1"/>
          <w:kern w:val="24"/>
          <w:sz w:val="24"/>
          <w:szCs w:val="24"/>
        </w:rPr>
        <w:t xml:space="preserve">) </w:t>
      </w:r>
      <w:r w:rsidRPr="0053645D">
        <w:rPr>
          <w:rFonts w:ascii="Arial" w:eastAsiaTheme="minorEastAsia" w:hAnsi="Arial" w:cs="Arial"/>
          <w:color w:val="000000" w:themeColor="text1"/>
          <w:kern w:val="24"/>
          <w:sz w:val="24"/>
          <w:szCs w:val="24"/>
        </w:rPr>
        <w:t xml:space="preserve">antagonist failed to alter place aversions produced by </w:t>
      </w:r>
      <w:r w:rsidRPr="0053645D">
        <w:rPr>
          <w:rFonts w:ascii="Arial" w:eastAsiaTheme="minorEastAsia" w:hAnsi="Arial" w:cs="Arial"/>
          <w:color w:val="000000" w:themeColor="text1"/>
          <w:kern w:val="24"/>
          <w:sz w:val="24"/>
          <w:szCs w:val="24"/>
          <w:lang w:val="el-GR"/>
        </w:rPr>
        <w:t>Δ</w:t>
      </w:r>
      <w:r w:rsidRPr="0053645D">
        <w:rPr>
          <w:rFonts w:ascii="Arial" w:eastAsiaTheme="minorEastAsia" w:hAnsi="Arial" w:cs="Arial"/>
          <w:color w:val="000000" w:themeColor="text1"/>
          <w:kern w:val="24"/>
          <w:position w:val="6"/>
          <w:sz w:val="24"/>
          <w:szCs w:val="24"/>
          <w:vertAlign w:val="superscript"/>
        </w:rPr>
        <w:t>9</w:t>
      </w:r>
      <w:r w:rsidRPr="0053645D">
        <w:rPr>
          <w:rFonts w:ascii="Arial" w:eastAsiaTheme="minorEastAsia" w:hAnsi="Arial" w:cs="Arial"/>
          <w:color w:val="000000" w:themeColor="text1"/>
          <w:kern w:val="24"/>
          <w:sz w:val="24"/>
          <w:szCs w:val="24"/>
        </w:rPr>
        <w:t>-THC. (</w:t>
      </w:r>
      <w:r>
        <w:rPr>
          <w:rFonts w:ascii="Arial" w:eastAsiaTheme="minorEastAsia" w:hAnsi="Arial" w:cs="Arial"/>
          <w:b/>
          <w:bCs/>
          <w:color w:val="000000" w:themeColor="text1"/>
          <w:kern w:val="24"/>
          <w:sz w:val="24"/>
          <w:szCs w:val="24"/>
        </w:rPr>
        <w:t>D</w:t>
      </w:r>
      <w:r w:rsidRPr="0053645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T</w:t>
      </w:r>
      <w:r w:rsidRPr="0053645D">
        <w:rPr>
          <w:rFonts w:ascii="Arial" w:eastAsiaTheme="minorEastAsia" w:hAnsi="Arial" w:cs="Arial"/>
          <w:color w:val="000000" w:themeColor="text1"/>
          <w:kern w:val="24"/>
          <w:sz w:val="24"/>
          <w:szCs w:val="24"/>
        </w:rPr>
        <w:t>he PPAR</w:t>
      </w:r>
      <w:r w:rsidRPr="0053645D">
        <w:rPr>
          <w:rFonts w:ascii="Arial" w:eastAsiaTheme="minorEastAsia" w:hAnsi="Arial" w:cs="Arial"/>
          <w:color w:val="000000" w:themeColor="text1"/>
          <w:kern w:val="24"/>
          <w:sz w:val="24"/>
          <w:szCs w:val="24"/>
          <w:lang w:val="el-GR"/>
        </w:rPr>
        <w:t>α</w:t>
      </w:r>
      <w:r w:rsidRPr="0053645D">
        <w:rPr>
          <w:rFonts w:ascii="Arial" w:eastAsiaTheme="minorEastAsia" w:hAnsi="Arial" w:cs="Arial"/>
          <w:color w:val="000000" w:themeColor="text1"/>
          <w:kern w:val="24"/>
          <w:sz w:val="24"/>
          <w:szCs w:val="24"/>
        </w:rPr>
        <w:t xml:space="preserve"> antagonist GW6471 failed to produce CPP or CPA, while (</w:t>
      </w:r>
      <w:r w:rsidRPr="00D12F01">
        <w:rPr>
          <w:rFonts w:ascii="Arial" w:eastAsiaTheme="minorEastAsia" w:hAnsi="Arial" w:cs="Arial"/>
          <w:b/>
          <w:bCs/>
          <w:color w:val="000000" w:themeColor="text1"/>
          <w:kern w:val="24"/>
          <w:sz w:val="24"/>
          <w:szCs w:val="24"/>
        </w:rPr>
        <w:t>E</w:t>
      </w:r>
      <w:r w:rsidRPr="0053645D">
        <w:rPr>
          <w:rFonts w:ascii="Arial" w:eastAsiaTheme="minorEastAsia" w:hAnsi="Arial" w:cs="Arial"/>
          <w:color w:val="000000" w:themeColor="text1"/>
          <w:kern w:val="24"/>
          <w:sz w:val="24"/>
          <w:szCs w:val="24"/>
        </w:rPr>
        <w:t>) the PPAR</w:t>
      </w:r>
      <w:r w:rsidRPr="0053645D">
        <w:rPr>
          <w:rFonts w:ascii="Arial" w:eastAsiaTheme="minorEastAsia" w:hAnsi="Arial" w:cs="Arial"/>
          <w:color w:val="000000" w:themeColor="text1"/>
          <w:kern w:val="24"/>
          <w:sz w:val="24"/>
          <w:szCs w:val="24"/>
          <w:lang w:val="el-GR"/>
        </w:rPr>
        <w:t>γ</w:t>
      </w:r>
      <w:r w:rsidRPr="0053645D">
        <w:rPr>
          <w:rFonts w:ascii="Arial" w:eastAsiaTheme="minorEastAsia" w:hAnsi="Arial" w:cs="Arial"/>
          <w:color w:val="000000" w:themeColor="text1"/>
          <w:kern w:val="24"/>
          <w:sz w:val="24"/>
          <w:szCs w:val="24"/>
        </w:rPr>
        <w:t xml:space="preserve"> antagonist GW9662 produced CPA at 2 mg/kg. *</w:t>
      </w:r>
      <w:r w:rsidRPr="005D3346">
        <w:rPr>
          <w:rFonts w:ascii="Arial" w:eastAsiaTheme="minorEastAsia" w:hAnsi="Arial" w:cs="Arial"/>
          <w:i/>
          <w:iCs/>
          <w:color w:val="000000" w:themeColor="text1"/>
          <w:kern w:val="24"/>
          <w:sz w:val="24"/>
          <w:szCs w:val="24"/>
        </w:rPr>
        <w:t>p</w:t>
      </w:r>
      <w:r w:rsidRPr="0053645D">
        <w:rPr>
          <w:rFonts w:ascii="Arial" w:eastAsiaTheme="minorEastAsia" w:hAnsi="Arial" w:cs="Arial"/>
          <w:color w:val="000000" w:themeColor="text1"/>
          <w:kern w:val="24"/>
          <w:sz w:val="24"/>
          <w:szCs w:val="24"/>
        </w:rPr>
        <w:t>&lt;0.0</w:t>
      </w:r>
      <w:r>
        <w:rPr>
          <w:rFonts w:ascii="Arial" w:eastAsiaTheme="minorEastAsia" w:hAnsi="Arial" w:cs="Arial"/>
          <w:color w:val="000000" w:themeColor="text1"/>
          <w:kern w:val="24"/>
          <w:sz w:val="24"/>
          <w:szCs w:val="24"/>
        </w:rPr>
        <w:t>5</w:t>
      </w:r>
      <w:r w:rsidRPr="0053645D">
        <w:rPr>
          <w:rFonts w:ascii="Arial" w:eastAsiaTheme="minorEastAsia" w:hAnsi="Arial" w:cs="Arial"/>
          <w:color w:val="000000" w:themeColor="text1"/>
          <w:kern w:val="24"/>
          <w:sz w:val="24"/>
          <w:szCs w:val="24"/>
        </w:rPr>
        <w:t xml:space="preserve"> relative to pre-conditioning. N = 8/group.</w:t>
      </w:r>
    </w:p>
    <w:p w14:paraId="10F15C64" w14:textId="77777777" w:rsidR="00014BDD" w:rsidRDefault="00014BDD" w:rsidP="00014BDD">
      <w:pPr>
        <w:rPr>
          <w:rFonts w:ascii="Arial" w:eastAsiaTheme="minorEastAsia" w:hAnsi="Arial" w:cs="Arial"/>
          <w:b/>
          <w:bCs/>
          <w:color w:val="000000" w:themeColor="text1"/>
          <w:kern w:val="24"/>
          <w:sz w:val="24"/>
          <w:szCs w:val="24"/>
        </w:rPr>
      </w:pPr>
    </w:p>
    <w:p w14:paraId="27FADC70" w14:textId="4E398D5F" w:rsidR="00014BDD" w:rsidRPr="00014BDD" w:rsidRDefault="00014BDD" w:rsidP="00014BDD">
      <w:pPr>
        <w:rPr>
          <w:rFonts w:ascii="Arial" w:eastAsiaTheme="minorEastAsia" w:hAnsi="Arial" w:cs="Arial"/>
          <w:b/>
          <w:bCs/>
          <w:color w:val="000000" w:themeColor="text1"/>
          <w:kern w:val="24"/>
          <w:sz w:val="24"/>
          <w:szCs w:val="24"/>
        </w:rPr>
      </w:pPr>
      <w:r w:rsidRPr="0053645D">
        <w:rPr>
          <w:rFonts w:ascii="Arial" w:eastAsiaTheme="minorEastAsia" w:hAnsi="Arial" w:cs="Arial"/>
          <w:b/>
          <w:bCs/>
          <w:color w:val="000000" w:themeColor="text1"/>
          <w:kern w:val="24"/>
          <w:sz w:val="24"/>
          <w:szCs w:val="24"/>
        </w:rPr>
        <w:t xml:space="preserve">Figure </w:t>
      </w:r>
      <w:r>
        <w:rPr>
          <w:rFonts w:ascii="Arial" w:eastAsiaTheme="minorEastAsia" w:hAnsi="Arial" w:cs="Arial"/>
          <w:b/>
          <w:bCs/>
          <w:color w:val="000000" w:themeColor="text1"/>
          <w:kern w:val="24"/>
          <w:sz w:val="24"/>
          <w:szCs w:val="24"/>
        </w:rPr>
        <w:t xml:space="preserve">Suppl-8 </w:t>
      </w:r>
      <w:r w:rsidRPr="00CA7EE8">
        <w:rPr>
          <w:rFonts w:ascii="Arial" w:eastAsiaTheme="minorEastAsia" w:hAnsi="Arial" w:cs="Arial"/>
          <w:color w:val="000000" w:themeColor="text1"/>
          <w:kern w:val="24"/>
          <w:sz w:val="24"/>
          <w:szCs w:val="24"/>
        </w:rPr>
        <w:t>(related to Fig. 6).</w:t>
      </w:r>
      <w:r w:rsidRPr="0053645D">
        <w:rPr>
          <w:rFonts w:ascii="Arial" w:eastAsiaTheme="minorEastAsia" w:hAnsi="Arial" w:cs="Arial"/>
          <w:color w:val="000000" w:themeColor="text1"/>
          <w:kern w:val="24"/>
          <w:sz w:val="24"/>
          <w:szCs w:val="24"/>
        </w:rPr>
        <w:t xml:space="preserve"> </w:t>
      </w:r>
      <w:r w:rsidRPr="0053645D">
        <w:rPr>
          <w:rFonts w:ascii="Arial" w:hAnsi="Arial" w:cs="Arial"/>
          <w:sz w:val="24"/>
          <w:szCs w:val="24"/>
        </w:rPr>
        <w:t>Δ</w:t>
      </w:r>
      <w:r w:rsidRPr="0053645D">
        <w:rPr>
          <w:rFonts w:ascii="Arial" w:hAnsi="Arial" w:cs="Arial"/>
          <w:sz w:val="24"/>
          <w:szCs w:val="24"/>
          <w:vertAlign w:val="superscript"/>
        </w:rPr>
        <w:t>9</w:t>
      </w:r>
      <w:r w:rsidRPr="0053645D">
        <w:rPr>
          <w:rFonts w:ascii="Arial" w:hAnsi="Arial" w:cs="Arial"/>
          <w:sz w:val="24"/>
          <w:szCs w:val="24"/>
        </w:rPr>
        <w:t xml:space="preserve">-THC-induced tetrad effects in the presence or absence of the </w:t>
      </w:r>
      <w:r w:rsidRPr="0053645D">
        <w:rPr>
          <w:rFonts w:ascii="Arial" w:eastAsiaTheme="minorEastAsia" w:hAnsi="Arial" w:cs="Arial"/>
          <w:color w:val="000000" w:themeColor="text1"/>
          <w:kern w:val="24"/>
          <w:sz w:val="24"/>
          <w:szCs w:val="24"/>
        </w:rPr>
        <w:t>PPAR</w:t>
      </w:r>
      <w:r w:rsidRPr="0053645D">
        <w:rPr>
          <w:rFonts w:ascii="Symbol" w:eastAsiaTheme="minorEastAsia" w:hAnsi="Symbol" w:cs="Arial"/>
          <w:color w:val="000000" w:themeColor="text1"/>
          <w:kern w:val="24"/>
          <w:sz w:val="24"/>
          <w:szCs w:val="24"/>
        </w:rPr>
        <w:t>a</w:t>
      </w:r>
      <w:r w:rsidRPr="0053645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antagonist</w:t>
      </w:r>
      <w:r w:rsidRPr="0053645D">
        <w:rPr>
          <w:rFonts w:ascii="Arial" w:eastAsiaTheme="minorEastAsia" w:hAnsi="Arial" w:cs="Arial"/>
          <w:color w:val="000000" w:themeColor="text1"/>
          <w:kern w:val="24"/>
          <w:sz w:val="24"/>
          <w:szCs w:val="24"/>
        </w:rPr>
        <w:t xml:space="preserve"> GW6471, demonstrating that pretreatment with </w:t>
      </w:r>
      <w:r w:rsidRPr="0053645D">
        <w:rPr>
          <w:rFonts w:ascii="Arial" w:eastAsiaTheme="minorEastAsia" w:hAnsi="Arial" w:cs="Arial"/>
          <w:color w:val="000000" w:themeColor="text1"/>
          <w:kern w:val="24"/>
          <w:sz w:val="24"/>
          <w:szCs w:val="24"/>
        </w:rPr>
        <w:lastRenderedPageBreak/>
        <w:t>GW6471 enhanced THC-induced catalepsy (</w:t>
      </w:r>
      <w:r w:rsidRPr="0053645D">
        <w:rPr>
          <w:rFonts w:ascii="Arial" w:eastAsiaTheme="minorEastAsia" w:hAnsi="Arial" w:cs="Arial"/>
          <w:b/>
          <w:bCs/>
          <w:color w:val="000000" w:themeColor="text1"/>
          <w:kern w:val="24"/>
          <w:sz w:val="24"/>
          <w:szCs w:val="24"/>
        </w:rPr>
        <w:t>A</w:t>
      </w:r>
      <w:r w:rsidRPr="0053645D">
        <w:rPr>
          <w:rFonts w:ascii="Arial" w:eastAsiaTheme="minorEastAsia" w:hAnsi="Arial" w:cs="Arial"/>
          <w:color w:val="000000" w:themeColor="text1"/>
          <w:kern w:val="24"/>
          <w:sz w:val="24"/>
          <w:szCs w:val="24"/>
        </w:rPr>
        <w:t xml:space="preserve">), but failed to alter </w:t>
      </w:r>
      <w:r w:rsidRPr="0053645D">
        <w:rPr>
          <w:rFonts w:ascii="Arial" w:hAnsi="Arial" w:cs="Arial"/>
          <w:sz w:val="24"/>
          <w:szCs w:val="24"/>
        </w:rPr>
        <w:t>Δ</w:t>
      </w:r>
      <w:r w:rsidRPr="0053645D">
        <w:rPr>
          <w:rFonts w:ascii="Arial" w:hAnsi="Arial" w:cs="Arial"/>
          <w:sz w:val="24"/>
          <w:szCs w:val="24"/>
          <w:vertAlign w:val="superscript"/>
        </w:rPr>
        <w:t>9</w:t>
      </w:r>
      <w:r w:rsidRPr="0053645D">
        <w:rPr>
          <w:rFonts w:ascii="Arial" w:hAnsi="Arial" w:cs="Arial"/>
          <w:sz w:val="24"/>
          <w:szCs w:val="24"/>
        </w:rPr>
        <w:t>-THC-induced</w:t>
      </w:r>
      <w:r w:rsidRPr="0053645D">
        <w:rPr>
          <w:rFonts w:ascii="Arial" w:eastAsiaTheme="minorEastAsia" w:hAnsi="Arial" w:cs="Arial"/>
          <w:color w:val="000000" w:themeColor="text1"/>
          <w:kern w:val="24"/>
          <w:sz w:val="24"/>
          <w:szCs w:val="24"/>
        </w:rPr>
        <w:t xml:space="preserve"> analgesia (</w:t>
      </w:r>
      <w:r w:rsidRPr="0053645D">
        <w:rPr>
          <w:rFonts w:ascii="Arial" w:eastAsiaTheme="minorEastAsia" w:hAnsi="Arial" w:cs="Arial"/>
          <w:b/>
          <w:bCs/>
          <w:color w:val="000000" w:themeColor="text1"/>
          <w:kern w:val="24"/>
          <w:sz w:val="24"/>
          <w:szCs w:val="24"/>
        </w:rPr>
        <w:t>B</w:t>
      </w:r>
      <w:r w:rsidRPr="0053645D">
        <w:rPr>
          <w:rFonts w:ascii="Arial" w:eastAsiaTheme="minorEastAsia" w:hAnsi="Arial" w:cs="Arial"/>
          <w:color w:val="000000" w:themeColor="text1"/>
          <w:kern w:val="24"/>
          <w:sz w:val="24"/>
          <w:szCs w:val="24"/>
        </w:rPr>
        <w:t>), hypothermia (</w:t>
      </w:r>
      <w:r w:rsidRPr="0053645D">
        <w:rPr>
          <w:rFonts w:ascii="Arial" w:eastAsiaTheme="minorEastAsia" w:hAnsi="Arial" w:cs="Arial"/>
          <w:b/>
          <w:bCs/>
          <w:color w:val="000000" w:themeColor="text1"/>
          <w:kern w:val="24"/>
          <w:sz w:val="24"/>
          <w:szCs w:val="24"/>
        </w:rPr>
        <w:t>C</w:t>
      </w:r>
      <w:r w:rsidRPr="0053645D">
        <w:rPr>
          <w:rFonts w:ascii="Arial" w:eastAsiaTheme="minorEastAsia" w:hAnsi="Arial" w:cs="Arial"/>
          <w:color w:val="000000" w:themeColor="text1"/>
          <w:kern w:val="24"/>
          <w:sz w:val="24"/>
          <w:szCs w:val="24"/>
        </w:rPr>
        <w:t>), or immobility (</w:t>
      </w:r>
      <w:r w:rsidRPr="0053645D">
        <w:rPr>
          <w:rFonts w:ascii="Arial" w:eastAsiaTheme="minorEastAsia" w:hAnsi="Arial" w:cs="Arial"/>
          <w:b/>
          <w:bCs/>
          <w:color w:val="000000" w:themeColor="text1"/>
          <w:kern w:val="24"/>
          <w:sz w:val="24"/>
          <w:szCs w:val="24"/>
        </w:rPr>
        <w:t>D</w:t>
      </w:r>
      <w:r w:rsidRPr="0053645D">
        <w:rPr>
          <w:rFonts w:ascii="Arial" w:eastAsiaTheme="minorEastAsia" w:hAnsi="Arial" w:cs="Arial"/>
          <w:color w:val="000000" w:themeColor="text1"/>
          <w:kern w:val="24"/>
          <w:sz w:val="24"/>
          <w:szCs w:val="24"/>
        </w:rPr>
        <w:t xml:space="preserve">). </w:t>
      </w:r>
    </w:p>
    <w:p w14:paraId="34E34584" w14:textId="77777777" w:rsidR="00014BDD" w:rsidRDefault="00014BDD" w:rsidP="00014BDD">
      <w:pPr>
        <w:rPr>
          <w:rFonts w:ascii="Arial" w:eastAsiaTheme="minorEastAsia" w:hAnsi="Arial" w:cs="Arial"/>
          <w:b/>
          <w:bCs/>
          <w:color w:val="000000" w:themeColor="text1"/>
          <w:kern w:val="24"/>
          <w:sz w:val="24"/>
          <w:szCs w:val="24"/>
        </w:rPr>
      </w:pPr>
    </w:p>
    <w:p w14:paraId="5DE778B9" w14:textId="16722ADE" w:rsidR="00014BDD" w:rsidRPr="00014BDD" w:rsidRDefault="00014BDD" w:rsidP="00014BDD">
      <w:pPr>
        <w:rPr>
          <w:rFonts w:ascii="Arial" w:hAnsi="Arial" w:cs="Arial"/>
          <w:b/>
          <w:bCs/>
          <w:sz w:val="24"/>
          <w:szCs w:val="24"/>
        </w:rPr>
      </w:pPr>
      <w:r w:rsidRPr="0053645D">
        <w:rPr>
          <w:rFonts w:ascii="Arial" w:eastAsiaTheme="minorEastAsia" w:hAnsi="Arial" w:cs="Arial"/>
          <w:b/>
          <w:bCs/>
          <w:color w:val="000000" w:themeColor="text1"/>
          <w:kern w:val="24"/>
          <w:sz w:val="24"/>
          <w:szCs w:val="24"/>
        </w:rPr>
        <w:t xml:space="preserve">Figure </w:t>
      </w:r>
      <w:r>
        <w:rPr>
          <w:rFonts w:ascii="Arial" w:eastAsiaTheme="minorEastAsia" w:hAnsi="Arial" w:cs="Arial"/>
          <w:b/>
          <w:bCs/>
          <w:color w:val="000000" w:themeColor="text1"/>
          <w:kern w:val="24"/>
          <w:sz w:val="24"/>
          <w:szCs w:val="24"/>
        </w:rPr>
        <w:t xml:space="preserve">Suppl-9 </w:t>
      </w:r>
      <w:r w:rsidRPr="00CA7EE8">
        <w:rPr>
          <w:rFonts w:ascii="Arial" w:eastAsiaTheme="minorEastAsia" w:hAnsi="Arial" w:cs="Arial"/>
          <w:color w:val="000000" w:themeColor="text1"/>
          <w:kern w:val="24"/>
          <w:sz w:val="24"/>
          <w:szCs w:val="24"/>
        </w:rPr>
        <w:t>(related to Fig. 6):</w:t>
      </w:r>
      <w:r w:rsidRPr="0053645D">
        <w:rPr>
          <w:rFonts w:ascii="Arial" w:eastAsiaTheme="minorEastAsia" w:hAnsi="Arial" w:cs="Arial"/>
          <w:color w:val="000000" w:themeColor="text1"/>
          <w:kern w:val="24"/>
          <w:sz w:val="24"/>
          <w:szCs w:val="24"/>
        </w:rPr>
        <w:t xml:space="preserve"> </w:t>
      </w:r>
      <w:r w:rsidRPr="0053645D">
        <w:rPr>
          <w:rFonts w:ascii="Arial" w:hAnsi="Arial" w:cs="Arial"/>
          <w:sz w:val="24"/>
          <w:szCs w:val="24"/>
        </w:rPr>
        <w:t>Δ</w:t>
      </w:r>
      <w:r w:rsidRPr="0053645D">
        <w:rPr>
          <w:rFonts w:ascii="Arial" w:hAnsi="Arial" w:cs="Arial"/>
          <w:sz w:val="24"/>
          <w:szCs w:val="24"/>
          <w:vertAlign w:val="superscript"/>
        </w:rPr>
        <w:t>9</w:t>
      </w:r>
      <w:r w:rsidRPr="0053645D">
        <w:rPr>
          <w:rFonts w:ascii="Arial" w:hAnsi="Arial" w:cs="Arial"/>
          <w:sz w:val="24"/>
          <w:szCs w:val="24"/>
        </w:rPr>
        <w:t xml:space="preserve">-THC-induced tetrad effects in the presence or absence of the </w:t>
      </w:r>
      <w:r w:rsidRPr="0053645D">
        <w:rPr>
          <w:rFonts w:ascii="Arial" w:eastAsiaTheme="minorEastAsia" w:hAnsi="Arial" w:cs="Arial"/>
          <w:color w:val="000000" w:themeColor="text1"/>
          <w:kern w:val="24"/>
          <w:sz w:val="24"/>
          <w:szCs w:val="24"/>
        </w:rPr>
        <w:t>PPAR</w:t>
      </w:r>
      <w:r>
        <w:rPr>
          <w:rFonts w:ascii="Symbol" w:eastAsiaTheme="minorEastAsia" w:hAnsi="Symbol" w:cs="Arial"/>
          <w:color w:val="000000" w:themeColor="text1"/>
          <w:kern w:val="24"/>
          <w:sz w:val="24"/>
          <w:szCs w:val="24"/>
        </w:rPr>
        <w:t>g</w:t>
      </w:r>
      <w:r w:rsidRPr="0053645D">
        <w:rPr>
          <w:rFonts w:ascii="Arial" w:eastAsiaTheme="minorEastAsia" w:hAnsi="Arial" w:cs="Arial"/>
          <w:color w:val="000000" w:themeColor="text1"/>
          <w:kern w:val="24"/>
          <w:sz w:val="24"/>
          <w:szCs w:val="24"/>
        </w:rPr>
        <w:t xml:space="preserve"> a</w:t>
      </w:r>
      <w:r>
        <w:rPr>
          <w:rFonts w:ascii="Arial" w:eastAsiaTheme="minorEastAsia" w:hAnsi="Arial" w:cs="Arial"/>
          <w:color w:val="000000" w:themeColor="text1"/>
          <w:kern w:val="24"/>
          <w:sz w:val="24"/>
          <w:szCs w:val="24"/>
        </w:rPr>
        <w:t>nta</w:t>
      </w:r>
      <w:r w:rsidRPr="0053645D">
        <w:rPr>
          <w:rFonts w:ascii="Arial" w:eastAsiaTheme="minorEastAsia" w:hAnsi="Arial" w:cs="Arial"/>
          <w:color w:val="000000" w:themeColor="text1"/>
          <w:kern w:val="24"/>
          <w:sz w:val="24"/>
          <w:szCs w:val="24"/>
        </w:rPr>
        <w:t>gonist GW</w:t>
      </w:r>
      <w:r>
        <w:rPr>
          <w:rFonts w:ascii="Arial" w:eastAsiaTheme="minorEastAsia" w:hAnsi="Arial" w:cs="Arial"/>
          <w:color w:val="000000" w:themeColor="text1"/>
          <w:kern w:val="24"/>
          <w:sz w:val="24"/>
          <w:szCs w:val="24"/>
        </w:rPr>
        <w:t>9662</w:t>
      </w:r>
      <w:r w:rsidRPr="0053645D">
        <w:rPr>
          <w:rFonts w:ascii="Arial" w:eastAsiaTheme="minorEastAsia" w:hAnsi="Arial" w:cs="Arial"/>
          <w:color w:val="000000" w:themeColor="text1"/>
          <w:kern w:val="24"/>
          <w:sz w:val="24"/>
          <w:szCs w:val="24"/>
        </w:rPr>
        <w:t>, demonstrating that pretreatment with GW</w:t>
      </w:r>
      <w:r>
        <w:rPr>
          <w:rFonts w:ascii="Arial" w:eastAsiaTheme="minorEastAsia" w:hAnsi="Arial" w:cs="Arial"/>
          <w:color w:val="000000" w:themeColor="text1"/>
          <w:kern w:val="24"/>
          <w:sz w:val="24"/>
          <w:szCs w:val="24"/>
        </w:rPr>
        <w:t>9662</w:t>
      </w:r>
      <w:r w:rsidRPr="0053645D">
        <w:rPr>
          <w:rFonts w:ascii="Arial" w:eastAsiaTheme="minorEastAsia" w:hAnsi="Arial" w:cs="Arial"/>
          <w:color w:val="000000" w:themeColor="text1"/>
          <w:kern w:val="24"/>
          <w:sz w:val="24"/>
          <w:szCs w:val="24"/>
        </w:rPr>
        <w:t xml:space="preserve"> enhanced THC-induced catalepsy (</w:t>
      </w:r>
      <w:r w:rsidRPr="0053645D">
        <w:rPr>
          <w:rFonts w:ascii="Arial" w:eastAsiaTheme="minorEastAsia" w:hAnsi="Arial" w:cs="Arial"/>
          <w:b/>
          <w:bCs/>
          <w:color w:val="000000" w:themeColor="text1"/>
          <w:kern w:val="24"/>
          <w:sz w:val="24"/>
          <w:szCs w:val="24"/>
        </w:rPr>
        <w:t>A</w:t>
      </w:r>
      <w:r w:rsidRPr="0053645D">
        <w:rPr>
          <w:rFonts w:ascii="Arial" w:eastAsiaTheme="minorEastAsia" w:hAnsi="Arial" w:cs="Arial"/>
          <w:color w:val="000000" w:themeColor="text1"/>
          <w:kern w:val="24"/>
          <w:sz w:val="24"/>
          <w:szCs w:val="24"/>
        </w:rPr>
        <w:t xml:space="preserve">), but failed to alter </w:t>
      </w:r>
      <w:r w:rsidRPr="0053645D">
        <w:rPr>
          <w:rFonts w:ascii="Arial" w:hAnsi="Arial" w:cs="Arial"/>
          <w:sz w:val="24"/>
          <w:szCs w:val="24"/>
        </w:rPr>
        <w:t>Δ</w:t>
      </w:r>
      <w:r w:rsidRPr="0053645D">
        <w:rPr>
          <w:rFonts w:ascii="Arial" w:hAnsi="Arial" w:cs="Arial"/>
          <w:sz w:val="24"/>
          <w:szCs w:val="24"/>
          <w:vertAlign w:val="superscript"/>
        </w:rPr>
        <w:t>9</w:t>
      </w:r>
      <w:r w:rsidRPr="0053645D">
        <w:rPr>
          <w:rFonts w:ascii="Arial" w:hAnsi="Arial" w:cs="Arial"/>
          <w:sz w:val="24"/>
          <w:szCs w:val="24"/>
        </w:rPr>
        <w:t>-THC-induced</w:t>
      </w:r>
      <w:r w:rsidRPr="0053645D">
        <w:rPr>
          <w:rFonts w:ascii="Arial" w:eastAsiaTheme="minorEastAsia" w:hAnsi="Arial" w:cs="Arial"/>
          <w:color w:val="000000" w:themeColor="text1"/>
          <w:kern w:val="24"/>
          <w:sz w:val="24"/>
          <w:szCs w:val="24"/>
        </w:rPr>
        <w:t xml:space="preserve"> analgesia (</w:t>
      </w:r>
      <w:r w:rsidRPr="0053645D">
        <w:rPr>
          <w:rFonts w:ascii="Arial" w:eastAsiaTheme="minorEastAsia" w:hAnsi="Arial" w:cs="Arial"/>
          <w:b/>
          <w:bCs/>
          <w:color w:val="000000" w:themeColor="text1"/>
          <w:kern w:val="24"/>
          <w:sz w:val="24"/>
          <w:szCs w:val="24"/>
        </w:rPr>
        <w:t>B</w:t>
      </w:r>
      <w:r w:rsidRPr="0053645D">
        <w:rPr>
          <w:rFonts w:ascii="Arial" w:eastAsiaTheme="minorEastAsia" w:hAnsi="Arial" w:cs="Arial"/>
          <w:color w:val="000000" w:themeColor="text1"/>
          <w:kern w:val="24"/>
          <w:sz w:val="24"/>
          <w:szCs w:val="24"/>
        </w:rPr>
        <w:t>), hypothermia (</w:t>
      </w:r>
      <w:r w:rsidRPr="0053645D">
        <w:rPr>
          <w:rFonts w:ascii="Arial" w:eastAsiaTheme="minorEastAsia" w:hAnsi="Arial" w:cs="Arial"/>
          <w:b/>
          <w:bCs/>
          <w:color w:val="000000" w:themeColor="text1"/>
          <w:kern w:val="24"/>
          <w:sz w:val="24"/>
          <w:szCs w:val="24"/>
        </w:rPr>
        <w:t>C</w:t>
      </w:r>
      <w:r w:rsidRPr="0053645D">
        <w:rPr>
          <w:rFonts w:ascii="Arial" w:eastAsiaTheme="minorEastAsia" w:hAnsi="Arial" w:cs="Arial"/>
          <w:color w:val="000000" w:themeColor="text1"/>
          <w:kern w:val="24"/>
          <w:sz w:val="24"/>
          <w:szCs w:val="24"/>
        </w:rPr>
        <w:t>), or immobility (</w:t>
      </w:r>
      <w:r w:rsidRPr="0053645D">
        <w:rPr>
          <w:rFonts w:ascii="Arial" w:eastAsiaTheme="minorEastAsia" w:hAnsi="Arial" w:cs="Arial"/>
          <w:b/>
          <w:bCs/>
          <w:color w:val="000000" w:themeColor="text1"/>
          <w:kern w:val="24"/>
          <w:sz w:val="24"/>
          <w:szCs w:val="24"/>
        </w:rPr>
        <w:t>D</w:t>
      </w:r>
      <w:r w:rsidRPr="0053645D">
        <w:rPr>
          <w:rFonts w:ascii="Arial" w:eastAsiaTheme="minorEastAsia" w:hAnsi="Arial" w:cs="Arial"/>
          <w:color w:val="000000" w:themeColor="text1"/>
          <w:kern w:val="24"/>
          <w:sz w:val="24"/>
          <w:szCs w:val="24"/>
        </w:rPr>
        <w:t xml:space="preserve">). </w:t>
      </w:r>
    </w:p>
    <w:p w14:paraId="140F285A" w14:textId="77777777" w:rsidR="00014BDD" w:rsidRDefault="00014BDD" w:rsidP="00014BDD">
      <w:pPr>
        <w:spacing w:after="0" w:line="360" w:lineRule="auto"/>
        <w:contextualSpacing/>
        <w:rPr>
          <w:rFonts w:ascii="Arial" w:eastAsiaTheme="minorEastAsia" w:hAnsi="Arial" w:cs="Arial"/>
          <w:color w:val="000000" w:themeColor="text1"/>
          <w:kern w:val="24"/>
          <w:sz w:val="24"/>
          <w:szCs w:val="24"/>
        </w:rPr>
      </w:pPr>
    </w:p>
    <w:p w14:paraId="248BC1B0" w14:textId="77777777" w:rsidR="00014BDD" w:rsidRDefault="00014BDD" w:rsidP="00014BDD">
      <w:pPr>
        <w:spacing w:after="0" w:line="240" w:lineRule="auto"/>
        <w:rPr>
          <w:rFonts w:ascii="Times New Roman" w:eastAsia="Times New Roman" w:hAnsi="Times New Roman" w:cs="Times New Roman"/>
          <w:b/>
          <w:bCs/>
          <w:sz w:val="24"/>
          <w:szCs w:val="24"/>
        </w:rPr>
      </w:pPr>
    </w:p>
    <w:p w14:paraId="5CE47C91" w14:textId="2092513C" w:rsidR="0010275A" w:rsidRDefault="0010275A"/>
    <w:sectPr w:rsidR="001027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BDB1" w14:textId="77777777" w:rsidR="00563103" w:rsidRDefault="00563103" w:rsidP="006337E7">
      <w:pPr>
        <w:spacing w:after="0" w:line="240" w:lineRule="auto"/>
      </w:pPr>
      <w:r>
        <w:separator/>
      </w:r>
    </w:p>
  </w:endnote>
  <w:endnote w:type="continuationSeparator" w:id="0">
    <w:p w14:paraId="412169FE" w14:textId="77777777" w:rsidR="00563103" w:rsidRDefault="00563103" w:rsidP="006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704108"/>
      <w:docPartObj>
        <w:docPartGallery w:val="Page Numbers (Bottom of Page)"/>
        <w:docPartUnique/>
      </w:docPartObj>
    </w:sdtPr>
    <w:sdtEndPr>
      <w:rPr>
        <w:noProof/>
      </w:rPr>
    </w:sdtEndPr>
    <w:sdtContent>
      <w:p w14:paraId="40E13A55" w14:textId="0C527561" w:rsidR="006337E7" w:rsidRDefault="00633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F5C29" w14:textId="77777777" w:rsidR="006337E7" w:rsidRDefault="00633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947" w14:textId="77777777" w:rsidR="00563103" w:rsidRDefault="00563103" w:rsidP="006337E7">
      <w:pPr>
        <w:spacing w:after="0" w:line="240" w:lineRule="auto"/>
      </w:pPr>
      <w:r>
        <w:separator/>
      </w:r>
    </w:p>
  </w:footnote>
  <w:footnote w:type="continuationSeparator" w:id="0">
    <w:p w14:paraId="29A961B7" w14:textId="77777777" w:rsidR="00563103" w:rsidRDefault="00563103" w:rsidP="00633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8F4"/>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129FC"/>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408BB"/>
    <w:multiLevelType w:val="hybridMultilevel"/>
    <w:tmpl w:val="606A5C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31CA9"/>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0B4A1B"/>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2C0BB4"/>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67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1349EF"/>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111CD2"/>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40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D52B3C"/>
    <w:multiLevelType w:val="multilevel"/>
    <w:tmpl w:val="BAFE322E"/>
    <w:lvl w:ilvl="0">
      <w:start w:val="1"/>
      <w:numFmt w:val="decimal"/>
      <w:lvlText w:val="%1."/>
      <w:lvlJc w:val="left"/>
      <w:pPr>
        <w:ind w:left="1080" w:hanging="720"/>
      </w:pPr>
      <w:rPr>
        <w:rFonts w:hint="default"/>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1018544">
    <w:abstractNumId w:val="1"/>
  </w:num>
  <w:num w:numId="2" w16cid:durableId="929895503">
    <w:abstractNumId w:val="2"/>
  </w:num>
  <w:num w:numId="3" w16cid:durableId="1476794450">
    <w:abstractNumId w:val="8"/>
  </w:num>
  <w:num w:numId="4" w16cid:durableId="1179583295">
    <w:abstractNumId w:val="5"/>
  </w:num>
  <w:num w:numId="5" w16cid:durableId="811098613">
    <w:abstractNumId w:val="0"/>
  </w:num>
  <w:num w:numId="6" w16cid:durableId="1214659856">
    <w:abstractNumId w:val="4"/>
  </w:num>
  <w:num w:numId="7" w16cid:durableId="1618677845">
    <w:abstractNumId w:val="6"/>
  </w:num>
  <w:num w:numId="8" w16cid:durableId="917519127">
    <w:abstractNumId w:val="3"/>
  </w:num>
  <w:num w:numId="9" w16cid:durableId="836305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Molecular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va5atdvwesayevwr5v0wtkdzpd5a9x09w2&quot;&gt;PPAR manuscript endnote file&lt;record-ids&gt;&lt;item&gt;29&lt;/item&gt;&lt;item&gt;30&lt;/item&gt;&lt;item&gt;31&lt;/item&gt;&lt;/record-ids&gt;&lt;/item&gt;&lt;/Libraries&gt;"/>
  </w:docVars>
  <w:rsids>
    <w:rsidRoot w:val="0095317D"/>
    <w:rsid w:val="00014BDD"/>
    <w:rsid w:val="0010275A"/>
    <w:rsid w:val="0011147E"/>
    <w:rsid w:val="00136E2B"/>
    <w:rsid w:val="002E0C10"/>
    <w:rsid w:val="00563103"/>
    <w:rsid w:val="005E08C3"/>
    <w:rsid w:val="006337E7"/>
    <w:rsid w:val="006579E9"/>
    <w:rsid w:val="00716089"/>
    <w:rsid w:val="00717D7B"/>
    <w:rsid w:val="0095317D"/>
    <w:rsid w:val="00970B44"/>
    <w:rsid w:val="009C2C2F"/>
    <w:rsid w:val="00AB38DA"/>
    <w:rsid w:val="00AF0881"/>
    <w:rsid w:val="00CA7EE8"/>
    <w:rsid w:val="00CB1F8C"/>
    <w:rsid w:val="00E67DD0"/>
    <w:rsid w:val="00FC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CB54"/>
  <w15:chartTrackingRefBased/>
  <w15:docId w15:val="{2A7882B5-E0D2-4940-B170-192CF126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7D"/>
    <w:rPr>
      <w:rFonts w:eastAsia="SimSu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17D"/>
    <w:pPr>
      <w:ind w:left="720"/>
      <w:contextualSpacing/>
    </w:pPr>
  </w:style>
  <w:style w:type="paragraph" w:customStyle="1" w:styleId="EndNoteBibliographyTitle">
    <w:name w:val="EndNote Bibliography Title"/>
    <w:basedOn w:val="Normal"/>
    <w:link w:val="EndNoteBibliographyTitleChar"/>
    <w:rsid w:val="0095317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317D"/>
    <w:rPr>
      <w:rFonts w:ascii="Calibri" w:eastAsia="SimSun" w:hAnsi="Calibri" w:cs="Calibri"/>
      <w:noProof/>
      <w:lang w:eastAsia="en-US"/>
    </w:rPr>
  </w:style>
  <w:style w:type="paragraph" w:customStyle="1" w:styleId="EndNoteBibliography">
    <w:name w:val="EndNote Bibliography"/>
    <w:basedOn w:val="Normal"/>
    <w:link w:val="EndNoteBibliographyChar"/>
    <w:rsid w:val="0095317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317D"/>
    <w:rPr>
      <w:rFonts w:ascii="Calibri" w:eastAsia="SimSun" w:hAnsi="Calibri" w:cs="Calibri"/>
      <w:noProof/>
      <w:lang w:eastAsia="en-US"/>
    </w:rPr>
  </w:style>
  <w:style w:type="character" w:styleId="Hyperlink">
    <w:name w:val="Hyperlink"/>
    <w:basedOn w:val="DefaultParagraphFont"/>
    <w:uiPriority w:val="99"/>
    <w:unhideWhenUsed/>
    <w:rsid w:val="0095317D"/>
    <w:rPr>
      <w:color w:val="0563C1" w:themeColor="hyperlink"/>
      <w:u w:val="single"/>
    </w:rPr>
  </w:style>
  <w:style w:type="character" w:styleId="UnresolvedMention">
    <w:name w:val="Unresolved Mention"/>
    <w:basedOn w:val="DefaultParagraphFont"/>
    <w:uiPriority w:val="99"/>
    <w:semiHidden/>
    <w:unhideWhenUsed/>
    <w:rsid w:val="0095317D"/>
    <w:rPr>
      <w:color w:val="605E5C"/>
      <w:shd w:val="clear" w:color="auto" w:fill="E1DFDD"/>
    </w:rPr>
  </w:style>
  <w:style w:type="character" w:styleId="PlaceholderText">
    <w:name w:val="Placeholder Text"/>
    <w:basedOn w:val="DefaultParagraphFont"/>
    <w:uiPriority w:val="99"/>
    <w:semiHidden/>
    <w:rsid w:val="0095317D"/>
    <w:rPr>
      <w:color w:val="808080"/>
    </w:rPr>
  </w:style>
  <w:style w:type="paragraph" w:styleId="Header">
    <w:name w:val="header"/>
    <w:basedOn w:val="Normal"/>
    <w:link w:val="HeaderChar"/>
    <w:uiPriority w:val="99"/>
    <w:unhideWhenUsed/>
    <w:rsid w:val="00953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17D"/>
    <w:rPr>
      <w:rFonts w:eastAsia="SimSun"/>
      <w:lang w:eastAsia="en-US"/>
    </w:rPr>
  </w:style>
  <w:style w:type="paragraph" w:styleId="Footer">
    <w:name w:val="footer"/>
    <w:basedOn w:val="Normal"/>
    <w:link w:val="FooterChar"/>
    <w:uiPriority w:val="99"/>
    <w:unhideWhenUsed/>
    <w:rsid w:val="00953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17D"/>
    <w:rPr>
      <w:rFonts w:eastAsia="SimSun"/>
      <w:lang w:eastAsia="en-US"/>
    </w:rPr>
  </w:style>
  <w:style w:type="paragraph" w:styleId="NormalWeb">
    <w:name w:val="Normal (Web)"/>
    <w:basedOn w:val="Normal"/>
    <w:uiPriority w:val="99"/>
    <w:semiHidden/>
    <w:unhideWhenUsed/>
    <w:rsid w:val="0095317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317D"/>
    <w:pPr>
      <w:spacing w:after="0" w:line="240" w:lineRule="auto"/>
    </w:pPr>
    <w:rPr>
      <w:rFonts w:eastAsia="SimSun"/>
      <w:lang w:eastAsia="en-US"/>
    </w:rPr>
  </w:style>
  <w:style w:type="character" w:styleId="CommentReference">
    <w:name w:val="annotation reference"/>
    <w:basedOn w:val="DefaultParagraphFont"/>
    <w:uiPriority w:val="99"/>
    <w:semiHidden/>
    <w:unhideWhenUsed/>
    <w:rsid w:val="0095317D"/>
    <w:rPr>
      <w:sz w:val="16"/>
      <w:szCs w:val="16"/>
    </w:rPr>
  </w:style>
  <w:style w:type="paragraph" w:styleId="CommentText">
    <w:name w:val="annotation text"/>
    <w:basedOn w:val="Normal"/>
    <w:link w:val="CommentTextChar"/>
    <w:uiPriority w:val="99"/>
    <w:unhideWhenUsed/>
    <w:rsid w:val="0095317D"/>
    <w:pPr>
      <w:spacing w:line="240" w:lineRule="auto"/>
    </w:pPr>
    <w:rPr>
      <w:sz w:val="20"/>
      <w:szCs w:val="20"/>
    </w:rPr>
  </w:style>
  <w:style w:type="character" w:customStyle="1" w:styleId="CommentTextChar">
    <w:name w:val="Comment Text Char"/>
    <w:basedOn w:val="DefaultParagraphFont"/>
    <w:link w:val="CommentText"/>
    <w:uiPriority w:val="99"/>
    <w:rsid w:val="0095317D"/>
    <w:rPr>
      <w:rFonts w:eastAsia="SimSun"/>
      <w:sz w:val="20"/>
      <w:szCs w:val="20"/>
      <w:lang w:eastAsia="en-US"/>
    </w:rPr>
  </w:style>
  <w:style w:type="paragraph" w:styleId="CommentSubject">
    <w:name w:val="annotation subject"/>
    <w:basedOn w:val="CommentText"/>
    <w:next w:val="CommentText"/>
    <w:link w:val="CommentSubjectChar"/>
    <w:uiPriority w:val="99"/>
    <w:semiHidden/>
    <w:unhideWhenUsed/>
    <w:rsid w:val="0095317D"/>
    <w:rPr>
      <w:b/>
      <w:bCs/>
    </w:rPr>
  </w:style>
  <w:style w:type="character" w:customStyle="1" w:styleId="CommentSubjectChar">
    <w:name w:val="Comment Subject Char"/>
    <w:basedOn w:val="CommentTextChar"/>
    <w:link w:val="CommentSubject"/>
    <w:uiPriority w:val="99"/>
    <w:semiHidden/>
    <w:rsid w:val="0095317D"/>
    <w:rPr>
      <w:rFonts w:eastAsia="SimSun"/>
      <w:b/>
      <w:bCs/>
      <w:sz w:val="20"/>
      <w:szCs w:val="20"/>
      <w:lang w:eastAsia="en-US"/>
    </w:rPr>
  </w:style>
  <w:style w:type="character" w:styleId="Strong">
    <w:name w:val="Strong"/>
    <w:basedOn w:val="DefaultParagraphFont"/>
    <w:uiPriority w:val="22"/>
    <w:qFormat/>
    <w:rsid w:val="0095317D"/>
    <w:rPr>
      <w:b/>
      <w:bCs/>
    </w:rPr>
  </w:style>
  <w:style w:type="character" w:customStyle="1" w:styleId="table-captionlabel">
    <w:name w:val="table-caption__label"/>
    <w:basedOn w:val="DefaultParagraphFont"/>
    <w:rsid w:val="0095317D"/>
  </w:style>
  <w:style w:type="character" w:customStyle="1" w:styleId="symbol">
    <w:name w:val="symbol"/>
    <w:basedOn w:val="DefaultParagraphFont"/>
    <w:rsid w:val="0095317D"/>
  </w:style>
  <w:style w:type="paragraph" w:styleId="Revision">
    <w:name w:val="Revision"/>
    <w:hidden/>
    <w:uiPriority w:val="99"/>
    <w:semiHidden/>
    <w:rsid w:val="0095317D"/>
    <w:pPr>
      <w:spacing w:after="0" w:line="240" w:lineRule="auto"/>
    </w:pPr>
    <w:rPr>
      <w:rFonts w:eastAsia="SimSun"/>
      <w:lang w:eastAsia="en-US"/>
    </w:rPr>
  </w:style>
  <w:style w:type="character" w:customStyle="1" w:styleId="docsum-authors">
    <w:name w:val="docsum-authors"/>
    <w:basedOn w:val="DefaultParagraphFont"/>
    <w:rsid w:val="0095317D"/>
  </w:style>
  <w:style w:type="character" w:customStyle="1" w:styleId="docsum-journal-citation">
    <w:name w:val="docsum-journal-citation"/>
    <w:basedOn w:val="DefaultParagraphFont"/>
    <w:rsid w:val="0095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xi@intra.nida.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Zheng-Xiong (NIH/NIDA/IRP) [E]</dc:creator>
  <cp:keywords/>
  <dc:description/>
  <cp:lastModifiedBy>Xi, Zheng-Xiong (NIH/NIDA/IRP) [E]</cp:lastModifiedBy>
  <cp:revision>3</cp:revision>
  <dcterms:created xsi:type="dcterms:W3CDTF">2023-07-03T01:29:00Z</dcterms:created>
  <dcterms:modified xsi:type="dcterms:W3CDTF">2023-07-03T02:02:00Z</dcterms:modified>
</cp:coreProperties>
</file>