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D1179" w14:textId="77777777" w:rsidR="000B1DDE" w:rsidRPr="00321080" w:rsidRDefault="000B1DDE" w:rsidP="00DB0030">
      <w:pPr>
        <w:jc w:val="center"/>
        <w:rPr>
          <w:b/>
          <w:sz w:val="32"/>
          <w:szCs w:val="32"/>
        </w:rPr>
      </w:pPr>
      <w:r w:rsidRPr="00321080">
        <w:rPr>
          <w:b/>
          <w:sz w:val="32"/>
          <w:szCs w:val="32"/>
        </w:rPr>
        <w:t xml:space="preserve">Supplementary </w:t>
      </w:r>
      <w:r w:rsidR="00DB0030" w:rsidRPr="00321080">
        <w:rPr>
          <w:b/>
          <w:sz w:val="32"/>
          <w:szCs w:val="32"/>
        </w:rPr>
        <w:t>Online content</w:t>
      </w:r>
    </w:p>
    <w:p w14:paraId="2FA411B8" w14:textId="77777777" w:rsidR="000B1DDE" w:rsidRPr="00321080" w:rsidRDefault="000B1DDE" w:rsidP="000B1DDE">
      <w:pPr>
        <w:rPr>
          <w:sz w:val="32"/>
          <w:szCs w:val="32"/>
        </w:rPr>
      </w:pPr>
    </w:p>
    <w:p w14:paraId="4448939D" w14:textId="7724075B" w:rsidR="000B1DDE" w:rsidRPr="00321080" w:rsidRDefault="00DB0030" w:rsidP="000B1DDE">
      <w:r w:rsidRPr="00321080">
        <w:t xml:space="preserve">Minichino A, Jackson M, Francesconi M, et al. </w:t>
      </w:r>
      <w:r w:rsidR="00766DEF" w:rsidRPr="00321080">
        <w:t>Endocannabinoid system</w:t>
      </w:r>
      <w:r w:rsidRPr="00321080">
        <w:t xml:space="preserve"> mediates the association between gut-microbial diversity and anhedonia/amotivation in a general population cohort</w:t>
      </w:r>
    </w:p>
    <w:p w14:paraId="2F53CAB9" w14:textId="77777777" w:rsidR="00861827" w:rsidRPr="00321080" w:rsidRDefault="00861827" w:rsidP="000B1DDE"/>
    <w:p w14:paraId="3C94E922" w14:textId="77777777" w:rsidR="00861827" w:rsidRPr="00321080" w:rsidRDefault="00861827" w:rsidP="000B1DDE"/>
    <w:sdt>
      <w:sdtPr>
        <w:rPr>
          <w:rFonts w:ascii="Times New Roman" w:eastAsia="Times New Roman" w:hAnsi="Times New Roman" w:cs="Times New Roman"/>
          <w:b w:val="0"/>
          <w:bCs w:val="0"/>
          <w:color w:val="auto"/>
          <w:sz w:val="24"/>
          <w:szCs w:val="24"/>
          <w:lang w:val="en-GB"/>
        </w:rPr>
        <w:id w:val="837046813"/>
        <w:docPartObj>
          <w:docPartGallery w:val="Table of Contents"/>
          <w:docPartUnique/>
        </w:docPartObj>
      </w:sdtPr>
      <w:sdtEndPr>
        <w:rPr>
          <w:noProof/>
        </w:rPr>
      </w:sdtEndPr>
      <w:sdtContent>
        <w:p w14:paraId="37C09398" w14:textId="77777777" w:rsidR="006C00C5" w:rsidRPr="00321080" w:rsidRDefault="006C00C5">
          <w:pPr>
            <w:pStyle w:val="TOCHeading"/>
            <w:rPr>
              <w:color w:val="auto"/>
            </w:rPr>
          </w:pPr>
          <w:r w:rsidRPr="00321080">
            <w:rPr>
              <w:color w:val="auto"/>
            </w:rPr>
            <w:t>Table of Contents</w:t>
          </w:r>
        </w:p>
        <w:p w14:paraId="7CC7146C" w14:textId="786B3FED" w:rsidR="00314F3B" w:rsidRPr="00321080" w:rsidRDefault="006C00C5">
          <w:pPr>
            <w:pStyle w:val="TOC1"/>
            <w:tabs>
              <w:tab w:val="right" w:leader="dot" w:pos="9010"/>
            </w:tabs>
            <w:rPr>
              <w:rFonts w:eastAsiaTheme="minorEastAsia" w:cstheme="minorBidi"/>
              <w:b w:val="0"/>
              <w:bCs w:val="0"/>
              <w:i w:val="0"/>
              <w:iCs w:val="0"/>
              <w:noProof/>
            </w:rPr>
          </w:pPr>
          <w:r w:rsidRPr="00321080">
            <w:rPr>
              <w:b w:val="0"/>
              <w:bCs w:val="0"/>
            </w:rPr>
            <w:fldChar w:fldCharType="begin"/>
          </w:r>
          <w:r w:rsidRPr="00321080">
            <w:instrText xml:space="preserve"> TOC \o "1-3" \h \z \u </w:instrText>
          </w:r>
          <w:r w:rsidRPr="00321080">
            <w:rPr>
              <w:b w:val="0"/>
              <w:bCs w:val="0"/>
            </w:rPr>
            <w:fldChar w:fldCharType="separate"/>
          </w:r>
          <w:hyperlink w:anchor="_Toc52977216" w:history="1">
            <w:r w:rsidR="00314F3B" w:rsidRPr="00321080">
              <w:rPr>
                <w:rStyle w:val="Hyperlink"/>
                <w:noProof/>
                <w:color w:val="auto"/>
              </w:rPr>
              <w:t>eTable1. List of items used to assess anhedonia/amotivation – Hospital Anxiety Depression Scale</w:t>
            </w:r>
            <w:r w:rsidR="00314F3B" w:rsidRPr="00321080">
              <w:rPr>
                <w:noProof/>
                <w:webHidden/>
              </w:rPr>
              <w:tab/>
            </w:r>
            <w:r w:rsidR="00314F3B" w:rsidRPr="00321080">
              <w:rPr>
                <w:noProof/>
                <w:webHidden/>
              </w:rPr>
              <w:fldChar w:fldCharType="begin"/>
            </w:r>
            <w:r w:rsidR="00314F3B" w:rsidRPr="00321080">
              <w:rPr>
                <w:noProof/>
                <w:webHidden/>
              </w:rPr>
              <w:instrText xml:space="preserve"> PAGEREF _Toc52977216 \h </w:instrText>
            </w:r>
            <w:r w:rsidR="00314F3B" w:rsidRPr="00321080">
              <w:rPr>
                <w:noProof/>
                <w:webHidden/>
              </w:rPr>
            </w:r>
            <w:r w:rsidR="00314F3B" w:rsidRPr="00321080">
              <w:rPr>
                <w:noProof/>
                <w:webHidden/>
              </w:rPr>
              <w:fldChar w:fldCharType="separate"/>
            </w:r>
            <w:r w:rsidR="00314F3B" w:rsidRPr="00321080">
              <w:rPr>
                <w:noProof/>
                <w:webHidden/>
              </w:rPr>
              <w:t>2</w:t>
            </w:r>
            <w:r w:rsidR="00314F3B" w:rsidRPr="00321080">
              <w:rPr>
                <w:noProof/>
                <w:webHidden/>
              </w:rPr>
              <w:fldChar w:fldCharType="end"/>
            </w:r>
          </w:hyperlink>
        </w:p>
        <w:p w14:paraId="7C677143" w14:textId="32BE5CC7" w:rsidR="00314F3B" w:rsidRPr="00321080" w:rsidRDefault="00D463B6">
          <w:pPr>
            <w:pStyle w:val="TOC1"/>
            <w:tabs>
              <w:tab w:val="right" w:leader="dot" w:pos="9010"/>
            </w:tabs>
            <w:rPr>
              <w:rFonts w:eastAsiaTheme="minorEastAsia" w:cstheme="minorBidi"/>
              <w:b w:val="0"/>
              <w:bCs w:val="0"/>
              <w:i w:val="0"/>
              <w:iCs w:val="0"/>
              <w:noProof/>
            </w:rPr>
          </w:pPr>
          <w:hyperlink w:anchor="_Toc52977217" w:history="1">
            <w:r w:rsidR="00314F3B" w:rsidRPr="00321080">
              <w:rPr>
                <w:rStyle w:val="Hyperlink"/>
                <w:noProof/>
                <w:color w:val="auto"/>
              </w:rPr>
              <w:t>eTable 2. Correlation matrix</w:t>
            </w:r>
            <w:r w:rsidR="00314F3B" w:rsidRPr="00321080">
              <w:rPr>
                <w:noProof/>
                <w:webHidden/>
              </w:rPr>
              <w:tab/>
            </w:r>
            <w:r w:rsidR="00314F3B" w:rsidRPr="00321080">
              <w:rPr>
                <w:noProof/>
                <w:webHidden/>
              </w:rPr>
              <w:fldChar w:fldCharType="begin"/>
            </w:r>
            <w:r w:rsidR="00314F3B" w:rsidRPr="00321080">
              <w:rPr>
                <w:noProof/>
                <w:webHidden/>
              </w:rPr>
              <w:instrText xml:space="preserve"> PAGEREF _Toc52977217 \h </w:instrText>
            </w:r>
            <w:r w:rsidR="00314F3B" w:rsidRPr="00321080">
              <w:rPr>
                <w:noProof/>
                <w:webHidden/>
              </w:rPr>
            </w:r>
            <w:r w:rsidR="00314F3B" w:rsidRPr="00321080">
              <w:rPr>
                <w:noProof/>
                <w:webHidden/>
              </w:rPr>
              <w:fldChar w:fldCharType="separate"/>
            </w:r>
            <w:r w:rsidR="00314F3B" w:rsidRPr="00321080">
              <w:rPr>
                <w:noProof/>
                <w:webHidden/>
              </w:rPr>
              <w:t>2</w:t>
            </w:r>
            <w:r w:rsidR="00314F3B" w:rsidRPr="00321080">
              <w:rPr>
                <w:noProof/>
                <w:webHidden/>
              </w:rPr>
              <w:fldChar w:fldCharType="end"/>
            </w:r>
          </w:hyperlink>
        </w:p>
        <w:p w14:paraId="27710543" w14:textId="0EF87FDA" w:rsidR="00314F3B" w:rsidRPr="00321080" w:rsidRDefault="00D463B6">
          <w:pPr>
            <w:pStyle w:val="TOC1"/>
            <w:tabs>
              <w:tab w:val="right" w:leader="dot" w:pos="9010"/>
            </w:tabs>
            <w:rPr>
              <w:rFonts w:eastAsiaTheme="minorEastAsia" w:cstheme="minorBidi"/>
              <w:b w:val="0"/>
              <w:bCs w:val="0"/>
              <w:i w:val="0"/>
              <w:iCs w:val="0"/>
              <w:noProof/>
            </w:rPr>
          </w:pPr>
          <w:hyperlink w:anchor="_Toc52977218" w:history="1">
            <w:r w:rsidR="00314F3B" w:rsidRPr="00321080">
              <w:rPr>
                <w:rStyle w:val="Hyperlink"/>
                <w:noProof/>
                <w:color w:val="auto"/>
              </w:rPr>
              <w:t>eTable 3. Beta diversity metrics associated with both Anhedonia and faecal PEA: mixed linear regression models (random intercept: family structure)</w:t>
            </w:r>
            <w:r w:rsidR="00314F3B" w:rsidRPr="00321080">
              <w:rPr>
                <w:noProof/>
                <w:webHidden/>
              </w:rPr>
              <w:tab/>
            </w:r>
            <w:r w:rsidR="00314F3B" w:rsidRPr="00321080">
              <w:rPr>
                <w:noProof/>
                <w:webHidden/>
              </w:rPr>
              <w:fldChar w:fldCharType="begin"/>
            </w:r>
            <w:r w:rsidR="00314F3B" w:rsidRPr="00321080">
              <w:rPr>
                <w:noProof/>
                <w:webHidden/>
              </w:rPr>
              <w:instrText xml:space="preserve"> PAGEREF _Toc52977218 \h </w:instrText>
            </w:r>
            <w:r w:rsidR="00314F3B" w:rsidRPr="00321080">
              <w:rPr>
                <w:noProof/>
                <w:webHidden/>
              </w:rPr>
            </w:r>
            <w:r w:rsidR="00314F3B" w:rsidRPr="00321080">
              <w:rPr>
                <w:noProof/>
                <w:webHidden/>
              </w:rPr>
              <w:fldChar w:fldCharType="separate"/>
            </w:r>
            <w:r w:rsidR="00314F3B" w:rsidRPr="00321080">
              <w:rPr>
                <w:noProof/>
                <w:webHidden/>
              </w:rPr>
              <w:t>2</w:t>
            </w:r>
            <w:r w:rsidR="00314F3B" w:rsidRPr="00321080">
              <w:rPr>
                <w:noProof/>
                <w:webHidden/>
              </w:rPr>
              <w:fldChar w:fldCharType="end"/>
            </w:r>
          </w:hyperlink>
        </w:p>
        <w:p w14:paraId="35E3A0CD" w14:textId="710273D1" w:rsidR="00314F3B" w:rsidRPr="00321080" w:rsidRDefault="00D463B6">
          <w:pPr>
            <w:pStyle w:val="TOC1"/>
            <w:tabs>
              <w:tab w:val="right" w:leader="dot" w:pos="9010"/>
            </w:tabs>
            <w:rPr>
              <w:rFonts w:eastAsiaTheme="minorEastAsia" w:cstheme="minorBidi"/>
              <w:b w:val="0"/>
              <w:bCs w:val="0"/>
              <w:i w:val="0"/>
              <w:iCs w:val="0"/>
              <w:noProof/>
            </w:rPr>
          </w:pPr>
          <w:hyperlink w:anchor="_Toc52977219" w:history="1">
            <w:r w:rsidR="00314F3B" w:rsidRPr="00321080">
              <w:rPr>
                <w:rStyle w:val="Hyperlink"/>
                <w:rFonts w:eastAsia="Calibri"/>
                <w:noProof/>
                <w:color w:val="auto"/>
              </w:rPr>
              <w:t>eFigure 1. Data collection timeline of predictor, mediator, and outcome in Twins UK</w:t>
            </w:r>
            <w:r w:rsidR="00314F3B" w:rsidRPr="00321080">
              <w:rPr>
                <w:noProof/>
                <w:webHidden/>
              </w:rPr>
              <w:tab/>
            </w:r>
            <w:r w:rsidR="00314F3B" w:rsidRPr="00321080">
              <w:rPr>
                <w:noProof/>
                <w:webHidden/>
              </w:rPr>
              <w:fldChar w:fldCharType="begin"/>
            </w:r>
            <w:r w:rsidR="00314F3B" w:rsidRPr="00321080">
              <w:rPr>
                <w:noProof/>
                <w:webHidden/>
              </w:rPr>
              <w:instrText xml:space="preserve"> PAGEREF _Toc52977219 \h </w:instrText>
            </w:r>
            <w:r w:rsidR="00314F3B" w:rsidRPr="00321080">
              <w:rPr>
                <w:noProof/>
                <w:webHidden/>
              </w:rPr>
            </w:r>
            <w:r w:rsidR="00314F3B" w:rsidRPr="00321080">
              <w:rPr>
                <w:noProof/>
                <w:webHidden/>
              </w:rPr>
              <w:fldChar w:fldCharType="separate"/>
            </w:r>
            <w:r w:rsidR="00314F3B" w:rsidRPr="00321080">
              <w:rPr>
                <w:noProof/>
                <w:webHidden/>
              </w:rPr>
              <w:t>3</w:t>
            </w:r>
            <w:r w:rsidR="00314F3B" w:rsidRPr="00321080">
              <w:rPr>
                <w:noProof/>
                <w:webHidden/>
              </w:rPr>
              <w:fldChar w:fldCharType="end"/>
            </w:r>
          </w:hyperlink>
        </w:p>
        <w:p w14:paraId="789C9A8E" w14:textId="169DBA1F" w:rsidR="00314F3B" w:rsidRPr="00321080" w:rsidRDefault="00D463B6">
          <w:pPr>
            <w:pStyle w:val="TOC1"/>
            <w:tabs>
              <w:tab w:val="right" w:leader="dot" w:pos="9010"/>
            </w:tabs>
            <w:rPr>
              <w:rFonts w:eastAsiaTheme="minorEastAsia" w:cstheme="minorBidi"/>
              <w:b w:val="0"/>
              <w:bCs w:val="0"/>
              <w:i w:val="0"/>
              <w:iCs w:val="0"/>
              <w:noProof/>
            </w:rPr>
          </w:pPr>
          <w:hyperlink w:anchor="_Toc52977220" w:history="1">
            <w:r w:rsidR="00314F3B" w:rsidRPr="00321080">
              <w:rPr>
                <w:rStyle w:val="Hyperlink"/>
                <w:noProof/>
                <w:color w:val="auto"/>
              </w:rPr>
              <w:t>eResults. Complete case analysis</w:t>
            </w:r>
            <w:r w:rsidR="00314F3B" w:rsidRPr="00321080">
              <w:rPr>
                <w:noProof/>
                <w:webHidden/>
              </w:rPr>
              <w:tab/>
            </w:r>
            <w:r w:rsidR="00314F3B" w:rsidRPr="00321080">
              <w:rPr>
                <w:noProof/>
                <w:webHidden/>
              </w:rPr>
              <w:fldChar w:fldCharType="begin"/>
            </w:r>
            <w:r w:rsidR="00314F3B" w:rsidRPr="00321080">
              <w:rPr>
                <w:noProof/>
                <w:webHidden/>
              </w:rPr>
              <w:instrText xml:space="preserve"> PAGEREF _Toc52977220 \h </w:instrText>
            </w:r>
            <w:r w:rsidR="00314F3B" w:rsidRPr="00321080">
              <w:rPr>
                <w:noProof/>
                <w:webHidden/>
              </w:rPr>
            </w:r>
            <w:r w:rsidR="00314F3B" w:rsidRPr="00321080">
              <w:rPr>
                <w:noProof/>
                <w:webHidden/>
              </w:rPr>
              <w:fldChar w:fldCharType="separate"/>
            </w:r>
            <w:r w:rsidR="00314F3B" w:rsidRPr="00321080">
              <w:rPr>
                <w:noProof/>
                <w:webHidden/>
              </w:rPr>
              <w:t>3</w:t>
            </w:r>
            <w:r w:rsidR="00314F3B" w:rsidRPr="00321080">
              <w:rPr>
                <w:noProof/>
                <w:webHidden/>
              </w:rPr>
              <w:fldChar w:fldCharType="end"/>
            </w:r>
          </w:hyperlink>
        </w:p>
        <w:p w14:paraId="7917C7BF" w14:textId="68BEDA3C" w:rsidR="006C00C5" w:rsidRPr="00321080" w:rsidRDefault="006C00C5">
          <w:r w:rsidRPr="00321080">
            <w:rPr>
              <w:b/>
              <w:bCs/>
              <w:noProof/>
            </w:rPr>
            <w:fldChar w:fldCharType="end"/>
          </w:r>
        </w:p>
      </w:sdtContent>
    </w:sdt>
    <w:p w14:paraId="2056E4E6" w14:textId="77777777" w:rsidR="000B1DDE" w:rsidRPr="00321080" w:rsidRDefault="000B1DDE" w:rsidP="000B1DDE">
      <w:pPr>
        <w:rPr>
          <w:sz w:val="32"/>
          <w:szCs w:val="32"/>
        </w:rPr>
      </w:pPr>
    </w:p>
    <w:p w14:paraId="4097FE6E" w14:textId="77777777" w:rsidR="000B1DDE" w:rsidRPr="00321080" w:rsidRDefault="000B1DDE" w:rsidP="000B1DDE">
      <w:pPr>
        <w:rPr>
          <w:sz w:val="32"/>
          <w:szCs w:val="32"/>
        </w:rPr>
      </w:pPr>
    </w:p>
    <w:p w14:paraId="2208A89D" w14:textId="77777777" w:rsidR="000B1DDE" w:rsidRPr="00321080" w:rsidRDefault="000B1DDE" w:rsidP="000B1DDE">
      <w:pPr>
        <w:rPr>
          <w:sz w:val="32"/>
          <w:szCs w:val="32"/>
        </w:rPr>
      </w:pPr>
    </w:p>
    <w:p w14:paraId="41396308" w14:textId="77777777" w:rsidR="000B1DDE" w:rsidRPr="00321080" w:rsidRDefault="000B1DDE" w:rsidP="000B1DDE">
      <w:pPr>
        <w:rPr>
          <w:sz w:val="32"/>
          <w:szCs w:val="32"/>
        </w:rPr>
      </w:pPr>
    </w:p>
    <w:p w14:paraId="5198F522" w14:textId="77777777" w:rsidR="000B1DDE" w:rsidRPr="00321080" w:rsidRDefault="000B1DDE" w:rsidP="000B1DDE">
      <w:pPr>
        <w:rPr>
          <w:rFonts w:eastAsia="Calibri"/>
        </w:rPr>
      </w:pPr>
    </w:p>
    <w:p w14:paraId="74010146" w14:textId="77777777" w:rsidR="000B1DDE" w:rsidRPr="00321080" w:rsidRDefault="000B1DDE" w:rsidP="000B1DDE">
      <w:pPr>
        <w:rPr>
          <w:rFonts w:eastAsia="Calibri"/>
        </w:rPr>
      </w:pPr>
    </w:p>
    <w:p w14:paraId="659AD828" w14:textId="77777777" w:rsidR="000B1DDE" w:rsidRPr="00321080" w:rsidRDefault="000B1DDE" w:rsidP="000B1DDE">
      <w:pPr>
        <w:rPr>
          <w:rFonts w:eastAsia="Calibri"/>
        </w:rPr>
      </w:pPr>
    </w:p>
    <w:p w14:paraId="00636EF2" w14:textId="77777777" w:rsidR="000B1DDE" w:rsidRPr="00321080" w:rsidRDefault="000B1DDE" w:rsidP="000B1DDE">
      <w:pPr>
        <w:rPr>
          <w:rFonts w:eastAsia="Calibri"/>
        </w:rPr>
      </w:pPr>
    </w:p>
    <w:p w14:paraId="01A3E96C" w14:textId="77777777" w:rsidR="000B1DDE" w:rsidRPr="00321080" w:rsidRDefault="000B1DDE" w:rsidP="000B1DDE">
      <w:pPr>
        <w:rPr>
          <w:rFonts w:eastAsia="Calibri"/>
        </w:rPr>
      </w:pPr>
    </w:p>
    <w:p w14:paraId="083E8DDC" w14:textId="77777777" w:rsidR="000B1DDE" w:rsidRPr="00321080" w:rsidRDefault="000B1DDE" w:rsidP="000B1DDE">
      <w:pPr>
        <w:rPr>
          <w:rFonts w:eastAsia="Calibri"/>
        </w:rPr>
      </w:pPr>
    </w:p>
    <w:p w14:paraId="62D4E68E" w14:textId="77777777" w:rsidR="000B1DDE" w:rsidRPr="00321080" w:rsidRDefault="000B1DDE" w:rsidP="000B1DDE">
      <w:pPr>
        <w:rPr>
          <w:rFonts w:eastAsia="Calibri"/>
        </w:rPr>
      </w:pPr>
    </w:p>
    <w:p w14:paraId="1C9DCC80" w14:textId="77777777" w:rsidR="000B1DDE" w:rsidRPr="00321080" w:rsidRDefault="000B1DDE" w:rsidP="000B1DDE">
      <w:pPr>
        <w:rPr>
          <w:rFonts w:eastAsia="Calibri"/>
        </w:rPr>
      </w:pPr>
    </w:p>
    <w:p w14:paraId="6CBB0817" w14:textId="77777777" w:rsidR="000B1DDE" w:rsidRPr="00321080" w:rsidRDefault="000B1DDE" w:rsidP="000B1DDE">
      <w:pPr>
        <w:rPr>
          <w:rFonts w:eastAsia="Calibri"/>
        </w:rPr>
      </w:pPr>
    </w:p>
    <w:p w14:paraId="5E324008" w14:textId="77777777" w:rsidR="000B1DDE" w:rsidRPr="00321080" w:rsidRDefault="000B1DDE" w:rsidP="000B1DDE">
      <w:pPr>
        <w:rPr>
          <w:rFonts w:eastAsia="Calibri"/>
        </w:rPr>
      </w:pPr>
    </w:p>
    <w:p w14:paraId="48CF5F7A" w14:textId="77777777" w:rsidR="000B1DDE" w:rsidRPr="00321080" w:rsidRDefault="000B1DDE" w:rsidP="000B1DDE">
      <w:pPr>
        <w:rPr>
          <w:rFonts w:eastAsia="Calibri"/>
        </w:rPr>
      </w:pPr>
    </w:p>
    <w:p w14:paraId="568EACBA" w14:textId="77777777" w:rsidR="000B1DDE" w:rsidRPr="00321080" w:rsidRDefault="000B1DDE" w:rsidP="000B1DDE">
      <w:pPr>
        <w:rPr>
          <w:rFonts w:eastAsia="Calibri"/>
        </w:rPr>
      </w:pPr>
    </w:p>
    <w:p w14:paraId="3A853A81" w14:textId="77777777" w:rsidR="000B1DDE" w:rsidRPr="00321080" w:rsidRDefault="000B1DDE" w:rsidP="000B1DDE">
      <w:pPr>
        <w:rPr>
          <w:rFonts w:eastAsia="Calibri"/>
        </w:rPr>
      </w:pPr>
    </w:p>
    <w:p w14:paraId="24224606" w14:textId="77777777" w:rsidR="000B1DDE" w:rsidRPr="00321080" w:rsidRDefault="000B1DDE" w:rsidP="000B1DDE">
      <w:pPr>
        <w:rPr>
          <w:rFonts w:eastAsia="Calibri"/>
        </w:rPr>
      </w:pPr>
    </w:p>
    <w:p w14:paraId="51E521E1" w14:textId="77777777" w:rsidR="000B1DDE" w:rsidRPr="00321080" w:rsidRDefault="000B1DDE" w:rsidP="000B1DDE">
      <w:pPr>
        <w:rPr>
          <w:rFonts w:eastAsia="Calibri"/>
        </w:rPr>
      </w:pPr>
    </w:p>
    <w:p w14:paraId="5E519C70" w14:textId="77777777" w:rsidR="000B1DDE" w:rsidRPr="00321080" w:rsidRDefault="000B1DDE" w:rsidP="000B1DDE">
      <w:pPr>
        <w:rPr>
          <w:rFonts w:eastAsia="Calibri"/>
        </w:rPr>
      </w:pPr>
    </w:p>
    <w:p w14:paraId="7BEB5D82" w14:textId="77777777" w:rsidR="000B1DDE" w:rsidRPr="00321080" w:rsidRDefault="000B1DDE" w:rsidP="000B1DDE">
      <w:pPr>
        <w:rPr>
          <w:rFonts w:eastAsia="Calibri"/>
        </w:rPr>
      </w:pPr>
    </w:p>
    <w:p w14:paraId="0F6F48DA" w14:textId="77777777" w:rsidR="000B1DDE" w:rsidRPr="00321080" w:rsidRDefault="000B1DDE" w:rsidP="000B1DDE">
      <w:pPr>
        <w:rPr>
          <w:rFonts w:eastAsia="Calibri"/>
        </w:rPr>
      </w:pPr>
    </w:p>
    <w:p w14:paraId="3B4A9A27" w14:textId="77777777" w:rsidR="000B1DDE" w:rsidRPr="00321080" w:rsidRDefault="000B1DDE" w:rsidP="000B1DDE">
      <w:pPr>
        <w:rPr>
          <w:rFonts w:eastAsia="Calibri"/>
        </w:rPr>
      </w:pPr>
    </w:p>
    <w:p w14:paraId="3808A488" w14:textId="77777777" w:rsidR="000B1DDE" w:rsidRPr="00321080" w:rsidRDefault="000B1DDE" w:rsidP="000B1DDE">
      <w:pPr>
        <w:rPr>
          <w:rFonts w:eastAsia="Calibri"/>
        </w:rPr>
      </w:pPr>
    </w:p>
    <w:p w14:paraId="3E9CD17E" w14:textId="77777777" w:rsidR="000B1DDE" w:rsidRPr="00321080" w:rsidRDefault="000B1DDE" w:rsidP="000B1DDE">
      <w:pPr>
        <w:rPr>
          <w:rFonts w:eastAsia="Calibri"/>
        </w:rPr>
      </w:pPr>
    </w:p>
    <w:p w14:paraId="211DB1AE" w14:textId="77777777" w:rsidR="000B1DDE" w:rsidRPr="00321080" w:rsidRDefault="000B1DDE" w:rsidP="000B1DDE">
      <w:pPr>
        <w:rPr>
          <w:rFonts w:eastAsia="Calibri"/>
        </w:rPr>
      </w:pPr>
    </w:p>
    <w:p w14:paraId="0B363110" w14:textId="77777777" w:rsidR="000B1DDE" w:rsidRPr="00321080" w:rsidRDefault="000B1DDE" w:rsidP="000B1DDE">
      <w:pPr>
        <w:rPr>
          <w:rFonts w:eastAsia="Calibri"/>
        </w:rPr>
      </w:pPr>
    </w:p>
    <w:p w14:paraId="3904E5EA" w14:textId="77777777" w:rsidR="000B1DDE" w:rsidRPr="00321080" w:rsidRDefault="000B1DDE" w:rsidP="000B1DDE">
      <w:pPr>
        <w:rPr>
          <w:b/>
        </w:rPr>
      </w:pPr>
    </w:p>
    <w:p w14:paraId="0BF51734" w14:textId="670286D0" w:rsidR="000B1DDE" w:rsidRPr="00321080" w:rsidRDefault="000B1DDE" w:rsidP="000B1DDE">
      <w:pPr>
        <w:pStyle w:val="Heading1"/>
        <w:rPr>
          <w:color w:val="auto"/>
          <w:sz w:val="24"/>
          <w:szCs w:val="24"/>
        </w:rPr>
      </w:pPr>
      <w:bookmarkStart w:id="0" w:name="_Toc52977216"/>
      <w:r w:rsidRPr="00321080">
        <w:rPr>
          <w:b/>
          <w:color w:val="auto"/>
          <w:sz w:val="24"/>
          <w:szCs w:val="24"/>
        </w:rPr>
        <w:t>eTable1</w:t>
      </w:r>
      <w:r w:rsidRPr="00321080">
        <w:rPr>
          <w:color w:val="auto"/>
          <w:sz w:val="24"/>
          <w:szCs w:val="24"/>
        </w:rPr>
        <w:t xml:space="preserve">. List of items used to assess anhedonia/amotivation </w:t>
      </w:r>
      <w:r w:rsidR="00E37F1D" w:rsidRPr="00321080">
        <w:rPr>
          <w:color w:val="auto"/>
          <w:sz w:val="24"/>
          <w:szCs w:val="24"/>
        </w:rPr>
        <w:t>from the</w:t>
      </w:r>
      <w:r w:rsidRPr="00321080">
        <w:rPr>
          <w:color w:val="auto"/>
          <w:sz w:val="24"/>
          <w:szCs w:val="24"/>
        </w:rPr>
        <w:t xml:space="preserve"> Hospital Anxiety Depression Scale</w:t>
      </w:r>
      <w:bookmarkEnd w:id="0"/>
      <w:r w:rsidR="00E37F1D" w:rsidRPr="00321080">
        <w:rPr>
          <w:color w:val="auto"/>
          <w:sz w:val="24"/>
          <w:szCs w:val="24"/>
        </w:rPr>
        <w:t xml:space="preserve"> (HADS) and comparison with other well-validated measures of anhedonia/amotivation</w:t>
      </w:r>
    </w:p>
    <w:p w14:paraId="66FABE57" w14:textId="77777777" w:rsidR="00E37F1D" w:rsidRPr="00321080" w:rsidRDefault="00E37F1D" w:rsidP="00E37F1D"/>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86"/>
        <w:gridCol w:w="1853"/>
        <w:gridCol w:w="2499"/>
      </w:tblGrid>
      <w:tr w:rsidR="00321080" w:rsidRPr="00321080" w14:paraId="1BBF2BF4" w14:textId="43E47F20" w:rsidTr="00E37F1D">
        <w:trPr>
          <w:trHeight w:val="300"/>
        </w:trPr>
        <w:tc>
          <w:tcPr>
            <w:tcW w:w="2972" w:type="dxa"/>
            <w:shd w:val="clear" w:color="auto" w:fill="auto"/>
            <w:noWrap/>
            <w:vAlign w:val="bottom"/>
          </w:tcPr>
          <w:p w14:paraId="55172331" w14:textId="0B1F43DF" w:rsidR="00E37F1D" w:rsidRPr="00321080" w:rsidRDefault="00E37F1D" w:rsidP="0002255E">
            <w:pPr>
              <w:rPr>
                <w:b/>
                <w:bCs/>
              </w:rPr>
            </w:pPr>
            <w:r w:rsidRPr="00321080">
              <w:rPr>
                <w:b/>
                <w:bCs/>
              </w:rPr>
              <w:t xml:space="preserve">HADS </w:t>
            </w:r>
          </w:p>
          <w:p w14:paraId="4E93EB85" w14:textId="0246116D" w:rsidR="00E37F1D" w:rsidRPr="00321080" w:rsidRDefault="00E37F1D" w:rsidP="0002255E">
            <w:pPr>
              <w:rPr>
                <w:b/>
                <w:bCs/>
              </w:rPr>
            </w:pPr>
          </w:p>
        </w:tc>
        <w:tc>
          <w:tcPr>
            <w:tcW w:w="1686" w:type="dxa"/>
          </w:tcPr>
          <w:p w14:paraId="32A44C99" w14:textId="6AB92C4B" w:rsidR="00E37F1D" w:rsidRPr="00321080" w:rsidRDefault="00E37F1D" w:rsidP="0002255E">
            <w:pPr>
              <w:rPr>
                <w:b/>
                <w:bCs/>
              </w:rPr>
            </w:pPr>
            <w:r w:rsidRPr="00321080">
              <w:rPr>
                <w:b/>
                <w:bCs/>
              </w:rPr>
              <w:t>Snaith-Hamilton Pleasure Scale</w:t>
            </w:r>
          </w:p>
        </w:tc>
        <w:tc>
          <w:tcPr>
            <w:tcW w:w="1853" w:type="dxa"/>
          </w:tcPr>
          <w:p w14:paraId="736ABE88" w14:textId="76B3D192" w:rsidR="00E37F1D" w:rsidRPr="00321080" w:rsidRDefault="00E37F1D" w:rsidP="0002255E">
            <w:pPr>
              <w:rPr>
                <w:b/>
                <w:bCs/>
              </w:rPr>
            </w:pPr>
            <w:r w:rsidRPr="00321080">
              <w:rPr>
                <w:b/>
                <w:bCs/>
              </w:rPr>
              <w:t>Fawcett-Clark Pleasure Capacity Scale</w:t>
            </w:r>
          </w:p>
        </w:tc>
        <w:tc>
          <w:tcPr>
            <w:tcW w:w="2499" w:type="dxa"/>
          </w:tcPr>
          <w:p w14:paraId="2FEDD0C8" w14:textId="54058922" w:rsidR="00E37F1D" w:rsidRPr="00321080" w:rsidRDefault="00E37F1D" w:rsidP="0002255E">
            <w:pPr>
              <w:rPr>
                <w:b/>
                <w:bCs/>
              </w:rPr>
            </w:pPr>
            <w:r w:rsidRPr="00321080">
              <w:rPr>
                <w:b/>
                <w:bCs/>
              </w:rPr>
              <w:t>Revised Chapman scales (Physical and Social Anhedonia)</w:t>
            </w:r>
          </w:p>
        </w:tc>
      </w:tr>
      <w:tr w:rsidR="00321080" w:rsidRPr="00321080" w14:paraId="6317E244" w14:textId="516F608C" w:rsidTr="00E37F1D">
        <w:trPr>
          <w:trHeight w:val="300"/>
        </w:trPr>
        <w:tc>
          <w:tcPr>
            <w:tcW w:w="2972" w:type="dxa"/>
            <w:shd w:val="clear" w:color="auto" w:fill="auto"/>
            <w:noWrap/>
            <w:vAlign w:val="bottom"/>
            <w:hideMark/>
          </w:tcPr>
          <w:p w14:paraId="713DC644" w14:textId="6B7BB656" w:rsidR="00E37F1D" w:rsidRPr="00321080" w:rsidRDefault="00E37F1D" w:rsidP="0002255E">
            <w:r w:rsidRPr="00321080">
              <w:t>I still enjoy the things I used to enjoy/ past week</w:t>
            </w:r>
          </w:p>
          <w:p w14:paraId="040EFB74" w14:textId="77777777" w:rsidR="00E37F1D" w:rsidRPr="00321080" w:rsidRDefault="00E37F1D" w:rsidP="0002255E"/>
          <w:p w14:paraId="7DAFFA07" w14:textId="77777777" w:rsidR="00E37F1D" w:rsidRPr="00321080" w:rsidRDefault="00E37F1D" w:rsidP="0002255E"/>
        </w:tc>
        <w:tc>
          <w:tcPr>
            <w:tcW w:w="1686" w:type="dxa"/>
          </w:tcPr>
          <w:p w14:paraId="0829CA46" w14:textId="2A7C7C9E" w:rsidR="00E37F1D" w:rsidRPr="00321080" w:rsidRDefault="00E37F1D" w:rsidP="00E37F1D">
            <w:pPr>
              <w:jc w:val="center"/>
            </w:pPr>
            <w:r w:rsidRPr="00321080">
              <w:t>X</w:t>
            </w:r>
          </w:p>
        </w:tc>
        <w:tc>
          <w:tcPr>
            <w:tcW w:w="1853" w:type="dxa"/>
          </w:tcPr>
          <w:p w14:paraId="176118A2" w14:textId="670D6588" w:rsidR="00E37F1D" w:rsidRPr="00321080" w:rsidRDefault="00E37F1D" w:rsidP="0002255E">
            <w:r w:rsidRPr="00321080">
              <w:t>X</w:t>
            </w:r>
          </w:p>
        </w:tc>
        <w:tc>
          <w:tcPr>
            <w:tcW w:w="2499" w:type="dxa"/>
          </w:tcPr>
          <w:p w14:paraId="38D7B72C" w14:textId="063CAEAB" w:rsidR="00E37F1D" w:rsidRPr="00321080" w:rsidRDefault="00E37F1D" w:rsidP="0002255E">
            <w:r w:rsidRPr="00321080">
              <w:t>X</w:t>
            </w:r>
          </w:p>
        </w:tc>
      </w:tr>
      <w:tr w:rsidR="00321080" w:rsidRPr="00321080" w14:paraId="6EA65AA4" w14:textId="469AE46E" w:rsidTr="00E37F1D">
        <w:trPr>
          <w:trHeight w:val="260"/>
        </w:trPr>
        <w:tc>
          <w:tcPr>
            <w:tcW w:w="2972" w:type="dxa"/>
            <w:shd w:val="clear" w:color="auto" w:fill="auto"/>
            <w:noWrap/>
            <w:vAlign w:val="bottom"/>
            <w:hideMark/>
          </w:tcPr>
          <w:p w14:paraId="22A6D93D" w14:textId="4DD14E82" w:rsidR="00E37F1D" w:rsidRPr="00321080" w:rsidRDefault="00E37F1D" w:rsidP="0002255E">
            <w:r w:rsidRPr="00321080">
              <w:t>I can laugh and see the funny side of things/ past week</w:t>
            </w:r>
          </w:p>
          <w:p w14:paraId="71BDA1FF" w14:textId="77777777" w:rsidR="00E37F1D" w:rsidRPr="00321080" w:rsidRDefault="00E37F1D" w:rsidP="0002255E"/>
          <w:p w14:paraId="6D79A470" w14:textId="69EC207A" w:rsidR="00E37F1D" w:rsidRPr="00321080" w:rsidRDefault="00E37F1D" w:rsidP="0002255E"/>
        </w:tc>
        <w:tc>
          <w:tcPr>
            <w:tcW w:w="1686" w:type="dxa"/>
          </w:tcPr>
          <w:p w14:paraId="5E120FEA" w14:textId="77777777" w:rsidR="00E37F1D" w:rsidRPr="00321080" w:rsidRDefault="00E37F1D" w:rsidP="0002255E"/>
        </w:tc>
        <w:tc>
          <w:tcPr>
            <w:tcW w:w="1853" w:type="dxa"/>
          </w:tcPr>
          <w:p w14:paraId="6A5B06DC" w14:textId="07FD055A" w:rsidR="00E37F1D" w:rsidRPr="00321080" w:rsidRDefault="00E37F1D" w:rsidP="0002255E">
            <w:r w:rsidRPr="00321080">
              <w:t>X</w:t>
            </w:r>
          </w:p>
        </w:tc>
        <w:tc>
          <w:tcPr>
            <w:tcW w:w="2499" w:type="dxa"/>
          </w:tcPr>
          <w:p w14:paraId="3F3A3ACF" w14:textId="2E9EABAF" w:rsidR="00E37F1D" w:rsidRPr="00321080" w:rsidRDefault="00E37F1D" w:rsidP="0002255E">
            <w:r w:rsidRPr="00321080">
              <w:t>X</w:t>
            </w:r>
          </w:p>
        </w:tc>
      </w:tr>
      <w:tr w:rsidR="00321080" w:rsidRPr="00321080" w14:paraId="43430FCF" w14:textId="37EEF1CA" w:rsidTr="00E37F1D">
        <w:trPr>
          <w:trHeight w:val="300"/>
        </w:trPr>
        <w:tc>
          <w:tcPr>
            <w:tcW w:w="2972" w:type="dxa"/>
            <w:shd w:val="clear" w:color="auto" w:fill="auto"/>
            <w:noWrap/>
            <w:vAlign w:val="bottom"/>
            <w:hideMark/>
          </w:tcPr>
          <w:p w14:paraId="7E69AA63" w14:textId="12FCAC80" w:rsidR="00E37F1D" w:rsidRPr="00321080" w:rsidRDefault="00E37F1D" w:rsidP="0002255E">
            <w:r w:rsidRPr="00321080">
              <w:t>I feel cheerful/ past week</w:t>
            </w:r>
          </w:p>
          <w:p w14:paraId="02725D88" w14:textId="77777777" w:rsidR="00E37F1D" w:rsidRPr="00321080" w:rsidRDefault="00E37F1D" w:rsidP="0002255E"/>
          <w:p w14:paraId="5EE6471D" w14:textId="75E8C8BB" w:rsidR="00E37F1D" w:rsidRPr="00321080" w:rsidRDefault="00E37F1D" w:rsidP="0002255E"/>
        </w:tc>
        <w:tc>
          <w:tcPr>
            <w:tcW w:w="1686" w:type="dxa"/>
          </w:tcPr>
          <w:p w14:paraId="7E693345" w14:textId="29D106CB" w:rsidR="00E37F1D" w:rsidRPr="00321080" w:rsidRDefault="00E37F1D" w:rsidP="00E37F1D">
            <w:pPr>
              <w:jc w:val="center"/>
            </w:pPr>
          </w:p>
        </w:tc>
        <w:tc>
          <w:tcPr>
            <w:tcW w:w="1853" w:type="dxa"/>
          </w:tcPr>
          <w:p w14:paraId="7C7D622B" w14:textId="10C2F33D" w:rsidR="00E37F1D" w:rsidRPr="00321080" w:rsidRDefault="00E37F1D" w:rsidP="0002255E">
            <w:r w:rsidRPr="00321080">
              <w:t>X</w:t>
            </w:r>
          </w:p>
        </w:tc>
        <w:tc>
          <w:tcPr>
            <w:tcW w:w="2499" w:type="dxa"/>
          </w:tcPr>
          <w:p w14:paraId="64BE9D02" w14:textId="182D223B" w:rsidR="00E37F1D" w:rsidRPr="00321080" w:rsidRDefault="00E37F1D" w:rsidP="0002255E">
            <w:r w:rsidRPr="00321080">
              <w:t>X</w:t>
            </w:r>
          </w:p>
        </w:tc>
      </w:tr>
      <w:tr w:rsidR="00321080" w:rsidRPr="00321080" w14:paraId="7DE4406D" w14:textId="7F9A52A1" w:rsidTr="00E37F1D">
        <w:trPr>
          <w:trHeight w:val="300"/>
        </w:trPr>
        <w:tc>
          <w:tcPr>
            <w:tcW w:w="2972" w:type="dxa"/>
            <w:shd w:val="clear" w:color="auto" w:fill="auto"/>
            <w:noWrap/>
            <w:vAlign w:val="bottom"/>
            <w:hideMark/>
          </w:tcPr>
          <w:p w14:paraId="2DBD4EC5" w14:textId="787AD244" w:rsidR="00E37F1D" w:rsidRPr="00321080" w:rsidRDefault="00E37F1D" w:rsidP="0002255E">
            <w:r w:rsidRPr="00321080">
              <w:t>I feel as if I am slowed down/ past week</w:t>
            </w:r>
          </w:p>
          <w:p w14:paraId="1AE16CD3" w14:textId="77777777" w:rsidR="00E37F1D" w:rsidRPr="00321080" w:rsidRDefault="00E37F1D" w:rsidP="0002255E"/>
          <w:p w14:paraId="7CC71E59" w14:textId="36BA8CEE" w:rsidR="00E37F1D" w:rsidRPr="00321080" w:rsidRDefault="00E37F1D" w:rsidP="0002255E"/>
        </w:tc>
        <w:tc>
          <w:tcPr>
            <w:tcW w:w="1686" w:type="dxa"/>
          </w:tcPr>
          <w:p w14:paraId="632BBE42" w14:textId="77777777" w:rsidR="00E37F1D" w:rsidRPr="00321080" w:rsidRDefault="00E37F1D" w:rsidP="0002255E"/>
        </w:tc>
        <w:tc>
          <w:tcPr>
            <w:tcW w:w="1853" w:type="dxa"/>
          </w:tcPr>
          <w:p w14:paraId="3FC346F0" w14:textId="77777777" w:rsidR="00E37F1D" w:rsidRPr="00321080" w:rsidRDefault="00E37F1D" w:rsidP="0002255E"/>
        </w:tc>
        <w:tc>
          <w:tcPr>
            <w:tcW w:w="2499" w:type="dxa"/>
          </w:tcPr>
          <w:p w14:paraId="5E60E2D2" w14:textId="610597D5" w:rsidR="00E37F1D" w:rsidRPr="00321080" w:rsidRDefault="00E37F1D" w:rsidP="0002255E">
            <w:r w:rsidRPr="00321080">
              <w:t>X</w:t>
            </w:r>
          </w:p>
        </w:tc>
      </w:tr>
      <w:tr w:rsidR="00321080" w:rsidRPr="00321080" w14:paraId="05A20696" w14:textId="45EA87B4" w:rsidTr="00E37F1D">
        <w:trPr>
          <w:trHeight w:val="300"/>
        </w:trPr>
        <w:tc>
          <w:tcPr>
            <w:tcW w:w="2972" w:type="dxa"/>
            <w:shd w:val="clear" w:color="auto" w:fill="auto"/>
            <w:noWrap/>
            <w:vAlign w:val="bottom"/>
            <w:hideMark/>
          </w:tcPr>
          <w:p w14:paraId="1DB437EB" w14:textId="55189745" w:rsidR="00E37F1D" w:rsidRPr="00321080" w:rsidRDefault="00E37F1D" w:rsidP="0002255E">
            <w:r w:rsidRPr="00321080">
              <w:t>I have lost interest in my appearance/ past week</w:t>
            </w:r>
          </w:p>
          <w:p w14:paraId="2B7009E2" w14:textId="77777777" w:rsidR="00E37F1D" w:rsidRPr="00321080" w:rsidRDefault="00E37F1D" w:rsidP="0002255E"/>
          <w:p w14:paraId="6C409BB3" w14:textId="528399E8" w:rsidR="00E37F1D" w:rsidRPr="00321080" w:rsidRDefault="00E37F1D" w:rsidP="0002255E"/>
        </w:tc>
        <w:tc>
          <w:tcPr>
            <w:tcW w:w="1686" w:type="dxa"/>
          </w:tcPr>
          <w:p w14:paraId="3F84FECB" w14:textId="52FE5730" w:rsidR="00E37F1D" w:rsidRPr="00321080" w:rsidRDefault="00E37F1D" w:rsidP="00E37F1D">
            <w:pPr>
              <w:jc w:val="center"/>
            </w:pPr>
            <w:r w:rsidRPr="00321080">
              <w:t>X</w:t>
            </w:r>
          </w:p>
        </w:tc>
        <w:tc>
          <w:tcPr>
            <w:tcW w:w="1853" w:type="dxa"/>
          </w:tcPr>
          <w:p w14:paraId="2E379395" w14:textId="21FA1EB7" w:rsidR="00E37F1D" w:rsidRPr="00321080" w:rsidRDefault="00E37F1D" w:rsidP="0002255E">
            <w:r w:rsidRPr="00321080">
              <w:t>X</w:t>
            </w:r>
          </w:p>
        </w:tc>
        <w:tc>
          <w:tcPr>
            <w:tcW w:w="2499" w:type="dxa"/>
          </w:tcPr>
          <w:p w14:paraId="5164D011" w14:textId="1686FA1E" w:rsidR="00E37F1D" w:rsidRPr="00321080" w:rsidRDefault="00E37F1D" w:rsidP="0002255E">
            <w:r w:rsidRPr="00321080">
              <w:t>X</w:t>
            </w:r>
          </w:p>
        </w:tc>
      </w:tr>
      <w:tr w:rsidR="00321080" w:rsidRPr="00321080" w14:paraId="334437B7" w14:textId="238F078D" w:rsidTr="00E37F1D">
        <w:trPr>
          <w:trHeight w:val="300"/>
        </w:trPr>
        <w:tc>
          <w:tcPr>
            <w:tcW w:w="2972" w:type="dxa"/>
            <w:shd w:val="clear" w:color="auto" w:fill="auto"/>
            <w:noWrap/>
            <w:vAlign w:val="bottom"/>
            <w:hideMark/>
          </w:tcPr>
          <w:p w14:paraId="02CA0C38" w14:textId="0437F873" w:rsidR="00E37F1D" w:rsidRPr="00321080" w:rsidRDefault="00E37F1D" w:rsidP="0002255E">
            <w:r w:rsidRPr="00321080">
              <w:t>I look forward with enjoyment to things/ past week</w:t>
            </w:r>
          </w:p>
          <w:p w14:paraId="724302FB" w14:textId="77777777" w:rsidR="00E37F1D" w:rsidRPr="00321080" w:rsidRDefault="00E37F1D" w:rsidP="0002255E"/>
          <w:p w14:paraId="32F31A49" w14:textId="25D1F5A9" w:rsidR="00E37F1D" w:rsidRPr="00321080" w:rsidRDefault="00E37F1D" w:rsidP="0002255E"/>
        </w:tc>
        <w:tc>
          <w:tcPr>
            <w:tcW w:w="1686" w:type="dxa"/>
          </w:tcPr>
          <w:p w14:paraId="766CB246" w14:textId="0263A42F" w:rsidR="00E37F1D" w:rsidRPr="00321080" w:rsidRDefault="00E37F1D" w:rsidP="00E37F1D">
            <w:pPr>
              <w:jc w:val="center"/>
            </w:pPr>
            <w:r w:rsidRPr="00321080">
              <w:t>X</w:t>
            </w:r>
          </w:p>
        </w:tc>
        <w:tc>
          <w:tcPr>
            <w:tcW w:w="1853" w:type="dxa"/>
          </w:tcPr>
          <w:p w14:paraId="297571F2" w14:textId="137904C3" w:rsidR="00E37F1D" w:rsidRPr="00321080" w:rsidRDefault="00E37F1D" w:rsidP="0002255E">
            <w:r w:rsidRPr="00321080">
              <w:t>X</w:t>
            </w:r>
          </w:p>
        </w:tc>
        <w:tc>
          <w:tcPr>
            <w:tcW w:w="2499" w:type="dxa"/>
          </w:tcPr>
          <w:p w14:paraId="41216ADD" w14:textId="53360BB7" w:rsidR="00E37F1D" w:rsidRPr="00321080" w:rsidRDefault="00E37F1D" w:rsidP="0002255E">
            <w:r w:rsidRPr="00321080">
              <w:t>X</w:t>
            </w:r>
          </w:p>
        </w:tc>
      </w:tr>
      <w:tr w:rsidR="00E37F1D" w:rsidRPr="00321080" w14:paraId="6902DCD3" w14:textId="3A0D746E" w:rsidTr="00E37F1D">
        <w:trPr>
          <w:trHeight w:val="300"/>
        </w:trPr>
        <w:tc>
          <w:tcPr>
            <w:tcW w:w="2972" w:type="dxa"/>
            <w:shd w:val="clear" w:color="auto" w:fill="auto"/>
            <w:noWrap/>
            <w:vAlign w:val="bottom"/>
            <w:hideMark/>
          </w:tcPr>
          <w:p w14:paraId="64995B9F" w14:textId="77777777" w:rsidR="00E37F1D" w:rsidRPr="00321080" w:rsidRDefault="00E37F1D" w:rsidP="0002255E">
            <w:r w:rsidRPr="00321080">
              <w:t>I can enjoy a good book or radio or TV programme/ past week</w:t>
            </w:r>
          </w:p>
          <w:p w14:paraId="168E37E4" w14:textId="1C43802F" w:rsidR="00E37F1D" w:rsidRPr="00321080" w:rsidRDefault="00E37F1D" w:rsidP="0002255E"/>
        </w:tc>
        <w:tc>
          <w:tcPr>
            <w:tcW w:w="1686" w:type="dxa"/>
          </w:tcPr>
          <w:p w14:paraId="7767CA52" w14:textId="439E4716" w:rsidR="00E37F1D" w:rsidRPr="00321080" w:rsidRDefault="00E37F1D" w:rsidP="00E37F1D">
            <w:pPr>
              <w:jc w:val="center"/>
            </w:pPr>
            <w:r w:rsidRPr="00321080">
              <w:t>X</w:t>
            </w:r>
          </w:p>
        </w:tc>
        <w:tc>
          <w:tcPr>
            <w:tcW w:w="1853" w:type="dxa"/>
          </w:tcPr>
          <w:p w14:paraId="550955C5" w14:textId="24B85BBF" w:rsidR="00E37F1D" w:rsidRPr="00321080" w:rsidRDefault="00E37F1D" w:rsidP="0002255E">
            <w:r w:rsidRPr="00321080">
              <w:t>X</w:t>
            </w:r>
          </w:p>
        </w:tc>
        <w:tc>
          <w:tcPr>
            <w:tcW w:w="2499" w:type="dxa"/>
          </w:tcPr>
          <w:p w14:paraId="31387920" w14:textId="5B6C5BDF" w:rsidR="00E37F1D" w:rsidRPr="00321080" w:rsidRDefault="00E37F1D" w:rsidP="0002255E">
            <w:r w:rsidRPr="00321080">
              <w:t>X</w:t>
            </w:r>
          </w:p>
        </w:tc>
      </w:tr>
    </w:tbl>
    <w:p w14:paraId="45474DE3" w14:textId="77777777" w:rsidR="00E37F1D" w:rsidRPr="00321080" w:rsidRDefault="00E37F1D" w:rsidP="000B1DDE">
      <w:pPr>
        <w:rPr>
          <w:rFonts w:eastAsia="Calibri"/>
        </w:rPr>
      </w:pPr>
    </w:p>
    <w:p w14:paraId="499F31FA" w14:textId="77777777" w:rsidR="000B1DDE" w:rsidRPr="00321080" w:rsidRDefault="000B1DDE" w:rsidP="000B1DDE">
      <w:pPr>
        <w:pStyle w:val="Heading1"/>
        <w:rPr>
          <w:color w:val="auto"/>
          <w:sz w:val="24"/>
          <w:szCs w:val="24"/>
        </w:rPr>
      </w:pPr>
      <w:bookmarkStart w:id="1" w:name="_Toc52977217"/>
      <w:r w:rsidRPr="00321080">
        <w:rPr>
          <w:b/>
          <w:color w:val="auto"/>
          <w:sz w:val="24"/>
          <w:szCs w:val="24"/>
        </w:rPr>
        <w:t>eTable 2</w:t>
      </w:r>
      <w:r w:rsidRPr="00321080">
        <w:rPr>
          <w:color w:val="auto"/>
          <w:sz w:val="24"/>
          <w:szCs w:val="24"/>
        </w:rPr>
        <w:t>. Correlation matrix</w:t>
      </w:r>
      <w:bookmarkEnd w:id="1"/>
      <w:r w:rsidRPr="00321080">
        <w:rPr>
          <w:color w:val="auto"/>
          <w:sz w:val="24"/>
          <w:szCs w:val="24"/>
        </w:rPr>
        <w:t xml:space="preserve"> </w:t>
      </w:r>
    </w:p>
    <w:tbl>
      <w:tblPr>
        <w:tblStyle w:val="TableGrid"/>
        <w:tblW w:w="0" w:type="auto"/>
        <w:tblLook w:val="04A0" w:firstRow="1" w:lastRow="0" w:firstColumn="1" w:lastColumn="0" w:noHBand="0" w:noVBand="1"/>
      </w:tblPr>
      <w:tblGrid>
        <w:gridCol w:w="2804"/>
        <w:gridCol w:w="2300"/>
        <w:gridCol w:w="1883"/>
        <w:gridCol w:w="2023"/>
      </w:tblGrid>
      <w:tr w:rsidR="00321080" w:rsidRPr="00321080" w14:paraId="21A8A620" w14:textId="77777777" w:rsidTr="0002255E">
        <w:tc>
          <w:tcPr>
            <w:tcW w:w="2972" w:type="dxa"/>
          </w:tcPr>
          <w:p w14:paraId="7B4D23A6" w14:textId="77777777" w:rsidR="000B1DDE" w:rsidRPr="00321080" w:rsidRDefault="000B1DDE" w:rsidP="0002255E">
            <w:pPr>
              <w:rPr>
                <w:b/>
              </w:rPr>
            </w:pPr>
          </w:p>
        </w:tc>
        <w:tc>
          <w:tcPr>
            <w:tcW w:w="2410" w:type="dxa"/>
          </w:tcPr>
          <w:p w14:paraId="595DA3B8" w14:textId="77777777" w:rsidR="000B1DDE" w:rsidRPr="00321080" w:rsidRDefault="000B1DDE" w:rsidP="0002255E">
            <w:pPr>
              <w:rPr>
                <w:b/>
              </w:rPr>
            </w:pPr>
            <w:r w:rsidRPr="00321080">
              <w:rPr>
                <w:b/>
              </w:rPr>
              <w:t>Anhedonia</w:t>
            </w:r>
          </w:p>
        </w:tc>
        <w:tc>
          <w:tcPr>
            <w:tcW w:w="1984" w:type="dxa"/>
          </w:tcPr>
          <w:p w14:paraId="785EB2F7" w14:textId="77777777" w:rsidR="000B1DDE" w:rsidRPr="00321080" w:rsidRDefault="000B1DDE" w:rsidP="0002255E">
            <w:pPr>
              <w:rPr>
                <w:b/>
              </w:rPr>
            </w:pPr>
            <w:r w:rsidRPr="00321080">
              <w:rPr>
                <w:b/>
              </w:rPr>
              <w:t>PEA serum</w:t>
            </w:r>
          </w:p>
        </w:tc>
        <w:tc>
          <w:tcPr>
            <w:tcW w:w="2127" w:type="dxa"/>
          </w:tcPr>
          <w:p w14:paraId="6404A7DD" w14:textId="77777777" w:rsidR="000B1DDE" w:rsidRPr="00321080" w:rsidRDefault="000B1DDE" w:rsidP="0002255E">
            <w:pPr>
              <w:rPr>
                <w:b/>
              </w:rPr>
            </w:pPr>
            <w:r w:rsidRPr="00321080">
              <w:rPr>
                <w:b/>
              </w:rPr>
              <w:t>PEA faecal</w:t>
            </w:r>
          </w:p>
        </w:tc>
      </w:tr>
      <w:tr w:rsidR="00321080" w:rsidRPr="00321080" w14:paraId="2E00EDE4" w14:textId="77777777" w:rsidTr="0002255E">
        <w:tc>
          <w:tcPr>
            <w:tcW w:w="2972" w:type="dxa"/>
          </w:tcPr>
          <w:p w14:paraId="5DF9CF1F" w14:textId="77777777" w:rsidR="000B1DDE" w:rsidRPr="00321080" w:rsidRDefault="000B1DDE" w:rsidP="0002255E">
            <w:pPr>
              <w:rPr>
                <w:b/>
              </w:rPr>
            </w:pPr>
            <w:r w:rsidRPr="00321080">
              <w:rPr>
                <w:b/>
              </w:rPr>
              <w:t>Anhedonia</w:t>
            </w:r>
          </w:p>
        </w:tc>
        <w:tc>
          <w:tcPr>
            <w:tcW w:w="2410" w:type="dxa"/>
          </w:tcPr>
          <w:p w14:paraId="538BCCA0" w14:textId="77777777" w:rsidR="000B1DDE" w:rsidRPr="00321080" w:rsidRDefault="000B1DDE" w:rsidP="0002255E"/>
        </w:tc>
        <w:tc>
          <w:tcPr>
            <w:tcW w:w="1984" w:type="dxa"/>
          </w:tcPr>
          <w:p w14:paraId="3535F356" w14:textId="77777777" w:rsidR="000B1DDE" w:rsidRPr="00321080" w:rsidRDefault="000B1DDE" w:rsidP="0002255E"/>
        </w:tc>
        <w:tc>
          <w:tcPr>
            <w:tcW w:w="2127" w:type="dxa"/>
          </w:tcPr>
          <w:p w14:paraId="71C50294" w14:textId="77777777" w:rsidR="000B1DDE" w:rsidRPr="00321080" w:rsidRDefault="000B1DDE" w:rsidP="0002255E"/>
        </w:tc>
      </w:tr>
      <w:tr w:rsidR="00321080" w:rsidRPr="00321080" w14:paraId="0279FDBB" w14:textId="77777777" w:rsidTr="0002255E">
        <w:tc>
          <w:tcPr>
            <w:tcW w:w="2972" w:type="dxa"/>
          </w:tcPr>
          <w:p w14:paraId="74B2FCB2" w14:textId="77777777" w:rsidR="000B1DDE" w:rsidRPr="00321080" w:rsidRDefault="000B1DDE" w:rsidP="0002255E">
            <w:pPr>
              <w:rPr>
                <w:b/>
              </w:rPr>
            </w:pPr>
            <w:r w:rsidRPr="00321080">
              <w:rPr>
                <w:b/>
              </w:rPr>
              <w:t>PEA serum</w:t>
            </w:r>
          </w:p>
        </w:tc>
        <w:tc>
          <w:tcPr>
            <w:tcW w:w="2410" w:type="dxa"/>
          </w:tcPr>
          <w:p w14:paraId="119533B3" w14:textId="77777777" w:rsidR="000B1DDE" w:rsidRPr="00321080" w:rsidRDefault="000B1DDE" w:rsidP="0002255E">
            <w:r w:rsidRPr="00321080">
              <w:t>0.013</w:t>
            </w:r>
          </w:p>
        </w:tc>
        <w:tc>
          <w:tcPr>
            <w:tcW w:w="1984" w:type="dxa"/>
          </w:tcPr>
          <w:p w14:paraId="23ED1765" w14:textId="77777777" w:rsidR="000B1DDE" w:rsidRPr="00321080" w:rsidRDefault="000B1DDE" w:rsidP="0002255E"/>
        </w:tc>
        <w:tc>
          <w:tcPr>
            <w:tcW w:w="2127" w:type="dxa"/>
          </w:tcPr>
          <w:p w14:paraId="59A74E76" w14:textId="77777777" w:rsidR="000B1DDE" w:rsidRPr="00321080" w:rsidRDefault="000B1DDE" w:rsidP="0002255E"/>
        </w:tc>
      </w:tr>
      <w:tr w:rsidR="00321080" w:rsidRPr="00321080" w14:paraId="4F933E45" w14:textId="77777777" w:rsidTr="0002255E">
        <w:tc>
          <w:tcPr>
            <w:tcW w:w="2972" w:type="dxa"/>
          </w:tcPr>
          <w:p w14:paraId="1D07A1E3" w14:textId="77777777" w:rsidR="000B1DDE" w:rsidRPr="00321080" w:rsidRDefault="000B1DDE" w:rsidP="0002255E">
            <w:pPr>
              <w:rPr>
                <w:b/>
              </w:rPr>
            </w:pPr>
            <w:r w:rsidRPr="00321080">
              <w:rPr>
                <w:b/>
              </w:rPr>
              <w:t>PEA faecal</w:t>
            </w:r>
          </w:p>
        </w:tc>
        <w:tc>
          <w:tcPr>
            <w:tcW w:w="2410" w:type="dxa"/>
          </w:tcPr>
          <w:p w14:paraId="48DA48B9" w14:textId="77777777" w:rsidR="000B1DDE" w:rsidRPr="00321080" w:rsidRDefault="000B1DDE" w:rsidP="0002255E">
            <w:r w:rsidRPr="00321080">
              <w:rPr>
                <w:b/>
              </w:rPr>
              <w:t>0.145***</w:t>
            </w:r>
          </w:p>
        </w:tc>
        <w:tc>
          <w:tcPr>
            <w:tcW w:w="1984" w:type="dxa"/>
          </w:tcPr>
          <w:p w14:paraId="7924C815" w14:textId="77777777" w:rsidR="000B1DDE" w:rsidRPr="00321080" w:rsidRDefault="000B1DDE" w:rsidP="0002255E">
            <w:r w:rsidRPr="00321080">
              <w:rPr>
                <w:b/>
              </w:rPr>
              <w:t>0.100**</w:t>
            </w:r>
          </w:p>
        </w:tc>
        <w:tc>
          <w:tcPr>
            <w:tcW w:w="2127" w:type="dxa"/>
          </w:tcPr>
          <w:p w14:paraId="131CB688" w14:textId="77777777" w:rsidR="000B1DDE" w:rsidRPr="00321080" w:rsidRDefault="000B1DDE" w:rsidP="0002255E"/>
        </w:tc>
      </w:tr>
      <w:tr w:rsidR="00321080" w:rsidRPr="00321080" w14:paraId="1653C203" w14:textId="77777777" w:rsidTr="0002255E">
        <w:tc>
          <w:tcPr>
            <w:tcW w:w="2972" w:type="dxa"/>
          </w:tcPr>
          <w:p w14:paraId="5EC8C61D" w14:textId="77777777" w:rsidR="000B1DDE" w:rsidRPr="00321080" w:rsidRDefault="000B1DDE" w:rsidP="0002255E">
            <w:pPr>
              <w:rPr>
                <w:b/>
              </w:rPr>
            </w:pPr>
            <w:r w:rsidRPr="00321080">
              <w:rPr>
                <w:b/>
              </w:rPr>
              <w:t>Alpha diversity (Shannon index)</w:t>
            </w:r>
          </w:p>
        </w:tc>
        <w:tc>
          <w:tcPr>
            <w:tcW w:w="2410" w:type="dxa"/>
          </w:tcPr>
          <w:p w14:paraId="576539B3" w14:textId="77777777" w:rsidR="000B1DDE" w:rsidRPr="00321080" w:rsidRDefault="000B1DDE" w:rsidP="0002255E">
            <w:r w:rsidRPr="00321080">
              <w:rPr>
                <w:b/>
              </w:rPr>
              <w:t>-0.103*</w:t>
            </w:r>
          </w:p>
        </w:tc>
        <w:tc>
          <w:tcPr>
            <w:tcW w:w="1984" w:type="dxa"/>
          </w:tcPr>
          <w:p w14:paraId="616368D5" w14:textId="77777777" w:rsidR="000B1DDE" w:rsidRPr="00321080" w:rsidRDefault="000B1DDE" w:rsidP="0002255E">
            <w:r w:rsidRPr="00321080">
              <w:t>-0.041</w:t>
            </w:r>
          </w:p>
        </w:tc>
        <w:tc>
          <w:tcPr>
            <w:tcW w:w="2127" w:type="dxa"/>
          </w:tcPr>
          <w:p w14:paraId="3DB9A74B" w14:textId="77777777" w:rsidR="000B1DDE" w:rsidRPr="00321080" w:rsidRDefault="000B1DDE" w:rsidP="0002255E">
            <w:r w:rsidRPr="00321080">
              <w:rPr>
                <w:b/>
              </w:rPr>
              <w:t>-0.315***</w:t>
            </w:r>
          </w:p>
        </w:tc>
      </w:tr>
    </w:tbl>
    <w:p w14:paraId="2646B7CC" w14:textId="77777777" w:rsidR="000B1DDE" w:rsidRPr="00321080" w:rsidRDefault="000B1DDE" w:rsidP="000B1DDE">
      <w:pPr>
        <w:rPr>
          <w:b/>
          <w:sz w:val="20"/>
          <w:szCs w:val="20"/>
        </w:rPr>
      </w:pPr>
      <w:r w:rsidRPr="00321080">
        <w:rPr>
          <w:sz w:val="20"/>
          <w:szCs w:val="20"/>
        </w:rPr>
        <w:t>Note: endocannabinoid metabolites were log-transformed and scaled to a mean of 0 and standard deviation of 1 (z scores)</w:t>
      </w:r>
    </w:p>
    <w:p w14:paraId="0205C443" w14:textId="77777777" w:rsidR="000B1DDE" w:rsidRPr="00321080" w:rsidRDefault="000B1DDE" w:rsidP="000B1DDE">
      <w:pPr>
        <w:rPr>
          <w:b/>
          <w:sz w:val="20"/>
          <w:szCs w:val="20"/>
        </w:rPr>
      </w:pPr>
      <w:r w:rsidRPr="00321080">
        <w:rPr>
          <w:b/>
          <w:sz w:val="20"/>
          <w:szCs w:val="20"/>
        </w:rPr>
        <w:t>*&lt;0.05</w:t>
      </w:r>
      <w:r w:rsidRPr="00321080">
        <w:rPr>
          <w:b/>
          <w:sz w:val="20"/>
          <w:szCs w:val="20"/>
        </w:rPr>
        <w:br/>
        <w:t>**&lt;0.01</w:t>
      </w:r>
    </w:p>
    <w:p w14:paraId="3246E5D4" w14:textId="77777777" w:rsidR="000B1DDE" w:rsidRPr="00321080" w:rsidRDefault="000B1DDE" w:rsidP="000B1DDE">
      <w:pPr>
        <w:rPr>
          <w:b/>
          <w:sz w:val="20"/>
          <w:szCs w:val="20"/>
        </w:rPr>
      </w:pPr>
      <w:r w:rsidRPr="00321080">
        <w:rPr>
          <w:b/>
          <w:sz w:val="20"/>
          <w:szCs w:val="20"/>
        </w:rPr>
        <w:t>***&lt;0.001</w:t>
      </w:r>
    </w:p>
    <w:p w14:paraId="64EBC54A" w14:textId="77777777" w:rsidR="000B1DDE" w:rsidRPr="00321080" w:rsidRDefault="000B1DDE" w:rsidP="000B1DDE"/>
    <w:p w14:paraId="43FC9F78" w14:textId="77777777" w:rsidR="000B1DDE" w:rsidRPr="00321080" w:rsidRDefault="000B1DDE" w:rsidP="000B1DDE">
      <w:pPr>
        <w:pStyle w:val="Heading1"/>
        <w:rPr>
          <w:color w:val="auto"/>
          <w:sz w:val="24"/>
          <w:szCs w:val="24"/>
        </w:rPr>
      </w:pPr>
      <w:bookmarkStart w:id="2" w:name="_Toc52977218"/>
      <w:r w:rsidRPr="00321080">
        <w:rPr>
          <w:b/>
          <w:color w:val="auto"/>
          <w:sz w:val="24"/>
          <w:szCs w:val="24"/>
        </w:rPr>
        <w:lastRenderedPageBreak/>
        <w:t>eTable 3</w:t>
      </w:r>
      <w:r w:rsidRPr="00321080">
        <w:rPr>
          <w:color w:val="auto"/>
          <w:sz w:val="24"/>
          <w:szCs w:val="24"/>
        </w:rPr>
        <w:t xml:space="preserve">. Beta diversity </w:t>
      </w:r>
      <w:r w:rsidR="00861827" w:rsidRPr="00321080">
        <w:rPr>
          <w:color w:val="auto"/>
          <w:sz w:val="24"/>
          <w:szCs w:val="24"/>
        </w:rPr>
        <w:t>metrics</w:t>
      </w:r>
      <w:r w:rsidRPr="00321080">
        <w:rPr>
          <w:color w:val="auto"/>
          <w:sz w:val="24"/>
          <w:szCs w:val="24"/>
        </w:rPr>
        <w:t xml:space="preserve"> associated with both Anhedonia and faecal PEA: mixed linear regression models (random intercept: family</w:t>
      </w:r>
      <w:r w:rsidR="006C00C5" w:rsidRPr="00321080">
        <w:rPr>
          <w:color w:val="auto"/>
          <w:sz w:val="24"/>
          <w:szCs w:val="24"/>
        </w:rPr>
        <w:t xml:space="preserve"> structure</w:t>
      </w:r>
      <w:r w:rsidRPr="00321080">
        <w:rPr>
          <w:color w:val="auto"/>
          <w:sz w:val="24"/>
          <w:szCs w:val="24"/>
        </w:rPr>
        <w:t>)</w:t>
      </w:r>
      <w:bookmarkEnd w:id="2"/>
    </w:p>
    <w:tbl>
      <w:tblPr>
        <w:tblStyle w:val="TableGrid"/>
        <w:tblW w:w="0" w:type="auto"/>
        <w:tblLook w:val="04A0" w:firstRow="1" w:lastRow="0" w:firstColumn="1" w:lastColumn="0" w:noHBand="0" w:noVBand="1"/>
      </w:tblPr>
      <w:tblGrid>
        <w:gridCol w:w="1796"/>
        <w:gridCol w:w="2662"/>
        <w:gridCol w:w="1233"/>
        <w:gridCol w:w="1618"/>
        <w:gridCol w:w="1701"/>
      </w:tblGrid>
      <w:tr w:rsidR="00321080" w:rsidRPr="00321080" w14:paraId="292D00B5" w14:textId="77777777" w:rsidTr="0002255E">
        <w:tc>
          <w:tcPr>
            <w:tcW w:w="2263" w:type="dxa"/>
          </w:tcPr>
          <w:p w14:paraId="4D7E9489" w14:textId="77777777" w:rsidR="000B1DDE" w:rsidRPr="00321080" w:rsidRDefault="000B1DDE" w:rsidP="0002255E">
            <w:pPr>
              <w:rPr>
                <w:b/>
              </w:rPr>
            </w:pPr>
            <w:r w:rsidRPr="00321080">
              <w:rPr>
                <w:b/>
              </w:rPr>
              <w:t>Outcome (DV)</w:t>
            </w:r>
          </w:p>
        </w:tc>
        <w:tc>
          <w:tcPr>
            <w:tcW w:w="3790" w:type="dxa"/>
          </w:tcPr>
          <w:p w14:paraId="0C1532B9" w14:textId="77777777" w:rsidR="000B1DDE" w:rsidRPr="00321080" w:rsidRDefault="000B1DDE" w:rsidP="0002255E">
            <w:pPr>
              <w:rPr>
                <w:b/>
              </w:rPr>
            </w:pPr>
            <w:r w:rsidRPr="00321080">
              <w:rPr>
                <w:b/>
              </w:rPr>
              <w:t>Exposure (IV)</w:t>
            </w:r>
          </w:p>
        </w:tc>
        <w:tc>
          <w:tcPr>
            <w:tcW w:w="1585" w:type="dxa"/>
          </w:tcPr>
          <w:p w14:paraId="2447ACB7" w14:textId="77777777" w:rsidR="000B1DDE" w:rsidRPr="00321080" w:rsidRDefault="000B1DDE" w:rsidP="0002255E">
            <w:pPr>
              <w:rPr>
                <w:b/>
                <w:vertAlign w:val="superscript"/>
              </w:rPr>
            </w:pPr>
            <w:r w:rsidRPr="00321080">
              <w:rPr>
                <w:b/>
              </w:rPr>
              <w:t>Coeff.</w:t>
            </w:r>
          </w:p>
        </w:tc>
        <w:tc>
          <w:tcPr>
            <w:tcW w:w="2417" w:type="dxa"/>
          </w:tcPr>
          <w:p w14:paraId="6CB9A339" w14:textId="77777777" w:rsidR="000B1DDE" w:rsidRPr="00321080" w:rsidRDefault="000B1DDE" w:rsidP="0002255E">
            <w:pPr>
              <w:rPr>
                <w:b/>
                <w:vertAlign w:val="superscript"/>
              </w:rPr>
            </w:pPr>
            <w:r w:rsidRPr="00321080">
              <w:rPr>
                <w:b/>
              </w:rPr>
              <w:t>SE</w:t>
            </w:r>
          </w:p>
        </w:tc>
        <w:tc>
          <w:tcPr>
            <w:tcW w:w="2459" w:type="dxa"/>
          </w:tcPr>
          <w:p w14:paraId="28B7AB22" w14:textId="77777777" w:rsidR="000B1DDE" w:rsidRPr="00321080" w:rsidRDefault="000B1DDE" w:rsidP="0002255E">
            <w:pPr>
              <w:rPr>
                <w:b/>
                <w:vertAlign w:val="superscript"/>
              </w:rPr>
            </w:pPr>
            <w:r w:rsidRPr="00321080">
              <w:rPr>
                <w:b/>
              </w:rPr>
              <w:t>P value</w:t>
            </w:r>
          </w:p>
        </w:tc>
      </w:tr>
      <w:tr w:rsidR="00321080" w:rsidRPr="00321080" w14:paraId="03D443ED" w14:textId="77777777" w:rsidTr="0002255E">
        <w:trPr>
          <w:trHeight w:val="151"/>
        </w:trPr>
        <w:tc>
          <w:tcPr>
            <w:tcW w:w="2263" w:type="dxa"/>
            <w:vMerge w:val="restart"/>
          </w:tcPr>
          <w:p w14:paraId="3E80F2ED" w14:textId="77777777" w:rsidR="000B1DDE" w:rsidRPr="00321080" w:rsidRDefault="000B1DDE" w:rsidP="0002255E">
            <w:r w:rsidRPr="00321080">
              <w:t>Anhedonia</w:t>
            </w:r>
          </w:p>
        </w:tc>
        <w:tc>
          <w:tcPr>
            <w:tcW w:w="3790" w:type="dxa"/>
            <w:vMerge w:val="restart"/>
          </w:tcPr>
          <w:p w14:paraId="73F43966" w14:textId="77777777" w:rsidR="000B1DDE" w:rsidRPr="00321080" w:rsidRDefault="000B1DDE" w:rsidP="0002255E">
            <w:r w:rsidRPr="00321080">
              <w:t>Unweighted Unifrac Axis 1</w:t>
            </w:r>
          </w:p>
        </w:tc>
        <w:tc>
          <w:tcPr>
            <w:tcW w:w="1585" w:type="dxa"/>
          </w:tcPr>
          <w:p w14:paraId="7B4AECF2" w14:textId="77777777" w:rsidR="000B1DDE" w:rsidRPr="00321080" w:rsidRDefault="000B1DDE" w:rsidP="0002255E">
            <w:r w:rsidRPr="00321080">
              <w:t>-3.16</w:t>
            </w:r>
            <w:r w:rsidRPr="00321080">
              <w:rPr>
                <w:vertAlign w:val="superscript"/>
              </w:rPr>
              <w:t>a</w:t>
            </w:r>
          </w:p>
        </w:tc>
        <w:tc>
          <w:tcPr>
            <w:tcW w:w="2417" w:type="dxa"/>
          </w:tcPr>
          <w:p w14:paraId="0470F987" w14:textId="77777777" w:rsidR="000B1DDE" w:rsidRPr="00321080" w:rsidRDefault="000B1DDE" w:rsidP="0002255E">
            <w:r w:rsidRPr="00321080">
              <w:t>1.12</w:t>
            </w:r>
            <w:r w:rsidRPr="00321080">
              <w:rPr>
                <w:vertAlign w:val="superscript"/>
              </w:rPr>
              <w:t>a</w:t>
            </w:r>
          </w:p>
        </w:tc>
        <w:tc>
          <w:tcPr>
            <w:tcW w:w="2459" w:type="dxa"/>
          </w:tcPr>
          <w:p w14:paraId="7D215C06" w14:textId="77777777" w:rsidR="000B1DDE" w:rsidRPr="00321080" w:rsidRDefault="000B1DDE" w:rsidP="0002255E">
            <w:pPr>
              <w:rPr>
                <w:b/>
              </w:rPr>
            </w:pPr>
            <w:r w:rsidRPr="00321080">
              <w:rPr>
                <w:b/>
              </w:rPr>
              <w:t>0.005</w:t>
            </w:r>
            <w:r w:rsidRPr="00321080">
              <w:rPr>
                <w:b/>
                <w:vertAlign w:val="superscript"/>
              </w:rPr>
              <w:t>a</w:t>
            </w:r>
          </w:p>
        </w:tc>
      </w:tr>
      <w:tr w:rsidR="00321080" w:rsidRPr="00321080" w14:paraId="21A5A518" w14:textId="77777777" w:rsidTr="0002255E">
        <w:trPr>
          <w:trHeight w:val="150"/>
        </w:trPr>
        <w:tc>
          <w:tcPr>
            <w:tcW w:w="2263" w:type="dxa"/>
            <w:vMerge/>
          </w:tcPr>
          <w:p w14:paraId="013E8463" w14:textId="77777777" w:rsidR="000B1DDE" w:rsidRPr="00321080" w:rsidRDefault="000B1DDE" w:rsidP="0002255E"/>
        </w:tc>
        <w:tc>
          <w:tcPr>
            <w:tcW w:w="3790" w:type="dxa"/>
            <w:vMerge/>
          </w:tcPr>
          <w:p w14:paraId="566980A9" w14:textId="77777777" w:rsidR="000B1DDE" w:rsidRPr="00321080" w:rsidRDefault="000B1DDE" w:rsidP="0002255E"/>
        </w:tc>
        <w:tc>
          <w:tcPr>
            <w:tcW w:w="1585" w:type="dxa"/>
          </w:tcPr>
          <w:p w14:paraId="2879C42A" w14:textId="77777777" w:rsidR="000B1DDE" w:rsidRPr="00321080" w:rsidRDefault="000B1DDE" w:rsidP="0002255E">
            <w:pPr>
              <w:rPr>
                <w:vertAlign w:val="superscript"/>
              </w:rPr>
            </w:pPr>
            <w:r w:rsidRPr="00321080">
              <w:t>-2.51</w:t>
            </w:r>
            <w:r w:rsidRPr="00321080">
              <w:rPr>
                <w:vertAlign w:val="superscript"/>
              </w:rPr>
              <w:t>b</w:t>
            </w:r>
          </w:p>
        </w:tc>
        <w:tc>
          <w:tcPr>
            <w:tcW w:w="2417" w:type="dxa"/>
          </w:tcPr>
          <w:p w14:paraId="62674C5B" w14:textId="77777777" w:rsidR="000B1DDE" w:rsidRPr="00321080" w:rsidRDefault="000B1DDE" w:rsidP="0002255E">
            <w:r w:rsidRPr="00321080">
              <w:t>1.46</w:t>
            </w:r>
            <w:r w:rsidRPr="00321080">
              <w:rPr>
                <w:vertAlign w:val="superscript"/>
              </w:rPr>
              <w:t xml:space="preserve"> b</w:t>
            </w:r>
          </w:p>
        </w:tc>
        <w:tc>
          <w:tcPr>
            <w:tcW w:w="2459" w:type="dxa"/>
          </w:tcPr>
          <w:p w14:paraId="2FE93BBE" w14:textId="77777777" w:rsidR="000B1DDE" w:rsidRPr="00321080" w:rsidRDefault="000B1DDE" w:rsidP="0002255E">
            <w:r w:rsidRPr="00321080">
              <w:t>0.085</w:t>
            </w:r>
            <w:r w:rsidRPr="00321080">
              <w:rPr>
                <w:vertAlign w:val="superscript"/>
              </w:rPr>
              <w:t>b</w:t>
            </w:r>
          </w:p>
        </w:tc>
      </w:tr>
      <w:tr w:rsidR="00321080" w:rsidRPr="00321080" w14:paraId="57374B84" w14:textId="77777777" w:rsidTr="0002255E">
        <w:trPr>
          <w:trHeight w:val="151"/>
        </w:trPr>
        <w:tc>
          <w:tcPr>
            <w:tcW w:w="2263" w:type="dxa"/>
            <w:vMerge w:val="restart"/>
          </w:tcPr>
          <w:p w14:paraId="6ABB3E9E" w14:textId="77777777" w:rsidR="000B1DDE" w:rsidRPr="00321080" w:rsidRDefault="000B1DDE" w:rsidP="0002255E">
            <w:r w:rsidRPr="00321080">
              <w:t>Anhedonia</w:t>
            </w:r>
          </w:p>
        </w:tc>
        <w:tc>
          <w:tcPr>
            <w:tcW w:w="3790" w:type="dxa"/>
            <w:vMerge w:val="restart"/>
          </w:tcPr>
          <w:p w14:paraId="2C5E1661" w14:textId="77777777" w:rsidR="000B1DDE" w:rsidRPr="00321080" w:rsidRDefault="000B1DDE" w:rsidP="0002255E">
            <w:r w:rsidRPr="00321080">
              <w:t>Weighted Unifrac Axis 4</w:t>
            </w:r>
          </w:p>
        </w:tc>
        <w:tc>
          <w:tcPr>
            <w:tcW w:w="1585" w:type="dxa"/>
          </w:tcPr>
          <w:p w14:paraId="308D5F0E" w14:textId="77777777" w:rsidR="000B1DDE" w:rsidRPr="00321080" w:rsidRDefault="000B1DDE" w:rsidP="0002255E">
            <w:r w:rsidRPr="00321080">
              <w:t>-7.10</w:t>
            </w:r>
            <w:r w:rsidRPr="00321080">
              <w:rPr>
                <w:vertAlign w:val="superscript"/>
              </w:rPr>
              <w:t xml:space="preserve"> a</w:t>
            </w:r>
          </w:p>
        </w:tc>
        <w:tc>
          <w:tcPr>
            <w:tcW w:w="2417" w:type="dxa"/>
          </w:tcPr>
          <w:p w14:paraId="3A84716E" w14:textId="77777777" w:rsidR="000B1DDE" w:rsidRPr="00321080" w:rsidRDefault="000B1DDE" w:rsidP="0002255E">
            <w:r w:rsidRPr="00321080">
              <w:t>1.87</w:t>
            </w:r>
            <w:r w:rsidRPr="00321080">
              <w:rPr>
                <w:vertAlign w:val="superscript"/>
              </w:rPr>
              <w:t xml:space="preserve"> a</w:t>
            </w:r>
          </w:p>
        </w:tc>
        <w:tc>
          <w:tcPr>
            <w:tcW w:w="2459" w:type="dxa"/>
          </w:tcPr>
          <w:p w14:paraId="06005E88" w14:textId="77777777" w:rsidR="000B1DDE" w:rsidRPr="00321080" w:rsidRDefault="000B1DDE" w:rsidP="0002255E">
            <w:pPr>
              <w:rPr>
                <w:b/>
              </w:rPr>
            </w:pPr>
            <w:r w:rsidRPr="00321080">
              <w:rPr>
                <w:b/>
              </w:rPr>
              <w:t>0.000</w:t>
            </w:r>
            <w:r w:rsidRPr="00321080">
              <w:rPr>
                <w:b/>
                <w:vertAlign w:val="superscript"/>
              </w:rPr>
              <w:t>a</w:t>
            </w:r>
          </w:p>
        </w:tc>
      </w:tr>
      <w:tr w:rsidR="00321080" w:rsidRPr="00321080" w14:paraId="7EC45ACE" w14:textId="77777777" w:rsidTr="0002255E">
        <w:trPr>
          <w:trHeight w:val="150"/>
        </w:trPr>
        <w:tc>
          <w:tcPr>
            <w:tcW w:w="2263" w:type="dxa"/>
            <w:vMerge/>
          </w:tcPr>
          <w:p w14:paraId="7F58E50F" w14:textId="77777777" w:rsidR="000B1DDE" w:rsidRPr="00321080" w:rsidRDefault="000B1DDE" w:rsidP="0002255E"/>
        </w:tc>
        <w:tc>
          <w:tcPr>
            <w:tcW w:w="3790" w:type="dxa"/>
            <w:vMerge/>
          </w:tcPr>
          <w:p w14:paraId="1058760D" w14:textId="77777777" w:rsidR="000B1DDE" w:rsidRPr="00321080" w:rsidRDefault="000B1DDE" w:rsidP="0002255E"/>
        </w:tc>
        <w:tc>
          <w:tcPr>
            <w:tcW w:w="1585" w:type="dxa"/>
          </w:tcPr>
          <w:p w14:paraId="2CB57F1B" w14:textId="77777777" w:rsidR="000B1DDE" w:rsidRPr="00321080" w:rsidRDefault="000B1DDE" w:rsidP="0002255E">
            <w:r w:rsidRPr="00321080">
              <w:t>-7.34</w:t>
            </w:r>
            <w:r w:rsidRPr="00321080">
              <w:rPr>
                <w:vertAlign w:val="superscript"/>
              </w:rPr>
              <w:t>b</w:t>
            </w:r>
          </w:p>
        </w:tc>
        <w:tc>
          <w:tcPr>
            <w:tcW w:w="2417" w:type="dxa"/>
          </w:tcPr>
          <w:p w14:paraId="49D9F2FE" w14:textId="77777777" w:rsidR="000B1DDE" w:rsidRPr="00321080" w:rsidRDefault="000B1DDE" w:rsidP="0002255E">
            <w:r w:rsidRPr="00321080">
              <w:t>2.32</w:t>
            </w:r>
            <w:r w:rsidRPr="00321080">
              <w:rPr>
                <w:vertAlign w:val="superscript"/>
              </w:rPr>
              <w:t>b</w:t>
            </w:r>
          </w:p>
        </w:tc>
        <w:tc>
          <w:tcPr>
            <w:tcW w:w="2459" w:type="dxa"/>
          </w:tcPr>
          <w:p w14:paraId="494BDF5A" w14:textId="77777777" w:rsidR="000B1DDE" w:rsidRPr="00321080" w:rsidRDefault="000B1DDE" w:rsidP="0002255E">
            <w:pPr>
              <w:rPr>
                <w:b/>
              </w:rPr>
            </w:pPr>
            <w:r w:rsidRPr="00321080">
              <w:rPr>
                <w:b/>
              </w:rPr>
              <w:t>0.002</w:t>
            </w:r>
            <w:r w:rsidRPr="00321080">
              <w:rPr>
                <w:b/>
                <w:vertAlign w:val="superscript"/>
              </w:rPr>
              <w:t>b</w:t>
            </w:r>
          </w:p>
        </w:tc>
      </w:tr>
      <w:tr w:rsidR="00321080" w:rsidRPr="00321080" w14:paraId="78EDB09E" w14:textId="77777777" w:rsidTr="0002255E">
        <w:trPr>
          <w:trHeight w:val="117"/>
        </w:trPr>
        <w:tc>
          <w:tcPr>
            <w:tcW w:w="2263" w:type="dxa"/>
            <w:vMerge w:val="restart"/>
          </w:tcPr>
          <w:p w14:paraId="4DDC8C3E" w14:textId="77777777" w:rsidR="000B1DDE" w:rsidRPr="00321080" w:rsidRDefault="000B1DDE" w:rsidP="0002255E">
            <w:r w:rsidRPr="00321080">
              <w:t>PEA faecal</w:t>
            </w:r>
          </w:p>
        </w:tc>
        <w:tc>
          <w:tcPr>
            <w:tcW w:w="3790" w:type="dxa"/>
            <w:vMerge w:val="restart"/>
          </w:tcPr>
          <w:p w14:paraId="20FD06A9" w14:textId="77777777" w:rsidR="000B1DDE" w:rsidRPr="00321080" w:rsidRDefault="000B1DDE" w:rsidP="0002255E">
            <w:r w:rsidRPr="00321080">
              <w:t>Unweighted Unifrac Axis 1</w:t>
            </w:r>
          </w:p>
        </w:tc>
        <w:tc>
          <w:tcPr>
            <w:tcW w:w="1585" w:type="dxa"/>
          </w:tcPr>
          <w:p w14:paraId="25F53698" w14:textId="77777777" w:rsidR="000B1DDE" w:rsidRPr="00321080" w:rsidRDefault="000B1DDE" w:rsidP="0002255E">
            <w:r w:rsidRPr="00321080">
              <w:t>-2.55</w:t>
            </w:r>
            <w:r w:rsidRPr="00321080">
              <w:rPr>
                <w:vertAlign w:val="superscript"/>
              </w:rPr>
              <w:t xml:space="preserve"> a</w:t>
            </w:r>
          </w:p>
        </w:tc>
        <w:tc>
          <w:tcPr>
            <w:tcW w:w="2417" w:type="dxa"/>
          </w:tcPr>
          <w:p w14:paraId="4B3C3DB5" w14:textId="77777777" w:rsidR="000B1DDE" w:rsidRPr="00321080" w:rsidRDefault="000B1DDE" w:rsidP="0002255E">
            <w:r w:rsidRPr="00321080">
              <w:t>0.28</w:t>
            </w:r>
            <w:r w:rsidRPr="00321080">
              <w:rPr>
                <w:vertAlign w:val="superscript"/>
              </w:rPr>
              <w:t>a</w:t>
            </w:r>
          </w:p>
        </w:tc>
        <w:tc>
          <w:tcPr>
            <w:tcW w:w="2459" w:type="dxa"/>
          </w:tcPr>
          <w:p w14:paraId="61183672" w14:textId="77777777" w:rsidR="000B1DDE" w:rsidRPr="00321080" w:rsidRDefault="000B1DDE" w:rsidP="0002255E">
            <w:pPr>
              <w:rPr>
                <w:b/>
              </w:rPr>
            </w:pPr>
            <w:r w:rsidRPr="00321080">
              <w:rPr>
                <w:b/>
              </w:rPr>
              <w:t>0.000</w:t>
            </w:r>
            <w:r w:rsidRPr="00321080">
              <w:rPr>
                <w:b/>
                <w:vertAlign w:val="superscript"/>
              </w:rPr>
              <w:t>a</w:t>
            </w:r>
          </w:p>
        </w:tc>
      </w:tr>
      <w:tr w:rsidR="00321080" w:rsidRPr="00321080" w14:paraId="28139B3D" w14:textId="77777777" w:rsidTr="0002255E">
        <w:trPr>
          <w:trHeight w:val="117"/>
        </w:trPr>
        <w:tc>
          <w:tcPr>
            <w:tcW w:w="2263" w:type="dxa"/>
            <w:vMerge/>
          </w:tcPr>
          <w:p w14:paraId="519D8B3E" w14:textId="77777777" w:rsidR="000B1DDE" w:rsidRPr="00321080" w:rsidRDefault="000B1DDE" w:rsidP="0002255E"/>
        </w:tc>
        <w:tc>
          <w:tcPr>
            <w:tcW w:w="3790" w:type="dxa"/>
            <w:vMerge/>
          </w:tcPr>
          <w:p w14:paraId="23F3AE74" w14:textId="77777777" w:rsidR="000B1DDE" w:rsidRPr="00321080" w:rsidRDefault="000B1DDE" w:rsidP="0002255E"/>
        </w:tc>
        <w:tc>
          <w:tcPr>
            <w:tcW w:w="1585" w:type="dxa"/>
          </w:tcPr>
          <w:p w14:paraId="56786551" w14:textId="77777777" w:rsidR="000B1DDE" w:rsidRPr="00321080" w:rsidRDefault="000B1DDE" w:rsidP="0002255E">
            <w:r w:rsidRPr="00321080">
              <w:t>-2.69</w:t>
            </w:r>
            <w:r w:rsidRPr="00321080">
              <w:rPr>
                <w:vertAlign w:val="superscript"/>
              </w:rPr>
              <w:t>b</w:t>
            </w:r>
          </w:p>
        </w:tc>
        <w:tc>
          <w:tcPr>
            <w:tcW w:w="2417" w:type="dxa"/>
          </w:tcPr>
          <w:p w14:paraId="63D3B1B6" w14:textId="77777777" w:rsidR="000B1DDE" w:rsidRPr="00321080" w:rsidRDefault="000B1DDE" w:rsidP="0002255E">
            <w:r w:rsidRPr="00321080">
              <w:t>0.37</w:t>
            </w:r>
            <w:r w:rsidRPr="00321080">
              <w:rPr>
                <w:vertAlign w:val="superscript"/>
              </w:rPr>
              <w:t>b</w:t>
            </w:r>
          </w:p>
        </w:tc>
        <w:tc>
          <w:tcPr>
            <w:tcW w:w="2459" w:type="dxa"/>
          </w:tcPr>
          <w:p w14:paraId="4B55726D" w14:textId="77777777" w:rsidR="000B1DDE" w:rsidRPr="00321080" w:rsidRDefault="000B1DDE" w:rsidP="0002255E">
            <w:pPr>
              <w:rPr>
                <w:b/>
              </w:rPr>
            </w:pPr>
            <w:r w:rsidRPr="00321080">
              <w:rPr>
                <w:b/>
              </w:rPr>
              <w:t>0.000</w:t>
            </w:r>
            <w:r w:rsidRPr="00321080">
              <w:rPr>
                <w:b/>
                <w:vertAlign w:val="superscript"/>
              </w:rPr>
              <w:t>b</w:t>
            </w:r>
          </w:p>
        </w:tc>
      </w:tr>
      <w:tr w:rsidR="00321080" w:rsidRPr="00321080" w14:paraId="038CE7C4" w14:textId="77777777" w:rsidTr="0002255E">
        <w:trPr>
          <w:trHeight w:val="117"/>
        </w:trPr>
        <w:tc>
          <w:tcPr>
            <w:tcW w:w="2263" w:type="dxa"/>
            <w:vMerge w:val="restart"/>
          </w:tcPr>
          <w:p w14:paraId="13372C42" w14:textId="77777777" w:rsidR="000B1DDE" w:rsidRPr="00321080" w:rsidRDefault="000B1DDE" w:rsidP="0002255E">
            <w:r w:rsidRPr="00321080">
              <w:t>PEA faecal</w:t>
            </w:r>
          </w:p>
        </w:tc>
        <w:tc>
          <w:tcPr>
            <w:tcW w:w="3790" w:type="dxa"/>
            <w:vMerge w:val="restart"/>
          </w:tcPr>
          <w:p w14:paraId="46A9A330" w14:textId="77777777" w:rsidR="000B1DDE" w:rsidRPr="00321080" w:rsidRDefault="000B1DDE" w:rsidP="0002255E">
            <w:r w:rsidRPr="00321080">
              <w:t>Weighted Unifrac Axis 4</w:t>
            </w:r>
          </w:p>
        </w:tc>
        <w:tc>
          <w:tcPr>
            <w:tcW w:w="1585" w:type="dxa"/>
          </w:tcPr>
          <w:p w14:paraId="74E63FA7" w14:textId="77777777" w:rsidR="000B1DDE" w:rsidRPr="00321080" w:rsidRDefault="000B1DDE" w:rsidP="0002255E">
            <w:r w:rsidRPr="00321080">
              <w:t>-3.73</w:t>
            </w:r>
            <w:r w:rsidRPr="00321080">
              <w:rPr>
                <w:vertAlign w:val="superscript"/>
              </w:rPr>
              <w:t>a</w:t>
            </w:r>
          </w:p>
        </w:tc>
        <w:tc>
          <w:tcPr>
            <w:tcW w:w="2417" w:type="dxa"/>
          </w:tcPr>
          <w:p w14:paraId="4024D3FE" w14:textId="77777777" w:rsidR="000B1DDE" w:rsidRPr="00321080" w:rsidRDefault="000B1DDE" w:rsidP="0002255E">
            <w:r w:rsidRPr="00321080">
              <w:t>0.48</w:t>
            </w:r>
            <w:r w:rsidRPr="00321080">
              <w:rPr>
                <w:vertAlign w:val="superscript"/>
              </w:rPr>
              <w:t>a</w:t>
            </w:r>
          </w:p>
        </w:tc>
        <w:tc>
          <w:tcPr>
            <w:tcW w:w="2459" w:type="dxa"/>
          </w:tcPr>
          <w:p w14:paraId="5FE58785" w14:textId="77777777" w:rsidR="000B1DDE" w:rsidRPr="00321080" w:rsidRDefault="000B1DDE" w:rsidP="0002255E">
            <w:pPr>
              <w:rPr>
                <w:b/>
              </w:rPr>
            </w:pPr>
            <w:r w:rsidRPr="00321080">
              <w:rPr>
                <w:b/>
              </w:rPr>
              <w:t>0.000</w:t>
            </w:r>
            <w:r w:rsidRPr="00321080">
              <w:rPr>
                <w:b/>
                <w:vertAlign w:val="superscript"/>
              </w:rPr>
              <w:t>a</w:t>
            </w:r>
          </w:p>
        </w:tc>
      </w:tr>
      <w:tr w:rsidR="00321080" w:rsidRPr="00321080" w14:paraId="3B3691A1" w14:textId="77777777" w:rsidTr="0002255E">
        <w:trPr>
          <w:trHeight w:val="157"/>
        </w:trPr>
        <w:tc>
          <w:tcPr>
            <w:tcW w:w="2263" w:type="dxa"/>
            <w:vMerge/>
          </w:tcPr>
          <w:p w14:paraId="4FA3F3A3" w14:textId="77777777" w:rsidR="000B1DDE" w:rsidRPr="00321080" w:rsidRDefault="000B1DDE" w:rsidP="0002255E"/>
        </w:tc>
        <w:tc>
          <w:tcPr>
            <w:tcW w:w="3790" w:type="dxa"/>
            <w:vMerge/>
          </w:tcPr>
          <w:p w14:paraId="5FC69F36" w14:textId="77777777" w:rsidR="000B1DDE" w:rsidRPr="00321080" w:rsidRDefault="000B1DDE" w:rsidP="0002255E"/>
        </w:tc>
        <w:tc>
          <w:tcPr>
            <w:tcW w:w="1585" w:type="dxa"/>
          </w:tcPr>
          <w:p w14:paraId="61D6C324" w14:textId="77777777" w:rsidR="000B1DDE" w:rsidRPr="00321080" w:rsidRDefault="000B1DDE" w:rsidP="0002255E">
            <w:r w:rsidRPr="00321080">
              <w:t>-4.13</w:t>
            </w:r>
            <w:r w:rsidRPr="00321080">
              <w:rPr>
                <w:vertAlign w:val="superscript"/>
              </w:rPr>
              <w:t>b</w:t>
            </w:r>
          </w:p>
        </w:tc>
        <w:tc>
          <w:tcPr>
            <w:tcW w:w="2417" w:type="dxa"/>
          </w:tcPr>
          <w:p w14:paraId="070924D5" w14:textId="77777777" w:rsidR="000B1DDE" w:rsidRPr="00321080" w:rsidRDefault="000B1DDE" w:rsidP="0002255E">
            <w:r w:rsidRPr="00321080">
              <w:t>0.61</w:t>
            </w:r>
            <w:r w:rsidRPr="00321080">
              <w:rPr>
                <w:vertAlign w:val="superscript"/>
              </w:rPr>
              <w:t>b</w:t>
            </w:r>
          </w:p>
        </w:tc>
        <w:tc>
          <w:tcPr>
            <w:tcW w:w="2459" w:type="dxa"/>
          </w:tcPr>
          <w:p w14:paraId="04D6B050" w14:textId="77777777" w:rsidR="000B1DDE" w:rsidRPr="00321080" w:rsidRDefault="000B1DDE" w:rsidP="0002255E">
            <w:pPr>
              <w:rPr>
                <w:b/>
              </w:rPr>
            </w:pPr>
            <w:r w:rsidRPr="00321080">
              <w:rPr>
                <w:b/>
              </w:rPr>
              <w:t>0.000</w:t>
            </w:r>
            <w:r w:rsidRPr="00321080">
              <w:rPr>
                <w:b/>
                <w:vertAlign w:val="superscript"/>
              </w:rPr>
              <w:t>b</w:t>
            </w:r>
          </w:p>
        </w:tc>
      </w:tr>
    </w:tbl>
    <w:p w14:paraId="377D998B" w14:textId="77777777" w:rsidR="000B1DDE" w:rsidRPr="00321080" w:rsidRDefault="000B1DDE" w:rsidP="000B1DDE">
      <w:pPr>
        <w:rPr>
          <w:sz w:val="20"/>
          <w:szCs w:val="20"/>
        </w:rPr>
      </w:pPr>
      <w:r w:rsidRPr="00321080">
        <w:rPr>
          <w:sz w:val="20"/>
          <w:szCs w:val="20"/>
          <w:vertAlign w:val="superscript"/>
        </w:rPr>
        <w:t>a</w:t>
      </w:r>
      <w:r w:rsidRPr="00321080">
        <w:rPr>
          <w:sz w:val="20"/>
          <w:szCs w:val="20"/>
        </w:rPr>
        <w:t>Adjusted for technical confounders (microbiome operator, microbiome collection method, storage time) and basic demographics (age, gender, ethnicity)</w:t>
      </w:r>
    </w:p>
    <w:p w14:paraId="68782AFB" w14:textId="77777777" w:rsidR="000B1DDE" w:rsidRPr="00321080" w:rsidRDefault="000B1DDE" w:rsidP="000B1DDE">
      <w:pPr>
        <w:rPr>
          <w:sz w:val="20"/>
          <w:szCs w:val="20"/>
        </w:rPr>
      </w:pPr>
      <w:r w:rsidRPr="00321080">
        <w:rPr>
          <w:sz w:val="20"/>
          <w:szCs w:val="20"/>
          <w:vertAlign w:val="superscript"/>
        </w:rPr>
        <w:t>b</w:t>
      </w:r>
      <w:r w:rsidRPr="00321080">
        <w:rPr>
          <w:sz w:val="20"/>
          <w:szCs w:val="20"/>
        </w:rPr>
        <w:t>Fully adjusted: technical confounders (microbiome operator, microbiome collection method, storage time), basic demographics (age, gender, ethnicity), and obesity, antidepressants, unhealthy diet</w:t>
      </w:r>
    </w:p>
    <w:p w14:paraId="6515D5F1" w14:textId="77777777" w:rsidR="000B1DDE" w:rsidRPr="00321080" w:rsidRDefault="000B1DDE" w:rsidP="000B1DDE"/>
    <w:p w14:paraId="11BD7AEF" w14:textId="77777777" w:rsidR="000B1DDE" w:rsidRPr="00321080" w:rsidRDefault="000B1DDE" w:rsidP="000B1DDE">
      <w:r w:rsidRPr="00321080">
        <w:t xml:space="preserve">Mixed linear regressions showed a significant association of a number of beta-diversity measures with Anhedonia and faecal PEAs both in unadjusted and fully adjusted models However, unadjusted models for complete cases </w:t>
      </w:r>
      <w:r w:rsidRPr="00321080">
        <w:rPr>
          <w:b/>
        </w:rPr>
        <w:t>did not</w:t>
      </w:r>
      <w:r w:rsidRPr="00321080">
        <w:t xml:space="preserve"> show a mediation effect of PEA. </w:t>
      </w:r>
    </w:p>
    <w:p w14:paraId="2D21EA62" w14:textId="77777777" w:rsidR="000B1DDE" w:rsidRPr="00321080" w:rsidRDefault="000B1DDE" w:rsidP="000B1DDE">
      <w:r w:rsidRPr="00321080">
        <w:t xml:space="preserve">This suggests that beta-diversity measures might affect Anhedonia with pathways independent of PEA. See also discussion in the main text. </w:t>
      </w:r>
    </w:p>
    <w:p w14:paraId="092976FD" w14:textId="77777777" w:rsidR="000B1DDE" w:rsidRPr="00321080" w:rsidRDefault="000B1DDE" w:rsidP="000B1DDE">
      <w:pPr>
        <w:rPr>
          <w:rFonts w:eastAsia="Calibri"/>
        </w:rPr>
      </w:pPr>
    </w:p>
    <w:p w14:paraId="16C68308" w14:textId="77777777" w:rsidR="000B1DDE" w:rsidRPr="00321080" w:rsidRDefault="000B1DDE" w:rsidP="000B1DDE">
      <w:pPr>
        <w:rPr>
          <w:rFonts w:eastAsia="Calibri"/>
        </w:rPr>
      </w:pPr>
    </w:p>
    <w:p w14:paraId="589D8972" w14:textId="77777777" w:rsidR="000B1DDE" w:rsidRPr="00321080" w:rsidRDefault="000B1DDE" w:rsidP="000B1DDE">
      <w:pPr>
        <w:rPr>
          <w:rFonts w:eastAsia="Calibri"/>
        </w:rPr>
      </w:pPr>
    </w:p>
    <w:p w14:paraId="2EAEB574" w14:textId="77777777" w:rsidR="000B1DDE" w:rsidRPr="00321080" w:rsidRDefault="000B1DDE" w:rsidP="000B1DDE">
      <w:pPr>
        <w:rPr>
          <w:rFonts w:eastAsia="Calibri"/>
        </w:rPr>
      </w:pPr>
    </w:p>
    <w:p w14:paraId="7F73F136" w14:textId="77777777" w:rsidR="000B1DDE" w:rsidRPr="00321080" w:rsidRDefault="000B1DDE" w:rsidP="000B1DDE">
      <w:pPr>
        <w:pStyle w:val="Heading1"/>
        <w:rPr>
          <w:rFonts w:eastAsia="Calibri"/>
          <w:color w:val="auto"/>
          <w:sz w:val="24"/>
          <w:szCs w:val="24"/>
        </w:rPr>
      </w:pPr>
      <w:bookmarkStart w:id="3" w:name="_Toc52977219"/>
      <w:r w:rsidRPr="00321080">
        <w:rPr>
          <w:rFonts w:eastAsia="Calibri"/>
          <w:b/>
          <w:color w:val="auto"/>
          <w:sz w:val="24"/>
          <w:szCs w:val="24"/>
        </w:rPr>
        <w:t xml:space="preserve">eFigure 1. </w:t>
      </w:r>
      <w:r w:rsidRPr="00321080">
        <w:rPr>
          <w:rFonts w:eastAsia="Calibri"/>
          <w:color w:val="auto"/>
          <w:sz w:val="24"/>
          <w:szCs w:val="24"/>
        </w:rPr>
        <w:t>Data collection timeline of predictor, mediator, and outcome in Twins UK</w:t>
      </w:r>
      <w:bookmarkEnd w:id="3"/>
    </w:p>
    <w:p w14:paraId="1DF9AF29" w14:textId="77777777" w:rsidR="000B1DDE" w:rsidRPr="00321080" w:rsidRDefault="000B1DDE" w:rsidP="000B1DDE"/>
    <w:p w14:paraId="0EC18C31" w14:textId="77777777" w:rsidR="000B1DDE" w:rsidRPr="00321080" w:rsidRDefault="000B1DDE" w:rsidP="000B1DDE">
      <w:pPr>
        <w:rPr>
          <w:rFonts w:eastAsia="Calibri"/>
        </w:rPr>
      </w:pPr>
      <w:r w:rsidRPr="00321080">
        <w:rPr>
          <w:rFonts w:eastAsia="Calibri"/>
          <w:noProof/>
        </w:rPr>
        <w:drawing>
          <wp:inline distT="0" distB="0" distL="0" distR="0" wp14:anchorId="5B512993" wp14:editId="53B4C544">
            <wp:extent cx="5669921" cy="34953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igur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75268" cy="3498664"/>
                    </a:xfrm>
                    <a:prstGeom prst="rect">
                      <a:avLst/>
                    </a:prstGeom>
                  </pic:spPr>
                </pic:pic>
              </a:graphicData>
            </a:graphic>
          </wp:inline>
        </w:drawing>
      </w:r>
    </w:p>
    <w:p w14:paraId="4A4235AD" w14:textId="06C76EE5" w:rsidR="00314F3B" w:rsidRPr="00321080" w:rsidRDefault="00314F3B"/>
    <w:p w14:paraId="2BF60383" w14:textId="5738300E" w:rsidR="00314F3B" w:rsidRPr="00321080" w:rsidRDefault="00314F3B" w:rsidP="00314F3B">
      <w:pPr>
        <w:pStyle w:val="Heading1"/>
        <w:rPr>
          <w:color w:val="auto"/>
          <w:sz w:val="24"/>
          <w:szCs w:val="24"/>
        </w:rPr>
      </w:pPr>
      <w:bookmarkStart w:id="4" w:name="_Toc52977220"/>
      <w:r w:rsidRPr="00321080">
        <w:rPr>
          <w:b/>
          <w:color w:val="auto"/>
          <w:sz w:val="24"/>
          <w:szCs w:val="24"/>
        </w:rPr>
        <w:lastRenderedPageBreak/>
        <w:t>eResults.</w:t>
      </w:r>
      <w:r w:rsidRPr="00321080">
        <w:rPr>
          <w:color w:val="auto"/>
          <w:sz w:val="24"/>
          <w:szCs w:val="24"/>
        </w:rPr>
        <w:t xml:space="preserve"> Complete case analysis</w:t>
      </w:r>
      <w:bookmarkEnd w:id="4"/>
    </w:p>
    <w:p w14:paraId="25106B3C" w14:textId="77777777" w:rsidR="00314F3B" w:rsidRPr="00321080" w:rsidRDefault="00314F3B"/>
    <w:tbl>
      <w:tblPr>
        <w:tblStyle w:val="1"/>
        <w:tblW w:w="9885" w:type="dxa"/>
        <w:tblInd w:w="-5" w:type="dxa"/>
        <w:tblBorders>
          <w:left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43"/>
        <w:gridCol w:w="1121"/>
        <w:gridCol w:w="635"/>
        <w:gridCol w:w="9"/>
        <w:gridCol w:w="1151"/>
        <w:gridCol w:w="497"/>
        <w:gridCol w:w="18"/>
        <w:gridCol w:w="1087"/>
        <w:gridCol w:w="559"/>
        <w:gridCol w:w="42"/>
        <w:gridCol w:w="1000"/>
        <w:gridCol w:w="617"/>
        <w:gridCol w:w="24"/>
        <w:gridCol w:w="1119"/>
        <w:gridCol w:w="515"/>
        <w:gridCol w:w="32"/>
        <w:gridCol w:w="16"/>
      </w:tblGrid>
      <w:tr w:rsidR="00321080" w:rsidRPr="00321080" w14:paraId="35329E8D" w14:textId="77777777" w:rsidTr="008E0B65">
        <w:trPr>
          <w:trHeight w:val="307"/>
        </w:trPr>
        <w:tc>
          <w:tcPr>
            <w:tcW w:w="1443" w:type="dxa"/>
            <w:tcBorders>
              <w:top w:val="single" w:sz="4" w:space="0" w:color="auto"/>
              <w:left w:val="nil"/>
              <w:bottom w:val="single" w:sz="4" w:space="0" w:color="FFFFFF" w:themeColor="background1"/>
              <w:right w:val="nil"/>
            </w:tcBorders>
          </w:tcPr>
          <w:p w14:paraId="7FD8209C" w14:textId="77777777" w:rsidR="00314F3B" w:rsidRPr="00321080" w:rsidRDefault="00314F3B" w:rsidP="008E0B65">
            <w:pPr>
              <w:spacing w:line="276" w:lineRule="auto"/>
              <w:rPr>
                <w:sz w:val="20"/>
                <w:szCs w:val="20"/>
              </w:rPr>
            </w:pPr>
          </w:p>
        </w:tc>
        <w:tc>
          <w:tcPr>
            <w:tcW w:w="1765" w:type="dxa"/>
            <w:gridSpan w:val="3"/>
            <w:tcBorders>
              <w:top w:val="single" w:sz="4" w:space="0" w:color="auto"/>
              <w:left w:val="nil"/>
              <w:bottom w:val="nil"/>
              <w:right w:val="nil"/>
            </w:tcBorders>
            <w:hideMark/>
          </w:tcPr>
          <w:p w14:paraId="21680885" w14:textId="77777777" w:rsidR="00314F3B" w:rsidRPr="00321080" w:rsidRDefault="00314F3B" w:rsidP="008E0B65">
            <w:pPr>
              <w:spacing w:line="288" w:lineRule="auto"/>
              <w:jc w:val="center"/>
              <w:rPr>
                <w:b/>
                <w:sz w:val="20"/>
                <w:szCs w:val="20"/>
              </w:rPr>
            </w:pPr>
            <w:r w:rsidRPr="00321080">
              <w:rPr>
                <w:b/>
                <w:sz w:val="20"/>
                <w:szCs w:val="20"/>
              </w:rPr>
              <w:t>Unadjusted Model</w:t>
            </w:r>
          </w:p>
        </w:tc>
        <w:tc>
          <w:tcPr>
            <w:tcW w:w="3354" w:type="dxa"/>
            <w:gridSpan w:val="6"/>
            <w:tcBorders>
              <w:top w:val="single" w:sz="4" w:space="0" w:color="auto"/>
              <w:left w:val="nil"/>
              <w:bottom w:val="nil"/>
              <w:right w:val="nil"/>
            </w:tcBorders>
            <w:hideMark/>
          </w:tcPr>
          <w:p w14:paraId="2F1B95EF" w14:textId="77777777" w:rsidR="00314F3B" w:rsidRPr="00321080" w:rsidRDefault="00314F3B" w:rsidP="008E0B65">
            <w:pPr>
              <w:spacing w:line="288" w:lineRule="auto"/>
              <w:jc w:val="center"/>
              <w:rPr>
                <w:b/>
                <w:sz w:val="20"/>
                <w:szCs w:val="20"/>
              </w:rPr>
            </w:pPr>
            <w:r w:rsidRPr="00321080">
              <w:rPr>
                <w:b/>
                <w:sz w:val="20"/>
                <w:szCs w:val="20"/>
              </w:rPr>
              <w:t>Model A</w:t>
            </w:r>
            <w:r w:rsidRPr="00321080">
              <w:rPr>
                <w:b/>
                <w:sz w:val="20"/>
                <w:szCs w:val="20"/>
                <w:vertAlign w:val="superscript"/>
              </w:rPr>
              <w:t>b</w:t>
            </w:r>
          </w:p>
        </w:tc>
        <w:tc>
          <w:tcPr>
            <w:tcW w:w="3323" w:type="dxa"/>
            <w:gridSpan w:val="7"/>
            <w:tcBorders>
              <w:top w:val="single" w:sz="4" w:space="0" w:color="auto"/>
              <w:left w:val="nil"/>
              <w:bottom w:val="nil"/>
              <w:right w:val="nil"/>
            </w:tcBorders>
            <w:hideMark/>
          </w:tcPr>
          <w:p w14:paraId="5053AD77" w14:textId="77777777" w:rsidR="00314F3B" w:rsidRPr="00321080" w:rsidRDefault="00314F3B" w:rsidP="008E0B65">
            <w:pPr>
              <w:spacing w:line="288" w:lineRule="auto"/>
              <w:jc w:val="center"/>
              <w:rPr>
                <w:b/>
                <w:sz w:val="20"/>
                <w:szCs w:val="20"/>
              </w:rPr>
            </w:pPr>
            <w:r w:rsidRPr="00321080">
              <w:rPr>
                <w:b/>
                <w:sz w:val="20"/>
                <w:szCs w:val="20"/>
              </w:rPr>
              <w:t>Model B</w:t>
            </w:r>
            <w:r w:rsidRPr="00321080">
              <w:rPr>
                <w:b/>
                <w:sz w:val="20"/>
                <w:szCs w:val="20"/>
                <w:vertAlign w:val="superscript"/>
              </w:rPr>
              <w:t>b</w:t>
            </w:r>
          </w:p>
        </w:tc>
      </w:tr>
      <w:tr w:rsidR="00321080" w:rsidRPr="00321080" w14:paraId="75835D9D" w14:textId="77777777" w:rsidTr="008E0B65">
        <w:trPr>
          <w:gridAfter w:val="1"/>
          <w:wAfter w:w="16" w:type="dxa"/>
          <w:trHeight w:val="307"/>
        </w:trPr>
        <w:tc>
          <w:tcPr>
            <w:tcW w:w="1443" w:type="dxa"/>
            <w:tcBorders>
              <w:top w:val="single" w:sz="4" w:space="0" w:color="FFFFFF" w:themeColor="background1"/>
              <w:left w:val="nil"/>
              <w:bottom w:val="single" w:sz="4" w:space="0" w:color="FFFFFF" w:themeColor="background1"/>
              <w:right w:val="nil"/>
            </w:tcBorders>
          </w:tcPr>
          <w:p w14:paraId="71F94569" w14:textId="77777777" w:rsidR="00314F3B" w:rsidRPr="00321080" w:rsidRDefault="00314F3B" w:rsidP="008E0B65">
            <w:pPr>
              <w:spacing w:line="276" w:lineRule="auto"/>
              <w:rPr>
                <w:b/>
                <w:sz w:val="20"/>
                <w:szCs w:val="20"/>
                <w:u w:val="single"/>
              </w:rPr>
            </w:pPr>
          </w:p>
        </w:tc>
        <w:tc>
          <w:tcPr>
            <w:tcW w:w="1765" w:type="dxa"/>
            <w:gridSpan w:val="3"/>
            <w:tcBorders>
              <w:top w:val="single" w:sz="4" w:space="0" w:color="auto"/>
              <w:left w:val="nil"/>
              <w:bottom w:val="nil"/>
              <w:right w:val="nil"/>
            </w:tcBorders>
            <w:hideMark/>
          </w:tcPr>
          <w:p w14:paraId="02E8C436" w14:textId="77777777" w:rsidR="00314F3B" w:rsidRPr="00321080" w:rsidRDefault="00314F3B" w:rsidP="008E0B65">
            <w:pPr>
              <w:spacing w:line="288" w:lineRule="auto"/>
              <w:jc w:val="center"/>
              <w:rPr>
                <w:b/>
                <w:sz w:val="20"/>
                <w:szCs w:val="20"/>
                <w:vertAlign w:val="superscript"/>
              </w:rPr>
            </w:pPr>
            <w:r w:rsidRPr="00321080">
              <w:rPr>
                <w:b/>
                <w:sz w:val="20"/>
                <w:szCs w:val="20"/>
              </w:rPr>
              <w:t xml:space="preserve">Complete cases </w:t>
            </w:r>
          </w:p>
        </w:tc>
        <w:tc>
          <w:tcPr>
            <w:tcW w:w="1666" w:type="dxa"/>
            <w:gridSpan w:val="3"/>
            <w:tcBorders>
              <w:top w:val="single" w:sz="4" w:space="0" w:color="auto"/>
              <w:left w:val="nil"/>
              <w:bottom w:val="nil"/>
              <w:right w:val="nil"/>
            </w:tcBorders>
            <w:hideMark/>
          </w:tcPr>
          <w:p w14:paraId="36BBF0DC" w14:textId="77777777" w:rsidR="00314F3B" w:rsidRPr="00321080" w:rsidRDefault="00314F3B" w:rsidP="008E0B65">
            <w:pPr>
              <w:spacing w:line="288" w:lineRule="auto"/>
              <w:jc w:val="center"/>
              <w:rPr>
                <w:b/>
                <w:sz w:val="20"/>
                <w:szCs w:val="20"/>
              </w:rPr>
            </w:pPr>
            <w:r w:rsidRPr="00321080">
              <w:rPr>
                <w:b/>
                <w:sz w:val="20"/>
                <w:szCs w:val="20"/>
              </w:rPr>
              <w:t xml:space="preserve">Complete cases </w:t>
            </w:r>
          </w:p>
        </w:tc>
        <w:tc>
          <w:tcPr>
            <w:tcW w:w="1688" w:type="dxa"/>
            <w:gridSpan w:val="3"/>
            <w:tcBorders>
              <w:top w:val="single" w:sz="4" w:space="0" w:color="auto"/>
              <w:left w:val="nil"/>
              <w:bottom w:val="nil"/>
              <w:right w:val="nil"/>
            </w:tcBorders>
            <w:hideMark/>
          </w:tcPr>
          <w:p w14:paraId="6313E5F7" w14:textId="77777777" w:rsidR="00314F3B" w:rsidRPr="00321080" w:rsidRDefault="00314F3B" w:rsidP="008E0B65">
            <w:pPr>
              <w:spacing w:line="288" w:lineRule="auto"/>
              <w:jc w:val="center"/>
              <w:rPr>
                <w:b/>
                <w:sz w:val="20"/>
                <w:szCs w:val="20"/>
              </w:rPr>
            </w:pPr>
            <w:r w:rsidRPr="00321080">
              <w:rPr>
                <w:b/>
                <w:sz w:val="20"/>
                <w:szCs w:val="20"/>
              </w:rPr>
              <w:t>Imputed dataset</w:t>
            </w:r>
          </w:p>
        </w:tc>
        <w:tc>
          <w:tcPr>
            <w:tcW w:w="1641" w:type="dxa"/>
            <w:gridSpan w:val="3"/>
            <w:tcBorders>
              <w:top w:val="single" w:sz="4" w:space="0" w:color="auto"/>
              <w:left w:val="nil"/>
              <w:bottom w:val="nil"/>
              <w:right w:val="nil"/>
            </w:tcBorders>
            <w:hideMark/>
          </w:tcPr>
          <w:p w14:paraId="0D6A0E7F" w14:textId="77777777" w:rsidR="00314F3B" w:rsidRPr="00321080" w:rsidRDefault="00314F3B" w:rsidP="008E0B65">
            <w:pPr>
              <w:spacing w:line="288" w:lineRule="auto"/>
              <w:jc w:val="center"/>
              <w:rPr>
                <w:b/>
                <w:sz w:val="20"/>
                <w:szCs w:val="20"/>
              </w:rPr>
            </w:pPr>
            <w:r w:rsidRPr="00321080">
              <w:rPr>
                <w:b/>
                <w:sz w:val="20"/>
                <w:szCs w:val="20"/>
              </w:rPr>
              <w:t xml:space="preserve">Complete cases </w:t>
            </w:r>
          </w:p>
        </w:tc>
        <w:tc>
          <w:tcPr>
            <w:tcW w:w="1666" w:type="dxa"/>
            <w:gridSpan w:val="3"/>
            <w:tcBorders>
              <w:top w:val="single" w:sz="4" w:space="0" w:color="auto"/>
              <w:left w:val="nil"/>
              <w:bottom w:val="nil"/>
              <w:right w:val="nil"/>
            </w:tcBorders>
            <w:hideMark/>
          </w:tcPr>
          <w:p w14:paraId="38BAE8D7" w14:textId="77777777" w:rsidR="00314F3B" w:rsidRPr="00321080" w:rsidRDefault="00314F3B" w:rsidP="008E0B65">
            <w:pPr>
              <w:spacing w:line="288" w:lineRule="auto"/>
              <w:jc w:val="center"/>
              <w:rPr>
                <w:b/>
                <w:sz w:val="20"/>
                <w:szCs w:val="20"/>
              </w:rPr>
            </w:pPr>
            <w:r w:rsidRPr="00321080">
              <w:rPr>
                <w:b/>
                <w:sz w:val="20"/>
                <w:szCs w:val="20"/>
              </w:rPr>
              <w:t>Imputed dataset</w:t>
            </w:r>
          </w:p>
        </w:tc>
      </w:tr>
      <w:tr w:rsidR="00321080" w:rsidRPr="00321080" w14:paraId="2650A96A" w14:textId="77777777" w:rsidTr="008E0B65">
        <w:trPr>
          <w:gridAfter w:val="2"/>
          <w:wAfter w:w="48" w:type="dxa"/>
          <w:trHeight w:val="332"/>
        </w:trPr>
        <w:tc>
          <w:tcPr>
            <w:tcW w:w="1443" w:type="dxa"/>
            <w:tcBorders>
              <w:top w:val="single" w:sz="4" w:space="0" w:color="FFFFFF" w:themeColor="background1"/>
              <w:left w:val="nil"/>
              <w:bottom w:val="nil"/>
              <w:right w:val="nil"/>
            </w:tcBorders>
          </w:tcPr>
          <w:p w14:paraId="4BAB4440" w14:textId="77777777" w:rsidR="00314F3B" w:rsidRPr="00321080" w:rsidRDefault="00314F3B" w:rsidP="008E0B65">
            <w:pPr>
              <w:spacing w:line="276" w:lineRule="auto"/>
              <w:rPr>
                <w:b/>
                <w:sz w:val="20"/>
                <w:szCs w:val="20"/>
                <w:u w:val="single"/>
              </w:rPr>
            </w:pPr>
          </w:p>
        </w:tc>
        <w:tc>
          <w:tcPr>
            <w:tcW w:w="1121" w:type="dxa"/>
            <w:tcBorders>
              <w:top w:val="single" w:sz="4" w:space="0" w:color="auto"/>
              <w:left w:val="nil"/>
              <w:bottom w:val="nil"/>
              <w:right w:val="nil"/>
            </w:tcBorders>
            <w:hideMark/>
          </w:tcPr>
          <w:p w14:paraId="04661A9A" w14:textId="77777777" w:rsidR="00314F3B" w:rsidRPr="00321080" w:rsidRDefault="00314F3B" w:rsidP="008E0B65">
            <w:pPr>
              <w:spacing w:line="288" w:lineRule="auto"/>
              <w:jc w:val="center"/>
              <w:rPr>
                <w:b/>
                <w:i/>
                <w:sz w:val="20"/>
                <w:szCs w:val="20"/>
              </w:rPr>
            </w:pPr>
            <w:r w:rsidRPr="00321080">
              <w:rPr>
                <w:b/>
                <w:sz w:val="20"/>
                <w:szCs w:val="20"/>
              </w:rPr>
              <w:t xml:space="preserve">Coef. </w:t>
            </w:r>
          </w:p>
        </w:tc>
        <w:tc>
          <w:tcPr>
            <w:tcW w:w="635" w:type="dxa"/>
            <w:tcBorders>
              <w:top w:val="single" w:sz="4" w:space="0" w:color="auto"/>
              <w:left w:val="nil"/>
              <w:bottom w:val="nil"/>
              <w:right w:val="nil"/>
            </w:tcBorders>
            <w:hideMark/>
          </w:tcPr>
          <w:p w14:paraId="5C174722" w14:textId="77777777" w:rsidR="00314F3B" w:rsidRPr="00321080" w:rsidRDefault="00314F3B" w:rsidP="008E0B65">
            <w:pPr>
              <w:spacing w:line="288" w:lineRule="auto"/>
              <w:jc w:val="center"/>
              <w:rPr>
                <w:b/>
                <w:i/>
                <w:sz w:val="20"/>
                <w:szCs w:val="20"/>
                <w:vertAlign w:val="superscript"/>
              </w:rPr>
            </w:pPr>
            <w:r w:rsidRPr="00321080">
              <w:rPr>
                <w:b/>
                <w:i/>
                <w:sz w:val="20"/>
                <w:szCs w:val="20"/>
              </w:rPr>
              <w:t>p</w:t>
            </w:r>
          </w:p>
        </w:tc>
        <w:tc>
          <w:tcPr>
            <w:tcW w:w="1160" w:type="dxa"/>
            <w:gridSpan w:val="2"/>
            <w:tcBorders>
              <w:top w:val="single" w:sz="4" w:space="0" w:color="auto"/>
              <w:left w:val="nil"/>
              <w:bottom w:val="nil"/>
              <w:right w:val="nil"/>
            </w:tcBorders>
            <w:hideMark/>
          </w:tcPr>
          <w:p w14:paraId="0410BE3E" w14:textId="77777777" w:rsidR="00314F3B" w:rsidRPr="00321080" w:rsidRDefault="00314F3B" w:rsidP="008E0B65">
            <w:pPr>
              <w:spacing w:line="288" w:lineRule="auto"/>
              <w:jc w:val="center"/>
              <w:rPr>
                <w:b/>
                <w:i/>
                <w:sz w:val="20"/>
                <w:szCs w:val="20"/>
              </w:rPr>
            </w:pPr>
            <w:r w:rsidRPr="00321080">
              <w:rPr>
                <w:b/>
                <w:sz w:val="20"/>
                <w:szCs w:val="20"/>
              </w:rPr>
              <w:t xml:space="preserve">Coef. </w:t>
            </w:r>
          </w:p>
        </w:tc>
        <w:tc>
          <w:tcPr>
            <w:tcW w:w="497" w:type="dxa"/>
            <w:tcBorders>
              <w:top w:val="single" w:sz="4" w:space="0" w:color="auto"/>
              <w:left w:val="nil"/>
              <w:bottom w:val="nil"/>
              <w:right w:val="nil"/>
            </w:tcBorders>
            <w:hideMark/>
          </w:tcPr>
          <w:p w14:paraId="115F10AA" w14:textId="77777777" w:rsidR="00314F3B" w:rsidRPr="00321080" w:rsidRDefault="00314F3B" w:rsidP="008E0B65">
            <w:pPr>
              <w:spacing w:line="288" w:lineRule="auto"/>
              <w:jc w:val="center"/>
              <w:rPr>
                <w:b/>
                <w:i/>
                <w:sz w:val="20"/>
                <w:szCs w:val="20"/>
              </w:rPr>
            </w:pPr>
            <w:r w:rsidRPr="00321080">
              <w:rPr>
                <w:b/>
                <w:i/>
                <w:sz w:val="20"/>
                <w:szCs w:val="20"/>
              </w:rPr>
              <w:t>p</w:t>
            </w:r>
          </w:p>
        </w:tc>
        <w:tc>
          <w:tcPr>
            <w:tcW w:w="1105" w:type="dxa"/>
            <w:gridSpan w:val="2"/>
            <w:tcBorders>
              <w:top w:val="single" w:sz="4" w:space="0" w:color="auto"/>
              <w:left w:val="nil"/>
              <w:bottom w:val="nil"/>
              <w:right w:val="nil"/>
            </w:tcBorders>
            <w:hideMark/>
          </w:tcPr>
          <w:p w14:paraId="070F0FD2" w14:textId="77777777" w:rsidR="00314F3B" w:rsidRPr="00321080" w:rsidRDefault="00314F3B" w:rsidP="008E0B65">
            <w:pPr>
              <w:spacing w:line="288" w:lineRule="auto"/>
              <w:jc w:val="center"/>
              <w:rPr>
                <w:b/>
                <w:i/>
                <w:sz w:val="20"/>
                <w:szCs w:val="20"/>
              </w:rPr>
            </w:pPr>
            <w:r w:rsidRPr="00321080">
              <w:rPr>
                <w:b/>
                <w:sz w:val="20"/>
                <w:szCs w:val="20"/>
              </w:rPr>
              <w:t xml:space="preserve">Coef. </w:t>
            </w:r>
          </w:p>
        </w:tc>
        <w:tc>
          <w:tcPr>
            <w:tcW w:w="559" w:type="dxa"/>
            <w:tcBorders>
              <w:top w:val="single" w:sz="4" w:space="0" w:color="auto"/>
              <w:left w:val="nil"/>
              <w:bottom w:val="nil"/>
              <w:right w:val="nil"/>
            </w:tcBorders>
            <w:hideMark/>
          </w:tcPr>
          <w:p w14:paraId="67DE9865" w14:textId="77777777" w:rsidR="00314F3B" w:rsidRPr="00321080" w:rsidRDefault="00314F3B" w:rsidP="008E0B65">
            <w:pPr>
              <w:spacing w:line="288" w:lineRule="auto"/>
              <w:jc w:val="center"/>
              <w:rPr>
                <w:b/>
                <w:i/>
                <w:sz w:val="20"/>
                <w:szCs w:val="20"/>
              </w:rPr>
            </w:pPr>
            <w:r w:rsidRPr="00321080">
              <w:rPr>
                <w:b/>
                <w:i/>
                <w:sz w:val="20"/>
                <w:szCs w:val="20"/>
              </w:rPr>
              <w:t>p</w:t>
            </w:r>
          </w:p>
        </w:tc>
        <w:tc>
          <w:tcPr>
            <w:tcW w:w="1042" w:type="dxa"/>
            <w:gridSpan w:val="2"/>
            <w:tcBorders>
              <w:top w:val="single" w:sz="4" w:space="0" w:color="auto"/>
              <w:left w:val="nil"/>
              <w:bottom w:val="nil"/>
              <w:right w:val="nil"/>
            </w:tcBorders>
            <w:hideMark/>
          </w:tcPr>
          <w:p w14:paraId="618941DE" w14:textId="77777777" w:rsidR="00314F3B" w:rsidRPr="00321080" w:rsidRDefault="00314F3B" w:rsidP="008E0B65">
            <w:pPr>
              <w:spacing w:line="288" w:lineRule="auto"/>
              <w:jc w:val="center"/>
              <w:rPr>
                <w:b/>
                <w:i/>
                <w:sz w:val="20"/>
                <w:szCs w:val="20"/>
              </w:rPr>
            </w:pPr>
            <w:r w:rsidRPr="00321080">
              <w:rPr>
                <w:b/>
                <w:sz w:val="20"/>
                <w:szCs w:val="20"/>
              </w:rPr>
              <w:t xml:space="preserve">Coef. </w:t>
            </w:r>
          </w:p>
        </w:tc>
        <w:tc>
          <w:tcPr>
            <w:tcW w:w="617" w:type="dxa"/>
            <w:tcBorders>
              <w:top w:val="single" w:sz="4" w:space="0" w:color="auto"/>
              <w:left w:val="nil"/>
              <w:bottom w:val="nil"/>
              <w:right w:val="nil"/>
            </w:tcBorders>
            <w:hideMark/>
          </w:tcPr>
          <w:p w14:paraId="69B0C00E" w14:textId="77777777" w:rsidR="00314F3B" w:rsidRPr="00321080" w:rsidRDefault="00314F3B" w:rsidP="008E0B65">
            <w:pPr>
              <w:spacing w:line="288" w:lineRule="auto"/>
              <w:jc w:val="center"/>
              <w:rPr>
                <w:b/>
                <w:i/>
                <w:sz w:val="20"/>
                <w:szCs w:val="20"/>
              </w:rPr>
            </w:pPr>
            <w:r w:rsidRPr="00321080">
              <w:rPr>
                <w:b/>
                <w:i/>
                <w:sz w:val="20"/>
                <w:szCs w:val="20"/>
              </w:rPr>
              <w:t>p</w:t>
            </w:r>
          </w:p>
        </w:tc>
        <w:tc>
          <w:tcPr>
            <w:tcW w:w="1143" w:type="dxa"/>
            <w:gridSpan w:val="2"/>
            <w:tcBorders>
              <w:top w:val="single" w:sz="4" w:space="0" w:color="auto"/>
              <w:left w:val="nil"/>
              <w:bottom w:val="nil"/>
              <w:right w:val="nil"/>
            </w:tcBorders>
            <w:hideMark/>
          </w:tcPr>
          <w:p w14:paraId="3CC4D432" w14:textId="77777777" w:rsidR="00314F3B" w:rsidRPr="00321080" w:rsidRDefault="00314F3B" w:rsidP="008E0B65">
            <w:pPr>
              <w:spacing w:line="288" w:lineRule="auto"/>
              <w:jc w:val="center"/>
              <w:rPr>
                <w:b/>
                <w:i/>
                <w:sz w:val="20"/>
                <w:szCs w:val="20"/>
              </w:rPr>
            </w:pPr>
            <w:r w:rsidRPr="00321080">
              <w:rPr>
                <w:b/>
                <w:sz w:val="20"/>
                <w:szCs w:val="20"/>
              </w:rPr>
              <w:t xml:space="preserve">Coef. </w:t>
            </w:r>
          </w:p>
        </w:tc>
        <w:tc>
          <w:tcPr>
            <w:tcW w:w="515" w:type="dxa"/>
            <w:tcBorders>
              <w:top w:val="single" w:sz="4" w:space="0" w:color="auto"/>
              <w:left w:val="nil"/>
              <w:bottom w:val="nil"/>
              <w:right w:val="nil"/>
            </w:tcBorders>
            <w:hideMark/>
          </w:tcPr>
          <w:p w14:paraId="660D4659" w14:textId="77777777" w:rsidR="00314F3B" w:rsidRPr="00321080" w:rsidRDefault="00314F3B" w:rsidP="008E0B65">
            <w:pPr>
              <w:spacing w:line="288" w:lineRule="auto"/>
              <w:jc w:val="center"/>
              <w:rPr>
                <w:b/>
                <w:i/>
                <w:sz w:val="20"/>
                <w:szCs w:val="20"/>
              </w:rPr>
            </w:pPr>
            <w:r w:rsidRPr="00321080">
              <w:rPr>
                <w:b/>
                <w:i/>
                <w:sz w:val="20"/>
                <w:szCs w:val="20"/>
              </w:rPr>
              <w:t>p</w:t>
            </w:r>
          </w:p>
        </w:tc>
      </w:tr>
      <w:tr w:rsidR="00321080" w:rsidRPr="00321080" w14:paraId="78687D66" w14:textId="77777777" w:rsidTr="008E0B65">
        <w:trPr>
          <w:gridAfter w:val="2"/>
          <w:wAfter w:w="48" w:type="dxa"/>
          <w:trHeight w:val="291"/>
        </w:trPr>
        <w:tc>
          <w:tcPr>
            <w:tcW w:w="1443" w:type="dxa"/>
            <w:tcBorders>
              <w:top w:val="single" w:sz="4" w:space="0" w:color="auto"/>
              <w:left w:val="nil"/>
              <w:bottom w:val="nil"/>
              <w:right w:val="nil"/>
            </w:tcBorders>
          </w:tcPr>
          <w:p w14:paraId="7F7FFC41" w14:textId="77777777" w:rsidR="00314F3B" w:rsidRPr="00321080" w:rsidRDefault="00314F3B" w:rsidP="008E0B65">
            <w:pPr>
              <w:spacing w:line="276" w:lineRule="auto"/>
              <w:rPr>
                <w:b/>
                <w:sz w:val="20"/>
                <w:szCs w:val="20"/>
              </w:rPr>
            </w:pPr>
          </w:p>
        </w:tc>
        <w:tc>
          <w:tcPr>
            <w:tcW w:w="1121" w:type="dxa"/>
            <w:tcBorders>
              <w:top w:val="single" w:sz="4" w:space="0" w:color="auto"/>
              <w:left w:val="nil"/>
              <w:bottom w:val="nil"/>
              <w:right w:val="nil"/>
            </w:tcBorders>
            <w:hideMark/>
          </w:tcPr>
          <w:p w14:paraId="6BFD4505" w14:textId="77777777" w:rsidR="00314F3B" w:rsidRPr="00321080" w:rsidRDefault="00314F3B" w:rsidP="008E0B65">
            <w:pPr>
              <w:spacing w:line="276" w:lineRule="auto"/>
              <w:jc w:val="center"/>
              <w:rPr>
                <w:sz w:val="20"/>
                <w:szCs w:val="20"/>
              </w:rPr>
            </w:pPr>
            <w:r w:rsidRPr="00321080">
              <w:rPr>
                <w:sz w:val="20"/>
                <w:szCs w:val="20"/>
              </w:rPr>
              <w:t>(n=529)</w:t>
            </w:r>
          </w:p>
        </w:tc>
        <w:tc>
          <w:tcPr>
            <w:tcW w:w="635" w:type="dxa"/>
            <w:tcBorders>
              <w:top w:val="single" w:sz="4" w:space="0" w:color="auto"/>
              <w:left w:val="nil"/>
              <w:bottom w:val="nil"/>
              <w:right w:val="nil"/>
            </w:tcBorders>
          </w:tcPr>
          <w:p w14:paraId="6E4DB0F2" w14:textId="77777777" w:rsidR="00314F3B" w:rsidRPr="00321080" w:rsidRDefault="00314F3B" w:rsidP="008E0B65">
            <w:pPr>
              <w:spacing w:line="276" w:lineRule="auto"/>
              <w:jc w:val="center"/>
              <w:rPr>
                <w:sz w:val="20"/>
                <w:szCs w:val="20"/>
              </w:rPr>
            </w:pPr>
          </w:p>
        </w:tc>
        <w:tc>
          <w:tcPr>
            <w:tcW w:w="1160" w:type="dxa"/>
            <w:gridSpan w:val="2"/>
            <w:tcBorders>
              <w:top w:val="single" w:sz="4" w:space="0" w:color="auto"/>
              <w:left w:val="nil"/>
              <w:bottom w:val="nil"/>
              <w:right w:val="nil"/>
            </w:tcBorders>
            <w:hideMark/>
          </w:tcPr>
          <w:p w14:paraId="358A35EA" w14:textId="77777777" w:rsidR="00314F3B" w:rsidRPr="00321080" w:rsidRDefault="00314F3B" w:rsidP="008E0B65">
            <w:pPr>
              <w:spacing w:line="276" w:lineRule="auto"/>
              <w:jc w:val="center"/>
              <w:rPr>
                <w:sz w:val="20"/>
                <w:szCs w:val="20"/>
              </w:rPr>
            </w:pPr>
            <w:r w:rsidRPr="00321080">
              <w:rPr>
                <w:sz w:val="20"/>
                <w:szCs w:val="20"/>
              </w:rPr>
              <w:t>(n=408)</w:t>
            </w:r>
          </w:p>
        </w:tc>
        <w:tc>
          <w:tcPr>
            <w:tcW w:w="497" w:type="dxa"/>
            <w:tcBorders>
              <w:top w:val="single" w:sz="4" w:space="0" w:color="auto"/>
              <w:left w:val="nil"/>
              <w:bottom w:val="nil"/>
              <w:right w:val="nil"/>
            </w:tcBorders>
          </w:tcPr>
          <w:p w14:paraId="1243318B" w14:textId="77777777" w:rsidR="00314F3B" w:rsidRPr="00321080" w:rsidRDefault="00314F3B" w:rsidP="008E0B65">
            <w:pPr>
              <w:spacing w:line="276" w:lineRule="auto"/>
              <w:jc w:val="center"/>
              <w:rPr>
                <w:sz w:val="20"/>
                <w:szCs w:val="20"/>
              </w:rPr>
            </w:pPr>
          </w:p>
        </w:tc>
        <w:tc>
          <w:tcPr>
            <w:tcW w:w="1105" w:type="dxa"/>
            <w:gridSpan w:val="2"/>
            <w:tcBorders>
              <w:top w:val="single" w:sz="4" w:space="0" w:color="auto"/>
              <w:left w:val="nil"/>
              <w:bottom w:val="nil"/>
              <w:right w:val="nil"/>
            </w:tcBorders>
            <w:hideMark/>
          </w:tcPr>
          <w:p w14:paraId="36D06BAD" w14:textId="77777777" w:rsidR="00314F3B" w:rsidRPr="00321080" w:rsidRDefault="00314F3B" w:rsidP="008E0B65">
            <w:pPr>
              <w:spacing w:line="276" w:lineRule="auto"/>
              <w:jc w:val="center"/>
              <w:rPr>
                <w:sz w:val="20"/>
                <w:szCs w:val="20"/>
              </w:rPr>
            </w:pPr>
            <w:r w:rsidRPr="00321080">
              <w:rPr>
                <w:sz w:val="20"/>
                <w:szCs w:val="20"/>
              </w:rPr>
              <w:t>(n=786)</w:t>
            </w:r>
          </w:p>
        </w:tc>
        <w:tc>
          <w:tcPr>
            <w:tcW w:w="559" w:type="dxa"/>
            <w:tcBorders>
              <w:top w:val="single" w:sz="4" w:space="0" w:color="auto"/>
              <w:left w:val="nil"/>
              <w:bottom w:val="nil"/>
              <w:right w:val="nil"/>
            </w:tcBorders>
          </w:tcPr>
          <w:p w14:paraId="74BF9EF1" w14:textId="77777777" w:rsidR="00314F3B" w:rsidRPr="00321080" w:rsidRDefault="00314F3B" w:rsidP="008E0B65">
            <w:pPr>
              <w:spacing w:line="276" w:lineRule="auto"/>
              <w:jc w:val="center"/>
              <w:rPr>
                <w:sz w:val="20"/>
                <w:szCs w:val="20"/>
              </w:rPr>
            </w:pPr>
          </w:p>
        </w:tc>
        <w:tc>
          <w:tcPr>
            <w:tcW w:w="1042" w:type="dxa"/>
            <w:gridSpan w:val="2"/>
            <w:tcBorders>
              <w:top w:val="single" w:sz="4" w:space="0" w:color="auto"/>
              <w:left w:val="nil"/>
              <w:bottom w:val="nil"/>
              <w:right w:val="nil"/>
            </w:tcBorders>
            <w:hideMark/>
          </w:tcPr>
          <w:p w14:paraId="76416E3F" w14:textId="77777777" w:rsidR="00314F3B" w:rsidRPr="00321080" w:rsidRDefault="00314F3B" w:rsidP="008E0B65">
            <w:pPr>
              <w:spacing w:line="276" w:lineRule="auto"/>
              <w:jc w:val="center"/>
              <w:rPr>
                <w:sz w:val="20"/>
                <w:szCs w:val="20"/>
                <w:highlight w:val="yellow"/>
              </w:rPr>
            </w:pPr>
            <w:r w:rsidRPr="00321080">
              <w:rPr>
                <w:sz w:val="20"/>
                <w:szCs w:val="20"/>
              </w:rPr>
              <w:t>(n=321)</w:t>
            </w:r>
          </w:p>
        </w:tc>
        <w:tc>
          <w:tcPr>
            <w:tcW w:w="617" w:type="dxa"/>
            <w:tcBorders>
              <w:top w:val="single" w:sz="4" w:space="0" w:color="auto"/>
              <w:left w:val="nil"/>
              <w:bottom w:val="nil"/>
              <w:right w:val="nil"/>
            </w:tcBorders>
          </w:tcPr>
          <w:p w14:paraId="472F59E7" w14:textId="77777777" w:rsidR="00314F3B" w:rsidRPr="00321080" w:rsidRDefault="00314F3B" w:rsidP="008E0B65">
            <w:pPr>
              <w:spacing w:line="276" w:lineRule="auto"/>
              <w:jc w:val="center"/>
              <w:rPr>
                <w:sz w:val="20"/>
                <w:szCs w:val="20"/>
                <w:highlight w:val="yellow"/>
              </w:rPr>
            </w:pPr>
          </w:p>
        </w:tc>
        <w:tc>
          <w:tcPr>
            <w:tcW w:w="1143" w:type="dxa"/>
            <w:gridSpan w:val="2"/>
            <w:tcBorders>
              <w:top w:val="single" w:sz="4" w:space="0" w:color="auto"/>
              <w:left w:val="nil"/>
              <w:bottom w:val="nil"/>
              <w:right w:val="nil"/>
            </w:tcBorders>
            <w:hideMark/>
          </w:tcPr>
          <w:p w14:paraId="7E98C5DC" w14:textId="77777777" w:rsidR="00314F3B" w:rsidRPr="00321080" w:rsidRDefault="00314F3B" w:rsidP="008E0B65">
            <w:pPr>
              <w:spacing w:line="276" w:lineRule="auto"/>
              <w:jc w:val="center"/>
              <w:rPr>
                <w:sz w:val="20"/>
                <w:szCs w:val="20"/>
              </w:rPr>
            </w:pPr>
            <w:r w:rsidRPr="00321080">
              <w:rPr>
                <w:sz w:val="20"/>
                <w:szCs w:val="20"/>
              </w:rPr>
              <w:t>(n=786)</w:t>
            </w:r>
          </w:p>
        </w:tc>
        <w:tc>
          <w:tcPr>
            <w:tcW w:w="515" w:type="dxa"/>
            <w:tcBorders>
              <w:top w:val="single" w:sz="4" w:space="0" w:color="auto"/>
              <w:left w:val="nil"/>
              <w:bottom w:val="nil"/>
              <w:right w:val="nil"/>
            </w:tcBorders>
          </w:tcPr>
          <w:p w14:paraId="45EB8C0C" w14:textId="77777777" w:rsidR="00314F3B" w:rsidRPr="00321080" w:rsidRDefault="00314F3B" w:rsidP="008E0B65">
            <w:pPr>
              <w:spacing w:line="276" w:lineRule="auto"/>
              <w:jc w:val="center"/>
              <w:rPr>
                <w:sz w:val="20"/>
                <w:szCs w:val="20"/>
              </w:rPr>
            </w:pPr>
          </w:p>
        </w:tc>
      </w:tr>
      <w:tr w:rsidR="00321080" w:rsidRPr="00321080" w14:paraId="0D2D6F25" w14:textId="77777777" w:rsidTr="008E0B65">
        <w:trPr>
          <w:gridAfter w:val="2"/>
          <w:wAfter w:w="48" w:type="dxa"/>
          <w:trHeight w:val="335"/>
        </w:trPr>
        <w:tc>
          <w:tcPr>
            <w:tcW w:w="1443" w:type="dxa"/>
            <w:tcBorders>
              <w:top w:val="nil"/>
              <w:left w:val="nil"/>
              <w:bottom w:val="nil"/>
              <w:right w:val="nil"/>
            </w:tcBorders>
            <w:hideMark/>
          </w:tcPr>
          <w:p w14:paraId="5B9FB87A" w14:textId="77777777" w:rsidR="00314F3B" w:rsidRPr="00321080" w:rsidRDefault="00314F3B" w:rsidP="008E0B65">
            <w:pPr>
              <w:spacing w:line="276" w:lineRule="auto"/>
              <w:rPr>
                <w:sz w:val="20"/>
                <w:szCs w:val="20"/>
              </w:rPr>
            </w:pPr>
            <w:r w:rsidRPr="00321080">
              <w:rPr>
                <w:sz w:val="20"/>
                <w:szCs w:val="20"/>
              </w:rPr>
              <w:t>Direct effect</w:t>
            </w:r>
          </w:p>
        </w:tc>
        <w:tc>
          <w:tcPr>
            <w:tcW w:w="1121" w:type="dxa"/>
            <w:tcBorders>
              <w:top w:val="nil"/>
              <w:left w:val="nil"/>
              <w:bottom w:val="nil"/>
              <w:right w:val="nil"/>
            </w:tcBorders>
            <w:vAlign w:val="center"/>
            <w:hideMark/>
          </w:tcPr>
          <w:p w14:paraId="1974F511" w14:textId="77777777" w:rsidR="00314F3B" w:rsidRPr="00321080" w:rsidRDefault="00314F3B" w:rsidP="008E0B65">
            <w:pPr>
              <w:spacing w:line="276" w:lineRule="auto"/>
              <w:jc w:val="center"/>
              <w:rPr>
                <w:sz w:val="20"/>
                <w:szCs w:val="20"/>
              </w:rPr>
            </w:pPr>
            <w:r w:rsidRPr="00321080">
              <w:rPr>
                <w:sz w:val="20"/>
                <w:szCs w:val="20"/>
              </w:rPr>
              <w:t>-0.25 (0.18)</w:t>
            </w:r>
          </w:p>
        </w:tc>
        <w:tc>
          <w:tcPr>
            <w:tcW w:w="635" w:type="dxa"/>
            <w:tcBorders>
              <w:top w:val="nil"/>
              <w:left w:val="nil"/>
              <w:bottom w:val="nil"/>
              <w:right w:val="nil"/>
            </w:tcBorders>
            <w:vAlign w:val="center"/>
            <w:hideMark/>
          </w:tcPr>
          <w:p w14:paraId="36EA515D" w14:textId="77777777" w:rsidR="00314F3B" w:rsidRPr="00321080" w:rsidRDefault="00314F3B" w:rsidP="008E0B65">
            <w:pPr>
              <w:spacing w:line="276" w:lineRule="auto"/>
              <w:jc w:val="center"/>
              <w:rPr>
                <w:sz w:val="20"/>
                <w:szCs w:val="20"/>
              </w:rPr>
            </w:pPr>
            <w:r w:rsidRPr="00321080">
              <w:rPr>
                <w:sz w:val="20"/>
                <w:szCs w:val="20"/>
              </w:rPr>
              <w:t>0.16</w:t>
            </w:r>
          </w:p>
        </w:tc>
        <w:tc>
          <w:tcPr>
            <w:tcW w:w="1160" w:type="dxa"/>
            <w:gridSpan w:val="2"/>
            <w:tcBorders>
              <w:top w:val="nil"/>
              <w:left w:val="nil"/>
              <w:bottom w:val="nil"/>
              <w:right w:val="nil"/>
            </w:tcBorders>
            <w:vAlign w:val="center"/>
            <w:hideMark/>
          </w:tcPr>
          <w:p w14:paraId="56401B80" w14:textId="77777777" w:rsidR="00314F3B" w:rsidRPr="00321080" w:rsidRDefault="00314F3B" w:rsidP="008E0B65">
            <w:pPr>
              <w:spacing w:line="276" w:lineRule="auto"/>
              <w:jc w:val="center"/>
              <w:rPr>
                <w:sz w:val="20"/>
                <w:szCs w:val="20"/>
              </w:rPr>
            </w:pPr>
            <w:r w:rsidRPr="00321080">
              <w:rPr>
                <w:sz w:val="20"/>
                <w:szCs w:val="20"/>
              </w:rPr>
              <w:t>-0.25 (0.20)</w:t>
            </w:r>
          </w:p>
        </w:tc>
        <w:tc>
          <w:tcPr>
            <w:tcW w:w="497" w:type="dxa"/>
            <w:tcBorders>
              <w:top w:val="nil"/>
              <w:left w:val="nil"/>
              <w:bottom w:val="nil"/>
              <w:right w:val="nil"/>
            </w:tcBorders>
            <w:vAlign w:val="center"/>
            <w:hideMark/>
          </w:tcPr>
          <w:p w14:paraId="746BD89C" w14:textId="77777777" w:rsidR="00314F3B" w:rsidRPr="00321080" w:rsidRDefault="00314F3B" w:rsidP="008E0B65">
            <w:pPr>
              <w:spacing w:line="276" w:lineRule="auto"/>
              <w:jc w:val="center"/>
              <w:rPr>
                <w:sz w:val="20"/>
                <w:szCs w:val="20"/>
              </w:rPr>
            </w:pPr>
            <w:r w:rsidRPr="00321080">
              <w:rPr>
                <w:sz w:val="20"/>
                <w:szCs w:val="20"/>
              </w:rPr>
              <w:t>0.21</w:t>
            </w:r>
          </w:p>
        </w:tc>
        <w:tc>
          <w:tcPr>
            <w:tcW w:w="1105" w:type="dxa"/>
            <w:gridSpan w:val="2"/>
            <w:tcBorders>
              <w:top w:val="nil"/>
              <w:left w:val="nil"/>
              <w:bottom w:val="nil"/>
              <w:right w:val="nil"/>
            </w:tcBorders>
            <w:vAlign w:val="center"/>
            <w:hideMark/>
          </w:tcPr>
          <w:p w14:paraId="6861D414" w14:textId="77777777" w:rsidR="00314F3B" w:rsidRPr="00321080" w:rsidRDefault="00314F3B" w:rsidP="008E0B65">
            <w:pPr>
              <w:spacing w:line="276" w:lineRule="auto"/>
              <w:jc w:val="center"/>
              <w:rPr>
                <w:sz w:val="20"/>
                <w:szCs w:val="20"/>
              </w:rPr>
            </w:pPr>
            <w:r w:rsidRPr="00321080">
              <w:rPr>
                <w:sz w:val="20"/>
                <w:szCs w:val="20"/>
              </w:rPr>
              <w:t>-0.28 (0.19)</w:t>
            </w:r>
          </w:p>
        </w:tc>
        <w:tc>
          <w:tcPr>
            <w:tcW w:w="559" w:type="dxa"/>
            <w:tcBorders>
              <w:top w:val="nil"/>
              <w:left w:val="nil"/>
              <w:bottom w:val="nil"/>
              <w:right w:val="nil"/>
            </w:tcBorders>
            <w:vAlign w:val="center"/>
            <w:hideMark/>
          </w:tcPr>
          <w:p w14:paraId="0C11E367" w14:textId="77777777" w:rsidR="00314F3B" w:rsidRPr="00321080" w:rsidRDefault="00314F3B" w:rsidP="008E0B65">
            <w:pPr>
              <w:spacing w:line="276" w:lineRule="auto"/>
              <w:jc w:val="center"/>
              <w:rPr>
                <w:sz w:val="20"/>
                <w:szCs w:val="20"/>
              </w:rPr>
            </w:pPr>
            <w:r w:rsidRPr="00321080">
              <w:rPr>
                <w:sz w:val="20"/>
                <w:szCs w:val="20"/>
              </w:rPr>
              <w:t>0.14</w:t>
            </w:r>
          </w:p>
        </w:tc>
        <w:tc>
          <w:tcPr>
            <w:tcW w:w="1042" w:type="dxa"/>
            <w:gridSpan w:val="2"/>
            <w:tcBorders>
              <w:top w:val="nil"/>
              <w:left w:val="nil"/>
              <w:bottom w:val="nil"/>
              <w:right w:val="nil"/>
            </w:tcBorders>
            <w:vAlign w:val="center"/>
            <w:hideMark/>
          </w:tcPr>
          <w:p w14:paraId="254D9B9E" w14:textId="77777777" w:rsidR="00314F3B" w:rsidRPr="00321080" w:rsidRDefault="00314F3B" w:rsidP="008E0B65">
            <w:pPr>
              <w:spacing w:line="276" w:lineRule="auto"/>
              <w:jc w:val="center"/>
              <w:rPr>
                <w:sz w:val="20"/>
                <w:szCs w:val="20"/>
              </w:rPr>
            </w:pPr>
            <w:r w:rsidRPr="00321080">
              <w:rPr>
                <w:sz w:val="20"/>
                <w:szCs w:val="20"/>
              </w:rPr>
              <w:t>-0.66 (0.28)</w:t>
            </w:r>
          </w:p>
        </w:tc>
        <w:tc>
          <w:tcPr>
            <w:tcW w:w="617" w:type="dxa"/>
            <w:tcBorders>
              <w:top w:val="nil"/>
              <w:left w:val="nil"/>
              <w:bottom w:val="nil"/>
              <w:right w:val="nil"/>
            </w:tcBorders>
            <w:vAlign w:val="center"/>
            <w:hideMark/>
          </w:tcPr>
          <w:p w14:paraId="2D57D4E4" w14:textId="77777777" w:rsidR="00314F3B" w:rsidRPr="00321080" w:rsidRDefault="00314F3B" w:rsidP="008E0B65">
            <w:pPr>
              <w:spacing w:line="276" w:lineRule="auto"/>
              <w:jc w:val="center"/>
              <w:rPr>
                <w:sz w:val="20"/>
                <w:szCs w:val="20"/>
              </w:rPr>
            </w:pPr>
            <w:r w:rsidRPr="00321080">
              <w:rPr>
                <w:sz w:val="20"/>
                <w:szCs w:val="20"/>
              </w:rPr>
              <w:t>0.51</w:t>
            </w:r>
          </w:p>
        </w:tc>
        <w:tc>
          <w:tcPr>
            <w:tcW w:w="1143" w:type="dxa"/>
            <w:gridSpan w:val="2"/>
            <w:tcBorders>
              <w:top w:val="nil"/>
              <w:left w:val="nil"/>
              <w:bottom w:val="nil"/>
              <w:right w:val="nil"/>
            </w:tcBorders>
            <w:vAlign w:val="center"/>
            <w:hideMark/>
          </w:tcPr>
          <w:p w14:paraId="1D8EF62A" w14:textId="77777777" w:rsidR="00314F3B" w:rsidRPr="00321080" w:rsidRDefault="00314F3B" w:rsidP="008E0B65">
            <w:pPr>
              <w:spacing w:line="276" w:lineRule="auto"/>
              <w:jc w:val="center"/>
              <w:rPr>
                <w:sz w:val="20"/>
                <w:szCs w:val="20"/>
              </w:rPr>
            </w:pPr>
            <w:r w:rsidRPr="00321080">
              <w:rPr>
                <w:sz w:val="20"/>
                <w:szCs w:val="20"/>
              </w:rPr>
              <w:t>-0.24 (0.19)</w:t>
            </w:r>
          </w:p>
        </w:tc>
        <w:tc>
          <w:tcPr>
            <w:tcW w:w="515" w:type="dxa"/>
            <w:tcBorders>
              <w:top w:val="nil"/>
              <w:left w:val="nil"/>
              <w:bottom w:val="nil"/>
              <w:right w:val="nil"/>
            </w:tcBorders>
            <w:vAlign w:val="center"/>
            <w:hideMark/>
          </w:tcPr>
          <w:p w14:paraId="108659BD" w14:textId="77777777" w:rsidR="00314F3B" w:rsidRPr="00321080" w:rsidRDefault="00314F3B" w:rsidP="008E0B65">
            <w:pPr>
              <w:spacing w:line="276" w:lineRule="auto"/>
              <w:jc w:val="center"/>
              <w:rPr>
                <w:sz w:val="20"/>
                <w:szCs w:val="20"/>
              </w:rPr>
            </w:pPr>
            <w:r w:rsidRPr="00321080">
              <w:rPr>
                <w:sz w:val="20"/>
                <w:szCs w:val="20"/>
              </w:rPr>
              <w:t>0.21</w:t>
            </w:r>
          </w:p>
        </w:tc>
      </w:tr>
      <w:tr w:rsidR="00321080" w:rsidRPr="00321080" w14:paraId="4D8A6E78" w14:textId="77777777" w:rsidTr="008E0B65">
        <w:trPr>
          <w:gridAfter w:val="2"/>
          <w:wAfter w:w="48" w:type="dxa"/>
          <w:trHeight w:val="307"/>
        </w:trPr>
        <w:tc>
          <w:tcPr>
            <w:tcW w:w="1443" w:type="dxa"/>
            <w:tcBorders>
              <w:top w:val="nil"/>
              <w:left w:val="nil"/>
              <w:bottom w:val="nil"/>
              <w:right w:val="nil"/>
            </w:tcBorders>
            <w:hideMark/>
          </w:tcPr>
          <w:p w14:paraId="230D9CDC" w14:textId="77777777" w:rsidR="00314F3B" w:rsidRPr="00321080" w:rsidRDefault="00314F3B" w:rsidP="008E0B65">
            <w:pPr>
              <w:spacing w:line="276" w:lineRule="auto"/>
              <w:rPr>
                <w:sz w:val="20"/>
                <w:szCs w:val="20"/>
              </w:rPr>
            </w:pPr>
            <w:r w:rsidRPr="00321080">
              <w:rPr>
                <w:sz w:val="20"/>
                <w:szCs w:val="20"/>
              </w:rPr>
              <w:t>Indirect effect</w:t>
            </w:r>
          </w:p>
        </w:tc>
        <w:tc>
          <w:tcPr>
            <w:tcW w:w="1121" w:type="dxa"/>
            <w:tcBorders>
              <w:top w:val="nil"/>
              <w:left w:val="nil"/>
              <w:bottom w:val="nil"/>
              <w:right w:val="nil"/>
            </w:tcBorders>
            <w:vAlign w:val="center"/>
            <w:hideMark/>
          </w:tcPr>
          <w:p w14:paraId="5C476329" w14:textId="77777777" w:rsidR="00314F3B" w:rsidRPr="00321080" w:rsidRDefault="00314F3B" w:rsidP="008E0B65">
            <w:pPr>
              <w:spacing w:line="276" w:lineRule="auto"/>
              <w:jc w:val="center"/>
              <w:rPr>
                <w:b/>
                <w:sz w:val="20"/>
                <w:szCs w:val="20"/>
              </w:rPr>
            </w:pPr>
            <w:r w:rsidRPr="00321080">
              <w:rPr>
                <w:b/>
                <w:sz w:val="20"/>
                <w:szCs w:val="20"/>
              </w:rPr>
              <w:t>-0.13 (0.06)</w:t>
            </w:r>
          </w:p>
        </w:tc>
        <w:tc>
          <w:tcPr>
            <w:tcW w:w="635" w:type="dxa"/>
            <w:tcBorders>
              <w:top w:val="nil"/>
              <w:left w:val="nil"/>
              <w:bottom w:val="nil"/>
              <w:right w:val="nil"/>
            </w:tcBorders>
            <w:vAlign w:val="center"/>
            <w:hideMark/>
          </w:tcPr>
          <w:p w14:paraId="39B4016C" w14:textId="77777777" w:rsidR="00314F3B" w:rsidRPr="00321080" w:rsidRDefault="00314F3B" w:rsidP="008E0B65">
            <w:pPr>
              <w:spacing w:line="276" w:lineRule="auto"/>
              <w:jc w:val="center"/>
              <w:rPr>
                <w:b/>
                <w:sz w:val="20"/>
                <w:szCs w:val="20"/>
              </w:rPr>
            </w:pPr>
            <w:r w:rsidRPr="00321080">
              <w:rPr>
                <w:b/>
                <w:sz w:val="20"/>
                <w:szCs w:val="20"/>
              </w:rPr>
              <w:t>0.03</w:t>
            </w:r>
          </w:p>
        </w:tc>
        <w:tc>
          <w:tcPr>
            <w:tcW w:w="1160" w:type="dxa"/>
            <w:gridSpan w:val="2"/>
            <w:tcBorders>
              <w:top w:val="nil"/>
              <w:left w:val="nil"/>
              <w:bottom w:val="nil"/>
              <w:right w:val="nil"/>
            </w:tcBorders>
            <w:vAlign w:val="center"/>
            <w:hideMark/>
          </w:tcPr>
          <w:p w14:paraId="49A76ACB" w14:textId="77777777" w:rsidR="00314F3B" w:rsidRPr="00321080" w:rsidRDefault="00314F3B" w:rsidP="008E0B65">
            <w:pPr>
              <w:spacing w:line="276" w:lineRule="auto"/>
              <w:jc w:val="center"/>
              <w:rPr>
                <w:b/>
                <w:sz w:val="20"/>
                <w:szCs w:val="20"/>
              </w:rPr>
            </w:pPr>
            <w:r w:rsidRPr="00321080">
              <w:rPr>
                <w:b/>
                <w:sz w:val="20"/>
                <w:szCs w:val="20"/>
              </w:rPr>
              <w:t>-0.13 (0.07)</w:t>
            </w:r>
          </w:p>
        </w:tc>
        <w:tc>
          <w:tcPr>
            <w:tcW w:w="497" w:type="dxa"/>
            <w:tcBorders>
              <w:top w:val="nil"/>
              <w:left w:val="nil"/>
              <w:bottom w:val="nil"/>
              <w:right w:val="nil"/>
            </w:tcBorders>
            <w:vAlign w:val="center"/>
            <w:hideMark/>
          </w:tcPr>
          <w:p w14:paraId="36B8D06D" w14:textId="77777777" w:rsidR="00314F3B" w:rsidRPr="00321080" w:rsidRDefault="00314F3B" w:rsidP="008E0B65">
            <w:pPr>
              <w:spacing w:line="276" w:lineRule="auto"/>
              <w:jc w:val="center"/>
              <w:rPr>
                <w:b/>
                <w:sz w:val="20"/>
                <w:szCs w:val="20"/>
              </w:rPr>
            </w:pPr>
            <w:r w:rsidRPr="00321080">
              <w:rPr>
                <w:b/>
                <w:sz w:val="20"/>
                <w:szCs w:val="20"/>
              </w:rPr>
              <w:t>0.04</w:t>
            </w:r>
          </w:p>
        </w:tc>
        <w:tc>
          <w:tcPr>
            <w:tcW w:w="1105" w:type="dxa"/>
            <w:gridSpan w:val="2"/>
            <w:tcBorders>
              <w:top w:val="nil"/>
              <w:left w:val="nil"/>
              <w:bottom w:val="nil"/>
              <w:right w:val="nil"/>
            </w:tcBorders>
            <w:vAlign w:val="center"/>
            <w:hideMark/>
          </w:tcPr>
          <w:p w14:paraId="6B20C7E7" w14:textId="77777777" w:rsidR="00314F3B" w:rsidRPr="00321080" w:rsidRDefault="00314F3B" w:rsidP="008E0B65">
            <w:pPr>
              <w:spacing w:line="276" w:lineRule="auto"/>
              <w:jc w:val="center"/>
              <w:rPr>
                <w:b/>
                <w:sz w:val="20"/>
                <w:szCs w:val="20"/>
              </w:rPr>
            </w:pPr>
            <w:r w:rsidRPr="00321080">
              <w:rPr>
                <w:b/>
                <w:sz w:val="20"/>
                <w:szCs w:val="20"/>
              </w:rPr>
              <w:t>-0.17 (0.06)</w:t>
            </w:r>
          </w:p>
        </w:tc>
        <w:tc>
          <w:tcPr>
            <w:tcW w:w="559" w:type="dxa"/>
            <w:tcBorders>
              <w:top w:val="nil"/>
              <w:left w:val="nil"/>
              <w:bottom w:val="nil"/>
              <w:right w:val="nil"/>
            </w:tcBorders>
            <w:vAlign w:val="center"/>
            <w:hideMark/>
          </w:tcPr>
          <w:p w14:paraId="63A1CEBE" w14:textId="77777777" w:rsidR="00314F3B" w:rsidRPr="00321080" w:rsidRDefault="00314F3B" w:rsidP="008E0B65">
            <w:pPr>
              <w:spacing w:line="276" w:lineRule="auto"/>
              <w:jc w:val="center"/>
              <w:rPr>
                <w:b/>
                <w:sz w:val="20"/>
                <w:szCs w:val="20"/>
              </w:rPr>
            </w:pPr>
            <w:r w:rsidRPr="00321080">
              <w:rPr>
                <w:b/>
                <w:sz w:val="20"/>
                <w:szCs w:val="20"/>
              </w:rPr>
              <w:t>0.00</w:t>
            </w:r>
          </w:p>
        </w:tc>
        <w:tc>
          <w:tcPr>
            <w:tcW w:w="1042" w:type="dxa"/>
            <w:gridSpan w:val="2"/>
            <w:tcBorders>
              <w:top w:val="nil"/>
              <w:left w:val="nil"/>
              <w:bottom w:val="nil"/>
              <w:right w:val="nil"/>
            </w:tcBorders>
            <w:vAlign w:val="center"/>
            <w:hideMark/>
          </w:tcPr>
          <w:p w14:paraId="51854988" w14:textId="77777777" w:rsidR="00314F3B" w:rsidRPr="00321080" w:rsidRDefault="00314F3B" w:rsidP="008E0B65">
            <w:pPr>
              <w:spacing w:line="276" w:lineRule="auto"/>
              <w:jc w:val="center"/>
              <w:rPr>
                <w:b/>
                <w:sz w:val="20"/>
                <w:szCs w:val="20"/>
              </w:rPr>
            </w:pPr>
            <w:r w:rsidRPr="00321080">
              <w:rPr>
                <w:b/>
                <w:sz w:val="20"/>
                <w:szCs w:val="20"/>
              </w:rPr>
              <w:t>-0.18 (0.09)</w:t>
            </w:r>
          </w:p>
        </w:tc>
        <w:tc>
          <w:tcPr>
            <w:tcW w:w="617" w:type="dxa"/>
            <w:tcBorders>
              <w:top w:val="nil"/>
              <w:left w:val="nil"/>
              <w:bottom w:val="nil"/>
              <w:right w:val="nil"/>
            </w:tcBorders>
            <w:vAlign w:val="center"/>
            <w:hideMark/>
          </w:tcPr>
          <w:p w14:paraId="0162BF93" w14:textId="77777777" w:rsidR="00314F3B" w:rsidRPr="00321080" w:rsidRDefault="00314F3B" w:rsidP="008E0B65">
            <w:pPr>
              <w:spacing w:line="276" w:lineRule="auto"/>
              <w:jc w:val="center"/>
              <w:rPr>
                <w:b/>
                <w:sz w:val="20"/>
                <w:szCs w:val="20"/>
              </w:rPr>
            </w:pPr>
            <w:r w:rsidRPr="00321080">
              <w:rPr>
                <w:b/>
                <w:sz w:val="20"/>
                <w:szCs w:val="20"/>
              </w:rPr>
              <w:t>0.04</w:t>
            </w:r>
          </w:p>
        </w:tc>
        <w:tc>
          <w:tcPr>
            <w:tcW w:w="1143" w:type="dxa"/>
            <w:gridSpan w:val="2"/>
            <w:tcBorders>
              <w:top w:val="nil"/>
              <w:left w:val="nil"/>
              <w:bottom w:val="nil"/>
              <w:right w:val="nil"/>
            </w:tcBorders>
            <w:vAlign w:val="center"/>
            <w:hideMark/>
          </w:tcPr>
          <w:p w14:paraId="445C23B9" w14:textId="77777777" w:rsidR="00314F3B" w:rsidRPr="00321080" w:rsidRDefault="00314F3B" w:rsidP="008E0B65">
            <w:pPr>
              <w:spacing w:line="276" w:lineRule="auto"/>
              <w:jc w:val="center"/>
              <w:rPr>
                <w:b/>
                <w:sz w:val="20"/>
                <w:szCs w:val="20"/>
              </w:rPr>
            </w:pPr>
            <w:r w:rsidRPr="00321080">
              <w:rPr>
                <w:b/>
                <w:sz w:val="20"/>
                <w:szCs w:val="20"/>
              </w:rPr>
              <w:t>-0.18 (0.06)</w:t>
            </w:r>
          </w:p>
        </w:tc>
        <w:tc>
          <w:tcPr>
            <w:tcW w:w="515" w:type="dxa"/>
            <w:tcBorders>
              <w:top w:val="nil"/>
              <w:left w:val="nil"/>
              <w:bottom w:val="nil"/>
              <w:right w:val="nil"/>
            </w:tcBorders>
            <w:vAlign w:val="center"/>
            <w:hideMark/>
          </w:tcPr>
          <w:p w14:paraId="1DD34854" w14:textId="77777777" w:rsidR="00314F3B" w:rsidRPr="00321080" w:rsidRDefault="00314F3B" w:rsidP="008E0B65">
            <w:pPr>
              <w:spacing w:line="276" w:lineRule="auto"/>
              <w:jc w:val="center"/>
              <w:rPr>
                <w:b/>
                <w:sz w:val="20"/>
                <w:szCs w:val="20"/>
              </w:rPr>
            </w:pPr>
            <w:r w:rsidRPr="00321080">
              <w:rPr>
                <w:b/>
                <w:sz w:val="20"/>
                <w:szCs w:val="20"/>
              </w:rPr>
              <w:t>0.00</w:t>
            </w:r>
          </w:p>
        </w:tc>
      </w:tr>
      <w:tr w:rsidR="00321080" w:rsidRPr="00321080" w14:paraId="3AD37702" w14:textId="77777777" w:rsidTr="008E0B65">
        <w:trPr>
          <w:gridAfter w:val="2"/>
          <w:wAfter w:w="48" w:type="dxa"/>
          <w:trHeight w:val="291"/>
        </w:trPr>
        <w:tc>
          <w:tcPr>
            <w:tcW w:w="1443" w:type="dxa"/>
            <w:tcBorders>
              <w:top w:val="nil"/>
              <w:left w:val="nil"/>
              <w:bottom w:val="single" w:sz="4" w:space="0" w:color="FFFFFF" w:themeColor="background1"/>
              <w:right w:val="nil"/>
            </w:tcBorders>
            <w:hideMark/>
          </w:tcPr>
          <w:p w14:paraId="52BCD506" w14:textId="77777777" w:rsidR="00314F3B" w:rsidRPr="00321080" w:rsidRDefault="00314F3B" w:rsidP="008E0B65">
            <w:pPr>
              <w:spacing w:line="276" w:lineRule="auto"/>
              <w:rPr>
                <w:sz w:val="20"/>
                <w:szCs w:val="20"/>
              </w:rPr>
            </w:pPr>
            <w:r w:rsidRPr="00321080">
              <w:rPr>
                <w:sz w:val="20"/>
                <w:szCs w:val="20"/>
              </w:rPr>
              <w:t>Total effect</w:t>
            </w:r>
          </w:p>
        </w:tc>
        <w:tc>
          <w:tcPr>
            <w:tcW w:w="1121" w:type="dxa"/>
            <w:tcBorders>
              <w:top w:val="nil"/>
              <w:left w:val="nil"/>
              <w:bottom w:val="single" w:sz="4" w:space="0" w:color="auto"/>
              <w:right w:val="nil"/>
            </w:tcBorders>
            <w:vAlign w:val="center"/>
            <w:hideMark/>
          </w:tcPr>
          <w:p w14:paraId="31452272" w14:textId="77777777" w:rsidR="00314F3B" w:rsidRPr="00321080" w:rsidRDefault="00314F3B" w:rsidP="008E0B65">
            <w:pPr>
              <w:spacing w:line="276" w:lineRule="auto"/>
              <w:jc w:val="center"/>
              <w:rPr>
                <w:b/>
                <w:sz w:val="20"/>
                <w:szCs w:val="20"/>
              </w:rPr>
            </w:pPr>
            <w:r w:rsidRPr="00321080">
              <w:rPr>
                <w:b/>
                <w:sz w:val="20"/>
                <w:szCs w:val="20"/>
              </w:rPr>
              <w:t>-0.38 (0.17)</w:t>
            </w:r>
          </w:p>
        </w:tc>
        <w:tc>
          <w:tcPr>
            <w:tcW w:w="635" w:type="dxa"/>
            <w:tcBorders>
              <w:top w:val="nil"/>
              <w:left w:val="nil"/>
              <w:bottom w:val="single" w:sz="4" w:space="0" w:color="auto"/>
              <w:right w:val="nil"/>
            </w:tcBorders>
            <w:vAlign w:val="center"/>
            <w:hideMark/>
          </w:tcPr>
          <w:p w14:paraId="44472C08" w14:textId="77777777" w:rsidR="00314F3B" w:rsidRPr="00321080" w:rsidRDefault="00314F3B" w:rsidP="008E0B65">
            <w:pPr>
              <w:spacing w:line="276" w:lineRule="auto"/>
              <w:jc w:val="center"/>
              <w:rPr>
                <w:b/>
                <w:sz w:val="20"/>
                <w:szCs w:val="20"/>
              </w:rPr>
            </w:pPr>
            <w:r w:rsidRPr="00321080">
              <w:rPr>
                <w:b/>
                <w:sz w:val="20"/>
                <w:szCs w:val="20"/>
              </w:rPr>
              <w:t>0.03</w:t>
            </w:r>
          </w:p>
        </w:tc>
        <w:tc>
          <w:tcPr>
            <w:tcW w:w="1160" w:type="dxa"/>
            <w:gridSpan w:val="2"/>
            <w:tcBorders>
              <w:top w:val="nil"/>
              <w:left w:val="nil"/>
              <w:bottom w:val="single" w:sz="4" w:space="0" w:color="auto"/>
              <w:right w:val="nil"/>
            </w:tcBorders>
            <w:vAlign w:val="center"/>
            <w:hideMark/>
          </w:tcPr>
          <w:p w14:paraId="797106B8" w14:textId="77777777" w:rsidR="00314F3B" w:rsidRPr="00321080" w:rsidRDefault="00314F3B" w:rsidP="008E0B65">
            <w:pPr>
              <w:spacing w:line="276" w:lineRule="auto"/>
              <w:jc w:val="center"/>
              <w:rPr>
                <w:b/>
                <w:sz w:val="20"/>
                <w:szCs w:val="20"/>
              </w:rPr>
            </w:pPr>
            <w:r w:rsidRPr="00321080">
              <w:rPr>
                <w:b/>
                <w:sz w:val="20"/>
                <w:szCs w:val="20"/>
              </w:rPr>
              <w:t>-0.39 (0.19)</w:t>
            </w:r>
          </w:p>
        </w:tc>
        <w:tc>
          <w:tcPr>
            <w:tcW w:w="497" w:type="dxa"/>
            <w:tcBorders>
              <w:top w:val="nil"/>
              <w:left w:val="nil"/>
              <w:bottom w:val="single" w:sz="4" w:space="0" w:color="auto"/>
              <w:right w:val="nil"/>
            </w:tcBorders>
            <w:vAlign w:val="center"/>
            <w:hideMark/>
          </w:tcPr>
          <w:p w14:paraId="001BBC8E" w14:textId="77777777" w:rsidR="00314F3B" w:rsidRPr="00321080" w:rsidRDefault="00314F3B" w:rsidP="008E0B65">
            <w:pPr>
              <w:spacing w:line="276" w:lineRule="auto"/>
              <w:jc w:val="center"/>
              <w:rPr>
                <w:b/>
                <w:sz w:val="20"/>
                <w:szCs w:val="20"/>
              </w:rPr>
            </w:pPr>
            <w:r w:rsidRPr="00321080">
              <w:rPr>
                <w:b/>
                <w:sz w:val="20"/>
                <w:szCs w:val="20"/>
              </w:rPr>
              <w:t>0.04</w:t>
            </w:r>
          </w:p>
        </w:tc>
        <w:tc>
          <w:tcPr>
            <w:tcW w:w="1105" w:type="dxa"/>
            <w:gridSpan w:val="2"/>
            <w:tcBorders>
              <w:top w:val="nil"/>
              <w:left w:val="nil"/>
              <w:bottom w:val="single" w:sz="4" w:space="0" w:color="auto"/>
              <w:right w:val="nil"/>
            </w:tcBorders>
            <w:vAlign w:val="center"/>
            <w:hideMark/>
          </w:tcPr>
          <w:p w14:paraId="431D42DE" w14:textId="77777777" w:rsidR="00314F3B" w:rsidRPr="00321080" w:rsidRDefault="00314F3B" w:rsidP="008E0B65">
            <w:pPr>
              <w:spacing w:line="276" w:lineRule="auto"/>
              <w:jc w:val="center"/>
              <w:rPr>
                <w:b/>
                <w:sz w:val="20"/>
                <w:szCs w:val="20"/>
              </w:rPr>
            </w:pPr>
            <w:r w:rsidRPr="00321080">
              <w:rPr>
                <w:b/>
                <w:sz w:val="20"/>
                <w:szCs w:val="20"/>
              </w:rPr>
              <w:t>-0.45 (0.18)</w:t>
            </w:r>
          </w:p>
        </w:tc>
        <w:tc>
          <w:tcPr>
            <w:tcW w:w="559" w:type="dxa"/>
            <w:tcBorders>
              <w:top w:val="nil"/>
              <w:left w:val="nil"/>
              <w:bottom w:val="single" w:sz="4" w:space="0" w:color="auto"/>
              <w:right w:val="nil"/>
            </w:tcBorders>
            <w:vAlign w:val="center"/>
            <w:hideMark/>
          </w:tcPr>
          <w:p w14:paraId="549B09BA" w14:textId="77777777" w:rsidR="00314F3B" w:rsidRPr="00321080" w:rsidRDefault="00314F3B" w:rsidP="008E0B65">
            <w:pPr>
              <w:spacing w:line="276" w:lineRule="auto"/>
              <w:jc w:val="center"/>
              <w:rPr>
                <w:b/>
                <w:sz w:val="20"/>
                <w:szCs w:val="20"/>
              </w:rPr>
            </w:pPr>
            <w:r w:rsidRPr="00321080">
              <w:rPr>
                <w:b/>
                <w:sz w:val="20"/>
                <w:szCs w:val="20"/>
              </w:rPr>
              <w:t>0.01</w:t>
            </w:r>
          </w:p>
        </w:tc>
        <w:tc>
          <w:tcPr>
            <w:tcW w:w="1042" w:type="dxa"/>
            <w:gridSpan w:val="2"/>
            <w:tcBorders>
              <w:top w:val="nil"/>
              <w:left w:val="nil"/>
              <w:bottom w:val="single" w:sz="4" w:space="0" w:color="auto"/>
              <w:right w:val="nil"/>
            </w:tcBorders>
            <w:vAlign w:val="center"/>
            <w:hideMark/>
          </w:tcPr>
          <w:p w14:paraId="5AD10CF2" w14:textId="77777777" w:rsidR="00314F3B" w:rsidRPr="00321080" w:rsidRDefault="00314F3B" w:rsidP="008E0B65">
            <w:pPr>
              <w:spacing w:line="276" w:lineRule="auto"/>
              <w:jc w:val="center"/>
              <w:rPr>
                <w:sz w:val="20"/>
                <w:szCs w:val="20"/>
              </w:rPr>
            </w:pPr>
            <w:r w:rsidRPr="00321080">
              <w:rPr>
                <w:sz w:val="20"/>
                <w:szCs w:val="20"/>
              </w:rPr>
              <w:t>-0.34 (0.24)</w:t>
            </w:r>
          </w:p>
        </w:tc>
        <w:tc>
          <w:tcPr>
            <w:tcW w:w="617" w:type="dxa"/>
            <w:tcBorders>
              <w:top w:val="nil"/>
              <w:left w:val="nil"/>
              <w:bottom w:val="single" w:sz="4" w:space="0" w:color="auto"/>
              <w:right w:val="nil"/>
            </w:tcBorders>
            <w:vAlign w:val="center"/>
            <w:hideMark/>
          </w:tcPr>
          <w:p w14:paraId="20EA7ABB" w14:textId="77777777" w:rsidR="00314F3B" w:rsidRPr="00321080" w:rsidRDefault="00314F3B" w:rsidP="008E0B65">
            <w:pPr>
              <w:spacing w:line="276" w:lineRule="auto"/>
              <w:jc w:val="center"/>
              <w:rPr>
                <w:sz w:val="20"/>
                <w:szCs w:val="20"/>
              </w:rPr>
            </w:pPr>
            <w:r w:rsidRPr="00321080">
              <w:rPr>
                <w:sz w:val="20"/>
                <w:szCs w:val="20"/>
              </w:rPr>
              <w:t>0.14</w:t>
            </w:r>
          </w:p>
        </w:tc>
        <w:tc>
          <w:tcPr>
            <w:tcW w:w="1143" w:type="dxa"/>
            <w:gridSpan w:val="2"/>
            <w:tcBorders>
              <w:top w:val="nil"/>
              <w:left w:val="nil"/>
              <w:bottom w:val="single" w:sz="4" w:space="0" w:color="auto"/>
              <w:right w:val="nil"/>
            </w:tcBorders>
            <w:vAlign w:val="center"/>
            <w:hideMark/>
          </w:tcPr>
          <w:p w14:paraId="5E73111A" w14:textId="77777777" w:rsidR="00314F3B" w:rsidRPr="00321080" w:rsidRDefault="00314F3B" w:rsidP="008E0B65">
            <w:pPr>
              <w:spacing w:line="276" w:lineRule="auto"/>
              <w:jc w:val="center"/>
              <w:rPr>
                <w:b/>
                <w:sz w:val="20"/>
                <w:szCs w:val="20"/>
              </w:rPr>
            </w:pPr>
            <w:r w:rsidRPr="00321080">
              <w:rPr>
                <w:b/>
                <w:sz w:val="20"/>
                <w:szCs w:val="20"/>
              </w:rPr>
              <w:t>-0.43 (0.19)</w:t>
            </w:r>
          </w:p>
        </w:tc>
        <w:tc>
          <w:tcPr>
            <w:tcW w:w="515" w:type="dxa"/>
            <w:tcBorders>
              <w:top w:val="nil"/>
              <w:left w:val="nil"/>
              <w:bottom w:val="single" w:sz="4" w:space="0" w:color="auto"/>
              <w:right w:val="nil"/>
            </w:tcBorders>
            <w:vAlign w:val="center"/>
            <w:hideMark/>
          </w:tcPr>
          <w:p w14:paraId="7F6402FC" w14:textId="77777777" w:rsidR="00314F3B" w:rsidRPr="00321080" w:rsidRDefault="00314F3B" w:rsidP="008E0B65">
            <w:pPr>
              <w:spacing w:line="276" w:lineRule="auto"/>
              <w:jc w:val="center"/>
              <w:rPr>
                <w:b/>
                <w:sz w:val="20"/>
                <w:szCs w:val="20"/>
              </w:rPr>
            </w:pPr>
            <w:r w:rsidRPr="00321080">
              <w:rPr>
                <w:b/>
                <w:sz w:val="20"/>
                <w:szCs w:val="20"/>
              </w:rPr>
              <w:t>0.02</w:t>
            </w:r>
          </w:p>
        </w:tc>
      </w:tr>
    </w:tbl>
    <w:p w14:paraId="5D894C22" w14:textId="77777777" w:rsidR="00314F3B" w:rsidRPr="00321080" w:rsidRDefault="00314F3B" w:rsidP="00314F3B">
      <w:pPr>
        <w:rPr>
          <w:rFonts w:eastAsia="Calibri"/>
          <w:sz w:val="20"/>
          <w:szCs w:val="20"/>
        </w:rPr>
      </w:pPr>
      <w:r w:rsidRPr="00321080">
        <w:rPr>
          <w:rFonts w:eastAsia="Calibri"/>
          <w:i/>
          <w:sz w:val="20"/>
          <w:szCs w:val="20"/>
        </w:rPr>
        <w:t xml:space="preserve">                             Predictor</w:t>
      </w:r>
      <w:r w:rsidRPr="00321080">
        <w:rPr>
          <w:rFonts w:eastAsia="Calibri"/>
          <w:sz w:val="20"/>
          <w:szCs w:val="20"/>
        </w:rPr>
        <w:t>: Alpha diversity (Shannon index)</w:t>
      </w:r>
      <w:r w:rsidRPr="00321080">
        <w:rPr>
          <w:rFonts w:eastAsia="Calibri"/>
          <w:i/>
          <w:sz w:val="20"/>
          <w:szCs w:val="20"/>
        </w:rPr>
        <w:t>; Mediator</w:t>
      </w:r>
      <w:r w:rsidRPr="00321080">
        <w:rPr>
          <w:rFonts w:eastAsia="Calibri"/>
          <w:sz w:val="20"/>
          <w:szCs w:val="20"/>
        </w:rPr>
        <w:t xml:space="preserve">: Faecal PEA; </w:t>
      </w:r>
      <w:r w:rsidRPr="00321080">
        <w:rPr>
          <w:rFonts w:eastAsia="Calibri"/>
          <w:i/>
          <w:sz w:val="20"/>
          <w:szCs w:val="20"/>
        </w:rPr>
        <w:t>Outcome</w:t>
      </w:r>
      <w:r w:rsidRPr="00321080">
        <w:rPr>
          <w:rFonts w:eastAsia="Calibri"/>
          <w:sz w:val="20"/>
          <w:szCs w:val="20"/>
        </w:rPr>
        <w:t>: Anhedonia/amotivation;</w:t>
      </w:r>
    </w:p>
    <w:p w14:paraId="773AAE55" w14:textId="77777777" w:rsidR="00314F3B" w:rsidRPr="00321080" w:rsidRDefault="00314F3B" w:rsidP="00314F3B">
      <w:pPr>
        <w:rPr>
          <w:lang w:eastAsia="en-GB"/>
        </w:rPr>
      </w:pPr>
      <w:r w:rsidRPr="00321080">
        <w:rPr>
          <w:rFonts w:eastAsia="Calibri"/>
          <w:sz w:val="20"/>
          <w:szCs w:val="20"/>
        </w:rPr>
        <w:t xml:space="preserve">Note: PEA values were log-transformed and scaled to a mean of 0 and standard deviation of 1 </w:t>
      </w:r>
    </w:p>
    <w:p w14:paraId="213EE7FE" w14:textId="77777777" w:rsidR="00314F3B" w:rsidRPr="00321080" w:rsidRDefault="00314F3B" w:rsidP="00314F3B">
      <w:pPr>
        <w:rPr>
          <w:rFonts w:eastAsia="Calibri"/>
          <w:sz w:val="20"/>
          <w:szCs w:val="20"/>
        </w:rPr>
      </w:pPr>
      <w:r w:rsidRPr="00321080">
        <w:rPr>
          <w:rFonts w:eastAsia="Calibri"/>
          <w:b/>
          <w:sz w:val="20"/>
          <w:szCs w:val="20"/>
          <w:vertAlign w:val="superscript"/>
        </w:rPr>
        <w:t>a</w:t>
      </w:r>
      <w:r w:rsidRPr="00321080">
        <w:rPr>
          <w:rFonts w:eastAsia="Calibri"/>
          <w:b/>
          <w:sz w:val="20"/>
          <w:szCs w:val="20"/>
        </w:rPr>
        <w:t>Model A</w:t>
      </w:r>
      <w:r w:rsidRPr="00321080">
        <w:rPr>
          <w:rFonts w:eastAsia="Calibri"/>
          <w:sz w:val="20"/>
          <w:szCs w:val="20"/>
        </w:rPr>
        <w:t>: Adjusted for technical confounders: storage time (freezer) – PEA; storage time (fridge) – PEA; microbiome operator; microbiome collection method (post or visit) AND for basic demographics (age, gender, ethnicity)</w:t>
      </w:r>
    </w:p>
    <w:p w14:paraId="0556D185" w14:textId="77777777" w:rsidR="00314F3B" w:rsidRPr="00321080" w:rsidRDefault="00314F3B" w:rsidP="00314F3B">
      <w:pPr>
        <w:rPr>
          <w:rFonts w:eastAsia="Calibri"/>
          <w:sz w:val="20"/>
          <w:szCs w:val="20"/>
        </w:rPr>
      </w:pPr>
      <w:r w:rsidRPr="00321080">
        <w:rPr>
          <w:rFonts w:eastAsia="Calibri"/>
          <w:b/>
          <w:sz w:val="20"/>
          <w:szCs w:val="20"/>
          <w:vertAlign w:val="superscript"/>
        </w:rPr>
        <w:t>b</w:t>
      </w:r>
      <w:r w:rsidRPr="00321080">
        <w:rPr>
          <w:rFonts w:eastAsia="Calibri"/>
          <w:b/>
          <w:sz w:val="20"/>
          <w:szCs w:val="20"/>
        </w:rPr>
        <w:t>Model B</w:t>
      </w:r>
      <w:r w:rsidRPr="00321080">
        <w:rPr>
          <w:rFonts w:eastAsia="Calibri"/>
          <w:sz w:val="20"/>
          <w:szCs w:val="20"/>
        </w:rPr>
        <w:t>: Model A + obesity, unhealthy diet, antidepressants</w:t>
      </w:r>
    </w:p>
    <w:p w14:paraId="543B3E76" w14:textId="77777777" w:rsidR="00314F3B" w:rsidRPr="00321080" w:rsidRDefault="00314F3B"/>
    <w:p w14:paraId="322BF48A" w14:textId="3B8DE897" w:rsidR="009448AA" w:rsidRDefault="00314F3B">
      <w:r w:rsidRPr="00321080">
        <w:t>When the model was fully adjusted, (Model B),  the total effect was no longer significant in the complete case analysis. However, the total effect was significant in the imputed dataset, suggesting that the lack of significance in the complete case analysis was due to loss of power rather than to an effect of the covari</w:t>
      </w:r>
      <w:r>
        <w:t>ates on the included variables</w:t>
      </w:r>
    </w:p>
    <w:sectPr w:rsidR="009448AA" w:rsidSect="000B1DDE">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285BA" w14:textId="77777777" w:rsidR="00D463B6" w:rsidRDefault="00D463B6" w:rsidP="00F732F0">
      <w:r>
        <w:separator/>
      </w:r>
    </w:p>
  </w:endnote>
  <w:endnote w:type="continuationSeparator" w:id="0">
    <w:p w14:paraId="6C8413B6" w14:textId="77777777" w:rsidR="00D463B6" w:rsidRDefault="00D463B6" w:rsidP="00F7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8990752"/>
      <w:docPartObj>
        <w:docPartGallery w:val="Page Numbers (Bottom of Page)"/>
        <w:docPartUnique/>
      </w:docPartObj>
    </w:sdtPr>
    <w:sdtEndPr>
      <w:rPr>
        <w:rStyle w:val="PageNumber"/>
      </w:rPr>
    </w:sdtEndPr>
    <w:sdtContent>
      <w:p w14:paraId="12188EC6" w14:textId="77777777" w:rsidR="00F732F0" w:rsidRDefault="00F732F0" w:rsidP="003643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9EF2F" w14:textId="77777777" w:rsidR="00F732F0" w:rsidRDefault="00F732F0" w:rsidP="00F732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3603914"/>
      <w:docPartObj>
        <w:docPartGallery w:val="Page Numbers (Bottom of Page)"/>
        <w:docPartUnique/>
      </w:docPartObj>
    </w:sdtPr>
    <w:sdtEndPr>
      <w:rPr>
        <w:rStyle w:val="PageNumber"/>
      </w:rPr>
    </w:sdtEndPr>
    <w:sdtContent>
      <w:p w14:paraId="7BB7AE9A" w14:textId="77777777" w:rsidR="00F732F0" w:rsidRDefault="00F732F0" w:rsidP="003643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B245CD" w14:textId="77777777" w:rsidR="00F732F0" w:rsidRDefault="00F732F0" w:rsidP="00F732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A8B6D" w14:textId="77777777" w:rsidR="00D463B6" w:rsidRDefault="00D463B6" w:rsidP="00F732F0">
      <w:r>
        <w:separator/>
      </w:r>
    </w:p>
  </w:footnote>
  <w:footnote w:type="continuationSeparator" w:id="0">
    <w:p w14:paraId="6C452226" w14:textId="77777777" w:rsidR="00D463B6" w:rsidRDefault="00D463B6" w:rsidP="00F73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DE"/>
    <w:rsid w:val="000B1DDE"/>
    <w:rsid w:val="0015217B"/>
    <w:rsid w:val="00314F3B"/>
    <w:rsid w:val="00321080"/>
    <w:rsid w:val="00551929"/>
    <w:rsid w:val="006C00C5"/>
    <w:rsid w:val="00766DEF"/>
    <w:rsid w:val="00861827"/>
    <w:rsid w:val="00906E6B"/>
    <w:rsid w:val="009448AA"/>
    <w:rsid w:val="009D159C"/>
    <w:rsid w:val="00A01D6C"/>
    <w:rsid w:val="00AA4BC3"/>
    <w:rsid w:val="00AC4F69"/>
    <w:rsid w:val="00C514D5"/>
    <w:rsid w:val="00CA1166"/>
    <w:rsid w:val="00D00052"/>
    <w:rsid w:val="00D13598"/>
    <w:rsid w:val="00D463B6"/>
    <w:rsid w:val="00D46FA0"/>
    <w:rsid w:val="00DB0030"/>
    <w:rsid w:val="00E37F1D"/>
    <w:rsid w:val="00E4076F"/>
    <w:rsid w:val="00E56BCA"/>
    <w:rsid w:val="00E66909"/>
    <w:rsid w:val="00F732F0"/>
    <w:rsid w:val="00F85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A686"/>
  <w15:chartTrackingRefBased/>
  <w15:docId w15:val="{9D4AC61C-584B-8348-A6D2-CFEBE53B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DDE"/>
    <w:rPr>
      <w:rFonts w:ascii="Times New Roman" w:eastAsia="Times New Roman" w:hAnsi="Times New Roman" w:cs="Times New Roman"/>
    </w:rPr>
  </w:style>
  <w:style w:type="paragraph" w:styleId="Heading1">
    <w:name w:val="heading 1"/>
    <w:basedOn w:val="Normal"/>
    <w:next w:val="Normal"/>
    <w:link w:val="Heading1Char"/>
    <w:uiPriority w:val="9"/>
    <w:qFormat/>
    <w:rsid w:val="000B1DD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1DD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C00C5"/>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6C00C5"/>
    <w:pPr>
      <w:spacing w:before="120"/>
    </w:pPr>
    <w:rPr>
      <w:rFonts w:asciiTheme="minorHAnsi" w:hAnsiTheme="minorHAnsi"/>
      <w:b/>
      <w:bCs/>
      <w:i/>
      <w:iCs/>
    </w:rPr>
  </w:style>
  <w:style w:type="character" w:styleId="Hyperlink">
    <w:name w:val="Hyperlink"/>
    <w:basedOn w:val="DefaultParagraphFont"/>
    <w:uiPriority w:val="99"/>
    <w:unhideWhenUsed/>
    <w:rsid w:val="006C00C5"/>
    <w:rPr>
      <w:color w:val="0563C1" w:themeColor="hyperlink"/>
      <w:u w:val="single"/>
    </w:rPr>
  </w:style>
  <w:style w:type="paragraph" w:styleId="TOC2">
    <w:name w:val="toc 2"/>
    <w:basedOn w:val="Normal"/>
    <w:next w:val="Normal"/>
    <w:autoRedefine/>
    <w:uiPriority w:val="39"/>
    <w:semiHidden/>
    <w:unhideWhenUsed/>
    <w:rsid w:val="006C00C5"/>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6C00C5"/>
    <w:pPr>
      <w:ind w:left="480"/>
    </w:pPr>
    <w:rPr>
      <w:rFonts w:asciiTheme="minorHAnsi" w:hAnsiTheme="minorHAnsi"/>
      <w:sz w:val="20"/>
      <w:szCs w:val="20"/>
    </w:rPr>
  </w:style>
  <w:style w:type="paragraph" w:styleId="TOC4">
    <w:name w:val="toc 4"/>
    <w:basedOn w:val="Normal"/>
    <w:next w:val="Normal"/>
    <w:autoRedefine/>
    <w:uiPriority w:val="39"/>
    <w:semiHidden/>
    <w:unhideWhenUsed/>
    <w:rsid w:val="006C00C5"/>
    <w:pPr>
      <w:ind w:left="720"/>
    </w:pPr>
    <w:rPr>
      <w:rFonts w:asciiTheme="minorHAnsi" w:hAnsiTheme="minorHAnsi"/>
      <w:sz w:val="20"/>
      <w:szCs w:val="20"/>
    </w:rPr>
  </w:style>
  <w:style w:type="paragraph" w:styleId="TOC5">
    <w:name w:val="toc 5"/>
    <w:basedOn w:val="Normal"/>
    <w:next w:val="Normal"/>
    <w:autoRedefine/>
    <w:uiPriority w:val="39"/>
    <w:semiHidden/>
    <w:unhideWhenUsed/>
    <w:rsid w:val="006C00C5"/>
    <w:pPr>
      <w:ind w:left="960"/>
    </w:pPr>
    <w:rPr>
      <w:rFonts w:asciiTheme="minorHAnsi" w:hAnsiTheme="minorHAnsi"/>
      <w:sz w:val="20"/>
      <w:szCs w:val="20"/>
    </w:rPr>
  </w:style>
  <w:style w:type="paragraph" w:styleId="TOC6">
    <w:name w:val="toc 6"/>
    <w:basedOn w:val="Normal"/>
    <w:next w:val="Normal"/>
    <w:autoRedefine/>
    <w:uiPriority w:val="39"/>
    <w:semiHidden/>
    <w:unhideWhenUsed/>
    <w:rsid w:val="006C00C5"/>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6C00C5"/>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6C00C5"/>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6C00C5"/>
    <w:pPr>
      <w:ind w:left="1920"/>
    </w:pPr>
    <w:rPr>
      <w:rFonts w:asciiTheme="minorHAnsi" w:hAnsiTheme="minorHAnsi"/>
      <w:sz w:val="20"/>
      <w:szCs w:val="20"/>
    </w:rPr>
  </w:style>
  <w:style w:type="paragraph" w:styleId="Footer">
    <w:name w:val="footer"/>
    <w:basedOn w:val="Normal"/>
    <w:link w:val="FooterChar"/>
    <w:uiPriority w:val="99"/>
    <w:unhideWhenUsed/>
    <w:rsid w:val="00F732F0"/>
    <w:pPr>
      <w:tabs>
        <w:tab w:val="center" w:pos="4680"/>
        <w:tab w:val="right" w:pos="9360"/>
      </w:tabs>
    </w:pPr>
  </w:style>
  <w:style w:type="character" w:customStyle="1" w:styleId="FooterChar">
    <w:name w:val="Footer Char"/>
    <w:basedOn w:val="DefaultParagraphFont"/>
    <w:link w:val="Footer"/>
    <w:uiPriority w:val="99"/>
    <w:rsid w:val="00F732F0"/>
    <w:rPr>
      <w:rFonts w:ascii="Times New Roman" w:eastAsia="Times New Roman" w:hAnsi="Times New Roman" w:cs="Times New Roman"/>
    </w:rPr>
  </w:style>
  <w:style w:type="character" w:styleId="PageNumber">
    <w:name w:val="page number"/>
    <w:basedOn w:val="DefaultParagraphFont"/>
    <w:uiPriority w:val="99"/>
    <w:semiHidden/>
    <w:unhideWhenUsed/>
    <w:rsid w:val="00F732F0"/>
  </w:style>
  <w:style w:type="table" w:customStyle="1" w:styleId="1">
    <w:name w:val="网格型1"/>
    <w:basedOn w:val="TableNormal"/>
    <w:uiPriority w:val="39"/>
    <w:rsid w:val="00314F3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672444">
      <w:bodyDiv w:val="1"/>
      <w:marLeft w:val="0"/>
      <w:marRight w:val="0"/>
      <w:marTop w:val="0"/>
      <w:marBottom w:val="0"/>
      <w:divBdr>
        <w:top w:val="none" w:sz="0" w:space="0" w:color="auto"/>
        <w:left w:val="none" w:sz="0" w:space="0" w:color="auto"/>
        <w:bottom w:val="none" w:sz="0" w:space="0" w:color="auto"/>
        <w:right w:val="none" w:sz="0" w:space="0" w:color="auto"/>
      </w:divBdr>
    </w:div>
    <w:div w:id="178712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86145-B7B7-FD42-8A34-E4CA3B8F9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Amedeo Minichino</dc:creator>
  <cp:keywords/>
  <dc:description/>
  <cp:lastModifiedBy>Amedeo Minichino</cp:lastModifiedBy>
  <cp:revision>12</cp:revision>
  <dcterms:created xsi:type="dcterms:W3CDTF">2020-09-09T17:11:00Z</dcterms:created>
  <dcterms:modified xsi:type="dcterms:W3CDTF">2021-04-15T13:48:00Z</dcterms:modified>
</cp:coreProperties>
</file>