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AA408" w14:textId="709E7CB2" w:rsidR="0001568F" w:rsidRDefault="0001568F" w:rsidP="0094548D">
      <w:pPr>
        <w:spacing w:line="276" w:lineRule="auto"/>
        <w:jc w:val="center"/>
        <w:rPr>
          <w:rFonts w:ascii="Times New Roman" w:eastAsia="MS Mincho" w:hAnsi="Times New Roman"/>
          <w:b/>
          <w:bCs/>
          <w:sz w:val="24"/>
          <w:szCs w:val="24"/>
          <w:lang w:eastAsia="zh-CN"/>
        </w:rPr>
      </w:pPr>
      <w:r>
        <w:rPr>
          <w:rFonts w:ascii="Times New Roman" w:eastAsia="MS Mincho" w:hAnsi="Times New Roman"/>
          <w:b/>
          <w:bCs/>
          <w:sz w:val="24"/>
          <w:szCs w:val="24"/>
          <w:lang w:eastAsia="zh-CN"/>
        </w:rPr>
        <w:t>Supplementary Material</w:t>
      </w:r>
    </w:p>
    <w:p w14:paraId="0FBB9A76" w14:textId="42CE8971" w:rsidR="00144981" w:rsidRDefault="00144981" w:rsidP="0094548D">
      <w:pPr>
        <w:spacing w:line="276" w:lineRule="auto"/>
        <w:rPr>
          <w:rFonts w:ascii="Times New Roman" w:eastAsia="MS Mincho" w:hAnsi="Times New Roman"/>
          <w:b/>
          <w:bCs/>
          <w:sz w:val="24"/>
          <w:szCs w:val="24"/>
          <w:lang w:eastAsia="zh-CN"/>
        </w:rPr>
      </w:pPr>
      <w:r w:rsidRPr="00144981">
        <w:rPr>
          <w:rFonts w:ascii="Times New Roman" w:eastAsia="MS Mincho" w:hAnsi="Times New Roman"/>
          <w:b/>
          <w:bCs/>
          <w:sz w:val="24"/>
          <w:szCs w:val="24"/>
          <w:lang w:eastAsia="zh-CN"/>
        </w:rPr>
        <w:t>Methods</w:t>
      </w:r>
    </w:p>
    <w:p w14:paraId="6E18FE64" w14:textId="4F3C5FE6" w:rsidR="00E261B1" w:rsidRDefault="00E261B1" w:rsidP="0094548D">
      <w:pPr>
        <w:spacing w:line="276" w:lineRule="auto"/>
        <w:rPr>
          <w:rFonts w:ascii="Times New Roman" w:hAnsi="Times New Roman"/>
          <w:i/>
          <w:sz w:val="24"/>
          <w:szCs w:val="24"/>
        </w:rPr>
      </w:pPr>
      <w:r>
        <w:rPr>
          <w:rFonts w:ascii="Times New Roman" w:hAnsi="Times New Roman"/>
          <w:i/>
          <w:sz w:val="24"/>
          <w:szCs w:val="24"/>
        </w:rPr>
        <w:t>Participants</w:t>
      </w:r>
    </w:p>
    <w:p w14:paraId="4FE434AB" w14:textId="6CBDA878" w:rsidR="00E261B1" w:rsidRPr="00E261B1" w:rsidRDefault="00E261B1" w:rsidP="0094548D">
      <w:pPr>
        <w:spacing w:line="276" w:lineRule="auto"/>
        <w:ind w:firstLine="720"/>
        <w:rPr>
          <w:rFonts w:ascii="Times New Roman" w:hAnsi="Times New Roman"/>
          <w:bCs/>
          <w:sz w:val="24"/>
          <w:szCs w:val="24"/>
        </w:rPr>
      </w:pPr>
      <w:r w:rsidRPr="008578D7">
        <w:rPr>
          <w:rFonts w:ascii="Times New Roman" w:eastAsia="Times New Roman" w:hAnsi="Times New Roman"/>
          <w:sz w:val="24"/>
          <w:szCs w:val="24"/>
        </w:rPr>
        <w:t>The participants included provided written informed consent at Wash</w:t>
      </w:r>
      <w:r>
        <w:rPr>
          <w:rFonts w:ascii="Times New Roman" w:eastAsia="Times New Roman" w:hAnsi="Times New Roman"/>
          <w:sz w:val="24"/>
          <w:szCs w:val="24"/>
        </w:rPr>
        <w:t>ington University in St. Louis after receiving a complete description of procedures</w:t>
      </w:r>
      <w:r w:rsidRPr="008578D7">
        <w:rPr>
          <w:rFonts w:ascii="Times New Roman" w:eastAsia="Times New Roman" w:hAnsi="Times New Roman"/>
          <w:sz w:val="24"/>
          <w:szCs w:val="24"/>
        </w:rPr>
        <w:t xml:space="preserve">. </w:t>
      </w:r>
      <w:r>
        <w:rPr>
          <w:rFonts w:ascii="Times New Roman" w:hAnsi="Times New Roman"/>
          <w:sz w:val="24"/>
          <w:szCs w:val="24"/>
        </w:rPr>
        <w:t>We used all participants with complete imaging and behavioral data (</w:t>
      </w:r>
      <w:r w:rsidRPr="000F767F">
        <w:rPr>
          <w:rFonts w:ascii="Times New Roman" w:hAnsi="Times New Roman"/>
          <w:i/>
          <w:sz w:val="24"/>
          <w:szCs w:val="24"/>
        </w:rPr>
        <w:t>n</w:t>
      </w:r>
      <w:r>
        <w:rPr>
          <w:rFonts w:ascii="Times New Roman" w:hAnsi="Times New Roman"/>
          <w:sz w:val="24"/>
          <w:szCs w:val="24"/>
        </w:rPr>
        <w:t xml:space="preserve"> = 1003; aged 22-35) from the young adult HCP final release. From this population, we obtained data from 89 individuals meeting DSM-IV criteria for </w:t>
      </w:r>
      <w:r w:rsidR="0046232D">
        <w:rPr>
          <w:rFonts w:ascii="Times New Roman" w:hAnsi="Times New Roman"/>
          <w:sz w:val="24"/>
          <w:szCs w:val="24"/>
        </w:rPr>
        <w:t>cannabis dependence (CD)</w:t>
      </w:r>
      <w:r>
        <w:rPr>
          <w:rFonts w:ascii="Times New Roman" w:hAnsi="Times New Roman"/>
          <w:sz w:val="24"/>
          <w:szCs w:val="24"/>
        </w:rPr>
        <w:t xml:space="preserve"> and without comorbid alcohol dependence, based on an interview with a clinical research specialist. </w:t>
      </w:r>
      <w:r w:rsidRPr="00E261B1">
        <w:rPr>
          <w:rFonts w:ascii="Times New Roman" w:hAnsi="Times New Roman"/>
          <w:sz w:val="24"/>
          <w:szCs w:val="24"/>
        </w:rPr>
        <w:t xml:space="preserve">For inclusion as </w:t>
      </w:r>
      <w:r w:rsidR="0046232D">
        <w:rPr>
          <w:rFonts w:ascii="Times New Roman" w:hAnsi="Times New Roman"/>
          <w:sz w:val="24"/>
          <w:szCs w:val="24"/>
        </w:rPr>
        <w:t>CD</w:t>
      </w:r>
      <w:r w:rsidR="00071E67">
        <w:rPr>
          <w:rFonts w:ascii="Times New Roman" w:hAnsi="Times New Roman"/>
          <w:sz w:val="24"/>
          <w:szCs w:val="24"/>
        </w:rPr>
        <w:t>,</w:t>
      </w:r>
      <w:r w:rsidRPr="00E261B1">
        <w:rPr>
          <w:rFonts w:ascii="Times New Roman" w:hAnsi="Times New Roman"/>
          <w:sz w:val="24"/>
          <w:szCs w:val="24"/>
        </w:rPr>
        <w:t xml:space="preserve"> individuals had to meet at least three of the following criteria: (1) tolerance to cannabis; (2) using cannabis in larger amounts or over a longer period than intended; (3) inability to cut down or reduce cannabis use; (4) spending large amounts of time to obtain, use, or recover from the effects of cannabis; (5) giving up important social, occupational, or recreational activities in favor of using cannabis; (6) continued use of cannabis despite its adverse consequences.</w:t>
      </w:r>
    </w:p>
    <w:p w14:paraId="00C56528" w14:textId="516831DF" w:rsidR="00E261B1" w:rsidRDefault="00E261B1" w:rsidP="0094548D">
      <w:pPr>
        <w:spacing w:line="276" w:lineRule="auto"/>
        <w:ind w:firstLine="720"/>
        <w:rPr>
          <w:rFonts w:ascii="Times New Roman" w:hAnsi="Times New Roman"/>
          <w:sz w:val="24"/>
          <w:szCs w:val="24"/>
        </w:rPr>
      </w:pPr>
      <w:r w:rsidRPr="00DD0749">
        <w:rPr>
          <w:rFonts w:ascii="Times New Roman" w:hAnsi="Times New Roman"/>
          <w:sz w:val="24"/>
          <w:szCs w:val="24"/>
        </w:rPr>
        <w:t xml:space="preserve">Recent </w:t>
      </w:r>
      <w:r>
        <w:rPr>
          <w:rFonts w:ascii="Times New Roman" w:hAnsi="Times New Roman"/>
          <w:sz w:val="24"/>
          <w:szCs w:val="24"/>
        </w:rPr>
        <w:t>work has</w:t>
      </w:r>
      <w:r w:rsidRPr="00DD0749">
        <w:rPr>
          <w:rFonts w:ascii="Times New Roman" w:hAnsi="Times New Roman"/>
          <w:sz w:val="24"/>
          <w:szCs w:val="24"/>
        </w:rPr>
        <w:t xml:space="preserve"> indicated that it is critical in studies of </w:t>
      </w:r>
      <w:r w:rsidR="006536FF">
        <w:rPr>
          <w:rFonts w:ascii="Times New Roman" w:hAnsi="Times New Roman"/>
          <w:sz w:val="24"/>
          <w:szCs w:val="24"/>
        </w:rPr>
        <w:t>CD</w:t>
      </w:r>
      <w:r w:rsidRPr="00DD0749">
        <w:rPr>
          <w:rFonts w:ascii="Times New Roman" w:hAnsi="Times New Roman"/>
          <w:sz w:val="24"/>
          <w:szCs w:val="24"/>
        </w:rPr>
        <w:t xml:space="preserve"> to select a well-matched control group</w:t>
      </w:r>
      <w:r w:rsidRPr="00DD0749">
        <w:rPr>
          <w:rFonts w:ascii="Times New Roman" w:hAnsi="Times New Roman"/>
          <w:sz w:val="24"/>
          <w:szCs w:val="24"/>
        </w:rPr>
        <w:fldChar w:fldCharType="begin" w:fldLock="1"/>
      </w:r>
      <w:r w:rsidR="006E18A3">
        <w:rPr>
          <w:rFonts w:ascii="Times New Roman" w:hAnsi="Times New Roman"/>
          <w:sz w:val="24"/>
          <w:szCs w:val="24"/>
        </w:rPr>
        <w:instrText>ADDIN CSL_CITATION {"citationItems":[{"id":"ITEM-1","itemData":{"DOI":"10.1523/JNEUROSCI.2946-14.2015","ISBN":"0270-6474","ISSN":"1529-2401","PMID":"25632127","abstract":"Recent research has suggested that marijuana use is associated with volumetric and shape differences in subcortical structures, including the nucleus accumbens and amygdala, in a dose-dependent fashion. Replication of such results in well controlled studies is essential to clarify the effects of marijuana. To that end, this retrospective study examined brain morphology in a sample of adult daily marijuana users (n = 29) versus nonusers (n = 29) and a sample of adolescent daily users (n = 50) versus nonusers (n = 50). Groups were matched on a critical confounding variable, alcohol use, to a far greater degree than in previously published studies. We acquired high-resolution MRI scans, and investigated group differences in gray matter using voxel-based morphometry, surface-based morphometry, and shape analysis in structures suggested to be associated with marijuana use, as follows: the nucleus accumbens, amygdala, hippocampus, and cerebellum. No statistically significant differences were found between daily users and nonusers on volume or shape in the regions of interest. Effect sizes suggest that the failure to find differences was not due to a lack of statistical power, but rather was due to the lack of even a modest effect. In sum, the results indicate that, when carefully controlling for alcohol use, gender, age, and other variables, there is no association between marijuana use and standard volumetric or shape measurements of subcortical structures. ","author":[{"dropping-particle":"","family":"Weiland","given":"Barbara J.","non-dropping-particle":"","parse-names":false,"suffix":""},{"dropping-particle":"","family":"Thayer","given":"Rachel E","non-dropping-particle":"","parse-names":false,"suffix":""},{"dropping-particle":"","family":"Depue","given":"Brendan E","non-dropping-particle":"","parse-names":false,"suffix":""},{"dropping-particle":"","family":"Sabbineni","given":"Amithrupa","non-dropping-particle":"","parse-names":false,"suffix":""},{"dropping-particle":"","family":"Bryan","given":"Angela D","non-dropping-particle":"","parse-names":false,"suffix":""},{"dropping-particle":"","family":"Hutchison","given":"Kent E","non-dropping-particle":"","parse-names":false,"suffix":""}],"container-title":"The Journal of Neuroscience ","id":"ITEM-1","issue":"4 ","issued":{"date-parts":[["2015"]]},"page":"1505-1512","title":"Daily Marijuana Use Is Not Associated with Brain Morphometric Measures in Adolescents or Adults","type":"article-journal","volume":"35 "},"uris":["http://www.mendeley.com/documents/?uuid=8eb7e302-0a19-48c1-b167-db39098e9eb2"]}],"mendeley":{"formattedCitation":"&lt;sup&gt;1&lt;/sup&gt;","plainTextFormattedCitation":"1","previouslyFormattedCitation":"&lt;sup&gt;1&lt;/sup&gt;"},"properties":{"noteIndex":0},"schema":"https://github.com/citation-style-language/schema/raw/master/csl-citation.json"}</w:instrText>
      </w:r>
      <w:r w:rsidRPr="00DD0749">
        <w:rPr>
          <w:rFonts w:ascii="Times New Roman" w:hAnsi="Times New Roman"/>
          <w:sz w:val="24"/>
          <w:szCs w:val="24"/>
        </w:rPr>
        <w:fldChar w:fldCharType="separate"/>
      </w:r>
      <w:r w:rsidR="00795144" w:rsidRPr="00795144">
        <w:rPr>
          <w:rFonts w:ascii="Times New Roman" w:hAnsi="Times New Roman"/>
          <w:noProof/>
          <w:sz w:val="24"/>
          <w:szCs w:val="24"/>
          <w:vertAlign w:val="superscript"/>
        </w:rPr>
        <w:t>1</w:t>
      </w:r>
      <w:r w:rsidRPr="00DD0749">
        <w:rPr>
          <w:rFonts w:ascii="Times New Roman" w:hAnsi="Times New Roman"/>
          <w:sz w:val="24"/>
          <w:szCs w:val="24"/>
        </w:rPr>
        <w:fldChar w:fldCharType="end"/>
      </w:r>
      <w:r w:rsidRPr="00DD0749">
        <w:rPr>
          <w:rFonts w:ascii="Times New Roman" w:hAnsi="Times New Roman"/>
          <w:sz w:val="24"/>
          <w:szCs w:val="24"/>
        </w:rPr>
        <w:t xml:space="preserve">. </w:t>
      </w:r>
      <w:r>
        <w:rPr>
          <w:rFonts w:ascii="Times New Roman" w:hAnsi="Times New Roman"/>
          <w:sz w:val="24"/>
          <w:szCs w:val="24"/>
        </w:rPr>
        <w:t>For this purpose</w:t>
      </w:r>
      <w:r w:rsidRPr="00DD0749">
        <w:rPr>
          <w:rFonts w:ascii="Times New Roman" w:hAnsi="Times New Roman"/>
          <w:sz w:val="24"/>
          <w:szCs w:val="24"/>
        </w:rPr>
        <w:t xml:space="preserve">, we </w:t>
      </w:r>
      <w:r>
        <w:rPr>
          <w:rFonts w:ascii="Times New Roman" w:hAnsi="Times New Roman"/>
          <w:sz w:val="24"/>
          <w:szCs w:val="24"/>
        </w:rPr>
        <w:t xml:space="preserve">identified </w:t>
      </w:r>
      <w:r w:rsidRPr="00DD0749">
        <w:rPr>
          <w:rFonts w:ascii="Times New Roman" w:hAnsi="Times New Roman"/>
          <w:sz w:val="24"/>
          <w:szCs w:val="24"/>
        </w:rPr>
        <w:t xml:space="preserve">a subset of </w:t>
      </w:r>
      <w:r>
        <w:rPr>
          <w:rFonts w:ascii="Times New Roman" w:hAnsi="Times New Roman"/>
          <w:sz w:val="24"/>
          <w:szCs w:val="24"/>
        </w:rPr>
        <w:t xml:space="preserve">participants (n = 562) with </w:t>
      </w:r>
      <w:r w:rsidRPr="00DD0749">
        <w:rPr>
          <w:rFonts w:ascii="Times New Roman" w:hAnsi="Times New Roman"/>
          <w:sz w:val="24"/>
          <w:szCs w:val="24"/>
        </w:rPr>
        <w:t>self-reported ≤ 10 lifetime uses of cannabis</w:t>
      </w:r>
      <w:r>
        <w:rPr>
          <w:rFonts w:ascii="Times New Roman" w:hAnsi="Times New Roman"/>
          <w:sz w:val="24"/>
          <w:szCs w:val="24"/>
        </w:rPr>
        <w:t>. Next we used t</w:t>
      </w:r>
      <w:r w:rsidRPr="00940431">
        <w:rPr>
          <w:rFonts w:ascii="Times New Roman" w:hAnsi="Times New Roman"/>
          <w:sz w:val="24"/>
          <w:szCs w:val="24"/>
        </w:rPr>
        <w:t xml:space="preserve">he </w:t>
      </w:r>
      <w:proofErr w:type="spellStart"/>
      <w:r w:rsidRPr="00940431">
        <w:rPr>
          <w:rFonts w:ascii="Times New Roman" w:hAnsi="Times New Roman"/>
          <w:sz w:val="24"/>
          <w:szCs w:val="24"/>
        </w:rPr>
        <w:t>matchControls</w:t>
      </w:r>
      <w:proofErr w:type="spellEnd"/>
      <w:r w:rsidRPr="00940431">
        <w:rPr>
          <w:rFonts w:ascii="Times New Roman" w:hAnsi="Times New Roman"/>
          <w:sz w:val="24"/>
          <w:szCs w:val="24"/>
        </w:rPr>
        <w:t xml:space="preserve"> function in R (library e1071)</w:t>
      </w:r>
      <w:r w:rsidRPr="00940431">
        <w:rPr>
          <w:rFonts w:ascii="Times New Roman" w:hAnsi="Times New Roman"/>
          <w:sz w:val="24"/>
          <w:szCs w:val="24"/>
        </w:rPr>
        <w:fldChar w:fldCharType="begin" w:fldLock="1"/>
      </w:r>
      <w:r w:rsidR="006E18A3">
        <w:rPr>
          <w:rFonts w:ascii="Times New Roman" w:hAnsi="Times New Roman"/>
          <w:sz w:val="24"/>
          <w:szCs w:val="24"/>
        </w:rPr>
        <w:instrText>ADDIN CSL_CITATION {"citationItems":[{"id":"ITEM-1","itemData":{"ISBN":"0471735787","abstract":"An introduction to the practical application of cluster analysis, Finding Groups in Data presents a selection of methods that together can deal with most applications. These methods are chosen for their robustness, consistency, and general applicability. The text discusses the main approaches to clustering and provides guidance in choosing between the available methods. It also discusses various types of data, including interval-scaled and binary variables as well as similarity data and explains how these can be transformed prior to clustering. With numerous exercises to aid learning, Finding Groups in Data provides an invaluable introduction to cluster analysis with an emphasis on methods that are both easy to use and modern.","author":[{"dropping-particle":"","family":"Kaufman","given":"Leonard","non-dropping-particle":"","parse-names":false,"suffix":""},{"dropping-particle":"","family":"Rousseeuw","given":"Peter J.","non-dropping-particle":"","parse-names":false,"suffix":""}],"container-title":"Wiley, New York","id":"ITEM-1","issued":{"date-parts":[["1990"]]},"title":"Finding Groups in Data: An Introduction to Cluster Analysis","type":"book"},"uris":["http://www.mendeley.com/documents/?uuid=ffe8c322-9afb-4b41-bce5-983179ff4d80","http://www.mendeley.com/documents/?uuid=88d44afa-0487-4b2b-b46c-a3af42b9c79c"]}],"mendeley":{"formattedCitation":"&lt;sup&gt;2&lt;/sup&gt;","plainTextFormattedCitation":"2","previouslyFormattedCitation":"&lt;sup&gt;2&lt;/sup&gt;"},"properties":{"noteIndex":0},"schema":"https://github.com/citation-style-language/schema/raw/master/csl-citation.json"}</w:instrText>
      </w:r>
      <w:r w:rsidRPr="00940431">
        <w:rPr>
          <w:rFonts w:ascii="Times New Roman" w:hAnsi="Times New Roman"/>
          <w:sz w:val="24"/>
          <w:szCs w:val="24"/>
        </w:rPr>
        <w:fldChar w:fldCharType="separate"/>
      </w:r>
      <w:r w:rsidR="00795144" w:rsidRPr="00795144">
        <w:rPr>
          <w:rFonts w:ascii="Times New Roman" w:hAnsi="Times New Roman"/>
          <w:noProof/>
          <w:sz w:val="24"/>
          <w:szCs w:val="24"/>
          <w:vertAlign w:val="superscript"/>
        </w:rPr>
        <w:t>2</w:t>
      </w:r>
      <w:r w:rsidRPr="00940431">
        <w:rPr>
          <w:rFonts w:ascii="Times New Roman" w:hAnsi="Times New Roman"/>
          <w:sz w:val="24"/>
          <w:szCs w:val="24"/>
        </w:rPr>
        <w:fldChar w:fldCharType="end"/>
      </w:r>
      <w:r>
        <w:rPr>
          <w:rFonts w:ascii="Times New Roman" w:hAnsi="Times New Roman"/>
          <w:sz w:val="24"/>
          <w:szCs w:val="24"/>
        </w:rPr>
        <w:t xml:space="preserve"> to identify a control group (n = 86) from these participants (n = 562) </w:t>
      </w:r>
      <w:r w:rsidRPr="00DD0749">
        <w:rPr>
          <w:rFonts w:ascii="Times New Roman" w:hAnsi="Times New Roman"/>
          <w:sz w:val="24"/>
          <w:szCs w:val="24"/>
        </w:rPr>
        <w:t xml:space="preserve">that was matched with the </w:t>
      </w:r>
      <w:r w:rsidR="0046232D">
        <w:rPr>
          <w:rFonts w:ascii="Times New Roman" w:hAnsi="Times New Roman"/>
          <w:sz w:val="24"/>
          <w:szCs w:val="24"/>
        </w:rPr>
        <w:t>CD</w:t>
      </w:r>
      <w:r w:rsidRPr="00DD0749">
        <w:rPr>
          <w:rFonts w:ascii="Times New Roman" w:hAnsi="Times New Roman"/>
          <w:sz w:val="24"/>
          <w:szCs w:val="24"/>
        </w:rPr>
        <w:t xml:space="preserve"> group on </w:t>
      </w:r>
      <w:r>
        <w:rPr>
          <w:rFonts w:ascii="Times New Roman" w:hAnsi="Times New Roman"/>
          <w:sz w:val="24"/>
          <w:szCs w:val="24"/>
        </w:rPr>
        <w:t xml:space="preserve">the following variables: </w:t>
      </w:r>
      <w:r w:rsidRPr="00DD0749">
        <w:rPr>
          <w:rFonts w:ascii="Times New Roman" w:hAnsi="Times New Roman"/>
          <w:sz w:val="24"/>
          <w:szCs w:val="24"/>
        </w:rPr>
        <w:t>age, sex, education, BMI, and alcohol and tobacco usage</w:t>
      </w:r>
      <w:r>
        <w:rPr>
          <w:rFonts w:ascii="Times New Roman" w:hAnsi="Times New Roman"/>
          <w:sz w:val="24"/>
          <w:szCs w:val="24"/>
        </w:rPr>
        <w:t>.</w:t>
      </w:r>
      <w:r w:rsidRPr="00DD0749">
        <w:rPr>
          <w:rFonts w:ascii="Times New Roman" w:hAnsi="Times New Roman"/>
          <w:sz w:val="24"/>
          <w:szCs w:val="24"/>
        </w:rPr>
        <w:t xml:space="preserve"> </w:t>
      </w:r>
      <w:r>
        <w:rPr>
          <w:rFonts w:ascii="Times New Roman" w:hAnsi="Times New Roman"/>
          <w:sz w:val="24"/>
          <w:szCs w:val="24"/>
        </w:rPr>
        <w:t>T</w:t>
      </w:r>
      <w:r w:rsidRPr="00DD0749">
        <w:rPr>
          <w:rFonts w:ascii="Times New Roman" w:hAnsi="Times New Roman"/>
          <w:sz w:val="24"/>
          <w:szCs w:val="24"/>
        </w:rPr>
        <w:t>obacco/alcohol usage composite</w:t>
      </w:r>
      <w:r>
        <w:rPr>
          <w:rFonts w:ascii="Times New Roman" w:hAnsi="Times New Roman"/>
          <w:sz w:val="24"/>
          <w:szCs w:val="24"/>
        </w:rPr>
        <w:t xml:space="preserve"> was </w:t>
      </w:r>
      <w:r w:rsidRPr="00DD0749">
        <w:rPr>
          <w:rFonts w:ascii="Times New Roman" w:hAnsi="Times New Roman"/>
          <w:sz w:val="24"/>
          <w:szCs w:val="24"/>
        </w:rPr>
        <w:t>calculated as</w:t>
      </w:r>
      <w:r>
        <w:rPr>
          <w:rFonts w:ascii="Times New Roman" w:hAnsi="Times New Roman"/>
          <w:sz w:val="24"/>
          <w:szCs w:val="24"/>
        </w:rPr>
        <w:t xml:space="preserve"> done</w:t>
      </w:r>
      <w:r w:rsidRPr="00DD0749">
        <w:rPr>
          <w:rFonts w:ascii="Times New Roman" w:hAnsi="Times New Roman"/>
          <w:sz w:val="24"/>
          <w:szCs w:val="24"/>
        </w:rPr>
        <w:t xml:space="preserve"> in recent studies using HCP data; see</w:t>
      </w:r>
      <w:r w:rsidRPr="00DD0749">
        <w:rPr>
          <w:rFonts w:ascii="Times New Roman" w:hAnsi="Times New Roman"/>
          <w:sz w:val="24"/>
          <w:szCs w:val="24"/>
        </w:rPr>
        <w:fldChar w:fldCharType="begin" w:fldLock="1"/>
      </w:r>
      <w:r w:rsidR="006E18A3">
        <w:rPr>
          <w:rFonts w:ascii="Times New Roman" w:hAnsi="Times New Roman"/>
          <w:sz w:val="24"/>
          <w:szCs w:val="24"/>
        </w:rPr>
        <w:instrText>ADDIN CSL_CITATION {"citationItems":[{"id":"ITEM-1","itemData":{"DOI":"10.1016/j.nicl.2016.06.006","ISBN":"4025594390","ISSN":"22131582","PMID":"24893311","abstract":"A recent shift in legal and social attitudes toward marijuana use has also spawned a surge of interest in understanding the effects of marijuana use on the brain. There is considerable evidence that an adolescent onset of marijuana use negatively impacts white matter coherence. On the other hand, a recent well-controlled study demonstrated no effects of marijuana use on the morphometry of subcortical or cortical structures when users and non-users were matched for alcohol use. Regardless, most studies have involved small, carefully selected samples, so the ability to generalize to larger populations is limited. In an attempt to address this issue, we examined the effects of marijuana use on white matter integrity and cortical and subcortical morphometry using data from the Human Connectome Project (HCP) consortium. The HCP data consists of ultra-high resolution neuroimaging data from a large community sample, including 466 adults reporting recreational marijuana use. Rather than just contrasting two groups of individuals who vary significantly in marijuana usage as typifies prior studies, we leveraged the large sample size provided by the HCP data to examine parametric effects of recreational marijuana use. Our results indicate that the earlier the age of onset of marijuana use, the lower was white matter coherence. Age of onset also also affected the shape of the accumbens, while the number of lifetime uses impacted the shape of the amygdala and hippocampus. Marijuana use had no effect on cortical volumes. These findings suggest subtle but significant effects of recreational marijuana use on brain structure.","author":[{"dropping-particle":"","family":"Orr","given":"Joseph M.","non-dropping-particle":"","parse-names":false,"suffix":""},{"dropping-particle":"","family":"Paschall","given":"Courtnie J.","non-dropping-particle":"","parse-names":false,"suffix":""},{"dropping-particle":"","family":"Banich","given":"Marie T.","non-dropping-particle":"","parse-names":false,"suffix":""}],"container-title":"NeuroImage: Clinical","id":"ITEM-1","issued":{"date-parts":[["2016"]]},"page":"47-56","publisher":"The Authors","title":"Recreational marijuana use impacts white matter integrity and subcortical (but not cortical) morphometry","type":"article-journal","volume":"12"},"uris":["http://www.mendeley.com/documents/?uuid=021bdb1b-2182-4d28-8fdb-617e680f3538"]},{"id":"ITEM-2","itemData":{"DOI":"10.1016/j.bpsc.2017.11.004","ISSN":"24519022","author":[{"dropping-particle":"","family":"Manza","given":"Peter","non-dropping-particle":"","parse-names":false,"suffix":""},{"dropping-particle":"","family":"Tomasi","given":"Dardo","non-dropping-particle":"","parse-names":false,"suffix":""},{"dropping-particle":"","family":"Volkow","given":"Nora D.","non-dropping-particle":"","parse-names":false,"suffix":""}],"container-title":"Biological Psychiatry: Cognitive Neuroscience and Neuroimaging","id":"ITEM-2","issue":"3","issued":{"date-parts":[["2018"]]},"page":"285-293","publisher":"Elsevier Inc","title":"Subcortical local functional hyperconnectivity in cannabis dependence","type":"article-journal","volume":"3"},"uris":["http://www.mendeley.com/documents/?uuid=c07ba57d-a12c-4da6-b37e-16d91138d4e7"]}],"mendeley":{"formattedCitation":"&lt;sup&gt;3,4&lt;/sup&gt;","plainTextFormattedCitation":"3,4","previouslyFormattedCitation":"&lt;sup&gt;3,4&lt;/sup&gt;"},"properties":{"noteIndex":0},"schema":"https://github.com/citation-style-language/schema/raw/master/csl-citation.json"}</w:instrText>
      </w:r>
      <w:r w:rsidRPr="00DD0749">
        <w:rPr>
          <w:rFonts w:ascii="Times New Roman" w:hAnsi="Times New Roman"/>
          <w:sz w:val="24"/>
          <w:szCs w:val="24"/>
        </w:rPr>
        <w:fldChar w:fldCharType="separate"/>
      </w:r>
      <w:r w:rsidR="00795144" w:rsidRPr="00795144">
        <w:rPr>
          <w:rFonts w:ascii="Times New Roman" w:hAnsi="Times New Roman"/>
          <w:noProof/>
          <w:sz w:val="24"/>
          <w:szCs w:val="24"/>
          <w:vertAlign w:val="superscript"/>
        </w:rPr>
        <w:t>3,4</w:t>
      </w:r>
      <w:r w:rsidRPr="00DD0749">
        <w:rPr>
          <w:rFonts w:ascii="Times New Roman" w:hAnsi="Times New Roman"/>
          <w:sz w:val="24"/>
          <w:szCs w:val="24"/>
        </w:rPr>
        <w:fldChar w:fldCharType="end"/>
      </w:r>
      <w:r w:rsidRPr="00DD0749">
        <w:rPr>
          <w:rFonts w:ascii="Times New Roman" w:hAnsi="Times New Roman"/>
          <w:sz w:val="24"/>
          <w:szCs w:val="24"/>
        </w:rPr>
        <w:t>.</w:t>
      </w:r>
      <w:r w:rsidRPr="00940431">
        <w:rPr>
          <w:rFonts w:ascii="Times New Roman" w:hAnsi="Times New Roman"/>
          <w:sz w:val="24"/>
          <w:szCs w:val="24"/>
        </w:rPr>
        <w:t xml:space="preserve"> </w:t>
      </w:r>
      <w:r>
        <w:rPr>
          <w:rFonts w:ascii="Times New Roman" w:hAnsi="Times New Roman"/>
          <w:sz w:val="24"/>
          <w:szCs w:val="24"/>
        </w:rPr>
        <w:t xml:space="preserve">All indicated variables were matched between the two groups </w:t>
      </w:r>
      <w:r w:rsidRPr="00940431">
        <w:rPr>
          <w:rFonts w:ascii="Times New Roman" w:hAnsi="Times New Roman"/>
          <w:sz w:val="24"/>
          <w:szCs w:val="24"/>
        </w:rPr>
        <w:t>(</w:t>
      </w:r>
      <w:r w:rsidRPr="00940431">
        <w:rPr>
          <w:rFonts w:ascii="Times New Roman" w:hAnsi="Times New Roman"/>
          <w:i/>
          <w:sz w:val="24"/>
          <w:szCs w:val="24"/>
        </w:rPr>
        <w:t>p</w:t>
      </w:r>
      <w:r w:rsidRPr="00940431">
        <w:rPr>
          <w:rFonts w:ascii="Times New Roman" w:hAnsi="Times New Roman"/>
          <w:sz w:val="24"/>
          <w:szCs w:val="24"/>
        </w:rPr>
        <w:t>’s &gt; .30)</w:t>
      </w:r>
      <w:r w:rsidRPr="00940431">
        <w:rPr>
          <w:rFonts w:ascii="Times New Roman" w:hAnsi="Times New Roman"/>
          <w:b/>
          <w:sz w:val="24"/>
          <w:szCs w:val="24"/>
        </w:rPr>
        <w:t xml:space="preserve"> </w:t>
      </w:r>
      <w:r w:rsidRPr="00940431">
        <w:rPr>
          <w:rFonts w:ascii="Times New Roman" w:hAnsi="Times New Roman"/>
          <w:sz w:val="24"/>
          <w:szCs w:val="24"/>
        </w:rPr>
        <w:t>except tobacco usage, which was lower than</w:t>
      </w:r>
      <w:r>
        <w:rPr>
          <w:rFonts w:ascii="Times New Roman" w:hAnsi="Times New Roman"/>
          <w:sz w:val="24"/>
          <w:szCs w:val="24"/>
        </w:rPr>
        <w:t xml:space="preserve"> in</w:t>
      </w:r>
      <w:r w:rsidRPr="00940431">
        <w:rPr>
          <w:rFonts w:ascii="Times New Roman" w:hAnsi="Times New Roman"/>
          <w:sz w:val="24"/>
          <w:szCs w:val="24"/>
        </w:rPr>
        <w:t xml:space="preserve"> the </w:t>
      </w:r>
      <w:r w:rsidR="0046232D">
        <w:rPr>
          <w:rFonts w:ascii="Times New Roman" w:hAnsi="Times New Roman"/>
          <w:sz w:val="24"/>
          <w:szCs w:val="24"/>
        </w:rPr>
        <w:t>CD</w:t>
      </w:r>
      <w:r w:rsidRPr="00940431">
        <w:rPr>
          <w:rFonts w:ascii="Times New Roman" w:hAnsi="Times New Roman"/>
          <w:sz w:val="24"/>
          <w:szCs w:val="24"/>
        </w:rPr>
        <w:t xml:space="preserve"> group (</w:t>
      </w:r>
      <w:r w:rsidRPr="00940431">
        <w:rPr>
          <w:rFonts w:ascii="Times New Roman" w:hAnsi="Times New Roman"/>
          <w:i/>
          <w:sz w:val="24"/>
          <w:szCs w:val="24"/>
        </w:rPr>
        <w:t>p</w:t>
      </w:r>
      <w:r w:rsidRPr="00940431">
        <w:rPr>
          <w:rFonts w:ascii="Times New Roman" w:hAnsi="Times New Roman"/>
          <w:sz w:val="24"/>
          <w:szCs w:val="24"/>
        </w:rPr>
        <w:t xml:space="preserve"> &lt; .001). Subsequent analyses were performed to ensure results were not driven by tobacco usage.</w:t>
      </w:r>
      <w:r>
        <w:rPr>
          <w:rFonts w:ascii="Times New Roman" w:hAnsi="Times New Roman"/>
          <w:sz w:val="24"/>
          <w:szCs w:val="24"/>
        </w:rPr>
        <w:t xml:space="preserve"> Demographics and group characteristics are presented in </w:t>
      </w:r>
      <w:r>
        <w:rPr>
          <w:rFonts w:ascii="Times New Roman" w:hAnsi="Times New Roman"/>
          <w:b/>
          <w:sz w:val="24"/>
          <w:szCs w:val="24"/>
        </w:rPr>
        <w:t>Supplementary Table</w:t>
      </w:r>
      <w:r w:rsidR="006B55B2">
        <w:rPr>
          <w:rFonts w:ascii="Times New Roman" w:hAnsi="Times New Roman"/>
          <w:b/>
          <w:sz w:val="24"/>
          <w:szCs w:val="24"/>
        </w:rPr>
        <w:t>s</w:t>
      </w:r>
      <w:r>
        <w:rPr>
          <w:rFonts w:ascii="Times New Roman" w:hAnsi="Times New Roman"/>
          <w:b/>
          <w:sz w:val="24"/>
          <w:szCs w:val="24"/>
        </w:rPr>
        <w:t xml:space="preserve"> 1</w:t>
      </w:r>
      <w:r w:rsidR="006B55B2">
        <w:rPr>
          <w:rFonts w:ascii="Times New Roman" w:hAnsi="Times New Roman"/>
          <w:b/>
          <w:sz w:val="24"/>
          <w:szCs w:val="24"/>
        </w:rPr>
        <w:t xml:space="preserve"> and 2</w:t>
      </w:r>
      <w:r>
        <w:rPr>
          <w:rFonts w:ascii="Times New Roman" w:hAnsi="Times New Roman"/>
          <w:sz w:val="24"/>
          <w:szCs w:val="24"/>
        </w:rPr>
        <w:t>.</w:t>
      </w:r>
    </w:p>
    <w:p w14:paraId="0AA74CDD" w14:textId="77777777" w:rsidR="00795144" w:rsidRPr="003B252F" w:rsidRDefault="00795144" w:rsidP="0094548D">
      <w:pPr>
        <w:spacing w:line="276" w:lineRule="auto"/>
        <w:ind w:firstLine="720"/>
        <w:rPr>
          <w:rFonts w:ascii="Times New Roman" w:hAnsi="Times New Roman"/>
          <w:sz w:val="24"/>
          <w:szCs w:val="24"/>
        </w:rPr>
      </w:pPr>
    </w:p>
    <w:p w14:paraId="0E82BC82" w14:textId="77777777" w:rsidR="00795144" w:rsidRPr="001E464F" w:rsidRDefault="00795144" w:rsidP="0094548D">
      <w:pPr>
        <w:spacing w:line="276" w:lineRule="auto"/>
        <w:rPr>
          <w:rFonts w:ascii="Times New Roman" w:hAnsi="Times New Roman" w:cs="Times New Roman"/>
          <w:i/>
          <w:sz w:val="24"/>
          <w:szCs w:val="24"/>
        </w:rPr>
      </w:pPr>
      <w:bookmarkStart w:id="0" w:name="_Hlk4582038"/>
      <w:r>
        <w:rPr>
          <w:rFonts w:ascii="Times New Roman" w:hAnsi="Times New Roman" w:cs="Times New Roman"/>
          <w:i/>
          <w:sz w:val="24"/>
          <w:szCs w:val="24"/>
        </w:rPr>
        <w:t>FAAH/MAGL r</w:t>
      </w:r>
      <w:r w:rsidRPr="009F2C6C">
        <w:rPr>
          <w:rFonts w:ascii="Times New Roman" w:hAnsi="Times New Roman" w:cs="Times New Roman"/>
          <w:i/>
          <w:sz w:val="24"/>
          <w:szCs w:val="24"/>
        </w:rPr>
        <w:t>egional gene expression: Allen Human Brain Atlas</w:t>
      </w:r>
      <w:bookmarkEnd w:id="0"/>
    </w:p>
    <w:p w14:paraId="51B95B85" w14:textId="5C20B3A5" w:rsidR="00A869FF" w:rsidRDefault="00795144" w:rsidP="00BB3079">
      <w:pPr>
        <w:spacing w:line="276" w:lineRule="auto"/>
        <w:ind w:firstLine="720"/>
        <w:rPr>
          <w:rFonts w:ascii="Times New Roman" w:hAnsi="Times New Roman" w:cs="Times New Roman"/>
          <w:sz w:val="24"/>
          <w:szCs w:val="24"/>
        </w:rPr>
      </w:pPr>
      <w:r>
        <w:rPr>
          <w:rFonts w:ascii="Times New Roman" w:hAnsi="Times New Roman" w:cs="Times New Roman"/>
          <w:sz w:val="24"/>
          <w:szCs w:val="24"/>
        </w:rPr>
        <w:t>To analyze regional patterns of gene expression, we followed recently-established procedures</w:t>
      </w:r>
      <w:r>
        <w:rPr>
          <w:rFonts w:ascii="Times New Roman" w:hAnsi="Times New Roman" w:cs="Times New Roman"/>
          <w:sz w:val="24"/>
          <w:szCs w:val="24"/>
        </w:rPr>
        <w:fldChar w:fldCharType="begin" w:fldLock="1"/>
      </w:r>
      <w:r w:rsidR="006E18A3">
        <w:rPr>
          <w:rFonts w:ascii="Times New Roman" w:hAnsi="Times New Roman" w:cs="Times New Roman"/>
          <w:sz w:val="24"/>
          <w:szCs w:val="24"/>
        </w:rPr>
        <w:instrText>ADDIN CSL_CITATION {"citationItems":[{"id":"ITEM-1","itemData":{"DOI":"10.1101/380089","ISSN":"1053-8119","PMID":"30648605","abstract":"The recent availability of comprehensive, brain-wide gene expression atlases such as the Allen Human Brain Atlas (AHBA) has opened new opportunities for understanding how spatial variations on the molecular scale relate to the macroscopic neuroimaging phenotypes. A rapidly growing body of literature is demonstrating relationships between gene expression and diverse properties of brain structure and function, but approaches for combining expression atlas data with neuroimaging are highly inconsistent, with substantial variations in how the expression data are processed. The degree to which these methodological variations affect findings is unclear. Here, we outline a seven-step analysis pipeline for relating brain-wide transcriptomic and neuroimaging data and compare how different processing choices influence the resulting data. We suggest that studies using AHBA should work towards a unified data processing pipeline to ensure consistent and reproducible results in this burgeoning field.","author":[{"dropping-particle":"","family":"Arnatkevičiūtė","given":"Aurina","non-dropping-particle":"","parse-names":false,"suffix":""},{"dropping-particle":"","family":"Fulcher","given":"Ben D","non-dropping-particle":"","parse-names":false,"suffix":""},{"dropping-particle":"","family":"Fornito","given":"Alex","non-dropping-particle":"","parse-names":false,"suffix":""}],"container-title":"NeuroImage","id":"ITEM-1","issued":{"date-parts":[["2019"]]},"page":"353-367","title":"A practical guide to linking brain-wide gene expression and neuroimaging data","type":"article-journal","volume":"189"},"uris":["http://www.mendeley.com/documents/?uuid=920f7665-52c3-447e-aeef-e53f594fca27"]}],"mendeley":{"formattedCitation":"&lt;sup&gt;5&lt;/sup&gt;","plainTextFormattedCitation":"5","previouslyFormattedCitation":"&lt;sup&gt;5&lt;/sup&gt;"},"properties":{"noteIndex":0},"schema":"https://github.com/citation-style-language/schema/raw/master/csl-citation.json"}</w:instrText>
      </w:r>
      <w:r>
        <w:rPr>
          <w:rFonts w:ascii="Times New Roman" w:hAnsi="Times New Roman" w:cs="Times New Roman"/>
          <w:sz w:val="24"/>
          <w:szCs w:val="24"/>
        </w:rPr>
        <w:fldChar w:fldCharType="separate"/>
      </w:r>
      <w:r w:rsidRPr="00795144">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r>
        <w:rPr>
          <w:rFonts w:ascii="Times New Roman" w:hAnsi="Times New Roman" w:cs="Times New Roman"/>
          <w:sz w:val="24"/>
          <w:szCs w:val="24"/>
        </w:rPr>
        <w:t xml:space="preserve">: first, transcriptional expression data from microarray probes representing roughly 20,000 genes in over 3700 different brain regions were downloaded from the Allen Human Brain Atlas database, and probe information was updated using re-annotation </w:t>
      </w:r>
      <w:r w:rsidRPr="004A5134">
        <w:rPr>
          <w:rFonts w:ascii="Times New Roman" w:hAnsi="Times New Roman" w:cs="Times New Roman"/>
          <w:sz w:val="24"/>
          <w:szCs w:val="24"/>
        </w:rPr>
        <w:t xml:space="preserve">software. </w:t>
      </w:r>
      <w:r>
        <w:rPr>
          <w:rFonts w:ascii="Times New Roman" w:hAnsi="Times New Roman" w:cs="Times New Roman"/>
          <w:sz w:val="24"/>
          <w:szCs w:val="24"/>
        </w:rPr>
        <w:t>Next</w:t>
      </w:r>
      <w:r w:rsidRPr="004A5134">
        <w:rPr>
          <w:rFonts w:ascii="Times New Roman" w:hAnsi="Times New Roman" w:cs="Times New Roman"/>
          <w:sz w:val="24"/>
          <w:szCs w:val="24"/>
        </w:rPr>
        <w:t>, we</w:t>
      </w:r>
      <w:r>
        <w:rPr>
          <w:rFonts w:ascii="Times New Roman" w:hAnsi="Times New Roman" w:cs="Times New Roman"/>
          <w:sz w:val="24"/>
          <w:szCs w:val="24"/>
        </w:rPr>
        <w:t xml:space="preserve"> excluded probes with poor signal due to non-specific hybridization, where signal did not exceed background intensity in </w:t>
      </w:r>
      <w:r w:rsidRPr="00C97096">
        <w:rPr>
          <w:rFonts w:ascii="Times New Roman" w:hAnsi="Times New Roman" w:cs="Times New Roman"/>
          <w:sz w:val="24"/>
          <w:szCs w:val="24"/>
        </w:rPr>
        <w:t xml:space="preserve">at least 50% of </w:t>
      </w:r>
      <w:r>
        <w:rPr>
          <w:rFonts w:ascii="Times New Roman" w:hAnsi="Times New Roman" w:cs="Times New Roman"/>
          <w:sz w:val="24"/>
          <w:szCs w:val="24"/>
        </w:rPr>
        <w:t>all probes in all subjects</w:t>
      </w:r>
      <w:r w:rsidRPr="00C97096">
        <w:rPr>
          <w:rFonts w:ascii="Times New Roman" w:hAnsi="Times New Roman" w:cs="Times New Roman"/>
          <w:sz w:val="24"/>
          <w:szCs w:val="24"/>
        </w:rPr>
        <w:t>.</w:t>
      </w:r>
      <w:r>
        <w:rPr>
          <w:rFonts w:ascii="Times New Roman" w:hAnsi="Times New Roman" w:cs="Times New Roman"/>
          <w:sz w:val="24"/>
          <w:szCs w:val="24"/>
        </w:rPr>
        <w:t xml:space="preserve"> We chose the most representative probe for each gene (FAAH and MAGL) based on which probe had the highest differential stability; that is, the probe with the most consistent spatial pattern across the six donor brains</w:t>
      </w:r>
      <w:r>
        <w:rPr>
          <w:rFonts w:ascii="Times New Roman" w:hAnsi="Times New Roman" w:cs="Times New Roman"/>
          <w:sz w:val="24"/>
          <w:szCs w:val="24"/>
        </w:rPr>
        <w:fldChar w:fldCharType="begin" w:fldLock="1"/>
      </w:r>
      <w:r w:rsidR="006E18A3">
        <w:rPr>
          <w:rFonts w:ascii="Times New Roman" w:hAnsi="Times New Roman" w:cs="Times New Roman"/>
          <w:sz w:val="24"/>
          <w:szCs w:val="24"/>
        </w:rPr>
        <w:instrText>ADDIN CSL_CITATION {"citationItems":[{"id":"ITEM-1","itemData":{"DOI":"10.1038/nn.4171","ISBN":"doi:10.1038/nn.4171","ISSN":"1097-6256","PMID":"26571460","abstract":"The structure and function of the human brain are highly stereotyped, implying a conserved molecular program responsible for its development, cellular structure and function. We applied a correlation-based metric called differential stability to assess reproducibility of gene expression patterning across 132 structures in six individual brains, revealing mesoscale genetic organization. The genes with the highest differential stability are highly biologically relevant, with enrichment for brain-related annotations, disease associations, drug targets and literature citations. Using genes with high differential stability, we identified 32 anatomically diverse and reproducible gene expression signatures, which represent distinct cell types, intracellular components and/or associations with neurodevelopmental and neurodegenerative disorders. Genes in neuron-associated compared to non-neuronal networks showed higher preservation between human and mouse; however, many diversely patterned genes displayed marked shifts in regulation between species. Finally, highly consistent transcriptional architecture in neocortex is correlated with resting state functional connectivity, suggesting a link between conserved gene expression and functionally relevant circuitry.","author":[{"dropping-particle":"","family":"Hawrylycz","given":"Michael","non-dropping-particle":"","parse-names":false,"suffix":""},{"dropping-particle":"","family":"Miller","given":"Jeremy A","non-dropping-particle":"","parse-names":false,"suffix":""},{"dropping-particle":"","family":"Menon","given":"Vilas","non-dropping-particle":"","parse-names":false,"suffix":""},{"dropping-particle":"","family":"Feng","given":"David","non-dropping-particle":"","parse-names":false,"suffix":""},{"dropping-particle":"","family":"Dolbeare","given":"Tim","non-dropping-particle":"","parse-names":false,"suffix":""},{"dropping-particle":"","family":"Guillozet-Bongaarts","given":"Angela L","non-dropping-particle":"","parse-names":false,"suffix":""},{"dropping-particle":"","family":"Jegga","given":"Anil G","non-dropping-particle":"","parse-names":false,"suffix":""},{"dropping-particle":"","family":"Aronow","given":"Bruce J","non-dropping-particle":"","parse-names":false,"suffix":""},{"dropping-particle":"","family":"Lee","given":"Chang-Kyu","non-dropping-particle":"","parse-names":false,"suffix":""},{"dropping-particle":"","family":"Bernard","given":"Amy","non-dropping-particle":"","parse-names":false,"suffix":""},{"dropping-particle":"","family":"Glasser","given":"Matthew F.","non-dropping-particle":"","parse-names":false,"suffix":""},{"dropping-particle":"","family":"Dierker","given":"Donna L","non-dropping-particle":"","parse-names":false,"suffix":""},{"dropping-particle":"","family":"Menche","given":"Jörg","non-dropping-particle":"","parse-names":false,"suffix":""},{"dropping-particle":"","family":"Szafer","given":"Aaron","non-dropping-particle":"","parse-names":false,"suffix":""},{"dropping-particle":"","family":"Collman","given":"Forrest","non-dropping-particle":"","parse-names":false,"suffix":""},{"dropping-particle":"","family":"Grange","given":"Pascal","non-dropping-particle":"","parse-names":false,"suffix":""},{"dropping-particle":"","family":"Berman","given":"Kenneth A","non-dropping-particle":"","parse-names":false,"suffix":""},{"dropping-particle":"","family":"Mihalas","given":"Stefan","non-dropping-particle":"","parse-names":false,"suffix":""},{"dropping-particle":"","family":"Yao","given":"Zizhen","non-dropping-particle":"","parse-names":false,"suffix":""},{"dropping-particle":"","family":"Stewart","given":"Lance","non-dropping-particle":"","parse-names":false,"suffix":""},{"dropping-particle":"","family":"Barabási","given":"Albert-László","non-dropping-particle":"","parse-names":false,"suffix":""},{"dropping-particle":"","family":"Schulkin","given":"Jay","non-dropping-particle":"","parse-names":false,"suffix":""},{"dropping-particle":"","family":"Phillips","given":"John","non-dropping-particle":"","parse-names":false,"suffix":""},{"dropping-particle":"","family":"Ng","given":"Lydia","non-dropping-particle":"","parse-names":false,"suffix":""},{"dropping-particle":"","family":"Dang","given":"Chinh","non-dropping-particle":"","parse-names":false,"suffix":""},{"dropping-particle":"","family":"Haynor","given":"David R","non-dropping-particle":"","parse-names":false,"suffix":""},{"dropping-particle":"","family":"Jones","given":"Allan","non-dropping-particle":"","parse-names":false,"suffix":""},{"dropping-particle":"","family":"Essen","given":"David C.","non-dropping-particle":"Van","parse-names":false,"suffix":""},{"dropping-particle":"","family":"Koch","given":"Christof","non-dropping-particle":"","parse-names":false,"suffix":""},{"dropping-particle":"","family":"Lein","given":"Ed","non-dropping-particle":"","parse-names":false,"suffix":""}],"container-title":"Nature Neuroscience","id":"ITEM-1","issue":"12","issued":{"date-parts":[["2015"]]},"page":"1832-1844","title":"Canonical genetic signatures of the adult human brain","type":"article-journal","volume":"18"},"uris":["http://www.mendeley.com/documents/?uuid=400dbf1a-af8b-4c13-b314-174d507d9e69"]}],"mendeley":{"formattedCitation":"&lt;sup&gt;6&lt;/sup&gt;","plainTextFormattedCitation":"6","previouslyFormattedCitation":"&lt;sup&gt;6&lt;/sup&gt;"},"properties":{"noteIndex":0},"schema":"https://github.com/citation-style-language/schema/raw/master/csl-citation.json"}</w:instrText>
      </w:r>
      <w:r>
        <w:rPr>
          <w:rFonts w:ascii="Times New Roman" w:hAnsi="Times New Roman" w:cs="Times New Roman"/>
          <w:sz w:val="24"/>
          <w:szCs w:val="24"/>
        </w:rPr>
        <w:fldChar w:fldCharType="separate"/>
      </w:r>
      <w:r w:rsidRPr="00795144">
        <w:rPr>
          <w:rFonts w:ascii="Times New Roman" w:hAnsi="Times New Roman" w:cs="Times New Roman"/>
          <w:noProof/>
          <w:sz w:val="24"/>
          <w:szCs w:val="24"/>
          <w:vertAlign w:val="superscript"/>
        </w:rPr>
        <w:t>6</w:t>
      </w:r>
      <w:r>
        <w:rPr>
          <w:rFonts w:ascii="Times New Roman" w:hAnsi="Times New Roman" w:cs="Times New Roman"/>
          <w:sz w:val="24"/>
          <w:szCs w:val="24"/>
        </w:rPr>
        <w:fldChar w:fldCharType="end"/>
      </w:r>
      <w:r>
        <w:rPr>
          <w:rFonts w:ascii="Times New Roman" w:hAnsi="Times New Roman" w:cs="Times New Roman"/>
          <w:sz w:val="24"/>
          <w:szCs w:val="24"/>
        </w:rPr>
        <w:t xml:space="preserve">. For each of the six individual donor brains, we assigned each left-hemisphere cortical sample to one of the 34 </w:t>
      </w:r>
      <w:proofErr w:type="spellStart"/>
      <w:r>
        <w:rPr>
          <w:rFonts w:ascii="Times New Roman" w:hAnsi="Times New Roman" w:cs="Times New Roman"/>
          <w:sz w:val="24"/>
          <w:szCs w:val="24"/>
        </w:rPr>
        <w:t>Freesurfer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aparc</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parcels in native space: samples were assigned if they fell </w:t>
      </w:r>
      <w:r w:rsidRPr="0029647D">
        <w:rPr>
          <w:rFonts w:ascii="Times New Roman" w:hAnsi="Times New Roman" w:cs="Times New Roman"/>
          <w:sz w:val="24"/>
          <w:szCs w:val="24"/>
        </w:rPr>
        <w:t>within a surface-based distance of 2mm of</w:t>
      </w:r>
      <w:r>
        <w:rPr>
          <w:rFonts w:ascii="Times New Roman" w:hAnsi="Times New Roman" w:cs="Times New Roman"/>
          <w:sz w:val="24"/>
          <w:szCs w:val="24"/>
        </w:rPr>
        <w:t xml:space="preserve"> any coordinate within</w:t>
      </w:r>
      <w:r w:rsidRPr="0029647D">
        <w:rPr>
          <w:rFonts w:ascii="Times New Roman" w:hAnsi="Times New Roman" w:cs="Times New Roman"/>
          <w:sz w:val="24"/>
          <w:szCs w:val="24"/>
        </w:rPr>
        <w:t xml:space="preserve"> one</w:t>
      </w:r>
      <w:r>
        <w:rPr>
          <w:rFonts w:ascii="Times New Roman" w:hAnsi="Times New Roman" w:cs="Times New Roman"/>
          <w:sz w:val="24"/>
          <w:szCs w:val="24"/>
        </w:rPr>
        <w:t xml:space="preserve"> of the </w:t>
      </w:r>
      <w:proofErr w:type="spellStart"/>
      <w:r>
        <w:rPr>
          <w:rFonts w:ascii="Times New Roman" w:hAnsi="Times New Roman" w:cs="Times New Roman"/>
          <w:sz w:val="24"/>
          <w:szCs w:val="24"/>
        </w:rPr>
        <w:t>Desikan-</w:t>
      </w:r>
      <w:r>
        <w:rPr>
          <w:rFonts w:ascii="Times New Roman" w:hAnsi="Times New Roman" w:cs="Times New Roman"/>
          <w:sz w:val="24"/>
          <w:szCs w:val="24"/>
        </w:rPr>
        <w:lastRenderedPageBreak/>
        <w:t>Killany</w:t>
      </w:r>
      <w:proofErr w:type="spellEnd"/>
      <w:r>
        <w:rPr>
          <w:rFonts w:ascii="Times New Roman" w:hAnsi="Times New Roman" w:cs="Times New Roman"/>
          <w:sz w:val="24"/>
          <w:szCs w:val="24"/>
        </w:rPr>
        <w:t xml:space="preserve"> parcels. Consequently, expression values were normalized within each of the six individual brains using a scaled robust sigmoid transformation, which is resilient to outliers and produces equivalent normalization scaling for all donor brains</w:t>
      </w:r>
      <w:r>
        <w:rPr>
          <w:rFonts w:ascii="Times New Roman" w:hAnsi="Times New Roman" w:cs="Times New Roman"/>
          <w:sz w:val="24"/>
          <w:szCs w:val="24"/>
        </w:rPr>
        <w:fldChar w:fldCharType="begin" w:fldLock="1"/>
      </w:r>
      <w:r w:rsidR="006E18A3">
        <w:rPr>
          <w:rFonts w:ascii="Times New Roman" w:hAnsi="Times New Roman" w:cs="Times New Roman"/>
          <w:sz w:val="24"/>
          <w:szCs w:val="24"/>
        </w:rPr>
        <w:instrText>ADDIN CSL_CITATION {"citationItems":[{"id":"ITEM-1","itemData":{"DOI":"10.1098/rsif.2013.0048","ISBN":"1742-5662 (Electronic)\\r1742-5662 (Linking)","ISSN":"1742-5689","PMID":"23554344","abstract":"The process of collecting and organizing sets of observations represents a common theme throughout the history of science. However, despite the ubiquity of scientists measuring, recording, and analyzing the dynamics of different processes, an extensive organization of scientific time-series data and analysis methods has never been performed. Addressing this, annotated collections of over 35 000 real-world and model-generated time series and over 9000 time-series analysis algorithms are analyzed in this work. We introduce reduced representations of both time series, in terms of their properties measured by diverse scientific methods, and of time-series analysis methods, in terms of their behaviour on empirical time series, and use them to organize these interdisciplinary resources. This new approach to comparing across diverse scientific data and methods allows us to organize time-series datasets automatically according to their properties, retrieve alternatives to particular analysis methods developed in other scientific disciplines, and automate the selection of useful methods for time-series classification and regression tasks. The broad scientific utility of these tools is demonstrated on datasets of electroencephalograms, self-affine time series, heart beat intervals, speech signals, and others, in each case contributing novel analysis techniques to the existing literature. Highly comparative techniques that compare across an interdisciplinary literature can thus be used to guide more focused research in time-series analysis for applications across the scientific disciplines.","author":[{"dropping-particle":"","family":"Fulcher","given":"Ben D.","non-dropping-particle":"","parse-names":false,"suffix":""},{"dropping-particle":"","family":"Little","given":"Max A.","non-dropping-particle":"","parse-names":false,"suffix":""},{"dropping-particle":"","family":"Jones","given":"Nick S.","non-dropping-particle":"","parse-names":false,"suffix":""}],"container-title":"Journal of The Royal Society Interface","id":"ITEM-1","issue":"83","issued":{"date-parts":[["2013","4","3"]]},"page":"20130048","title":"Highly comparative time-series analysis: the empirical structure of time series and their methods","type":"article-journal","volume":"10"},"uris":["http://www.mendeley.com/documents/?uuid=8fe16bc9-aa42-4bde-b8aa-65daba32e4ab"]}],"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sz w:val="24"/>
          <w:szCs w:val="24"/>
        </w:rPr>
        <w:fldChar w:fldCharType="separate"/>
      </w:r>
      <w:r w:rsidRPr="00795144">
        <w:rPr>
          <w:rFonts w:ascii="Times New Roman" w:hAnsi="Times New Roman" w:cs="Times New Roman"/>
          <w:noProof/>
          <w:sz w:val="24"/>
          <w:szCs w:val="24"/>
          <w:vertAlign w:val="superscript"/>
        </w:rPr>
        <w:t>7</w:t>
      </w:r>
      <w:r>
        <w:rPr>
          <w:rFonts w:ascii="Times New Roman" w:hAnsi="Times New Roman" w:cs="Times New Roman"/>
          <w:sz w:val="24"/>
          <w:szCs w:val="24"/>
        </w:rPr>
        <w:fldChar w:fldCharType="end"/>
      </w:r>
      <w:r>
        <w:rPr>
          <w:rFonts w:ascii="Times New Roman" w:hAnsi="Times New Roman" w:cs="Times New Roman"/>
          <w:sz w:val="24"/>
          <w:szCs w:val="24"/>
        </w:rPr>
        <w:t>. Finally, for each donor brain and each parcel separately, we averaged all samples to create a mean normalized expression value, before averaging across all six donor brains. This procedure ensures that each donor has an equal contribution to the final expression value for a parcel, even if donors have differing number of probes that fall within a brain region.</w:t>
      </w:r>
    </w:p>
    <w:p w14:paraId="1CBC0533" w14:textId="77777777" w:rsidR="009B14E5" w:rsidRDefault="009B14E5" w:rsidP="009B14E5">
      <w:pPr>
        <w:spacing w:line="276" w:lineRule="auto"/>
        <w:rPr>
          <w:rFonts w:ascii="Times New Roman" w:hAnsi="Times New Roman" w:cs="Times New Roman"/>
          <w:sz w:val="24"/>
          <w:szCs w:val="24"/>
        </w:rPr>
      </w:pPr>
    </w:p>
    <w:p w14:paraId="78AC9FEF" w14:textId="684CB491" w:rsidR="009B14E5" w:rsidRPr="009B14E5" w:rsidRDefault="009B14E5" w:rsidP="009B14E5">
      <w:pPr>
        <w:spacing w:line="276" w:lineRule="auto"/>
        <w:rPr>
          <w:rFonts w:ascii="Times New Roman" w:hAnsi="Times New Roman" w:cs="Times New Roman"/>
          <w:i/>
          <w:iCs/>
          <w:sz w:val="24"/>
          <w:szCs w:val="24"/>
        </w:rPr>
      </w:pPr>
      <w:r w:rsidRPr="009B14E5">
        <w:rPr>
          <w:rFonts w:ascii="Times New Roman" w:hAnsi="Times New Roman" w:cs="Times New Roman"/>
          <w:i/>
          <w:iCs/>
          <w:sz w:val="24"/>
          <w:szCs w:val="24"/>
        </w:rPr>
        <w:t xml:space="preserve">Analysis of Frequent Cannabis Users without </w:t>
      </w:r>
      <w:r w:rsidR="0046232D">
        <w:rPr>
          <w:rFonts w:ascii="Times New Roman" w:hAnsi="Times New Roman" w:cs="Times New Roman"/>
          <w:i/>
          <w:iCs/>
          <w:sz w:val="24"/>
          <w:szCs w:val="24"/>
        </w:rPr>
        <w:t>CD</w:t>
      </w:r>
    </w:p>
    <w:p w14:paraId="11809CF2" w14:textId="570F5D86" w:rsidR="009B14E5" w:rsidRPr="009B14E5" w:rsidRDefault="009B14E5" w:rsidP="009B14E5">
      <w:pPr>
        <w:spacing w:line="276" w:lineRule="auto"/>
        <w:ind w:firstLine="720"/>
        <w:rPr>
          <w:rFonts w:ascii="Times New Roman" w:hAnsi="Times New Roman" w:cs="Times New Roman"/>
          <w:sz w:val="24"/>
          <w:szCs w:val="24"/>
        </w:rPr>
      </w:pPr>
      <w:r w:rsidRPr="009B14E5">
        <w:rPr>
          <w:rFonts w:ascii="Times New Roman" w:hAnsi="Times New Roman" w:cs="Times New Roman"/>
          <w:sz w:val="24"/>
          <w:szCs w:val="24"/>
        </w:rPr>
        <w:t xml:space="preserve">It is possible that individuals with high exposure to cannabis, even if they do not meet criteria for </w:t>
      </w:r>
      <w:r w:rsidR="0046232D">
        <w:rPr>
          <w:rFonts w:ascii="Times New Roman" w:hAnsi="Times New Roman" w:cs="Times New Roman"/>
          <w:sz w:val="24"/>
          <w:szCs w:val="24"/>
        </w:rPr>
        <w:t>CD</w:t>
      </w:r>
      <w:r w:rsidRPr="009B14E5">
        <w:rPr>
          <w:rFonts w:ascii="Times New Roman" w:hAnsi="Times New Roman" w:cs="Times New Roman"/>
          <w:sz w:val="24"/>
          <w:szCs w:val="24"/>
        </w:rPr>
        <w:t xml:space="preserve">, may have brain structural deficits relative to </w:t>
      </w:r>
      <w:r w:rsidR="00A61EC3">
        <w:rPr>
          <w:rFonts w:ascii="Times New Roman" w:hAnsi="Times New Roman" w:cs="Times New Roman"/>
          <w:sz w:val="24"/>
          <w:szCs w:val="24"/>
        </w:rPr>
        <w:t>CTL</w:t>
      </w:r>
      <w:r w:rsidRPr="009B14E5">
        <w:rPr>
          <w:rFonts w:ascii="Times New Roman" w:hAnsi="Times New Roman" w:cs="Times New Roman"/>
          <w:sz w:val="24"/>
          <w:szCs w:val="24"/>
        </w:rPr>
        <w:t xml:space="preserve">. To examine this, we identified a third group: individuals who used cannabis &gt;100 times but do not have symptoms of CD (without current or past AUD; n=80; this group was matched with </w:t>
      </w:r>
      <w:r w:rsidR="00A61EC3">
        <w:rPr>
          <w:rFonts w:ascii="Times New Roman" w:hAnsi="Times New Roman" w:cs="Times New Roman"/>
          <w:sz w:val="24"/>
          <w:szCs w:val="24"/>
        </w:rPr>
        <w:t>CTL</w:t>
      </w:r>
      <w:r w:rsidRPr="009B14E5">
        <w:rPr>
          <w:rFonts w:ascii="Times New Roman" w:hAnsi="Times New Roman" w:cs="Times New Roman"/>
          <w:sz w:val="24"/>
          <w:szCs w:val="24"/>
        </w:rPr>
        <w:t xml:space="preserve"> on all variables except sex, as the &gt;100 use group had a greater proportion of females [35/80; 44%] than the CTL group [25/89; 28%]). With this third group (‘&gt;100 use’ group) we sought to identify whether brain structural deficits are related to high cannabis exposure generally, or if they seem to be restricted to </w:t>
      </w:r>
      <w:r w:rsidR="0046232D">
        <w:rPr>
          <w:rFonts w:ascii="Times New Roman" w:hAnsi="Times New Roman" w:cs="Times New Roman"/>
          <w:sz w:val="24"/>
          <w:szCs w:val="24"/>
        </w:rPr>
        <w:t>CD</w:t>
      </w:r>
      <w:r w:rsidRPr="009B14E5">
        <w:rPr>
          <w:rFonts w:ascii="Times New Roman" w:hAnsi="Times New Roman" w:cs="Times New Roman"/>
          <w:sz w:val="24"/>
          <w:szCs w:val="24"/>
        </w:rPr>
        <w:t>.</w:t>
      </w:r>
    </w:p>
    <w:p w14:paraId="5971F9D2" w14:textId="77777777" w:rsidR="00CE55F5" w:rsidRPr="001E464F" w:rsidRDefault="00CE55F5" w:rsidP="00CE55F5">
      <w:pPr>
        <w:spacing w:line="276" w:lineRule="auto"/>
        <w:rPr>
          <w:rFonts w:ascii="Times New Roman" w:hAnsi="Times New Roman" w:cs="Times New Roman"/>
          <w:sz w:val="24"/>
          <w:szCs w:val="24"/>
        </w:rPr>
      </w:pPr>
    </w:p>
    <w:p w14:paraId="0921760E" w14:textId="4039F67E" w:rsidR="001F6836" w:rsidRPr="00376DCE" w:rsidRDefault="00795144" w:rsidP="006E18A3">
      <w:pPr>
        <w:spacing w:line="276" w:lineRule="auto"/>
        <w:rPr>
          <w:rFonts w:ascii="Times New Roman" w:eastAsia="MS Mincho" w:hAnsi="Times New Roman"/>
          <w:i/>
          <w:iCs/>
          <w:sz w:val="24"/>
          <w:szCs w:val="24"/>
          <w:lang w:eastAsia="zh-CN"/>
        </w:rPr>
      </w:pPr>
      <w:r>
        <w:rPr>
          <w:rFonts w:ascii="Times New Roman" w:eastAsia="MS Mincho" w:hAnsi="Times New Roman"/>
          <w:i/>
          <w:iCs/>
          <w:sz w:val="24"/>
          <w:szCs w:val="24"/>
          <w:lang w:eastAsia="zh-CN"/>
        </w:rPr>
        <w:t>Sibling Pair Analysis</w:t>
      </w:r>
      <w:r w:rsidR="00CE55F5">
        <w:rPr>
          <w:rFonts w:ascii="Times New Roman" w:eastAsia="MS Mincho" w:hAnsi="Times New Roman"/>
          <w:i/>
          <w:iCs/>
          <w:sz w:val="24"/>
          <w:szCs w:val="24"/>
          <w:lang w:eastAsia="zh-CN"/>
        </w:rPr>
        <w:t xml:space="preserve">: Causal vs. </w:t>
      </w:r>
      <w:proofErr w:type="spellStart"/>
      <w:r w:rsidR="00CE55F5">
        <w:rPr>
          <w:rFonts w:ascii="Times New Roman" w:eastAsia="MS Mincho" w:hAnsi="Times New Roman"/>
          <w:i/>
          <w:iCs/>
          <w:sz w:val="24"/>
          <w:szCs w:val="24"/>
          <w:lang w:eastAsia="zh-CN"/>
        </w:rPr>
        <w:t>Predispositional</w:t>
      </w:r>
      <w:proofErr w:type="spellEnd"/>
      <w:r w:rsidR="00CE55F5">
        <w:rPr>
          <w:rFonts w:ascii="Times New Roman" w:eastAsia="MS Mincho" w:hAnsi="Times New Roman"/>
          <w:i/>
          <w:iCs/>
          <w:sz w:val="24"/>
          <w:szCs w:val="24"/>
          <w:lang w:eastAsia="zh-CN"/>
        </w:rPr>
        <w:t xml:space="preserve"> Effects of Cannabis on Brain Structure</w:t>
      </w:r>
    </w:p>
    <w:p w14:paraId="42605C12" w14:textId="1B77B5EE" w:rsidR="00B2340D" w:rsidRDefault="006E18A3" w:rsidP="001F6836">
      <w:pPr>
        <w:spacing w:line="276" w:lineRule="auto"/>
        <w:ind w:firstLine="720"/>
        <w:rPr>
          <w:rFonts w:ascii="Times New Roman" w:eastAsia="MS Mincho" w:hAnsi="Times New Roman"/>
          <w:sz w:val="24"/>
          <w:szCs w:val="24"/>
          <w:lang w:eastAsia="zh-CN"/>
        </w:rPr>
      </w:pPr>
      <w:r w:rsidRPr="006E18A3">
        <w:rPr>
          <w:rFonts w:ascii="Times New Roman" w:eastAsia="MS Mincho" w:hAnsi="Times New Roman"/>
          <w:sz w:val="24"/>
          <w:szCs w:val="24"/>
          <w:lang w:eastAsia="zh-CN"/>
        </w:rPr>
        <w:t xml:space="preserve">An important difference between our studies is that, whereas </w:t>
      </w:r>
      <w:proofErr w:type="spellStart"/>
      <w:r w:rsidRPr="006E18A3">
        <w:rPr>
          <w:rFonts w:ascii="Times New Roman" w:eastAsia="MS Mincho" w:hAnsi="Times New Roman"/>
          <w:sz w:val="24"/>
          <w:szCs w:val="24"/>
          <w:lang w:eastAsia="zh-CN"/>
        </w:rPr>
        <w:t>Pagliaccio</w:t>
      </w:r>
      <w:proofErr w:type="spellEnd"/>
      <w:r w:rsidRPr="006E18A3">
        <w:rPr>
          <w:rFonts w:ascii="Times New Roman" w:eastAsia="MS Mincho" w:hAnsi="Times New Roman"/>
          <w:sz w:val="24"/>
          <w:szCs w:val="24"/>
          <w:lang w:eastAsia="zh-CN"/>
        </w:rPr>
        <w:t xml:space="preserve"> et al.</w:t>
      </w:r>
      <w:r>
        <w:rPr>
          <w:rFonts w:ascii="Times New Roman" w:eastAsia="MS Mincho" w:hAnsi="Times New Roman"/>
          <w:sz w:val="24"/>
          <w:szCs w:val="24"/>
          <w:lang w:eastAsia="zh-CN"/>
        </w:rPr>
        <w:fldChar w:fldCharType="begin" w:fldLock="1"/>
      </w:r>
      <w:r w:rsidR="00E91215">
        <w:rPr>
          <w:rFonts w:ascii="Times New Roman" w:eastAsia="MS Mincho" w:hAnsi="Times New Roman"/>
          <w:sz w:val="24"/>
          <w:szCs w:val="24"/>
          <w:lang w:eastAsia="zh-CN"/>
        </w:rPr>
        <w:instrText>ADDIN CSL_CITATION {"citationItems":[{"id":"ITEM-1","itemData":{"DOI":"10.1001/jamapsychiatry.2015.1054","ISBN":"2168-6238 (Electronic)\\r2168-622X (Linking)","ISSN":"2168-6238","PMID":"26308883","abstract":"IMPORTANCE: Prior neuroimaging studies have suggested that alterations in brain structure may be a consequence of cannabis use. Siblings discordant for cannabis use offer an opportunity to use cross-sectional data to disentangle such causal hypotheses from shared effects of genetics and familial environment on brain structure and cannabis use.\\n\\nOBJECTIVES: To determine whether cannabis use is associated with differences in brain structure in a large sample of twins/siblings and to examine sibling pairs discordant for cannabis use to separate potential causal and predispositional factors linking lifetime cannabis exposure to volumetric alterations.\\n\\nDESIGN, SETTING, AND PARTICIPANTS: Cross-sectional diagnostic interview, behavioral, and neuroimaging data were collected from community sampling and established family registries from August 2012 to September 2014. This study included data from 483 participants (22-35 years old) enrolled in the ongoing Human Connectome Project, with 262 participants reporting cannabis exposure (ie, ever used cannabis in their lifetime).\\n\\nMAIN OUTCOMES AND MEASURES: Cannabis exposure was measured with the Semi-Structured Assessment for the Genetics of Alcoholism. Whole-brain, hippocampus, amygdala, ventral striatum, and orbitofrontal cortex volumes were related to lifetime cannabis use (ever used, age at onset, and frequency of use) using linear regressions. Genetic (ρg) and environmental (ρe) correlations between cannabis use and brain volumes were estimated. Linear mixed models were used to examine volume differences in sex-matched concordant unexposed (n = 71 pairs), exposed (n = 81 pairs), or exposure discordant (n = 89 pairs) sibling pairs.\\n\\nRESULTS: Among 483 study participants, cannabis exposure was related to smaller left amygdala (approximately 2.3%; P = .007) and right ventral striatum (approximately 3.5%; P &lt; .005) volumes. These volumetric differences were within the range of normal variation. The association between left amygdala volume and cannabis use was largely owing to shared genetic factors (ρg = -0.43; P = .004), while the origin of the association with right ventral striatum volumes was unclear. Importantly, brain volumes did not differ between sex-matched siblings discordant for use (fixed effect = -7.43; t = -0.93, P = .35). Both the exposed and unexposed siblings in pairs discordant for cannabis exposure showed reduced amygdala volumes relative to members of concordant unexposed pairs (fixed ef…","author":[{"dropping-particle":"","family":"Pagliaccio","given":"David","non-dropping-particle":"","parse-names":false,"suffix":""},{"dropping-particle":"","family":"Barch","given":"Deanna M.","non-dropping-particle":"","parse-names":false,"suffix":""},{"dropping-particle":"","family":"Bogdan","given":"Ryan","non-dropping-particle":"","parse-names":false,"suffix":""},{"dropping-particle":"","family":"Wood","given":"Phillip K","non-dropping-particle":"","parse-names":false,"suffix":""},{"dropping-particle":"","family":"Lynskey","given":"Michael T","non-dropping-particle":"","parse-names":false,"suffix":""},{"dropping-particle":"","family":"Heath","given":"Andrew C","non-dropping-particle":"","parse-names":false,"suffix":""},{"dropping-particle":"","family":"Agrawal","given":"Arpana","non-dropping-particle":"","parse-names":false,"suffix":""}],"container-title":"JAMA psychiatry","id":"ITEM-1","issue":"10","issued":{"date-parts":[["2015"]]},"page":"994-1001","title":"Shared Predisposition in the Association Between Cannabis Use and Subcortical Brain Structure.","type":"article-journal","volume":"72"},"uris":["http://www.mendeley.com/documents/?uuid=3e31672e-3f30-4052-a57d-13ac7e570b7c"]}],"mendeley":{"formattedCitation":"&lt;sup&gt;8&lt;/sup&gt;","plainTextFormattedCitation":"8","previouslyFormattedCitation":"&lt;sup&gt;8&lt;/sup&gt;"},"properties":{"noteIndex":0},"schema":"https://github.com/citation-style-language/schema/raw/master/csl-citation.json"}</w:instrText>
      </w:r>
      <w:r>
        <w:rPr>
          <w:rFonts w:ascii="Times New Roman" w:eastAsia="MS Mincho" w:hAnsi="Times New Roman"/>
          <w:sz w:val="24"/>
          <w:szCs w:val="24"/>
          <w:lang w:eastAsia="zh-CN"/>
        </w:rPr>
        <w:fldChar w:fldCharType="separate"/>
      </w:r>
      <w:r w:rsidRPr="006E18A3">
        <w:rPr>
          <w:rFonts w:ascii="Times New Roman" w:eastAsia="MS Mincho" w:hAnsi="Times New Roman"/>
          <w:noProof/>
          <w:sz w:val="24"/>
          <w:szCs w:val="24"/>
          <w:vertAlign w:val="superscript"/>
          <w:lang w:eastAsia="zh-CN"/>
        </w:rPr>
        <w:t>8</w:t>
      </w:r>
      <w:r>
        <w:rPr>
          <w:rFonts w:ascii="Times New Roman" w:eastAsia="MS Mincho" w:hAnsi="Times New Roman"/>
          <w:sz w:val="24"/>
          <w:szCs w:val="24"/>
          <w:lang w:eastAsia="zh-CN"/>
        </w:rPr>
        <w:fldChar w:fldCharType="end"/>
      </w:r>
      <w:r w:rsidRPr="006E18A3">
        <w:rPr>
          <w:rFonts w:ascii="Times New Roman" w:eastAsia="MS Mincho" w:hAnsi="Times New Roman"/>
          <w:sz w:val="24"/>
          <w:szCs w:val="24"/>
          <w:lang w:eastAsia="zh-CN"/>
        </w:rPr>
        <w:t xml:space="preserve"> examined whether </w:t>
      </w:r>
      <w:r w:rsidRPr="00F54462">
        <w:rPr>
          <w:rFonts w:ascii="Times New Roman" w:eastAsia="MS Mincho" w:hAnsi="Times New Roman"/>
          <w:i/>
          <w:iCs/>
          <w:sz w:val="24"/>
          <w:szCs w:val="24"/>
          <w:lang w:eastAsia="zh-CN"/>
        </w:rPr>
        <w:t>any</w:t>
      </w:r>
      <w:r w:rsidRPr="006E18A3">
        <w:rPr>
          <w:rFonts w:ascii="Times New Roman" w:eastAsia="MS Mincho" w:hAnsi="Times New Roman"/>
          <w:sz w:val="24"/>
          <w:szCs w:val="24"/>
          <w:lang w:eastAsia="zh-CN"/>
        </w:rPr>
        <w:t xml:space="preserve"> exposure to cannabis (i.e., 1 or more lifetime uses) might result in volume deficits, we hypothesized that structural deficits would only emerge with many lifetime uses, as reflected in our decision to study the </w:t>
      </w:r>
      <w:r w:rsidR="0046232D">
        <w:rPr>
          <w:rFonts w:ascii="Times New Roman" w:eastAsia="MS Mincho" w:hAnsi="Times New Roman"/>
          <w:sz w:val="24"/>
          <w:szCs w:val="24"/>
          <w:lang w:eastAsia="zh-CN"/>
        </w:rPr>
        <w:t>CD</w:t>
      </w:r>
      <w:r w:rsidRPr="006E18A3">
        <w:rPr>
          <w:rFonts w:ascii="Times New Roman" w:eastAsia="MS Mincho" w:hAnsi="Times New Roman"/>
          <w:sz w:val="24"/>
          <w:szCs w:val="24"/>
          <w:lang w:eastAsia="zh-CN"/>
        </w:rPr>
        <w:t xml:space="preserve"> group. However, because using </w:t>
      </w:r>
      <w:r w:rsidR="001F6836">
        <w:rPr>
          <w:rFonts w:ascii="Times New Roman" w:eastAsia="MS Mincho" w:hAnsi="Times New Roman"/>
          <w:sz w:val="24"/>
          <w:szCs w:val="24"/>
          <w:lang w:eastAsia="zh-CN"/>
        </w:rPr>
        <w:t xml:space="preserve">only </w:t>
      </w:r>
      <w:r w:rsidRPr="006E18A3">
        <w:rPr>
          <w:rFonts w:ascii="Times New Roman" w:eastAsia="MS Mincho" w:hAnsi="Times New Roman"/>
          <w:sz w:val="24"/>
          <w:szCs w:val="24"/>
          <w:lang w:eastAsia="zh-CN"/>
        </w:rPr>
        <w:t xml:space="preserve">the </w:t>
      </w:r>
      <w:r w:rsidR="0046232D">
        <w:rPr>
          <w:rFonts w:ascii="Times New Roman" w:eastAsia="MS Mincho" w:hAnsi="Times New Roman"/>
          <w:sz w:val="24"/>
          <w:szCs w:val="24"/>
          <w:lang w:eastAsia="zh-CN"/>
        </w:rPr>
        <w:t>CD</w:t>
      </w:r>
      <w:r w:rsidRPr="006E18A3">
        <w:rPr>
          <w:rFonts w:ascii="Times New Roman" w:eastAsia="MS Mincho" w:hAnsi="Times New Roman"/>
          <w:sz w:val="24"/>
          <w:szCs w:val="24"/>
          <w:lang w:eastAsia="zh-CN"/>
        </w:rPr>
        <w:t xml:space="preserve"> group greatly reduces the number of possible sibling pairs discordant for cannabis exposure, and because the ‘&gt;100 use’ group showed generally similar results to the </w:t>
      </w:r>
      <w:r w:rsidR="0046232D">
        <w:rPr>
          <w:rFonts w:ascii="Times New Roman" w:eastAsia="MS Mincho" w:hAnsi="Times New Roman"/>
          <w:sz w:val="24"/>
          <w:szCs w:val="24"/>
          <w:lang w:eastAsia="zh-CN"/>
        </w:rPr>
        <w:t>CD</w:t>
      </w:r>
      <w:r w:rsidRPr="006E18A3">
        <w:rPr>
          <w:rFonts w:ascii="Times New Roman" w:eastAsia="MS Mincho" w:hAnsi="Times New Roman"/>
          <w:sz w:val="24"/>
          <w:szCs w:val="24"/>
          <w:lang w:eastAsia="zh-CN"/>
        </w:rPr>
        <w:t xml:space="preserve"> </w:t>
      </w:r>
      <w:r w:rsidRPr="00005794">
        <w:rPr>
          <w:rFonts w:ascii="Times New Roman" w:eastAsia="MS Mincho" w:hAnsi="Times New Roman"/>
          <w:sz w:val="24"/>
          <w:szCs w:val="24"/>
          <w:lang w:eastAsia="zh-CN"/>
        </w:rPr>
        <w:t>group</w:t>
      </w:r>
      <w:bookmarkStart w:id="1" w:name="_GoBack"/>
      <w:bookmarkEnd w:id="1"/>
      <w:r w:rsidRPr="00005794">
        <w:rPr>
          <w:rFonts w:ascii="Times New Roman" w:eastAsia="MS Mincho" w:hAnsi="Times New Roman"/>
          <w:sz w:val="24"/>
          <w:szCs w:val="24"/>
          <w:lang w:eastAsia="zh-CN"/>
        </w:rPr>
        <w:t>,</w:t>
      </w:r>
      <w:r w:rsidRPr="006E18A3">
        <w:rPr>
          <w:rFonts w:ascii="Times New Roman" w:eastAsia="MS Mincho" w:hAnsi="Times New Roman"/>
          <w:sz w:val="24"/>
          <w:szCs w:val="24"/>
          <w:lang w:eastAsia="zh-CN"/>
        </w:rPr>
        <w:t xml:space="preserve"> we combined the </w:t>
      </w:r>
      <w:bookmarkStart w:id="2" w:name="_Hlk15556505"/>
      <w:r w:rsidR="0046232D">
        <w:rPr>
          <w:rFonts w:ascii="Times New Roman" w:eastAsia="MS Mincho" w:hAnsi="Times New Roman"/>
          <w:sz w:val="24"/>
          <w:szCs w:val="24"/>
          <w:lang w:eastAsia="zh-CN"/>
        </w:rPr>
        <w:t>CD</w:t>
      </w:r>
      <w:r w:rsidRPr="006E18A3">
        <w:rPr>
          <w:rFonts w:ascii="Times New Roman" w:eastAsia="MS Mincho" w:hAnsi="Times New Roman"/>
          <w:sz w:val="24"/>
          <w:szCs w:val="24"/>
          <w:lang w:eastAsia="zh-CN"/>
        </w:rPr>
        <w:t xml:space="preserve"> and ‘&gt;100 use’ groups </w:t>
      </w:r>
      <w:bookmarkEnd w:id="2"/>
      <w:r w:rsidRPr="006E18A3">
        <w:rPr>
          <w:rFonts w:ascii="Times New Roman" w:eastAsia="MS Mincho" w:hAnsi="Times New Roman"/>
          <w:sz w:val="24"/>
          <w:szCs w:val="24"/>
          <w:lang w:eastAsia="zh-CN"/>
        </w:rPr>
        <w:t xml:space="preserve">into a “high cannabis exposure” group for this analysis. </w:t>
      </w:r>
      <w:bookmarkStart w:id="3" w:name="_Hlk15556276"/>
      <w:r w:rsidRPr="006E18A3">
        <w:rPr>
          <w:rFonts w:ascii="Times New Roman" w:eastAsia="MS Mincho" w:hAnsi="Times New Roman"/>
          <w:sz w:val="24"/>
          <w:szCs w:val="24"/>
          <w:lang w:eastAsia="zh-CN"/>
        </w:rPr>
        <w:t xml:space="preserve">To determine individuals with “low cannabis exposure”, we maintained the cannabis exposure criteria that we used for </w:t>
      </w:r>
      <w:r w:rsidR="00A61EC3">
        <w:rPr>
          <w:rFonts w:ascii="Times New Roman" w:eastAsia="MS Mincho" w:hAnsi="Times New Roman"/>
          <w:sz w:val="24"/>
          <w:szCs w:val="24"/>
          <w:lang w:eastAsia="zh-CN"/>
        </w:rPr>
        <w:t>CTL</w:t>
      </w:r>
      <w:r w:rsidRPr="006E18A3">
        <w:rPr>
          <w:rFonts w:ascii="Times New Roman" w:eastAsia="MS Mincho" w:hAnsi="Times New Roman"/>
          <w:sz w:val="24"/>
          <w:szCs w:val="24"/>
          <w:lang w:eastAsia="zh-CN"/>
        </w:rPr>
        <w:t xml:space="preserve">: &lt; 10 lifetime uses. </w:t>
      </w:r>
      <w:bookmarkStart w:id="4" w:name="_Hlk15381929"/>
      <w:bookmarkEnd w:id="3"/>
      <w:r w:rsidR="00F54462">
        <w:rPr>
          <w:rFonts w:ascii="Times New Roman" w:eastAsia="MS Mincho" w:hAnsi="Times New Roman"/>
          <w:sz w:val="24"/>
          <w:szCs w:val="24"/>
          <w:lang w:eastAsia="zh-CN"/>
        </w:rPr>
        <w:t>Out of 1093 possible sibling pairs in the HCP, we excluded pairs for the following reasons: half-siblings, which can confound interpretation</w:t>
      </w:r>
      <w:r w:rsidR="00F54462">
        <w:rPr>
          <w:rFonts w:ascii="Times New Roman" w:eastAsia="MS Mincho" w:hAnsi="Times New Roman"/>
          <w:sz w:val="24"/>
          <w:szCs w:val="24"/>
          <w:lang w:eastAsia="zh-CN"/>
        </w:rPr>
        <w:fldChar w:fldCharType="begin" w:fldLock="1"/>
      </w:r>
      <w:r w:rsidR="00693368">
        <w:rPr>
          <w:rFonts w:ascii="Times New Roman" w:eastAsia="MS Mincho" w:hAnsi="Times New Roman"/>
          <w:sz w:val="24"/>
          <w:szCs w:val="24"/>
          <w:lang w:eastAsia="zh-CN"/>
        </w:rPr>
        <w:instrText>ADDIN CSL_CITATION {"citationItems":[{"id":"ITEM-1","itemData":{"DOI":"10.1101/204917","ISSN":"0027-8424","PMID":"30154161","abstract":"Recent molecular genetic studies have shown that the majority of genes associated with obesity are expressed in the central nervous system. Obesity has also been associated with neurobehavioural factors such as brain morphology, cognitive performance, and personality. Here, we tested whether these neurobehavioural factors were associated with the heritable variance in obesity measured by body mass index (BMI) in the Human Connectome Project (N=895 siblings). Phenotypically, cortical thickness findings supported the \"right brain hypothesis\" for obesity. Namely, increased BMI associated with decreased cortical thickness in right frontal lobe and increased thickness in the left frontal lobe, notably in lateral prefrontal cortex. In addition, lower thickness and volume in entorhinal-parahippocampal structures, and increased thickness in parietal-occipital structures in obese participants supported the role of visuospatial function in obesity. Brain morphometry results were supported by cognitive tests, which outlined obesity's negative association with visuospatial function, verbal episodic memory, impulsivity, and cognitive flexibility. Personality-obesity correlations were inconsistent. We then aggregated the effects for each neurobehavioural factor for a behavioural genetics analysis and demonstrated the factors' genetic overlap with obesity. Namely, cognitive test scores and brain morphometry had 0.25 - 0.45 genetic correlations with obesity, and the phenotypic correlations with obesity were 77-89% explained by genetic factors. Neurobehavioural factors also had some genetic overlap with each other. In summary, obesity has considerable genetic overlap with brain and cognitive measures. This supports the theory that obesity is inherited via brain function, and may inform intervention strategies.","author":[{"dropping-particle":"","family":"Vainik","given":"Uku","non-dropping-particle":"","parse-names":false,"suffix":""},{"dropping-particle":"","family":"Baker","given":"Travis B.","non-dropping-particle":"","parse-names":false,"suffix":""},{"dropping-particle":"","family":"Dadar","given":"Mahsa","non-dropping-particle":"","parse-names":false,"suffix":""},{"dropping-particle":"","family":"Zeighami","given":"Yashar","non-dropping-particle":"","parse-names":false,"suffix":""},{"dropping-particle":"","family":"Michaud","given":"Andréanne","non-dropping-particle":"","parse-names":false,"suffix":""},{"dropping-particle":"","family":"Zhang","given":"Yu","non-dropping-particle":"","parse-names":false,"suffix":""},{"dropping-particle":"","family":"Alanis","given":"Jose C. G.","non-dropping-particle":"","parse-names":false,"suffix":""},{"dropping-particle":"","family":"Misic","given":"Bratislav","non-dropping-particle":"","parse-names":false,"suffix":""},{"dropping-particle":"","family":"Collins","given":"D. Louis","non-dropping-particle":"","parse-names":false,"suffix":""},{"dropping-particle":"","family":"Dagher","given":"Alain","non-dropping-particle":"","parse-names":false,"suffix":""}],"container-title":"Proceedings of the National Academy of Sciences","id":"ITEM-1","issue":"37","issued":{"date-parts":[["2018"]]},"page":"9312-9317","title":"Neurobehavioural Correlates of Obesity are Largely Heritable","type":"article-journal","volume":"115"},"uris":["http://www.mendeley.com/documents/?uuid=200b0642-dd40-4bed-9cc0-2b17656a093d"]}],"mendeley":{"formattedCitation":"&lt;sup&gt;9&lt;/sup&gt;","plainTextFormattedCitation":"9","previouslyFormattedCitation":"&lt;sup&gt;9&lt;/sup&gt;"},"properties":{"noteIndex":0},"schema":"https://github.com/citation-style-language/schema/raw/master/csl-citation.json"}</w:instrText>
      </w:r>
      <w:r w:rsidR="00F54462">
        <w:rPr>
          <w:rFonts w:ascii="Times New Roman" w:eastAsia="MS Mincho" w:hAnsi="Times New Roman"/>
          <w:sz w:val="24"/>
          <w:szCs w:val="24"/>
          <w:lang w:eastAsia="zh-CN"/>
        </w:rPr>
        <w:fldChar w:fldCharType="separate"/>
      </w:r>
      <w:r w:rsidR="00F54462" w:rsidRPr="00F54462">
        <w:rPr>
          <w:rFonts w:ascii="Times New Roman" w:eastAsia="MS Mincho" w:hAnsi="Times New Roman"/>
          <w:noProof/>
          <w:sz w:val="24"/>
          <w:szCs w:val="24"/>
          <w:vertAlign w:val="superscript"/>
          <w:lang w:eastAsia="zh-CN"/>
        </w:rPr>
        <w:t>9</w:t>
      </w:r>
      <w:r w:rsidR="00F54462">
        <w:rPr>
          <w:rFonts w:ascii="Times New Roman" w:eastAsia="MS Mincho" w:hAnsi="Times New Roman"/>
          <w:sz w:val="24"/>
          <w:szCs w:val="24"/>
          <w:lang w:eastAsia="zh-CN"/>
        </w:rPr>
        <w:fldChar w:fldCharType="end"/>
      </w:r>
      <w:r w:rsidR="00F54462">
        <w:rPr>
          <w:rFonts w:ascii="Times New Roman" w:eastAsia="MS Mincho" w:hAnsi="Times New Roman"/>
          <w:sz w:val="24"/>
          <w:szCs w:val="24"/>
          <w:lang w:eastAsia="zh-CN"/>
        </w:rPr>
        <w:t xml:space="preserve"> (4 pairs); individuals without </w:t>
      </w:r>
      <w:proofErr w:type="spellStart"/>
      <w:r w:rsidR="00F54462">
        <w:rPr>
          <w:rFonts w:ascii="Times New Roman" w:eastAsia="MS Mincho" w:hAnsi="Times New Roman"/>
          <w:sz w:val="24"/>
          <w:szCs w:val="24"/>
          <w:lang w:eastAsia="zh-CN"/>
        </w:rPr>
        <w:t>Freesurfer</w:t>
      </w:r>
      <w:proofErr w:type="spellEnd"/>
      <w:r w:rsidR="00F54462">
        <w:rPr>
          <w:rFonts w:ascii="Times New Roman" w:eastAsia="MS Mincho" w:hAnsi="Times New Roman"/>
          <w:sz w:val="24"/>
          <w:szCs w:val="24"/>
          <w:lang w:eastAsia="zh-CN"/>
        </w:rPr>
        <w:t xml:space="preserve"> data that passed quality control (135 pairs); and individuals that did not meet criteria for heavy cannabis use, but still had &gt;10 lifetime uses (i.e.</w:t>
      </w:r>
      <w:r w:rsidR="00EB3692">
        <w:rPr>
          <w:rFonts w:ascii="Times New Roman" w:eastAsia="MS Mincho" w:hAnsi="Times New Roman"/>
          <w:sz w:val="24"/>
          <w:szCs w:val="24"/>
          <w:lang w:eastAsia="zh-CN"/>
        </w:rPr>
        <w:t>,</w:t>
      </w:r>
      <w:r w:rsidR="00F54462">
        <w:rPr>
          <w:rFonts w:ascii="Times New Roman" w:eastAsia="MS Mincho" w:hAnsi="Times New Roman"/>
          <w:sz w:val="24"/>
          <w:szCs w:val="24"/>
          <w:lang w:eastAsia="zh-CN"/>
        </w:rPr>
        <w:t xml:space="preserve"> 11-99 lifetime uses; 134 pairs). After </w:t>
      </w:r>
      <w:r>
        <w:rPr>
          <w:rFonts w:ascii="Times New Roman" w:eastAsia="MS Mincho" w:hAnsi="Times New Roman"/>
          <w:sz w:val="24"/>
          <w:szCs w:val="24"/>
          <w:lang w:eastAsia="zh-CN"/>
        </w:rPr>
        <w:t xml:space="preserve">applying </w:t>
      </w:r>
      <w:r w:rsidRPr="006E18A3">
        <w:rPr>
          <w:rFonts w:ascii="Times New Roman" w:eastAsia="MS Mincho" w:hAnsi="Times New Roman"/>
          <w:sz w:val="24"/>
          <w:szCs w:val="24"/>
          <w:lang w:eastAsia="zh-CN"/>
        </w:rPr>
        <w:t xml:space="preserve">these criteria, </w:t>
      </w:r>
      <w:bookmarkStart w:id="5" w:name="_Hlk15556550"/>
      <w:r>
        <w:rPr>
          <w:rFonts w:ascii="Times New Roman" w:eastAsia="MS Mincho" w:hAnsi="Times New Roman"/>
          <w:sz w:val="24"/>
          <w:szCs w:val="24"/>
          <w:lang w:eastAsia="zh-CN"/>
        </w:rPr>
        <w:t>our final sample was 820 sibling pairs</w:t>
      </w:r>
      <w:r w:rsidR="008B2DCD">
        <w:rPr>
          <w:rFonts w:ascii="Times New Roman" w:eastAsia="MS Mincho" w:hAnsi="Times New Roman"/>
          <w:sz w:val="24"/>
          <w:szCs w:val="24"/>
          <w:lang w:eastAsia="zh-CN"/>
        </w:rPr>
        <w:t xml:space="preserve"> from 347 families</w:t>
      </w:r>
      <w:r>
        <w:rPr>
          <w:rFonts w:ascii="Times New Roman" w:eastAsia="MS Mincho" w:hAnsi="Times New Roman"/>
          <w:sz w:val="24"/>
          <w:szCs w:val="24"/>
          <w:lang w:eastAsia="zh-CN"/>
        </w:rPr>
        <w:t xml:space="preserve"> (41 pairs concordant for high exposure, 647 pairs concordant for low exposure, and 132 pairs discordant for exposure; for full details, </w:t>
      </w:r>
      <w:r w:rsidRPr="00005794">
        <w:rPr>
          <w:rFonts w:ascii="Times New Roman" w:eastAsia="MS Mincho" w:hAnsi="Times New Roman"/>
          <w:sz w:val="24"/>
          <w:szCs w:val="24"/>
          <w:lang w:eastAsia="zh-CN"/>
        </w:rPr>
        <w:t xml:space="preserve">see </w:t>
      </w:r>
      <w:r w:rsidRPr="00005794">
        <w:rPr>
          <w:rFonts w:ascii="Times New Roman" w:eastAsia="MS Mincho" w:hAnsi="Times New Roman"/>
          <w:b/>
          <w:bCs/>
          <w:sz w:val="24"/>
          <w:szCs w:val="24"/>
          <w:lang w:eastAsia="zh-CN"/>
        </w:rPr>
        <w:t xml:space="preserve">Supplementary Table </w:t>
      </w:r>
      <w:r w:rsidR="00005794" w:rsidRPr="00005794">
        <w:rPr>
          <w:rFonts w:ascii="Times New Roman" w:eastAsia="MS Mincho" w:hAnsi="Times New Roman"/>
          <w:b/>
          <w:bCs/>
          <w:sz w:val="24"/>
          <w:szCs w:val="24"/>
          <w:lang w:eastAsia="zh-CN"/>
        </w:rPr>
        <w:t>3</w:t>
      </w:r>
      <w:r w:rsidRPr="00005794">
        <w:rPr>
          <w:rFonts w:ascii="Times New Roman" w:eastAsia="MS Mincho" w:hAnsi="Times New Roman"/>
          <w:sz w:val="24"/>
          <w:szCs w:val="24"/>
          <w:lang w:eastAsia="zh-CN"/>
        </w:rPr>
        <w:t>)</w:t>
      </w:r>
      <w:bookmarkEnd w:id="5"/>
      <w:r w:rsidRPr="00005794">
        <w:rPr>
          <w:rFonts w:ascii="Times New Roman" w:eastAsia="MS Mincho" w:hAnsi="Times New Roman"/>
          <w:sz w:val="24"/>
          <w:szCs w:val="24"/>
          <w:lang w:eastAsia="zh-CN"/>
        </w:rPr>
        <w:t>.</w:t>
      </w:r>
      <w:r w:rsidRPr="006E18A3">
        <w:rPr>
          <w:rFonts w:ascii="Times New Roman" w:eastAsia="MS Mincho" w:hAnsi="Times New Roman"/>
          <w:sz w:val="24"/>
          <w:szCs w:val="24"/>
          <w:lang w:eastAsia="zh-CN"/>
        </w:rPr>
        <w:t xml:space="preserve"> </w:t>
      </w:r>
      <w:bookmarkStart w:id="6" w:name="_Hlk15562691"/>
      <w:bookmarkEnd w:id="4"/>
      <w:r w:rsidRPr="006E18A3">
        <w:rPr>
          <w:rFonts w:ascii="Times New Roman" w:eastAsia="MS Mincho" w:hAnsi="Times New Roman"/>
          <w:sz w:val="24"/>
          <w:szCs w:val="24"/>
          <w:lang w:eastAsia="zh-CN"/>
        </w:rPr>
        <w:t xml:space="preserve">Similar to </w:t>
      </w:r>
      <w:proofErr w:type="spellStart"/>
      <w:r w:rsidRPr="006E18A3">
        <w:rPr>
          <w:rFonts w:ascii="Times New Roman" w:eastAsia="MS Mincho" w:hAnsi="Times New Roman"/>
          <w:sz w:val="24"/>
          <w:szCs w:val="24"/>
          <w:lang w:eastAsia="zh-CN"/>
        </w:rPr>
        <w:t>Pagliaccio</w:t>
      </w:r>
      <w:proofErr w:type="spellEnd"/>
      <w:r w:rsidRPr="006E18A3">
        <w:rPr>
          <w:rFonts w:ascii="Times New Roman" w:eastAsia="MS Mincho" w:hAnsi="Times New Roman"/>
          <w:sz w:val="24"/>
          <w:szCs w:val="24"/>
          <w:lang w:eastAsia="zh-CN"/>
        </w:rPr>
        <w:t xml:space="preserve"> et al., we used a linear mixed model to examine the effects of cannabis exposure on Left </w:t>
      </w:r>
      <w:proofErr w:type="spellStart"/>
      <w:r w:rsidRPr="006E18A3">
        <w:rPr>
          <w:rFonts w:ascii="Times New Roman" w:eastAsia="MS Mincho" w:hAnsi="Times New Roman"/>
          <w:sz w:val="24"/>
          <w:szCs w:val="24"/>
          <w:lang w:eastAsia="zh-CN"/>
        </w:rPr>
        <w:t>Precuneus</w:t>
      </w:r>
      <w:proofErr w:type="spellEnd"/>
      <w:r w:rsidRPr="006E18A3">
        <w:rPr>
          <w:rFonts w:ascii="Times New Roman" w:eastAsia="MS Mincho" w:hAnsi="Times New Roman"/>
          <w:sz w:val="24"/>
          <w:szCs w:val="24"/>
          <w:lang w:eastAsia="zh-CN"/>
        </w:rPr>
        <w:t xml:space="preserve"> Cortical Thickness, with individuals nested inside of sibling pairs that were nested inside of families</w:t>
      </w:r>
      <w:r>
        <w:rPr>
          <w:rFonts w:ascii="Times New Roman" w:eastAsia="MS Mincho" w:hAnsi="Times New Roman"/>
          <w:sz w:val="24"/>
          <w:szCs w:val="24"/>
          <w:lang w:eastAsia="zh-CN"/>
        </w:rPr>
        <w:t xml:space="preserve">, using the </w:t>
      </w:r>
      <w:proofErr w:type="spellStart"/>
      <w:r>
        <w:rPr>
          <w:rFonts w:ascii="Times New Roman" w:eastAsia="MS Mincho" w:hAnsi="Times New Roman"/>
          <w:i/>
          <w:iCs/>
          <w:sz w:val="24"/>
          <w:szCs w:val="24"/>
          <w:lang w:eastAsia="zh-CN"/>
        </w:rPr>
        <w:t>lme</w:t>
      </w:r>
      <w:r w:rsidR="00E91215">
        <w:rPr>
          <w:rFonts w:ascii="Times New Roman" w:eastAsia="MS Mincho" w:hAnsi="Times New Roman"/>
          <w:i/>
          <w:iCs/>
          <w:sz w:val="24"/>
          <w:szCs w:val="24"/>
          <w:lang w:eastAsia="zh-CN"/>
        </w:rPr>
        <w:t>r</w:t>
      </w:r>
      <w:proofErr w:type="spellEnd"/>
      <w:r>
        <w:rPr>
          <w:rFonts w:ascii="Times New Roman" w:eastAsia="MS Mincho" w:hAnsi="Times New Roman"/>
          <w:sz w:val="24"/>
          <w:szCs w:val="24"/>
          <w:lang w:eastAsia="zh-CN"/>
        </w:rPr>
        <w:t xml:space="preserve"> function</w:t>
      </w:r>
      <w:r w:rsidR="00E91215">
        <w:rPr>
          <w:rFonts w:ascii="Times New Roman" w:eastAsia="MS Mincho" w:hAnsi="Times New Roman"/>
          <w:sz w:val="24"/>
          <w:szCs w:val="24"/>
          <w:lang w:eastAsia="zh-CN"/>
        </w:rPr>
        <w:fldChar w:fldCharType="begin" w:fldLock="1"/>
      </w:r>
      <w:r w:rsidR="00693368">
        <w:rPr>
          <w:rFonts w:ascii="Times New Roman" w:eastAsia="MS Mincho" w:hAnsi="Times New Roman"/>
          <w:sz w:val="24"/>
          <w:szCs w:val="24"/>
          <w:lang w:eastAsia="zh-CN"/>
        </w:rPr>
        <w:instrText>ADDIN CSL_CITATION {"citationItems":[{"id":"ITEM-1","itemData":{"DOI":"10.18637/jss.v067.i01","ISBN":"%(","ISSN":"1548-7660","PMID":"20043131029","abstract":"Fit linear and generalized linear mixed-effects models. The models and their components are represented using S4 classes and methods. The core computational algorithms are implemented using the 'Eigen' C++ library for numerical linear algebra and 'RcppEigen' ``glue''","author":[{"dropping-particle":"","family":"Bates D","given":"","non-dropping-particle":"","parse-names":false,"suffix":""},{"dropping-particle":"","family":"Maechler M","given":"","non-dropping-particle":"","parse-names":false,"suffix":""},{"dropping-particle":"","family":"Bolker B","given":"","non-dropping-particle":"","parse-names":false,"suffix":""},{"dropping-particle":"","family":"Walker S","given":"","non-dropping-particle":"","parse-names":false,"suffix":""}],"container-title":"Journal of Statistical Software","id":"ITEM-1","issued":{"date-parts":[["2015"]]},"title":"Fitting Linear Mixed-Effects Models Using lme4.","type":"article-journal"},"uris":["http://www.mendeley.com/documents/?uuid=204ceeff-c354-4114-8f09-b7632f228231"]}],"mendeley":{"formattedCitation":"&lt;sup&gt;10&lt;/sup&gt;","plainTextFormattedCitation":"10","previouslyFormattedCitation":"&lt;sup&gt;10&lt;/sup&gt;"},"properties":{"noteIndex":0},"schema":"https://github.com/citation-style-language/schema/raw/master/csl-citation.json"}</w:instrText>
      </w:r>
      <w:r w:rsidR="00E91215">
        <w:rPr>
          <w:rFonts w:ascii="Times New Roman" w:eastAsia="MS Mincho" w:hAnsi="Times New Roman"/>
          <w:sz w:val="24"/>
          <w:szCs w:val="24"/>
          <w:lang w:eastAsia="zh-CN"/>
        </w:rPr>
        <w:fldChar w:fldCharType="separate"/>
      </w:r>
      <w:r w:rsidR="00F54462" w:rsidRPr="00F54462">
        <w:rPr>
          <w:rFonts w:ascii="Times New Roman" w:eastAsia="MS Mincho" w:hAnsi="Times New Roman"/>
          <w:noProof/>
          <w:sz w:val="24"/>
          <w:szCs w:val="24"/>
          <w:vertAlign w:val="superscript"/>
          <w:lang w:eastAsia="zh-CN"/>
        </w:rPr>
        <w:t>10</w:t>
      </w:r>
      <w:r w:rsidR="00E91215">
        <w:rPr>
          <w:rFonts w:ascii="Times New Roman" w:eastAsia="MS Mincho" w:hAnsi="Times New Roman"/>
          <w:sz w:val="24"/>
          <w:szCs w:val="24"/>
          <w:lang w:eastAsia="zh-CN"/>
        </w:rPr>
        <w:fldChar w:fldCharType="end"/>
      </w:r>
      <w:r>
        <w:rPr>
          <w:rFonts w:ascii="Times New Roman" w:eastAsia="MS Mincho" w:hAnsi="Times New Roman"/>
          <w:sz w:val="24"/>
          <w:szCs w:val="24"/>
          <w:lang w:eastAsia="zh-CN"/>
        </w:rPr>
        <w:t xml:space="preserve"> </w:t>
      </w:r>
      <w:r w:rsidR="00E91215">
        <w:rPr>
          <w:rFonts w:ascii="Times New Roman" w:eastAsia="MS Mincho" w:hAnsi="Times New Roman"/>
          <w:sz w:val="24"/>
          <w:szCs w:val="24"/>
          <w:lang w:eastAsia="zh-CN"/>
        </w:rPr>
        <w:t>in R</w:t>
      </w:r>
      <w:r>
        <w:rPr>
          <w:rFonts w:ascii="Times New Roman" w:eastAsia="MS Mincho" w:hAnsi="Times New Roman"/>
          <w:sz w:val="24"/>
          <w:szCs w:val="24"/>
          <w:lang w:eastAsia="zh-CN"/>
        </w:rPr>
        <w:t>.</w:t>
      </w:r>
      <w:r w:rsidRPr="006E18A3">
        <w:rPr>
          <w:rFonts w:ascii="Times New Roman" w:eastAsia="MS Mincho" w:hAnsi="Times New Roman"/>
          <w:sz w:val="24"/>
          <w:szCs w:val="24"/>
          <w:lang w:eastAsia="zh-CN"/>
        </w:rPr>
        <w:t xml:space="preserve"> </w:t>
      </w:r>
      <w:bookmarkEnd w:id="6"/>
    </w:p>
    <w:p w14:paraId="74E38ECD" w14:textId="226C42F5" w:rsidR="00B2340D" w:rsidRDefault="00E91215" w:rsidP="00B2340D">
      <w:pPr>
        <w:spacing w:line="276" w:lineRule="auto"/>
        <w:ind w:firstLine="720"/>
        <w:rPr>
          <w:rFonts w:ascii="Times New Roman" w:eastAsia="MS Mincho" w:hAnsi="Times New Roman"/>
          <w:sz w:val="24"/>
          <w:szCs w:val="24"/>
          <w:lang w:eastAsia="zh-CN"/>
        </w:rPr>
      </w:pPr>
      <w:r>
        <w:rPr>
          <w:rFonts w:ascii="Times New Roman" w:eastAsia="MS Mincho" w:hAnsi="Times New Roman"/>
          <w:sz w:val="24"/>
          <w:szCs w:val="24"/>
          <w:lang w:eastAsia="zh-CN"/>
        </w:rPr>
        <w:lastRenderedPageBreak/>
        <w:t xml:space="preserve">Importantly, we did not remove opposite-sex pairs discordant for cannabis use from our analysis, </w:t>
      </w:r>
      <w:r w:rsidR="00EB4C0C">
        <w:rPr>
          <w:rFonts w:ascii="Times New Roman" w:eastAsia="MS Mincho" w:hAnsi="Times New Roman"/>
          <w:sz w:val="24"/>
          <w:szCs w:val="24"/>
          <w:lang w:eastAsia="zh-CN"/>
        </w:rPr>
        <w:t xml:space="preserve">unlike </w:t>
      </w:r>
      <w:r w:rsidR="00D458D5">
        <w:rPr>
          <w:rFonts w:ascii="Times New Roman" w:eastAsia="MS Mincho" w:hAnsi="Times New Roman"/>
          <w:sz w:val="24"/>
          <w:szCs w:val="24"/>
          <w:lang w:eastAsia="zh-CN"/>
        </w:rPr>
        <w:t xml:space="preserve">the </w:t>
      </w:r>
      <w:proofErr w:type="spellStart"/>
      <w:r>
        <w:rPr>
          <w:rFonts w:ascii="Times New Roman" w:eastAsia="MS Mincho" w:hAnsi="Times New Roman"/>
          <w:sz w:val="24"/>
          <w:szCs w:val="24"/>
          <w:lang w:eastAsia="zh-CN"/>
        </w:rPr>
        <w:t>Pagliaccio</w:t>
      </w:r>
      <w:proofErr w:type="spellEnd"/>
      <w:r>
        <w:rPr>
          <w:rFonts w:ascii="Times New Roman" w:eastAsia="MS Mincho" w:hAnsi="Times New Roman"/>
          <w:sz w:val="24"/>
          <w:szCs w:val="24"/>
          <w:lang w:eastAsia="zh-CN"/>
        </w:rPr>
        <w:t xml:space="preserve"> et al.</w:t>
      </w:r>
      <w:r w:rsidR="00D458D5">
        <w:rPr>
          <w:rFonts w:ascii="Times New Roman" w:eastAsia="MS Mincho" w:hAnsi="Times New Roman"/>
          <w:sz w:val="24"/>
          <w:szCs w:val="24"/>
          <w:lang w:eastAsia="zh-CN"/>
        </w:rPr>
        <w:t xml:space="preserve"> study</w:t>
      </w:r>
      <w:r>
        <w:rPr>
          <w:rFonts w:ascii="Times New Roman" w:eastAsia="MS Mincho" w:hAnsi="Times New Roman"/>
          <w:sz w:val="24"/>
          <w:szCs w:val="24"/>
          <w:lang w:eastAsia="zh-CN"/>
        </w:rPr>
        <w:fldChar w:fldCharType="begin" w:fldLock="1"/>
      </w:r>
      <w:r>
        <w:rPr>
          <w:rFonts w:ascii="Times New Roman" w:eastAsia="MS Mincho" w:hAnsi="Times New Roman"/>
          <w:sz w:val="24"/>
          <w:szCs w:val="24"/>
          <w:lang w:eastAsia="zh-CN"/>
        </w:rPr>
        <w:instrText>ADDIN CSL_CITATION {"citationItems":[{"id":"ITEM-1","itemData":{"DOI":"10.1001/jamapsychiatry.2015.1054","ISBN":"2168-6238 (Electronic)\\r2168-622X (Linking)","ISSN":"2168-6238","PMID":"26308883","abstract":"IMPORTANCE: Prior neuroimaging studies have suggested that alterations in brain structure may be a consequence of cannabis use. Siblings discordant for cannabis use offer an opportunity to use cross-sectional data to disentangle such causal hypotheses from shared effects of genetics and familial environment on brain structure and cannabis use.\\n\\nOBJECTIVES: To determine whether cannabis use is associated with differences in brain structure in a large sample of twins/siblings and to examine sibling pairs discordant for cannabis use to separate potential causal and predispositional factors linking lifetime cannabis exposure to volumetric alterations.\\n\\nDESIGN, SETTING, AND PARTICIPANTS: Cross-sectional diagnostic interview, behavioral, and neuroimaging data were collected from community sampling and established family registries from August 2012 to September 2014. This study included data from 483 participants (22-35 years old) enrolled in the ongoing Human Connectome Project, with 262 participants reporting cannabis exposure (ie, ever used cannabis in their lifetime).\\n\\nMAIN OUTCOMES AND MEASURES: Cannabis exposure was measured with the Semi-Structured Assessment for the Genetics of Alcoholism. Whole-brain, hippocampus, amygdala, ventral striatum, and orbitofrontal cortex volumes were related to lifetime cannabis use (ever used, age at onset, and frequency of use) using linear regressions. Genetic (ρg) and environmental (ρe) correlations between cannabis use and brain volumes were estimated. Linear mixed models were used to examine volume differences in sex-matched concordant unexposed (n = 71 pairs), exposed (n = 81 pairs), or exposure discordant (n = 89 pairs) sibling pairs.\\n\\nRESULTS: Among 483 study participants, cannabis exposure was related to smaller left amygdala (approximately 2.3%; P = .007) and right ventral striatum (approximately 3.5%; P &lt; .005) volumes. These volumetric differences were within the range of normal variation. The association between left amygdala volume and cannabis use was largely owing to shared genetic factors (ρg = -0.43; P = .004), while the origin of the association with right ventral striatum volumes was unclear. Importantly, brain volumes did not differ between sex-matched siblings discordant for use (fixed effect = -7.43; t = -0.93, P = .35). Both the exposed and unexposed siblings in pairs discordant for cannabis exposure showed reduced amygdala volumes relative to members of concordant unexposed pairs (fixed ef…","author":[{"dropping-particle":"","family":"Pagliaccio","given":"David","non-dropping-particle":"","parse-names":false,"suffix":""},{"dropping-particle":"","family":"Barch","given":"Deanna M.","non-dropping-particle":"","parse-names":false,"suffix":""},{"dropping-particle":"","family":"Bogdan","given":"Ryan","non-dropping-particle":"","parse-names":false,"suffix":""},{"dropping-particle":"","family":"Wood","given":"Phillip K","non-dropping-particle":"","parse-names":false,"suffix":""},{"dropping-particle":"","family":"Lynskey","given":"Michael T","non-dropping-particle":"","parse-names":false,"suffix":""},{"dropping-particle":"","family":"Heath","given":"Andrew C","non-dropping-particle":"","parse-names":false,"suffix":""},{"dropping-particle":"","family":"Agrawal","given":"Arpana","non-dropping-particle":"","parse-names":false,"suffix":""}],"container-title":"JAMA psychiatry","id":"ITEM-1","issue":"10","issued":{"date-parts":[["2015"]]},"page":"994-1001","title":"Shared Predisposition in the Association Between Cannabis Use and Subcortical Brain Structure.","type":"article-journal","volume":"72"},"uris":["http://www.mendeley.com/documents/?uuid=3e31672e-3f30-4052-a57d-13ac7e570b7c"]}],"mendeley":{"formattedCitation":"&lt;sup&gt;8&lt;/sup&gt;","plainTextFormattedCitation":"8","previouslyFormattedCitation":"&lt;sup&gt;8&lt;/sup&gt;"},"properties":{"noteIndex":0},"schema":"https://github.com/citation-style-language/schema/raw/master/csl-citation.json"}</w:instrText>
      </w:r>
      <w:r>
        <w:rPr>
          <w:rFonts w:ascii="Times New Roman" w:eastAsia="MS Mincho" w:hAnsi="Times New Roman"/>
          <w:sz w:val="24"/>
          <w:szCs w:val="24"/>
          <w:lang w:eastAsia="zh-CN"/>
        </w:rPr>
        <w:fldChar w:fldCharType="separate"/>
      </w:r>
      <w:r w:rsidRPr="00E91215">
        <w:rPr>
          <w:rFonts w:ascii="Times New Roman" w:eastAsia="MS Mincho" w:hAnsi="Times New Roman"/>
          <w:noProof/>
          <w:sz w:val="24"/>
          <w:szCs w:val="24"/>
          <w:vertAlign w:val="superscript"/>
          <w:lang w:eastAsia="zh-CN"/>
        </w:rPr>
        <w:t>8</w:t>
      </w:r>
      <w:r>
        <w:rPr>
          <w:rFonts w:ascii="Times New Roman" w:eastAsia="MS Mincho" w:hAnsi="Times New Roman"/>
          <w:sz w:val="24"/>
          <w:szCs w:val="24"/>
          <w:lang w:eastAsia="zh-CN"/>
        </w:rPr>
        <w:fldChar w:fldCharType="end"/>
      </w:r>
      <w:r>
        <w:rPr>
          <w:rFonts w:ascii="Times New Roman" w:eastAsia="MS Mincho" w:hAnsi="Times New Roman"/>
          <w:sz w:val="24"/>
          <w:szCs w:val="24"/>
          <w:lang w:eastAsia="zh-CN"/>
        </w:rPr>
        <w:t xml:space="preserve">. This is because the prior study examined subcortical volumes, which systematically differ between males and females; however in the current analysis we examined cortical thickness, which does not show statistically significant </w:t>
      </w:r>
      <w:r w:rsidR="00B2340D">
        <w:rPr>
          <w:rFonts w:ascii="Times New Roman" w:eastAsia="MS Mincho" w:hAnsi="Times New Roman"/>
          <w:sz w:val="24"/>
          <w:szCs w:val="24"/>
          <w:lang w:eastAsia="zh-CN"/>
        </w:rPr>
        <w:t>sex</w:t>
      </w:r>
      <w:r>
        <w:rPr>
          <w:rFonts w:ascii="Times New Roman" w:eastAsia="MS Mincho" w:hAnsi="Times New Roman"/>
          <w:sz w:val="24"/>
          <w:szCs w:val="24"/>
          <w:lang w:eastAsia="zh-CN"/>
        </w:rPr>
        <w:t xml:space="preserve"> effects </w:t>
      </w:r>
      <w:r w:rsidR="00B2340D">
        <w:rPr>
          <w:rFonts w:ascii="Times New Roman" w:eastAsia="MS Mincho" w:hAnsi="Times New Roman"/>
          <w:sz w:val="24"/>
          <w:szCs w:val="24"/>
          <w:lang w:eastAsia="zh-CN"/>
        </w:rPr>
        <w:t xml:space="preserve">for the left </w:t>
      </w:r>
      <w:proofErr w:type="spellStart"/>
      <w:r w:rsidR="00B2340D">
        <w:rPr>
          <w:rFonts w:ascii="Times New Roman" w:eastAsia="MS Mincho" w:hAnsi="Times New Roman"/>
          <w:sz w:val="24"/>
          <w:szCs w:val="24"/>
          <w:lang w:eastAsia="zh-CN"/>
        </w:rPr>
        <w:t>precuneus</w:t>
      </w:r>
      <w:proofErr w:type="spellEnd"/>
      <w:r w:rsidR="00B2340D">
        <w:rPr>
          <w:rFonts w:ascii="Times New Roman" w:eastAsia="MS Mincho" w:hAnsi="Times New Roman"/>
          <w:sz w:val="24"/>
          <w:szCs w:val="24"/>
          <w:lang w:eastAsia="zh-CN"/>
        </w:rPr>
        <w:t xml:space="preserve"> region of interest </w:t>
      </w:r>
      <w:r>
        <w:rPr>
          <w:rFonts w:ascii="Times New Roman" w:eastAsia="MS Mincho" w:hAnsi="Times New Roman"/>
          <w:sz w:val="24"/>
          <w:szCs w:val="24"/>
          <w:lang w:eastAsia="zh-CN"/>
        </w:rPr>
        <w:t>(</w:t>
      </w:r>
      <w:r>
        <w:rPr>
          <w:rFonts w:ascii="Times New Roman" w:eastAsia="MS Mincho" w:hAnsi="Times New Roman"/>
          <w:i/>
          <w:iCs/>
          <w:sz w:val="24"/>
          <w:szCs w:val="24"/>
          <w:lang w:eastAsia="zh-CN"/>
        </w:rPr>
        <w:t>t</w:t>
      </w:r>
      <w:r w:rsidRPr="006E18A3">
        <w:rPr>
          <w:rFonts w:ascii="Times New Roman" w:eastAsia="MS Mincho" w:hAnsi="Times New Roman"/>
          <w:sz w:val="24"/>
          <w:szCs w:val="24"/>
          <w:vertAlign w:val="subscript"/>
          <w:lang w:eastAsia="zh-CN"/>
        </w:rPr>
        <w:t>(</w:t>
      </w:r>
      <w:r>
        <w:rPr>
          <w:rFonts w:ascii="Times New Roman" w:eastAsia="MS Mincho" w:hAnsi="Times New Roman"/>
          <w:sz w:val="24"/>
          <w:szCs w:val="24"/>
          <w:vertAlign w:val="subscript"/>
          <w:lang w:eastAsia="zh-CN"/>
        </w:rPr>
        <w:t>1111</w:t>
      </w:r>
      <w:r w:rsidRPr="006E18A3">
        <w:rPr>
          <w:rFonts w:ascii="Times New Roman" w:eastAsia="MS Mincho" w:hAnsi="Times New Roman"/>
          <w:sz w:val="24"/>
          <w:szCs w:val="24"/>
          <w:vertAlign w:val="subscript"/>
          <w:lang w:eastAsia="zh-CN"/>
        </w:rPr>
        <w:t>)</w:t>
      </w:r>
      <w:r w:rsidRPr="006E18A3">
        <w:rPr>
          <w:rFonts w:ascii="Times New Roman" w:eastAsia="MS Mincho" w:hAnsi="Times New Roman"/>
          <w:sz w:val="24"/>
          <w:szCs w:val="24"/>
          <w:lang w:eastAsia="zh-CN"/>
        </w:rPr>
        <w:t xml:space="preserve"> </w:t>
      </w:r>
      <w:r>
        <w:rPr>
          <w:rFonts w:ascii="Times New Roman" w:eastAsia="MS Mincho" w:hAnsi="Times New Roman"/>
          <w:sz w:val="24"/>
          <w:szCs w:val="24"/>
          <w:lang w:eastAsia="zh-CN"/>
        </w:rPr>
        <w:t xml:space="preserve">= -0.473, </w:t>
      </w:r>
      <w:r>
        <w:rPr>
          <w:rFonts w:ascii="Times New Roman" w:eastAsia="MS Mincho" w:hAnsi="Times New Roman"/>
          <w:i/>
          <w:iCs/>
          <w:sz w:val="24"/>
          <w:szCs w:val="24"/>
          <w:lang w:eastAsia="zh-CN"/>
        </w:rPr>
        <w:t xml:space="preserve">p </w:t>
      </w:r>
      <w:r>
        <w:rPr>
          <w:rFonts w:ascii="Times New Roman" w:eastAsia="MS Mincho" w:hAnsi="Times New Roman"/>
          <w:sz w:val="24"/>
          <w:szCs w:val="24"/>
          <w:lang w:eastAsia="zh-CN"/>
        </w:rPr>
        <w:t>= .636). In fact, equivalence testing</w:t>
      </w:r>
      <w:r>
        <w:rPr>
          <w:rFonts w:ascii="Times New Roman" w:eastAsia="MS Mincho" w:hAnsi="Times New Roman"/>
          <w:sz w:val="24"/>
          <w:szCs w:val="24"/>
          <w:lang w:eastAsia="zh-CN"/>
        </w:rPr>
        <w:fldChar w:fldCharType="begin" w:fldLock="1"/>
      </w:r>
      <w:r w:rsidR="00693368">
        <w:rPr>
          <w:rFonts w:ascii="Times New Roman" w:eastAsia="MS Mincho" w:hAnsi="Times New Roman"/>
          <w:sz w:val="24"/>
          <w:szCs w:val="24"/>
          <w:lang w:eastAsia="zh-CN"/>
        </w:rPr>
        <w:instrText>ADDIN CSL_CITATION {"citationItems":[{"id":"ITEM-1","itemData":{"DOI":"10.1177/1948550617697177","ISBN":"1948-5506 1948-5514","ISSN":"1948-5506","abstract":"Scientists should be able to provide support for the absence of a meaningful effect. Currently, researchers often incorrectly conclude an effect is absent based a nonsignificant result. A widely recommended approach within a frequentist framework is to test for equivalence. In equivalence tests, such as the two one-sided tests (TOST) procedure discussed in this article, an upper and lower equivalence bound is specified based on the smallest effect size of interest. The TOST procedure can be used to statistically reject the presence of effects large enough to be considered worthwhile. This practical primer with accompanying spreadsheet and R package enables psychologists to easily perform equivalence tests (and power analyses) by setting equivalence bounds based on standardized effect sizes and provides recommendations to prespecify equivalence bounds. Extending your statistical tool kit with equivalence tests is an easy way to improve your statistical and theoretical inferences.","author":[{"dropping-particle":"","family":"Lakens","given":"Daniël","non-dropping-particle":"","parse-names":false,"suffix":""}],"container-title":"Social Psychological and Personality Science","id":"ITEM-1","issue":"4","issued":{"date-parts":[["2017"]]},"page":"355-362","title":"Equivalence Tests: A Practical Primer for t Tests, Correlations, and Meta-Analyses","type":"article-journal","volume":"8"},"uris":["http://www.mendeley.com/documents/?uuid=8b4beff9-af8c-4c62-861a-99d7c34acb59"]}],"mendeley":{"formattedCitation":"&lt;sup&gt;11&lt;/sup&gt;","plainTextFormattedCitation":"11","previouslyFormattedCitation":"&lt;sup&gt;11&lt;/sup&gt;"},"properties":{"noteIndex":0},"schema":"https://github.com/citation-style-language/schema/raw/master/csl-citation.json"}</w:instrText>
      </w:r>
      <w:r>
        <w:rPr>
          <w:rFonts w:ascii="Times New Roman" w:eastAsia="MS Mincho" w:hAnsi="Times New Roman"/>
          <w:sz w:val="24"/>
          <w:szCs w:val="24"/>
          <w:lang w:eastAsia="zh-CN"/>
        </w:rPr>
        <w:fldChar w:fldCharType="separate"/>
      </w:r>
      <w:r w:rsidR="00F54462" w:rsidRPr="00F54462">
        <w:rPr>
          <w:rFonts w:ascii="Times New Roman" w:eastAsia="MS Mincho" w:hAnsi="Times New Roman"/>
          <w:noProof/>
          <w:sz w:val="24"/>
          <w:szCs w:val="24"/>
          <w:vertAlign w:val="superscript"/>
          <w:lang w:eastAsia="zh-CN"/>
        </w:rPr>
        <w:t>11</w:t>
      </w:r>
      <w:r>
        <w:rPr>
          <w:rFonts w:ascii="Times New Roman" w:eastAsia="MS Mincho" w:hAnsi="Times New Roman"/>
          <w:sz w:val="24"/>
          <w:szCs w:val="24"/>
          <w:lang w:eastAsia="zh-CN"/>
        </w:rPr>
        <w:fldChar w:fldCharType="end"/>
      </w:r>
      <w:r>
        <w:rPr>
          <w:rFonts w:ascii="Times New Roman" w:eastAsia="MS Mincho" w:hAnsi="Times New Roman"/>
          <w:sz w:val="24"/>
          <w:szCs w:val="24"/>
          <w:lang w:eastAsia="zh-CN"/>
        </w:rPr>
        <w:t xml:space="preserve"> suggested that, even with the large sample of the HCP (507 males and 606 females with usable </w:t>
      </w:r>
      <w:proofErr w:type="spellStart"/>
      <w:r>
        <w:rPr>
          <w:rFonts w:ascii="Times New Roman" w:eastAsia="MS Mincho" w:hAnsi="Times New Roman"/>
          <w:sz w:val="24"/>
          <w:szCs w:val="24"/>
          <w:lang w:eastAsia="zh-CN"/>
        </w:rPr>
        <w:t>Freesurfer</w:t>
      </w:r>
      <w:proofErr w:type="spellEnd"/>
      <w:r>
        <w:rPr>
          <w:rFonts w:ascii="Times New Roman" w:eastAsia="MS Mincho" w:hAnsi="Times New Roman"/>
          <w:sz w:val="24"/>
          <w:szCs w:val="24"/>
          <w:lang w:eastAsia="zh-CN"/>
        </w:rPr>
        <w:t xml:space="preserve"> data)</w:t>
      </w:r>
      <w:r w:rsidR="00B2340D">
        <w:rPr>
          <w:rFonts w:ascii="Times New Roman" w:eastAsia="MS Mincho" w:hAnsi="Times New Roman"/>
          <w:sz w:val="24"/>
          <w:szCs w:val="24"/>
          <w:lang w:eastAsia="zh-CN"/>
        </w:rPr>
        <w:t>,</w:t>
      </w:r>
      <w:r>
        <w:rPr>
          <w:rFonts w:ascii="Times New Roman" w:eastAsia="MS Mincho" w:hAnsi="Times New Roman"/>
          <w:sz w:val="24"/>
          <w:szCs w:val="24"/>
          <w:lang w:eastAsia="zh-CN"/>
        </w:rPr>
        <w:t xml:space="preserve"> which </w:t>
      </w:r>
      <w:r w:rsidR="00EB4C0C">
        <w:rPr>
          <w:rFonts w:ascii="Times New Roman" w:eastAsia="MS Mincho" w:hAnsi="Times New Roman"/>
          <w:sz w:val="24"/>
          <w:szCs w:val="24"/>
          <w:lang w:eastAsia="zh-CN"/>
        </w:rPr>
        <w:t>is</w:t>
      </w:r>
      <w:r>
        <w:rPr>
          <w:rFonts w:ascii="Times New Roman" w:eastAsia="MS Mincho" w:hAnsi="Times New Roman"/>
          <w:sz w:val="24"/>
          <w:szCs w:val="24"/>
          <w:lang w:eastAsia="zh-CN"/>
        </w:rPr>
        <w:t xml:space="preserve"> powered to detect very small</w:t>
      </w:r>
      <w:r w:rsidR="00B2340D">
        <w:rPr>
          <w:rFonts w:ascii="Times New Roman" w:eastAsia="MS Mincho" w:hAnsi="Times New Roman"/>
          <w:sz w:val="24"/>
          <w:szCs w:val="24"/>
          <w:lang w:eastAsia="zh-CN"/>
        </w:rPr>
        <w:t xml:space="preserve"> </w:t>
      </w:r>
      <w:r>
        <w:rPr>
          <w:rFonts w:ascii="Times New Roman" w:eastAsia="MS Mincho" w:hAnsi="Times New Roman"/>
          <w:sz w:val="24"/>
          <w:szCs w:val="24"/>
          <w:lang w:eastAsia="zh-CN"/>
        </w:rPr>
        <w:t>effects (</w:t>
      </w:r>
      <w:r w:rsidR="00B2340D">
        <w:rPr>
          <w:rFonts w:ascii="Times New Roman" w:eastAsia="MS Mincho" w:hAnsi="Times New Roman"/>
          <w:sz w:val="24"/>
          <w:szCs w:val="24"/>
          <w:lang w:eastAsia="zh-CN"/>
        </w:rPr>
        <w:t xml:space="preserve">given </w:t>
      </w:r>
      <w:r w:rsidR="00B2340D" w:rsidRPr="00B2340D">
        <w:rPr>
          <w:rFonts w:ascii="Times New Roman" w:eastAsia="MS Mincho" w:hAnsi="Times New Roman"/>
          <w:sz w:val="24"/>
          <w:szCs w:val="24"/>
          <w:lang w:eastAsia="zh-CN"/>
        </w:rPr>
        <w:t>α = .05 and 1-β = .80</w:t>
      </w:r>
      <w:r w:rsidR="00B2340D">
        <w:rPr>
          <w:rFonts w:ascii="Times New Roman" w:eastAsia="MS Mincho" w:hAnsi="Times New Roman"/>
          <w:sz w:val="24"/>
          <w:szCs w:val="24"/>
          <w:lang w:eastAsia="zh-CN"/>
        </w:rPr>
        <w:t xml:space="preserve">, </w:t>
      </w:r>
      <w:r>
        <w:rPr>
          <w:rFonts w:ascii="Times New Roman" w:eastAsia="MS Mincho" w:hAnsi="Times New Roman"/>
          <w:sz w:val="24"/>
          <w:szCs w:val="24"/>
          <w:lang w:eastAsia="zh-CN"/>
        </w:rPr>
        <w:t xml:space="preserve">Cohen’s </w:t>
      </w:r>
      <w:r>
        <w:rPr>
          <w:rFonts w:ascii="Times New Roman" w:eastAsia="MS Mincho" w:hAnsi="Times New Roman"/>
          <w:i/>
          <w:iCs/>
          <w:sz w:val="24"/>
          <w:szCs w:val="24"/>
          <w:lang w:eastAsia="zh-CN"/>
        </w:rPr>
        <w:t>D</w:t>
      </w:r>
      <w:r>
        <w:rPr>
          <w:rFonts w:ascii="Times New Roman" w:eastAsia="MS Mincho" w:hAnsi="Times New Roman"/>
          <w:sz w:val="24"/>
          <w:szCs w:val="24"/>
          <w:lang w:eastAsia="zh-CN"/>
        </w:rPr>
        <w:t xml:space="preserve"> = .169, or the equivalent of .019 mm differences in cortical thickness), </w:t>
      </w:r>
      <w:r w:rsidR="00EB4C0C">
        <w:rPr>
          <w:rFonts w:ascii="Times New Roman" w:eastAsia="MS Mincho" w:hAnsi="Times New Roman"/>
          <w:sz w:val="24"/>
          <w:szCs w:val="24"/>
          <w:lang w:eastAsia="zh-CN"/>
        </w:rPr>
        <w:t xml:space="preserve">we observed that </w:t>
      </w:r>
      <w:r w:rsidR="00B2340D">
        <w:rPr>
          <w:rFonts w:ascii="Times New Roman" w:eastAsia="MS Mincho" w:hAnsi="Times New Roman"/>
          <w:sz w:val="24"/>
          <w:szCs w:val="24"/>
          <w:lang w:eastAsia="zh-CN"/>
        </w:rPr>
        <w:t>sex</w:t>
      </w:r>
      <w:r>
        <w:rPr>
          <w:rFonts w:ascii="Times New Roman" w:eastAsia="MS Mincho" w:hAnsi="Times New Roman"/>
          <w:sz w:val="24"/>
          <w:szCs w:val="24"/>
          <w:lang w:eastAsia="zh-CN"/>
        </w:rPr>
        <w:t xml:space="preserve"> effects are statistically equivalent to zero (</w:t>
      </w:r>
      <w:r>
        <w:rPr>
          <w:rFonts w:ascii="Times New Roman" w:eastAsia="MS Mincho" w:hAnsi="Times New Roman"/>
          <w:i/>
          <w:iCs/>
          <w:sz w:val="24"/>
          <w:szCs w:val="24"/>
          <w:lang w:eastAsia="zh-CN"/>
        </w:rPr>
        <w:t>t</w:t>
      </w:r>
      <w:r w:rsidRPr="006E18A3">
        <w:rPr>
          <w:rFonts w:ascii="Times New Roman" w:eastAsia="MS Mincho" w:hAnsi="Times New Roman"/>
          <w:sz w:val="24"/>
          <w:szCs w:val="24"/>
          <w:vertAlign w:val="subscript"/>
          <w:lang w:eastAsia="zh-CN"/>
        </w:rPr>
        <w:t>(</w:t>
      </w:r>
      <w:r>
        <w:rPr>
          <w:rFonts w:ascii="Times New Roman" w:eastAsia="MS Mincho" w:hAnsi="Times New Roman"/>
          <w:sz w:val="24"/>
          <w:szCs w:val="24"/>
          <w:vertAlign w:val="subscript"/>
          <w:lang w:eastAsia="zh-CN"/>
        </w:rPr>
        <w:t>1111</w:t>
      </w:r>
      <w:r w:rsidRPr="006E18A3">
        <w:rPr>
          <w:rFonts w:ascii="Times New Roman" w:eastAsia="MS Mincho" w:hAnsi="Times New Roman"/>
          <w:sz w:val="24"/>
          <w:szCs w:val="24"/>
          <w:vertAlign w:val="subscript"/>
          <w:lang w:eastAsia="zh-CN"/>
        </w:rPr>
        <w:t>)</w:t>
      </w:r>
      <w:r w:rsidRPr="006E18A3">
        <w:rPr>
          <w:rFonts w:ascii="Times New Roman" w:eastAsia="MS Mincho" w:hAnsi="Times New Roman"/>
          <w:sz w:val="24"/>
          <w:szCs w:val="24"/>
          <w:lang w:eastAsia="zh-CN"/>
        </w:rPr>
        <w:t xml:space="preserve"> </w:t>
      </w:r>
      <w:r>
        <w:rPr>
          <w:rFonts w:ascii="Times New Roman" w:eastAsia="MS Mincho" w:hAnsi="Times New Roman"/>
          <w:sz w:val="24"/>
          <w:szCs w:val="24"/>
          <w:lang w:eastAsia="zh-CN"/>
        </w:rPr>
        <w:t xml:space="preserve">= 2.335, </w:t>
      </w:r>
      <w:r>
        <w:rPr>
          <w:rFonts w:ascii="Times New Roman" w:eastAsia="MS Mincho" w:hAnsi="Times New Roman"/>
          <w:i/>
          <w:iCs/>
          <w:sz w:val="24"/>
          <w:szCs w:val="24"/>
          <w:lang w:eastAsia="zh-CN"/>
        </w:rPr>
        <w:t xml:space="preserve">p </w:t>
      </w:r>
      <w:r>
        <w:rPr>
          <w:rFonts w:ascii="Times New Roman" w:eastAsia="MS Mincho" w:hAnsi="Times New Roman"/>
          <w:sz w:val="24"/>
          <w:szCs w:val="24"/>
          <w:lang w:eastAsia="zh-CN"/>
        </w:rPr>
        <w:t xml:space="preserve">= .009). </w:t>
      </w:r>
      <w:r w:rsidR="00B2340D">
        <w:rPr>
          <w:rFonts w:ascii="Times New Roman" w:eastAsia="MS Mincho" w:hAnsi="Times New Roman"/>
          <w:sz w:val="24"/>
          <w:szCs w:val="24"/>
          <w:lang w:eastAsia="zh-CN"/>
        </w:rPr>
        <w:t>Therefore, to improve our limited sample size, we retained all opposite-sex pairs and included sex as a covariate in the analysis.</w:t>
      </w:r>
    </w:p>
    <w:p w14:paraId="34587F70" w14:textId="58B4C979" w:rsidR="00EB4C0C" w:rsidRDefault="00B2340D" w:rsidP="00B2340D">
      <w:pPr>
        <w:spacing w:line="276" w:lineRule="auto"/>
        <w:ind w:firstLine="720"/>
        <w:rPr>
          <w:rFonts w:ascii="Times New Roman" w:eastAsia="MS Mincho" w:hAnsi="Times New Roman"/>
          <w:sz w:val="24"/>
          <w:szCs w:val="24"/>
          <w:lang w:eastAsia="zh-CN"/>
        </w:rPr>
      </w:pPr>
      <w:bookmarkStart w:id="7" w:name="_Hlk15562652"/>
      <w:r>
        <w:rPr>
          <w:rFonts w:ascii="Times New Roman" w:eastAsia="MS Mincho" w:hAnsi="Times New Roman"/>
          <w:sz w:val="24"/>
          <w:szCs w:val="24"/>
          <w:lang w:eastAsia="zh-CN"/>
        </w:rPr>
        <w:t>In the final model, we</w:t>
      </w:r>
      <w:r w:rsidR="006E18A3" w:rsidRPr="006E18A3">
        <w:rPr>
          <w:rFonts w:ascii="Times New Roman" w:eastAsia="MS Mincho" w:hAnsi="Times New Roman"/>
          <w:sz w:val="24"/>
          <w:szCs w:val="24"/>
          <w:lang w:eastAsia="zh-CN"/>
        </w:rPr>
        <w:t xml:space="preserve"> </w:t>
      </w:r>
      <w:r w:rsidR="001F6836">
        <w:rPr>
          <w:rFonts w:ascii="Times New Roman" w:eastAsia="MS Mincho" w:hAnsi="Times New Roman"/>
          <w:sz w:val="24"/>
          <w:szCs w:val="24"/>
          <w:lang w:eastAsia="zh-CN"/>
        </w:rPr>
        <w:t xml:space="preserve">controlled for </w:t>
      </w:r>
      <w:bookmarkStart w:id="8" w:name="_Hlk15463920"/>
      <w:r w:rsidR="00EB3692">
        <w:rPr>
          <w:rFonts w:ascii="Times New Roman" w:eastAsia="MS Mincho" w:hAnsi="Times New Roman"/>
          <w:sz w:val="24"/>
          <w:szCs w:val="24"/>
          <w:lang w:eastAsia="zh-CN"/>
        </w:rPr>
        <w:t>all variables</w:t>
      </w:r>
      <w:r w:rsidR="001F6836">
        <w:rPr>
          <w:rFonts w:ascii="Times New Roman" w:eastAsia="MS Mincho" w:hAnsi="Times New Roman"/>
          <w:sz w:val="24"/>
          <w:szCs w:val="24"/>
          <w:lang w:eastAsia="zh-CN"/>
        </w:rPr>
        <w:t xml:space="preserve"> that were used to match the </w:t>
      </w:r>
      <w:r w:rsidR="0046232D">
        <w:rPr>
          <w:rFonts w:ascii="Times New Roman" w:eastAsia="MS Mincho" w:hAnsi="Times New Roman"/>
          <w:sz w:val="24"/>
          <w:szCs w:val="24"/>
          <w:lang w:eastAsia="zh-CN"/>
        </w:rPr>
        <w:t>CD</w:t>
      </w:r>
      <w:r w:rsidR="001F6836">
        <w:rPr>
          <w:rFonts w:ascii="Times New Roman" w:eastAsia="MS Mincho" w:hAnsi="Times New Roman"/>
          <w:sz w:val="24"/>
          <w:szCs w:val="24"/>
          <w:lang w:eastAsia="zh-CN"/>
        </w:rPr>
        <w:t xml:space="preserve"> and CTL groups in the main manuscript</w:t>
      </w:r>
      <w:bookmarkEnd w:id="8"/>
      <w:r w:rsidR="006E18A3" w:rsidRPr="006E18A3">
        <w:rPr>
          <w:rFonts w:ascii="Times New Roman" w:eastAsia="MS Mincho" w:hAnsi="Times New Roman"/>
          <w:sz w:val="24"/>
          <w:szCs w:val="24"/>
          <w:lang w:eastAsia="zh-CN"/>
        </w:rPr>
        <w:t xml:space="preserve">: Age, </w:t>
      </w:r>
      <w:r w:rsidR="00693368">
        <w:rPr>
          <w:rFonts w:ascii="Times New Roman" w:eastAsia="MS Mincho" w:hAnsi="Times New Roman"/>
          <w:sz w:val="24"/>
          <w:szCs w:val="24"/>
          <w:lang w:eastAsia="zh-CN"/>
        </w:rPr>
        <w:t>Sex</w:t>
      </w:r>
      <w:r w:rsidR="006E18A3" w:rsidRPr="006E18A3">
        <w:rPr>
          <w:rFonts w:ascii="Times New Roman" w:eastAsia="MS Mincho" w:hAnsi="Times New Roman"/>
          <w:sz w:val="24"/>
          <w:szCs w:val="24"/>
          <w:lang w:eastAsia="zh-CN"/>
        </w:rPr>
        <w:t xml:space="preserve">, BMI, </w:t>
      </w:r>
      <w:r>
        <w:rPr>
          <w:rFonts w:ascii="Times New Roman" w:eastAsia="MS Mincho" w:hAnsi="Times New Roman"/>
          <w:sz w:val="24"/>
          <w:szCs w:val="24"/>
          <w:lang w:eastAsia="zh-CN"/>
        </w:rPr>
        <w:t xml:space="preserve">Composite </w:t>
      </w:r>
      <w:r w:rsidR="006E18A3" w:rsidRPr="006E18A3">
        <w:rPr>
          <w:rFonts w:ascii="Times New Roman" w:eastAsia="MS Mincho" w:hAnsi="Times New Roman"/>
          <w:sz w:val="24"/>
          <w:szCs w:val="24"/>
          <w:lang w:eastAsia="zh-CN"/>
        </w:rPr>
        <w:t>Alcohol Usage</w:t>
      </w:r>
      <w:r>
        <w:rPr>
          <w:rFonts w:ascii="Times New Roman" w:eastAsia="MS Mincho" w:hAnsi="Times New Roman"/>
          <w:sz w:val="24"/>
          <w:szCs w:val="24"/>
          <w:lang w:eastAsia="zh-CN"/>
        </w:rPr>
        <w:t xml:space="preserve"> (</w:t>
      </w:r>
      <w:r w:rsidRPr="00B2340D">
        <w:rPr>
          <w:rFonts w:ascii="Times New Roman" w:eastAsia="MS Mincho" w:hAnsi="Times New Roman"/>
          <w:i/>
          <w:iCs/>
          <w:sz w:val="24"/>
          <w:szCs w:val="24"/>
          <w:lang w:eastAsia="zh-CN"/>
        </w:rPr>
        <w:t>z</w:t>
      </w:r>
      <w:r>
        <w:rPr>
          <w:rFonts w:ascii="Times New Roman" w:eastAsia="MS Mincho" w:hAnsi="Times New Roman"/>
          <w:sz w:val="24"/>
          <w:szCs w:val="24"/>
          <w:lang w:eastAsia="zh-CN"/>
        </w:rPr>
        <w:t>-scored)</w:t>
      </w:r>
      <w:r w:rsidR="006E18A3" w:rsidRPr="006E18A3">
        <w:rPr>
          <w:rFonts w:ascii="Times New Roman" w:eastAsia="MS Mincho" w:hAnsi="Times New Roman"/>
          <w:sz w:val="24"/>
          <w:szCs w:val="24"/>
          <w:lang w:eastAsia="zh-CN"/>
        </w:rPr>
        <w:t xml:space="preserve">, </w:t>
      </w:r>
      <w:r>
        <w:rPr>
          <w:rFonts w:ascii="Times New Roman" w:eastAsia="MS Mincho" w:hAnsi="Times New Roman"/>
          <w:sz w:val="24"/>
          <w:szCs w:val="24"/>
          <w:lang w:eastAsia="zh-CN"/>
        </w:rPr>
        <w:t xml:space="preserve">Composite </w:t>
      </w:r>
      <w:r w:rsidR="006E18A3" w:rsidRPr="006E18A3">
        <w:rPr>
          <w:rFonts w:ascii="Times New Roman" w:eastAsia="MS Mincho" w:hAnsi="Times New Roman"/>
          <w:sz w:val="24"/>
          <w:szCs w:val="24"/>
          <w:lang w:eastAsia="zh-CN"/>
        </w:rPr>
        <w:t>Tobacco Usage</w:t>
      </w:r>
      <w:r>
        <w:rPr>
          <w:rFonts w:ascii="Times New Roman" w:eastAsia="MS Mincho" w:hAnsi="Times New Roman"/>
          <w:sz w:val="24"/>
          <w:szCs w:val="24"/>
          <w:lang w:eastAsia="zh-CN"/>
        </w:rPr>
        <w:t xml:space="preserve"> (</w:t>
      </w:r>
      <w:r w:rsidRPr="00B2340D">
        <w:rPr>
          <w:rFonts w:ascii="Times New Roman" w:eastAsia="MS Mincho" w:hAnsi="Times New Roman"/>
          <w:i/>
          <w:iCs/>
          <w:sz w:val="24"/>
          <w:szCs w:val="24"/>
          <w:lang w:eastAsia="zh-CN"/>
        </w:rPr>
        <w:t>z</w:t>
      </w:r>
      <w:r>
        <w:rPr>
          <w:rFonts w:ascii="Times New Roman" w:eastAsia="MS Mincho" w:hAnsi="Times New Roman"/>
          <w:sz w:val="24"/>
          <w:szCs w:val="24"/>
          <w:lang w:eastAsia="zh-CN"/>
        </w:rPr>
        <w:t>-scored)</w:t>
      </w:r>
      <w:r w:rsidR="006E18A3" w:rsidRPr="006E18A3">
        <w:rPr>
          <w:rFonts w:ascii="Times New Roman" w:eastAsia="MS Mincho" w:hAnsi="Times New Roman"/>
          <w:sz w:val="24"/>
          <w:szCs w:val="24"/>
          <w:lang w:eastAsia="zh-CN"/>
        </w:rPr>
        <w:t>, Income, Education</w:t>
      </w:r>
      <w:r w:rsidR="00EB3692">
        <w:rPr>
          <w:rFonts w:ascii="Times New Roman" w:eastAsia="MS Mincho" w:hAnsi="Times New Roman"/>
          <w:sz w:val="24"/>
          <w:szCs w:val="24"/>
          <w:lang w:eastAsia="zh-CN"/>
        </w:rPr>
        <w:t xml:space="preserve">, </w:t>
      </w:r>
      <w:r w:rsidR="00EB3692" w:rsidRPr="00EB3692">
        <w:rPr>
          <w:rFonts w:ascii="Times New Roman" w:eastAsia="MS Mincho" w:hAnsi="Times New Roman"/>
          <w:sz w:val="24"/>
          <w:szCs w:val="24"/>
          <w:lang w:eastAsia="zh-CN"/>
        </w:rPr>
        <w:t xml:space="preserve">Depression symptoms, and Anxiety </w:t>
      </w:r>
      <w:r w:rsidR="00EB3692">
        <w:rPr>
          <w:rFonts w:ascii="Times New Roman" w:eastAsia="MS Mincho" w:hAnsi="Times New Roman"/>
          <w:sz w:val="24"/>
          <w:szCs w:val="24"/>
          <w:lang w:eastAsia="zh-CN"/>
        </w:rPr>
        <w:t>s</w:t>
      </w:r>
      <w:r w:rsidR="00EB3692" w:rsidRPr="00EB3692">
        <w:rPr>
          <w:rFonts w:ascii="Times New Roman" w:eastAsia="MS Mincho" w:hAnsi="Times New Roman"/>
          <w:sz w:val="24"/>
          <w:szCs w:val="24"/>
          <w:lang w:eastAsia="zh-CN"/>
        </w:rPr>
        <w:t>ymptoms</w:t>
      </w:r>
      <w:r w:rsidR="006E18A3" w:rsidRPr="006E18A3">
        <w:rPr>
          <w:rFonts w:ascii="Times New Roman" w:eastAsia="MS Mincho" w:hAnsi="Times New Roman"/>
          <w:sz w:val="24"/>
          <w:szCs w:val="24"/>
          <w:lang w:eastAsia="zh-CN"/>
        </w:rPr>
        <w:t xml:space="preserve">. </w:t>
      </w:r>
      <w:r w:rsidR="00EB4C0C">
        <w:rPr>
          <w:rFonts w:ascii="Times New Roman" w:eastAsia="MS Mincho" w:hAnsi="Times New Roman"/>
          <w:sz w:val="24"/>
          <w:szCs w:val="24"/>
          <w:lang w:eastAsia="zh-CN"/>
        </w:rPr>
        <w:t xml:space="preserve">The </w:t>
      </w:r>
      <w:r w:rsidR="001F6836">
        <w:rPr>
          <w:rFonts w:ascii="Times New Roman" w:eastAsia="MS Mincho" w:hAnsi="Times New Roman"/>
          <w:sz w:val="24"/>
          <w:szCs w:val="24"/>
          <w:lang w:eastAsia="zh-CN"/>
        </w:rPr>
        <w:t xml:space="preserve">three </w:t>
      </w:r>
      <w:r w:rsidR="00EB4C0C">
        <w:rPr>
          <w:rFonts w:ascii="Times New Roman" w:eastAsia="MS Mincho" w:hAnsi="Times New Roman"/>
          <w:sz w:val="24"/>
          <w:szCs w:val="24"/>
          <w:lang w:eastAsia="zh-CN"/>
        </w:rPr>
        <w:t xml:space="preserve">primary contrasts of interest are </w:t>
      </w:r>
      <w:r w:rsidR="00EB4C0C" w:rsidRPr="00005794">
        <w:rPr>
          <w:rFonts w:ascii="Times New Roman" w:eastAsia="MS Mincho" w:hAnsi="Times New Roman"/>
          <w:sz w:val="24"/>
          <w:szCs w:val="24"/>
          <w:lang w:eastAsia="zh-CN"/>
        </w:rPr>
        <w:t xml:space="preserve">represented in </w:t>
      </w:r>
      <w:r w:rsidR="00EB4C0C" w:rsidRPr="00005794">
        <w:rPr>
          <w:rFonts w:ascii="Times New Roman" w:eastAsia="MS Mincho" w:hAnsi="Times New Roman"/>
          <w:b/>
          <w:bCs/>
          <w:sz w:val="24"/>
          <w:szCs w:val="24"/>
          <w:lang w:eastAsia="zh-CN"/>
        </w:rPr>
        <w:t xml:space="preserve">Supplementary Table </w:t>
      </w:r>
      <w:r w:rsidR="00005794" w:rsidRPr="00005794">
        <w:rPr>
          <w:rFonts w:ascii="Times New Roman" w:eastAsia="MS Mincho" w:hAnsi="Times New Roman"/>
          <w:b/>
          <w:bCs/>
          <w:sz w:val="24"/>
          <w:szCs w:val="24"/>
          <w:lang w:eastAsia="zh-CN"/>
        </w:rPr>
        <w:t>4</w:t>
      </w:r>
      <w:r w:rsidR="00EB4C0C" w:rsidRPr="00005794">
        <w:rPr>
          <w:rFonts w:ascii="Times New Roman" w:eastAsia="MS Mincho" w:hAnsi="Times New Roman"/>
          <w:sz w:val="24"/>
          <w:szCs w:val="24"/>
          <w:lang w:eastAsia="zh-CN"/>
        </w:rPr>
        <w:t>.</w:t>
      </w:r>
      <w:r w:rsidR="00EB4C0C">
        <w:rPr>
          <w:rFonts w:ascii="Times New Roman" w:eastAsia="MS Mincho" w:hAnsi="Times New Roman"/>
          <w:sz w:val="24"/>
          <w:szCs w:val="24"/>
          <w:lang w:eastAsia="zh-CN"/>
        </w:rPr>
        <w:t xml:space="preserve"> Briefly, the </w:t>
      </w:r>
      <w:bookmarkStart w:id="9" w:name="_Hlk15556601"/>
      <w:r w:rsidR="00EB4C0C">
        <w:rPr>
          <w:rFonts w:ascii="Times New Roman" w:eastAsia="MS Mincho" w:hAnsi="Times New Roman"/>
          <w:sz w:val="24"/>
          <w:szCs w:val="24"/>
          <w:lang w:eastAsia="zh-CN"/>
        </w:rPr>
        <w:t>individuals are divided into four groups</w:t>
      </w:r>
      <w:bookmarkEnd w:id="9"/>
      <w:r w:rsidR="00376DCE" w:rsidRPr="00376DCE">
        <w:rPr>
          <w:rFonts w:ascii="Times New Roman" w:eastAsia="MS Mincho" w:hAnsi="Times New Roman"/>
          <w:sz w:val="24"/>
          <w:szCs w:val="24"/>
          <w:lang w:eastAsia="zh-CN"/>
        </w:rPr>
        <w:t xml:space="preserve">: </w:t>
      </w:r>
      <w:r w:rsidR="0046232D">
        <w:rPr>
          <w:rFonts w:ascii="Times New Roman" w:eastAsia="MS Mincho" w:hAnsi="Times New Roman"/>
          <w:sz w:val="24"/>
          <w:szCs w:val="24"/>
          <w:lang w:eastAsia="zh-CN"/>
        </w:rPr>
        <w:t>individuals with a sibling</w:t>
      </w:r>
      <w:r w:rsidR="0046232D" w:rsidRPr="00376DCE" w:rsidDel="0046232D">
        <w:rPr>
          <w:rFonts w:ascii="Times New Roman" w:eastAsia="MS Mincho" w:hAnsi="Times New Roman"/>
          <w:sz w:val="24"/>
          <w:szCs w:val="24"/>
          <w:lang w:eastAsia="zh-CN"/>
        </w:rPr>
        <w:t xml:space="preserve"> </w:t>
      </w:r>
      <w:r w:rsidR="00376DCE" w:rsidRPr="00376DCE">
        <w:rPr>
          <w:rFonts w:ascii="Times New Roman" w:eastAsia="MS Mincho" w:hAnsi="Times New Roman"/>
          <w:sz w:val="24"/>
          <w:szCs w:val="24"/>
          <w:lang w:eastAsia="zh-CN"/>
        </w:rPr>
        <w:t xml:space="preserve">1) concordant for high cannabis exposure, 2) concordant for low exposure, 3) discordant with high exposure, and 4) discordant with low exposure. </w:t>
      </w:r>
      <w:r w:rsidR="00EB4C0C">
        <w:rPr>
          <w:rFonts w:ascii="Times New Roman" w:eastAsia="MS Mincho" w:hAnsi="Times New Roman"/>
          <w:sz w:val="24"/>
          <w:szCs w:val="24"/>
          <w:lang w:eastAsia="zh-CN"/>
        </w:rPr>
        <w:t xml:space="preserve">If the </w:t>
      </w:r>
      <w:r w:rsidR="003557EA">
        <w:rPr>
          <w:rFonts w:ascii="Times New Roman" w:eastAsia="MS Mincho" w:hAnsi="Times New Roman"/>
          <w:sz w:val="24"/>
          <w:szCs w:val="24"/>
          <w:lang w:eastAsia="zh-CN"/>
        </w:rPr>
        <w:t>‘</w:t>
      </w:r>
      <w:r w:rsidR="00EB4C0C">
        <w:rPr>
          <w:rFonts w:ascii="Times New Roman" w:eastAsia="MS Mincho" w:hAnsi="Times New Roman"/>
          <w:sz w:val="24"/>
          <w:szCs w:val="24"/>
          <w:lang w:eastAsia="zh-CN"/>
        </w:rPr>
        <w:t>causal</w:t>
      </w:r>
      <w:r w:rsidR="003557EA">
        <w:rPr>
          <w:rFonts w:ascii="Times New Roman" w:eastAsia="MS Mincho" w:hAnsi="Times New Roman"/>
          <w:sz w:val="24"/>
          <w:szCs w:val="24"/>
          <w:lang w:eastAsia="zh-CN"/>
        </w:rPr>
        <w:t>’</w:t>
      </w:r>
      <w:r w:rsidR="00EB4C0C">
        <w:rPr>
          <w:rFonts w:ascii="Times New Roman" w:eastAsia="MS Mincho" w:hAnsi="Times New Roman"/>
          <w:sz w:val="24"/>
          <w:szCs w:val="24"/>
          <w:lang w:eastAsia="zh-CN"/>
        </w:rPr>
        <w:t xml:space="preserve"> hypothesis is supported, among discordant sibling pairs the individuals with high exposure would have significantly lower </w:t>
      </w:r>
      <w:proofErr w:type="spellStart"/>
      <w:r w:rsidR="00EB4C0C">
        <w:rPr>
          <w:rFonts w:ascii="Times New Roman" w:eastAsia="MS Mincho" w:hAnsi="Times New Roman"/>
          <w:sz w:val="24"/>
          <w:szCs w:val="24"/>
          <w:lang w:eastAsia="zh-CN"/>
        </w:rPr>
        <w:t>precuneus</w:t>
      </w:r>
      <w:proofErr w:type="spellEnd"/>
      <w:r w:rsidR="00EB4C0C">
        <w:rPr>
          <w:rFonts w:ascii="Times New Roman" w:eastAsia="MS Mincho" w:hAnsi="Times New Roman"/>
          <w:sz w:val="24"/>
          <w:szCs w:val="24"/>
          <w:lang w:eastAsia="zh-CN"/>
        </w:rPr>
        <w:t xml:space="preserve"> thickness than their </w:t>
      </w:r>
      <w:r w:rsidR="003557EA">
        <w:rPr>
          <w:rFonts w:ascii="Times New Roman" w:eastAsia="MS Mincho" w:hAnsi="Times New Roman"/>
          <w:sz w:val="24"/>
          <w:szCs w:val="24"/>
          <w:lang w:eastAsia="zh-CN"/>
        </w:rPr>
        <w:t>counterpart</w:t>
      </w:r>
      <w:r w:rsidR="00EB4C0C">
        <w:rPr>
          <w:rFonts w:ascii="Times New Roman" w:eastAsia="MS Mincho" w:hAnsi="Times New Roman"/>
          <w:sz w:val="24"/>
          <w:szCs w:val="24"/>
          <w:lang w:eastAsia="zh-CN"/>
        </w:rPr>
        <w:t xml:space="preserve"> with low exposure. If the </w:t>
      </w:r>
      <w:r w:rsidR="003557EA">
        <w:rPr>
          <w:rFonts w:ascii="Times New Roman" w:eastAsia="MS Mincho" w:hAnsi="Times New Roman"/>
          <w:sz w:val="24"/>
          <w:szCs w:val="24"/>
          <w:lang w:eastAsia="zh-CN"/>
        </w:rPr>
        <w:t xml:space="preserve">‘graded liability’ hypothesis is supported, then the concordant siblings with high cannabis exposure would have lower cortical thickness than </w:t>
      </w:r>
      <w:r w:rsidR="001F6836">
        <w:rPr>
          <w:rFonts w:ascii="Times New Roman" w:eastAsia="MS Mincho" w:hAnsi="Times New Roman"/>
          <w:sz w:val="24"/>
          <w:szCs w:val="24"/>
          <w:lang w:eastAsia="zh-CN"/>
        </w:rPr>
        <w:t>both the discordant high and low exposure individuals. If the ‘predisposition’ hypothesis is supported, then discordant high and low exposure individuals would have similar cortical thickness to the concordant high exposure pairs, and all three of these groups would have lower thickness than the concordant low exposure group</w:t>
      </w:r>
      <w:r w:rsidR="00693368">
        <w:rPr>
          <w:rFonts w:ascii="Times New Roman" w:eastAsia="MS Mincho" w:hAnsi="Times New Roman"/>
          <w:sz w:val="24"/>
          <w:szCs w:val="24"/>
          <w:lang w:eastAsia="zh-CN"/>
        </w:rPr>
        <w:fldChar w:fldCharType="begin" w:fldLock="1"/>
      </w:r>
      <w:r w:rsidR="00693368">
        <w:rPr>
          <w:rFonts w:ascii="Times New Roman" w:eastAsia="MS Mincho" w:hAnsi="Times New Roman"/>
          <w:sz w:val="24"/>
          <w:szCs w:val="24"/>
          <w:lang w:eastAsia="zh-CN"/>
        </w:rPr>
        <w:instrText>ADDIN CSL_CITATION {"citationItems":[{"id":"ITEM-1","itemData":{"DOI":"10.1001/jamapsychiatry.2015.1054","ISBN":"2168-6238 (Electronic)\\r2168-622X (Linking)","ISSN":"2168-6238","PMID":"26308883","abstract":"IMPORTANCE: Prior neuroimaging studies have suggested that alterations in brain structure may be a consequence of cannabis use. Siblings discordant for cannabis use offer an opportunity to use cross-sectional data to disentangle such causal hypotheses from shared effects of genetics and familial environment on brain structure and cannabis use.\\n\\nOBJECTIVES: To determine whether cannabis use is associated with differences in brain structure in a large sample of twins/siblings and to examine sibling pairs discordant for cannabis use to separate potential causal and predispositional factors linking lifetime cannabis exposure to volumetric alterations.\\n\\nDESIGN, SETTING, AND PARTICIPANTS: Cross-sectional diagnostic interview, behavioral, and neuroimaging data were collected from community sampling and established family registries from August 2012 to September 2014. This study included data from 483 participants (22-35 years old) enrolled in the ongoing Human Connectome Project, with 262 participants reporting cannabis exposure (ie, ever used cannabis in their lifetime).\\n\\nMAIN OUTCOMES AND MEASURES: Cannabis exposure was measured with the Semi-Structured Assessment for the Genetics of Alcoholism. Whole-brain, hippocampus, amygdala, ventral striatum, and orbitofrontal cortex volumes were related to lifetime cannabis use (ever used, age at onset, and frequency of use) using linear regressions. Genetic (ρg) and environmental (ρe) correlations between cannabis use and brain volumes were estimated. Linear mixed models were used to examine volume differences in sex-matched concordant unexposed (n = 71 pairs), exposed (n = 81 pairs), or exposure discordant (n = 89 pairs) sibling pairs.\\n\\nRESULTS: Among 483 study participants, cannabis exposure was related to smaller left amygdala (approximately 2.3%; P = .007) and right ventral striatum (approximately 3.5%; P &lt; .005) volumes. These volumetric differences were within the range of normal variation. The association between left amygdala volume and cannabis use was largely owing to shared genetic factors (ρg = -0.43; P = .004), while the origin of the association with right ventral striatum volumes was unclear. Importantly, brain volumes did not differ between sex-matched siblings discordant for use (fixed effect = -7.43; t = -0.93, P = .35). Both the exposed and unexposed siblings in pairs discordant for cannabis exposure showed reduced amygdala volumes relative to members of concordant unexposed pairs (fixed ef…","author":[{"dropping-particle":"","family":"Pagliaccio","given":"David","non-dropping-particle":"","parse-names":false,"suffix":""},{"dropping-particle":"","family":"Barch","given":"Deanna M.","non-dropping-particle":"","parse-names":false,"suffix":""},{"dropping-particle":"","family":"Bogdan","given":"Ryan","non-dropping-particle":"","parse-names":false,"suffix":""},{"dropping-particle":"","family":"Wood","given":"Phillip K","non-dropping-particle":"","parse-names":false,"suffix":""},{"dropping-particle":"","family":"Lynskey","given":"Michael T","non-dropping-particle":"","parse-names":false,"suffix":""},{"dropping-particle":"","family":"Heath","given":"Andrew C","non-dropping-particle":"","parse-names":false,"suffix":""},{"dropping-particle":"","family":"Agrawal","given":"Arpana","non-dropping-particle":"","parse-names":false,"suffix":""}],"container-title":"JAMA psychiatry","id":"ITEM-1","issue":"10","issued":{"date-parts":[["2015"]]},"page":"994-1001","title":"Shared Predisposition in the Association Between Cannabis Use and Subcortical Brain Structure.","type":"article-journal","volume":"72"},"uris":["http://www.mendeley.com/documents/?uuid=3e31672e-3f30-4052-a57d-13ac7e570b7c"]}],"mendeley":{"formattedCitation":"&lt;sup&gt;8&lt;/sup&gt;","plainTextFormattedCitation":"8"},"properties":{"noteIndex":0},"schema":"https://github.com/citation-style-language/schema/raw/master/csl-citation.json"}</w:instrText>
      </w:r>
      <w:r w:rsidR="00693368">
        <w:rPr>
          <w:rFonts w:ascii="Times New Roman" w:eastAsia="MS Mincho" w:hAnsi="Times New Roman"/>
          <w:sz w:val="24"/>
          <w:szCs w:val="24"/>
          <w:lang w:eastAsia="zh-CN"/>
        </w:rPr>
        <w:fldChar w:fldCharType="separate"/>
      </w:r>
      <w:r w:rsidR="00693368" w:rsidRPr="00693368">
        <w:rPr>
          <w:rFonts w:ascii="Times New Roman" w:eastAsia="MS Mincho" w:hAnsi="Times New Roman"/>
          <w:noProof/>
          <w:sz w:val="24"/>
          <w:szCs w:val="24"/>
          <w:vertAlign w:val="superscript"/>
          <w:lang w:eastAsia="zh-CN"/>
        </w:rPr>
        <w:t>8</w:t>
      </w:r>
      <w:r w:rsidR="00693368">
        <w:rPr>
          <w:rFonts w:ascii="Times New Roman" w:eastAsia="MS Mincho" w:hAnsi="Times New Roman"/>
          <w:sz w:val="24"/>
          <w:szCs w:val="24"/>
          <w:lang w:eastAsia="zh-CN"/>
        </w:rPr>
        <w:fldChar w:fldCharType="end"/>
      </w:r>
      <w:r w:rsidR="001F6836">
        <w:rPr>
          <w:rFonts w:ascii="Times New Roman" w:eastAsia="MS Mincho" w:hAnsi="Times New Roman"/>
          <w:sz w:val="24"/>
          <w:szCs w:val="24"/>
          <w:lang w:eastAsia="zh-CN"/>
        </w:rPr>
        <w:t>.</w:t>
      </w:r>
    </w:p>
    <w:bookmarkEnd w:id="7"/>
    <w:p w14:paraId="06FF6DF5" w14:textId="77777777" w:rsidR="00EB4C0C" w:rsidRDefault="00EB4C0C" w:rsidP="00B2340D">
      <w:pPr>
        <w:spacing w:line="276" w:lineRule="auto"/>
        <w:ind w:firstLine="720"/>
        <w:rPr>
          <w:rFonts w:ascii="Times New Roman" w:eastAsia="MS Mincho" w:hAnsi="Times New Roman"/>
          <w:sz w:val="24"/>
          <w:szCs w:val="24"/>
          <w:lang w:eastAsia="zh-CN"/>
        </w:rPr>
      </w:pPr>
    </w:p>
    <w:p w14:paraId="3727B39B" w14:textId="006BF191" w:rsidR="00EB4C0C" w:rsidRDefault="00737E60" w:rsidP="00737E60">
      <w:pPr>
        <w:spacing w:line="276" w:lineRule="auto"/>
        <w:rPr>
          <w:rFonts w:ascii="Times New Roman" w:eastAsia="MS Mincho" w:hAnsi="Times New Roman"/>
          <w:sz w:val="24"/>
          <w:szCs w:val="24"/>
          <w:lang w:eastAsia="zh-CN"/>
        </w:rPr>
      </w:pPr>
      <w:r>
        <w:rPr>
          <w:rFonts w:ascii="Times New Roman" w:eastAsia="MS Mincho" w:hAnsi="Times New Roman"/>
          <w:b/>
          <w:bCs/>
          <w:sz w:val="24"/>
          <w:szCs w:val="24"/>
          <w:lang w:eastAsia="zh-CN"/>
        </w:rPr>
        <w:t>Results</w:t>
      </w:r>
    </w:p>
    <w:p w14:paraId="53C0582F" w14:textId="33C792D9" w:rsidR="00737E60" w:rsidRDefault="00737E60" w:rsidP="00737E60">
      <w:pPr>
        <w:spacing w:line="276" w:lineRule="auto"/>
        <w:rPr>
          <w:rFonts w:ascii="Times New Roman" w:hAnsi="Times New Roman" w:cs="Times New Roman"/>
          <w:i/>
          <w:iCs/>
          <w:sz w:val="24"/>
          <w:szCs w:val="24"/>
        </w:rPr>
      </w:pPr>
      <w:r>
        <w:rPr>
          <w:rFonts w:ascii="Times New Roman" w:hAnsi="Times New Roman" w:cs="Times New Roman"/>
          <w:i/>
          <w:iCs/>
          <w:sz w:val="24"/>
          <w:szCs w:val="24"/>
        </w:rPr>
        <w:t>Control Analyses: THC urinalysis and Illicit Drug Use</w:t>
      </w:r>
    </w:p>
    <w:p w14:paraId="4C6371D5" w14:textId="640A32A1" w:rsidR="0050220E" w:rsidRPr="0050220E" w:rsidRDefault="0050220E" w:rsidP="0050220E">
      <w:pPr>
        <w:spacing w:line="276" w:lineRule="auto"/>
        <w:ind w:firstLine="720"/>
        <w:rPr>
          <w:rFonts w:ascii="Times New Roman" w:eastAsia="MS Mincho" w:hAnsi="Times New Roman"/>
          <w:sz w:val="24"/>
          <w:szCs w:val="24"/>
          <w:lang w:eastAsia="zh-CN"/>
        </w:rPr>
      </w:pPr>
      <w:r w:rsidRPr="0050220E">
        <w:rPr>
          <w:rFonts w:ascii="Times New Roman" w:hAnsi="Times New Roman" w:cs="Times New Roman"/>
          <w:sz w:val="24"/>
          <w:szCs w:val="24"/>
        </w:rPr>
        <w:t>When including THC urine screen results as a covariate</w:t>
      </w:r>
      <w:r>
        <w:rPr>
          <w:rFonts w:ascii="Times New Roman" w:hAnsi="Times New Roman" w:cs="Times New Roman"/>
          <w:sz w:val="24"/>
          <w:szCs w:val="24"/>
        </w:rPr>
        <w:t xml:space="preserve"> in the original cortical thickness group analysis</w:t>
      </w:r>
      <w:r w:rsidRPr="0050220E">
        <w:rPr>
          <w:rFonts w:ascii="Times New Roman" w:hAnsi="Times New Roman" w:cs="Times New Roman"/>
          <w:sz w:val="24"/>
          <w:szCs w:val="24"/>
        </w:rPr>
        <w:t xml:space="preserve">, the </w:t>
      </w:r>
      <w:r w:rsidR="0046232D">
        <w:rPr>
          <w:rFonts w:ascii="Times New Roman" w:hAnsi="Times New Roman" w:cs="Times New Roman"/>
          <w:sz w:val="24"/>
          <w:szCs w:val="24"/>
        </w:rPr>
        <w:t>CD</w:t>
      </w:r>
      <w:r w:rsidRPr="0050220E">
        <w:rPr>
          <w:rFonts w:ascii="Times New Roman" w:hAnsi="Times New Roman" w:cs="Times New Roman"/>
          <w:sz w:val="24"/>
          <w:szCs w:val="24"/>
        </w:rPr>
        <w:t xml:space="preserve"> group still shows significantly lower thickness of the left </w:t>
      </w:r>
      <w:proofErr w:type="spellStart"/>
      <w:r w:rsidRPr="0050220E">
        <w:rPr>
          <w:rFonts w:ascii="Times New Roman" w:hAnsi="Times New Roman" w:cs="Times New Roman"/>
          <w:sz w:val="24"/>
          <w:szCs w:val="24"/>
        </w:rPr>
        <w:t>precuneus</w:t>
      </w:r>
      <w:proofErr w:type="spellEnd"/>
      <w:r w:rsidRPr="0050220E">
        <w:rPr>
          <w:rFonts w:ascii="Times New Roman" w:hAnsi="Times New Roman" w:cs="Times New Roman"/>
          <w:sz w:val="24"/>
          <w:szCs w:val="24"/>
        </w:rPr>
        <w:t xml:space="preserve"> than </w:t>
      </w:r>
      <w:r w:rsidR="00A61EC3">
        <w:rPr>
          <w:rFonts w:ascii="Times New Roman" w:hAnsi="Times New Roman" w:cs="Times New Roman"/>
          <w:sz w:val="24"/>
          <w:szCs w:val="24"/>
        </w:rPr>
        <w:t>CTL</w:t>
      </w:r>
      <w:r w:rsidRPr="0050220E">
        <w:rPr>
          <w:rFonts w:ascii="Times New Roman" w:hAnsi="Times New Roman" w:cs="Times New Roman"/>
          <w:sz w:val="24"/>
          <w:szCs w:val="24"/>
        </w:rPr>
        <w:t xml:space="preserve"> (</w:t>
      </w:r>
      <w:r w:rsidRPr="0050220E">
        <w:rPr>
          <w:rFonts w:ascii="Times New Roman" w:hAnsi="Times New Roman" w:cs="Times New Roman"/>
          <w:i/>
          <w:sz w:val="24"/>
          <w:szCs w:val="24"/>
        </w:rPr>
        <w:t>t</w:t>
      </w:r>
      <w:r w:rsidRPr="0050220E">
        <w:rPr>
          <w:rFonts w:ascii="Times New Roman" w:hAnsi="Times New Roman" w:cs="Times New Roman"/>
          <w:sz w:val="24"/>
          <w:szCs w:val="24"/>
          <w:vertAlign w:val="subscript"/>
        </w:rPr>
        <w:t>(176)</w:t>
      </w:r>
      <w:r w:rsidRPr="0050220E">
        <w:rPr>
          <w:rFonts w:ascii="Times New Roman" w:hAnsi="Times New Roman" w:cs="Times New Roman"/>
          <w:sz w:val="24"/>
          <w:szCs w:val="24"/>
        </w:rPr>
        <w:t xml:space="preserve"> = 2.67, </w:t>
      </w:r>
      <w:r w:rsidRPr="0050220E">
        <w:rPr>
          <w:rFonts w:ascii="Times New Roman" w:hAnsi="Times New Roman" w:cs="Times New Roman"/>
          <w:i/>
          <w:sz w:val="24"/>
          <w:szCs w:val="24"/>
        </w:rPr>
        <w:t>p</w:t>
      </w:r>
      <w:r w:rsidRPr="0050220E">
        <w:rPr>
          <w:rFonts w:ascii="Times New Roman" w:hAnsi="Times New Roman" w:cs="Times New Roman"/>
          <w:sz w:val="24"/>
          <w:szCs w:val="24"/>
        </w:rPr>
        <w:t xml:space="preserve"> = .008). </w:t>
      </w:r>
      <w:r>
        <w:rPr>
          <w:rFonts w:ascii="Times New Roman" w:hAnsi="Times New Roman" w:cs="Times New Roman"/>
          <w:sz w:val="24"/>
          <w:szCs w:val="24"/>
        </w:rPr>
        <w:t>Further, t</w:t>
      </w:r>
      <w:r w:rsidRPr="0050220E">
        <w:rPr>
          <w:rFonts w:ascii="Times New Roman" w:hAnsi="Times New Roman" w:cs="Times New Roman"/>
          <w:sz w:val="24"/>
          <w:szCs w:val="24"/>
        </w:rPr>
        <w:t>he spatial pattern of group differences across the cortex was highly correlated between the primary analysis and the analysis controlling for THC urine status (</w:t>
      </w:r>
      <w:proofErr w:type="gramStart"/>
      <w:r w:rsidRPr="0050220E">
        <w:rPr>
          <w:rFonts w:ascii="Times New Roman" w:hAnsi="Times New Roman" w:cs="Times New Roman"/>
          <w:i/>
          <w:iCs/>
          <w:sz w:val="24"/>
          <w:szCs w:val="24"/>
        </w:rPr>
        <w:t>r</w:t>
      </w:r>
      <w:r w:rsidRPr="0050220E">
        <w:rPr>
          <w:rFonts w:ascii="Times New Roman" w:hAnsi="Times New Roman" w:cs="Times New Roman"/>
          <w:sz w:val="24"/>
          <w:szCs w:val="24"/>
          <w:vertAlign w:val="subscript"/>
        </w:rPr>
        <w:t>(</w:t>
      </w:r>
      <w:proofErr w:type="gramEnd"/>
      <w:r w:rsidRPr="0050220E">
        <w:rPr>
          <w:rFonts w:ascii="Times New Roman" w:hAnsi="Times New Roman" w:cs="Times New Roman"/>
          <w:sz w:val="24"/>
          <w:szCs w:val="24"/>
          <w:vertAlign w:val="subscript"/>
        </w:rPr>
        <w:t>3</w:t>
      </w:r>
      <w:r w:rsidR="009B14E5">
        <w:rPr>
          <w:rFonts w:ascii="Times New Roman" w:hAnsi="Times New Roman" w:cs="Times New Roman"/>
          <w:sz w:val="24"/>
          <w:szCs w:val="24"/>
          <w:vertAlign w:val="subscript"/>
        </w:rPr>
        <w:t>2</w:t>
      </w:r>
      <w:r w:rsidRPr="0050220E">
        <w:rPr>
          <w:rFonts w:ascii="Times New Roman" w:hAnsi="Times New Roman" w:cs="Times New Roman"/>
          <w:sz w:val="24"/>
          <w:szCs w:val="24"/>
          <w:vertAlign w:val="subscript"/>
        </w:rPr>
        <w:t>)</w:t>
      </w:r>
      <w:r w:rsidRPr="0050220E">
        <w:rPr>
          <w:rFonts w:ascii="Times New Roman" w:hAnsi="Times New Roman" w:cs="Times New Roman"/>
          <w:sz w:val="24"/>
          <w:szCs w:val="24"/>
        </w:rPr>
        <w:t xml:space="preserve">  = .96).</w:t>
      </w:r>
      <w:r>
        <w:rPr>
          <w:rFonts w:ascii="Times New Roman" w:hAnsi="Times New Roman" w:cs="Times New Roman"/>
          <w:sz w:val="24"/>
          <w:szCs w:val="24"/>
        </w:rPr>
        <w:t xml:space="preserve"> </w:t>
      </w:r>
      <w:r w:rsidRPr="0050220E">
        <w:rPr>
          <w:rFonts w:ascii="Times New Roman" w:eastAsia="MS Mincho" w:hAnsi="Times New Roman"/>
          <w:sz w:val="24"/>
          <w:szCs w:val="24"/>
          <w:lang w:eastAsia="zh-CN"/>
        </w:rPr>
        <w:t>Thus, the data do not support evidence of acute</w:t>
      </w:r>
      <w:r>
        <w:rPr>
          <w:rFonts w:ascii="Times New Roman" w:eastAsia="MS Mincho" w:hAnsi="Times New Roman"/>
          <w:sz w:val="24"/>
          <w:szCs w:val="24"/>
          <w:lang w:eastAsia="zh-CN"/>
        </w:rPr>
        <w:t xml:space="preserve"> </w:t>
      </w:r>
      <w:r w:rsidRPr="0050220E">
        <w:rPr>
          <w:rFonts w:ascii="Times New Roman" w:eastAsia="MS Mincho" w:hAnsi="Times New Roman"/>
          <w:sz w:val="24"/>
          <w:szCs w:val="24"/>
          <w:lang w:eastAsia="zh-CN"/>
        </w:rPr>
        <w:t>negative effects on brain structural integrity with cannabis use</w:t>
      </w:r>
      <w:r>
        <w:rPr>
          <w:rFonts w:ascii="Times New Roman" w:eastAsia="MS Mincho" w:hAnsi="Times New Roman"/>
          <w:sz w:val="24"/>
          <w:szCs w:val="24"/>
          <w:lang w:eastAsia="zh-CN"/>
        </w:rPr>
        <w:t xml:space="preserve"> </w:t>
      </w:r>
      <w:bookmarkStart w:id="10" w:name="_Hlk15487376"/>
      <w:r>
        <w:rPr>
          <w:rFonts w:ascii="Times New Roman" w:eastAsia="MS Mincho" w:hAnsi="Times New Roman"/>
          <w:sz w:val="24"/>
          <w:szCs w:val="24"/>
          <w:lang w:eastAsia="zh-CN"/>
        </w:rPr>
        <w:t>(relative to past heavy cannabis use)</w:t>
      </w:r>
      <w:bookmarkEnd w:id="10"/>
      <w:r w:rsidRPr="0050220E">
        <w:rPr>
          <w:rFonts w:ascii="Times New Roman" w:eastAsia="MS Mincho" w:hAnsi="Times New Roman"/>
          <w:sz w:val="24"/>
          <w:szCs w:val="24"/>
          <w:lang w:eastAsia="zh-CN"/>
        </w:rPr>
        <w:t>.</w:t>
      </w:r>
    </w:p>
    <w:p w14:paraId="01D7DDA6" w14:textId="7DC84C3F" w:rsidR="0050220E" w:rsidRDefault="0050220E" w:rsidP="0050220E">
      <w:pPr>
        <w:spacing w:line="276" w:lineRule="auto"/>
        <w:ind w:firstLine="720"/>
        <w:rPr>
          <w:rFonts w:ascii="Times New Roman" w:hAnsi="Times New Roman" w:cs="Times New Roman"/>
          <w:sz w:val="24"/>
          <w:szCs w:val="24"/>
        </w:rPr>
      </w:pPr>
      <w:r w:rsidRPr="0050220E">
        <w:rPr>
          <w:rFonts w:ascii="Times New Roman" w:hAnsi="Times New Roman" w:cs="Times New Roman"/>
          <w:sz w:val="24"/>
          <w:szCs w:val="24"/>
        </w:rPr>
        <w:t xml:space="preserve">We </w:t>
      </w:r>
      <w:r>
        <w:rPr>
          <w:rFonts w:ascii="Times New Roman" w:hAnsi="Times New Roman" w:cs="Times New Roman"/>
          <w:sz w:val="24"/>
          <w:szCs w:val="24"/>
        </w:rPr>
        <w:t xml:space="preserve">also </w:t>
      </w:r>
      <w:r w:rsidRPr="0050220E">
        <w:rPr>
          <w:rFonts w:ascii="Times New Roman" w:hAnsi="Times New Roman" w:cs="Times New Roman"/>
          <w:sz w:val="24"/>
          <w:szCs w:val="24"/>
        </w:rPr>
        <w:t>included the “Times Used Illicit Drugs” as a covariate</w:t>
      </w:r>
      <w:r>
        <w:rPr>
          <w:rFonts w:ascii="Times New Roman" w:hAnsi="Times New Roman" w:cs="Times New Roman"/>
          <w:sz w:val="24"/>
          <w:szCs w:val="24"/>
        </w:rPr>
        <w:t xml:space="preserve"> in the same primary analysis</w:t>
      </w:r>
      <w:r w:rsidRPr="0050220E">
        <w:rPr>
          <w:rFonts w:ascii="Times New Roman" w:hAnsi="Times New Roman" w:cs="Times New Roman"/>
          <w:sz w:val="24"/>
          <w:szCs w:val="24"/>
        </w:rPr>
        <w:t xml:space="preserve">, and the results hold: The </w:t>
      </w:r>
      <w:r w:rsidR="0046232D">
        <w:rPr>
          <w:rFonts w:ascii="Times New Roman" w:hAnsi="Times New Roman" w:cs="Times New Roman"/>
          <w:sz w:val="24"/>
          <w:szCs w:val="24"/>
        </w:rPr>
        <w:t>CD</w:t>
      </w:r>
      <w:r w:rsidRPr="0050220E">
        <w:rPr>
          <w:rFonts w:ascii="Times New Roman" w:hAnsi="Times New Roman" w:cs="Times New Roman"/>
          <w:sz w:val="24"/>
          <w:szCs w:val="24"/>
        </w:rPr>
        <w:t xml:space="preserve"> group shows significantly lower cortical thickness (</w:t>
      </w:r>
      <w:proofErr w:type="gramStart"/>
      <w:r w:rsidRPr="0050220E">
        <w:rPr>
          <w:rFonts w:ascii="Times New Roman" w:hAnsi="Times New Roman" w:cs="Times New Roman"/>
          <w:i/>
          <w:sz w:val="24"/>
          <w:szCs w:val="24"/>
        </w:rPr>
        <w:t>t</w:t>
      </w:r>
      <w:r w:rsidRPr="0050220E">
        <w:rPr>
          <w:rFonts w:ascii="Times New Roman" w:hAnsi="Times New Roman" w:cs="Times New Roman"/>
          <w:sz w:val="24"/>
          <w:szCs w:val="24"/>
          <w:vertAlign w:val="subscript"/>
        </w:rPr>
        <w:t>(</w:t>
      </w:r>
      <w:proofErr w:type="gramEnd"/>
      <w:r w:rsidRPr="0050220E">
        <w:rPr>
          <w:rFonts w:ascii="Times New Roman" w:hAnsi="Times New Roman" w:cs="Times New Roman"/>
          <w:sz w:val="24"/>
          <w:szCs w:val="24"/>
          <w:vertAlign w:val="subscript"/>
        </w:rPr>
        <w:t>176)</w:t>
      </w:r>
      <w:r w:rsidRPr="0050220E">
        <w:rPr>
          <w:rFonts w:ascii="Times New Roman" w:hAnsi="Times New Roman" w:cs="Times New Roman"/>
          <w:sz w:val="24"/>
          <w:szCs w:val="24"/>
        </w:rPr>
        <w:t xml:space="preserve"> = 3.88, </w:t>
      </w:r>
      <w:r w:rsidRPr="0050220E">
        <w:rPr>
          <w:rFonts w:ascii="Times New Roman" w:hAnsi="Times New Roman" w:cs="Times New Roman"/>
          <w:i/>
          <w:sz w:val="24"/>
          <w:szCs w:val="24"/>
        </w:rPr>
        <w:t>p</w:t>
      </w:r>
      <w:r w:rsidRPr="0050220E">
        <w:rPr>
          <w:rFonts w:ascii="Times New Roman" w:hAnsi="Times New Roman" w:cs="Times New Roman"/>
          <w:sz w:val="24"/>
          <w:szCs w:val="24"/>
        </w:rPr>
        <w:t xml:space="preserve"> = 1.4 x 10</w:t>
      </w:r>
      <w:r w:rsidRPr="0050220E">
        <w:rPr>
          <w:rFonts w:ascii="Times New Roman" w:hAnsi="Times New Roman" w:cs="Times New Roman"/>
          <w:sz w:val="24"/>
          <w:szCs w:val="24"/>
          <w:vertAlign w:val="superscript"/>
        </w:rPr>
        <w:t>-4</w:t>
      </w:r>
      <w:r w:rsidRPr="0050220E">
        <w:rPr>
          <w:rFonts w:ascii="Times New Roman" w:hAnsi="Times New Roman" w:cs="Times New Roman"/>
          <w:sz w:val="24"/>
          <w:szCs w:val="24"/>
        </w:rPr>
        <w:t xml:space="preserve">) of the left </w:t>
      </w:r>
      <w:proofErr w:type="spellStart"/>
      <w:r w:rsidRPr="0050220E">
        <w:rPr>
          <w:rFonts w:ascii="Times New Roman" w:hAnsi="Times New Roman" w:cs="Times New Roman"/>
          <w:sz w:val="24"/>
          <w:szCs w:val="24"/>
        </w:rPr>
        <w:t>precuneus</w:t>
      </w:r>
      <w:proofErr w:type="spellEnd"/>
      <w:r w:rsidRPr="0050220E">
        <w:rPr>
          <w:rFonts w:ascii="Times New Roman" w:hAnsi="Times New Roman" w:cs="Times New Roman"/>
          <w:sz w:val="24"/>
          <w:szCs w:val="24"/>
        </w:rPr>
        <w:t xml:space="preserve"> than </w:t>
      </w:r>
      <w:r w:rsidR="00A61EC3">
        <w:rPr>
          <w:rFonts w:ascii="Times New Roman" w:hAnsi="Times New Roman" w:cs="Times New Roman"/>
          <w:sz w:val="24"/>
          <w:szCs w:val="24"/>
        </w:rPr>
        <w:t>CTL</w:t>
      </w:r>
      <w:r w:rsidRPr="0050220E">
        <w:rPr>
          <w:rFonts w:ascii="Times New Roman" w:hAnsi="Times New Roman" w:cs="Times New Roman"/>
          <w:sz w:val="24"/>
          <w:szCs w:val="24"/>
        </w:rPr>
        <w:t xml:space="preserve">. The spatial pattern of group differences </w:t>
      </w:r>
      <w:r w:rsidRPr="0050220E">
        <w:rPr>
          <w:rFonts w:ascii="Times New Roman" w:hAnsi="Times New Roman" w:cs="Times New Roman"/>
          <w:sz w:val="24"/>
          <w:szCs w:val="24"/>
        </w:rPr>
        <w:lastRenderedPageBreak/>
        <w:t>across the cortex was highly correlated between the primary analysis and the analysis controlling for illicit drug use (</w:t>
      </w:r>
      <w:proofErr w:type="gramStart"/>
      <w:r w:rsidRPr="0050220E">
        <w:rPr>
          <w:rFonts w:ascii="Times New Roman" w:hAnsi="Times New Roman" w:cs="Times New Roman"/>
          <w:i/>
          <w:iCs/>
          <w:sz w:val="24"/>
          <w:szCs w:val="24"/>
        </w:rPr>
        <w:t>r</w:t>
      </w:r>
      <w:r w:rsidRPr="0050220E">
        <w:rPr>
          <w:rFonts w:ascii="Times New Roman" w:hAnsi="Times New Roman" w:cs="Times New Roman"/>
          <w:sz w:val="24"/>
          <w:szCs w:val="24"/>
          <w:vertAlign w:val="subscript"/>
        </w:rPr>
        <w:t>(</w:t>
      </w:r>
      <w:proofErr w:type="gramEnd"/>
      <w:r w:rsidRPr="0050220E">
        <w:rPr>
          <w:rFonts w:ascii="Times New Roman" w:hAnsi="Times New Roman" w:cs="Times New Roman"/>
          <w:sz w:val="24"/>
          <w:szCs w:val="24"/>
          <w:vertAlign w:val="subscript"/>
        </w:rPr>
        <w:t>3</w:t>
      </w:r>
      <w:r w:rsidR="009B14E5">
        <w:rPr>
          <w:rFonts w:ascii="Times New Roman" w:hAnsi="Times New Roman" w:cs="Times New Roman"/>
          <w:sz w:val="24"/>
          <w:szCs w:val="24"/>
          <w:vertAlign w:val="subscript"/>
        </w:rPr>
        <w:t>2</w:t>
      </w:r>
      <w:r w:rsidRPr="0050220E">
        <w:rPr>
          <w:rFonts w:ascii="Times New Roman" w:hAnsi="Times New Roman" w:cs="Times New Roman"/>
          <w:sz w:val="24"/>
          <w:szCs w:val="24"/>
          <w:vertAlign w:val="subscript"/>
        </w:rPr>
        <w:t>)</w:t>
      </w:r>
      <w:r w:rsidRPr="0050220E">
        <w:rPr>
          <w:rFonts w:ascii="Times New Roman" w:hAnsi="Times New Roman" w:cs="Times New Roman"/>
          <w:sz w:val="24"/>
          <w:szCs w:val="24"/>
        </w:rPr>
        <w:t xml:space="preserve">  = .80).</w:t>
      </w:r>
      <w:r>
        <w:rPr>
          <w:rFonts w:ascii="Times New Roman" w:hAnsi="Times New Roman" w:cs="Times New Roman"/>
          <w:sz w:val="24"/>
          <w:szCs w:val="24"/>
        </w:rPr>
        <w:t xml:space="preserve"> </w:t>
      </w:r>
      <w:bookmarkStart w:id="11" w:name="_Hlk15487485"/>
      <w:r>
        <w:rPr>
          <w:rFonts w:ascii="Times New Roman" w:hAnsi="Times New Roman" w:cs="Times New Roman"/>
          <w:sz w:val="24"/>
          <w:szCs w:val="24"/>
        </w:rPr>
        <w:t>Therefore, group differences do not appear to be driven by history of use of other illicit drugs aside from cannabis</w:t>
      </w:r>
      <w:r w:rsidR="009B14E5">
        <w:rPr>
          <w:rFonts w:ascii="Times New Roman" w:hAnsi="Times New Roman" w:cs="Times New Roman"/>
          <w:sz w:val="24"/>
          <w:szCs w:val="24"/>
        </w:rPr>
        <w:t xml:space="preserve"> (</w:t>
      </w:r>
      <w:r w:rsidR="009B14E5" w:rsidRPr="00BD514F">
        <w:rPr>
          <w:rFonts w:ascii="Times New Roman" w:hAnsi="Times New Roman" w:cs="Times New Roman"/>
          <w:b/>
          <w:bCs/>
          <w:sz w:val="24"/>
          <w:szCs w:val="24"/>
        </w:rPr>
        <w:t xml:space="preserve">Supplementary Figure </w:t>
      </w:r>
      <w:r w:rsidR="009B14E5">
        <w:rPr>
          <w:rFonts w:ascii="Times New Roman" w:hAnsi="Times New Roman" w:cs="Times New Roman"/>
          <w:b/>
          <w:bCs/>
          <w:sz w:val="24"/>
          <w:szCs w:val="24"/>
        </w:rPr>
        <w:t>2)</w:t>
      </w:r>
      <w:r>
        <w:rPr>
          <w:rFonts w:ascii="Times New Roman" w:hAnsi="Times New Roman" w:cs="Times New Roman"/>
          <w:sz w:val="24"/>
          <w:szCs w:val="24"/>
        </w:rPr>
        <w:t>.</w:t>
      </w:r>
      <w:bookmarkEnd w:id="11"/>
    </w:p>
    <w:p w14:paraId="616302EE" w14:textId="77777777" w:rsidR="0050220E" w:rsidRDefault="0050220E" w:rsidP="00737E60">
      <w:pPr>
        <w:spacing w:line="276" w:lineRule="auto"/>
        <w:rPr>
          <w:rFonts w:ascii="Times New Roman" w:eastAsia="MS Mincho" w:hAnsi="Times New Roman"/>
          <w:sz w:val="24"/>
          <w:szCs w:val="24"/>
          <w:lang w:eastAsia="zh-CN"/>
        </w:rPr>
      </w:pPr>
    </w:p>
    <w:p w14:paraId="5F05B4EB" w14:textId="21555CA8" w:rsidR="00737E60" w:rsidRDefault="00737E60" w:rsidP="00737E60">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Analysis of Frequent Cannabis Users without </w:t>
      </w:r>
      <w:r w:rsidR="0046232D">
        <w:rPr>
          <w:rFonts w:ascii="Times New Roman" w:hAnsi="Times New Roman" w:cs="Times New Roman"/>
          <w:i/>
          <w:iCs/>
          <w:sz w:val="24"/>
          <w:szCs w:val="24"/>
        </w:rPr>
        <w:t>CD</w:t>
      </w:r>
    </w:p>
    <w:p w14:paraId="2471F8B4" w14:textId="63B4539E" w:rsidR="00737E60" w:rsidRDefault="00BD514F" w:rsidP="0050220E">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We examined if frequent cannabis users (&gt;100 lifetime uses) without symptoms of </w:t>
      </w:r>
      <w:r w:rsidR="0046232D">
        <w:rPr>
          <w:rFonts w:ascii="Times New Roman" w:hAnsi="Times New Roman" w:cs="Times New Roman"/>
          <w:sz w:val="24"/>
          <w:szCs w:val="24"/>
        </w:rPr>
        <w:t>CD</w:t>
      </w:r>
      <w:r>
        <w:rPr>
          <w:rFonts w:ascii="Times New Roman" w:hAnsi="Times New Roman" w:cs="Times New Roman"/>
          <w:sz w:val="24"/>
          <w:szCs w:val="24"/>
        </w:rPr>
        <w:t xml:space="preserve"> would show cortical thickness deficits relative to </w:t>
      </w:r>
      <w:r w:rsidR="00A61EC3">
        <w:rPr>
          <w:rFonts w:ascii="Times New Roman" w:hAnsi="Times New Roman" w:cs="Times New Roman"/>
          <w:sz w:val="24"/>
          <w:szCs w:val="24"/>
        </w:rPr>
        <w:t>CTL</w:t>
      </w:r>
      <w:r>
        <w:rPr>
          <w:rFonts w:ascii="Times New Roman" w:hAnsi="Times New Roman" w:cs="Times New Roman"/>
          <w:sz w:val="24"/>
          <w:szCs w:val="24"/>
        </w:rPr>
        <w:t xml:space="preserve">, in a similar manner to the </w:t>
      </w:r>
      <w:r w:rsidR="0046232D">
        <w:rPr>
          <w:rFonts w:ascii="Times New Roman" w:hAnsi="Times New Roman" w:cs="Times New Roman"/>
          <w:sz w:val="24"/>
          <w:szCs w:val="24"/>
        </w:rPr>
        <w:t>CD</w:t>
      </w:r>
      <w:r>
        <w:rPr>
          <w:rFonts w:ascii="Times New Roman" w:hAnsi="Times New Roman" w:cs="Times New Roman"/>
          <w:sz w:val="24"/>
          <w:szCs w:val="24"/>
        </w:rPr>
        <w:t xml:space="preserve"> group. We conducted a </w:t>
      </w:r>
      <w:r w:rsidRPr="00BD514F">
        <w:rPr>
          <w:rFonts w:ascii="Times New Roman" w:hAnsi="Times New Roman" w:cs="Times New Roman"/>
          <w:i/>
          <w:iCs/>
          <w:sz w:val="24"/>
          <w:szCs w:val="24"/>
        </w:rPr>
        <w:t>t</w:t>
      </w:r>
      <w:r w:rsidRPr="00BD514F">
        <w:rPr>
          <w:rFonts w:ascii="Times New Roman" w:hAnsi="Times New Roman" w:cs="Times New Roman"/>
          <w:sz w:val="24"/>
          <w:szCs w:val="24"/>
        </w:rPr>
        <w:t xml:space="preserve">-test on the left </w:t>
      </w:r>
      <w:proofErr w:type="spellStart"/>
      <w:r w:rsidRPr="00BD514F">
        <w:rPr>
          <w:rFonts w:ascii="Times New Roman" w:hAnsi="Times New Roman" w:cs="Times New Roman"/>
          <w:sz w:val="24"/>
          <w:szCs w:val="24"/>
        </w:rPr>
        <w:t>precuneus</w:t>
      </w:r>
      <w:proofErr w:type="spellEnd"/>
      <w:r w:rsidRPr="00BD514F">
        <w:rPr>
          <w:rFonts w:ascii="Times New Roman" w:hAnsi="Times New Roman" w:cs="Times New Roman"/>
          <w:sz w:val="24"/>
          <w:szCs w:val="24"/>
        </w:rPr>
        <w:t>,</w:t>
      </w:r>
      <w:r>
        <w:rPr>
          <w:rFonts w:ascii="Times New Roman" w:hAnsi="Times New Roman" w:cs="Times New Roman"/>
          <w:sz w:val="24"/>
          <w:szCs w:val="24"/>
        </w:rPr>
        <w:t xml:space="preserve"> and found</w:t>
      </w:r>
      <w:r w:rsidRPr="00BD514F">
        <w:rPr>
          <w:rFonts w:ascii="Times New Roman" w:hAnsi="Times New Roman" w:cs="Times New Roman"/>
          <w:sz w:val="24"/>
          <w:szCs w:val="24"/>
        </w:rPr>
        <w:t xml:space="preserve"> the &gt;100 use group showed significantly lower cortical thickness than </w:t>
      </w:r>
      <w:r w:rsidR="00A61EC3">
        <w:rPr>
          <w:rFonts w:ascii="Times New Roman" w:hAnsi="Times New Roman" w:cs="Times New Roman"/>
          <w:sz w:val="24"/>
          <w:szCs w:val="24"/>
        </w:rPr>
        <w:t>CTL</w:t>
      </w:r>
      <w:r w:rsidRPr="00BD514F">
        <w:rPr>
          <w:rFonts w:ascii="Times New Roman" w:hAnsi="Times New Roman" w:cs="Times New Roman"/>
          <w:sz w:val="24"/>
          <w:szCs w:val="24"/>
        </w:rPr>
        <w:t xml:space="preserve"> (</w:t>
      </w:r>
      <w:r w:rsidRPr="00BD514F">
        <w:rPr>
          <w:rFonts w:ascii="Times New Roman" w:hAnsi="Times New Roman" w:cs="Times New Roman"/>
          <w:i/>
          <w:iCs/>
          <w:sz w:val="24"/>
          <w:szCs w:val="24"/>
        </w:rPr>
        <w:t xml:space="preserve">t </w:t>
      </w:r>
      <w:r w:rsidRPr="00BD514F">
        <w:rPr>
          <w:rFonts w:ascii="Times New Roman" w:hAnsi="Times New Roman" w:cs="Times New Roman"/>
          <w:sz w:val="24"/>
          <w:szCs w:val="24"/>
        </w:rPr>
        <w:t xml:space="preserve">= 2.40, </w:t>
      </w:r>
      <w:r w:rsidRPr="00BD514F">
        <w:rPr>
          <w:rFonts w:ascii="Times New Roman" w:hAnsi="Times New Roman" w:cs="Times New Roman"/>
          <w:i/>
          <w:iCs/>
          <w:sz w:val="24"/>
          <w:szCs w:val="24"/>
        </w:rPr>
        <w:t xml:space="preserve">p </w:t>
      </w:r>
      <w:r w:rsidRPr="00BD514F">
        <w:rPr>
          <w:rFonts w:ascii="Times New Roman" w:hAnsi="Times New Roman" w:cs="Times New Roman"/>
          <w:sz w:val="24"/>
          <w:szCs w:val="24"/>
        </w:rPr>
        <w:t xml:space="preserve">= .020, Cohen’s </w:t>
      </w:r>
      <w:r w:rsidRPr="00BD514F">
        <w:rPr>
          <w:rFonts w:ascii="Times New Roman" w:hAnsi="Times New Roman" w:cs="Times New Roman"/>
          <w:i/>
          <w:iCs/>
          <w:sz w:val="24"/>
          <w:szCs w:val="24"/>
        </w:rPr>
        <w:t xml:space="preserve">D </w:t>
      </w:r>
      <w:r w:rsidRPr="00BD514F">
        <w:rPr>
          <w:rFonts w:ascii="Times New Roman" w:hAnsi="Times New Roman" w:cs="Times New Roman"/>
          <w:sz w:val="24"/>
          <w:szCs w:val="24"/>
        </w:rPr>
        <w:t xml:space="preserve">= .36) albeit the effects were not as strong as the </w:t>
      </w:r>
      <w:r w:rsidR="0046232D">
        <w:rPr>
          <w:rFonts w:ascii="Times New Roman" w:hAnsi="Times New Roman" w:cs="Times New Roman"/>
          <w:sz w:val="24"/>
          <w:szCs w:val="24"/>
        </w:rPr>
        <w:t>CD</w:t>
      </w:r>
      <w:r w:rsidRPr="00BD514F">
        <w:rPr>
          <w:rFonts w:ascii="Times New Roman" w:hAnsi="Times New Roman" w:cs="Times New Roman"/>
          <w:sz w:val="24"/>
          <w:szCs w:val="24"/>
        </w:rPr>
        <w:t xml:space="preserve"> vs. control comparison (Cohen’s </w:t>
      </w:r>
      <w:r w:rsidRPr="00BD514F">
        <w:rPr>
          <w:rFonts w:ascii="Times New Roman" w:hAnsi="Times New Roman" w:cs="Times New Roman"/>
          <w:i/>
          <w:iCs/>
          <w:sz w:val="24"/>
          <w:szCs w:val="24"/>
        </w:rPr>
        <w:t xml:space="preserve">D </w:t>
      </w:r>
      <w:r w:rsidRPr="00BD514F">
        <w:rPr>
          <w:rFonts w:ascii="Times New Roman" w:hAnsi="Times New Roman" w:cs="Times New Roman"/>
          <w:sz w:val="24"/>
          <w:szCs w:val="24"/>
        </w:rPr>
        <w:t>= .51)</w:t>
      </w:r>
      <w:r>
        <w:rPr>
          <w:rFonts w:ascii="Times New Roman" w:hAnsi="Times New Roman" w:cs="Times New Roman"/>
          <w:sz w:val="24"/>
          <w:szCs w:val="24"/>
        </w:rPr>
        <w:t xml:space="preserve"> (</w:t>
      </w:r>
      <w:r w:rsidRPr="00BD514F">
        <w:rPr>
          <w:rFonts w:ascii="Times New Roman" w:hAnsi="Times New Roman" w:cs="Times New Roman"/>
          <w:b/>
          <w:bCs/>
          <w:sz w:val="24"/>
          <w:szCs w:val="24"/>
        </w:rPr>
        <w:t xml:space="preserve">Supplementary Figure </w:t>
      </w:r>
      <w:r w:rsidR="00DB64C0">
        <w:rPr>
          <w:rFonts w:ascii="Times New Roman" w:hAnsi="Times New Roman" w:cs="Times New Roman"/>
          <w:b/>
          <w:bCs/>
          <w:sz w:val="24"/>
          <w:szCs w:val="24"/>
        </w:rPr>
        <w:t>3</w:t>
      </w:r>
      <w:r>
        <w:rPr>
          <w:rFonts w:ascii="Times New Roman" w:hAnsi="Times New Roman" w:cs="Times New Roman"/>
          <w:b/>
          <w:bCs/>
          <w:sz w:val="24"/>
          <w:szCs w:val="24"/>
        </w:rPr>
        <w:t>)</w:t>
      </w:r>
      <w:r w:rsidRPr="00BD514F">
        <w:rPr>
          <w:rFonts w:ascii="Times New Roman" w:hAnsi="Times New Roman" w:cs="Times New Roman"/>
          <w:sz w:val="24"/>
          <w:szCs w:val="24"/>
        </w:rPr>
        <w:t>.</w:t>
      </w:r>
      <w:r w:rsidR="0050220E">
        <w:rPr>
          <w:rFonts w:ascii="Times New Roman" w:hAnsi="Times New Roman" w:cs="Times New Roman"/>
          <w:sz w:val="24"/>
          <w:szCs w:val="24"/>
        </w:rPr>
        <w:t xml:space="preserve"> </w:t>
      </w:r>
      <w:r w:rsidR="0050220E" w:rsidRPr="0050220E">
        <w:rPr>
          <w:rFonts w:ascii="Times New Roman" w:hAnsi="Times New Roman" w:cs="Times New Roman"/>
          <w:sz w:val="24"/>
          <w:szCs w:val="24"/>
        </w:rPr>
        <w:t xml:space="preserve">This suggests a graded effect of cannabis use on </w:t>
      </w:r>
      <w:proofErr w:type="spellStart"/>
      <w:r w:rsidR="0050220E" w:rsidRPr="0050220E">
        <w:rPr>
          <w:rFonts w:ascii="Times New Roman" w:hAnsi="Times New Roman" w:cs="Times New Roman"/>
          <w:sz w:val="24"/>
          <w:szCs w:val="24"/>
        </w:rPr>
        <w:t>precuneus</w:t>
      </w:r>
      <w:proofErr w:type="spellEnd"/>
      <w:r w:rsidR="0050220E" w:rsidRPr="0050220E">
        <w:rPr>
          <w:rFonts w:ascii="Times New Roman" w:hAnsi="Times New Roman" w:cs="Times New Roman"/>
          <w:sz w:val="24"/>
          <w:szCs w:val="24"/>
        </w:rPr>
        <w:t xml:space="preserve"> structure.</w:t>
      </w:r>
    </w:p>
    <w:p w14:paraId="73434CDF" w14:textId="653BE874" w:rsidR="009B14E5" w:rsidRDefault="009B14E5" w:rsidP="0050220E">
      <w:pPr>
        <w:spacing w:line="276" w:lineRule="auto"/>
        <w:ind w:firstLine="720"/>
        <w:rPr>
          <w:rFonts w:ascii="Times New Roman" w:hAnsi="Times New Roman" w:cs="Times New Roman"/>
          <w:sz w:val="24"/>
          <w:szCs w:val="24"/>
        </w:rPr>
      </w:pPr>
    </w:p>
    <w:p w14:paraId="720CF7CF" w14:textId="77777777" w:rsidR="00BD514F" w:rsidRPr="001E464F" w:rsidRDefault="00BD514F" w:rsidP="00737E60">
      <w:pPr>
        <w:spacing w:line="276" w:lineRule="auto"/>
        <w:rPr>
          <w:rFonts w:ascii="Times New Roman" w:hAnsi="Times New Roman" w:cs="Times New Roman"/>
          <w:sz w:val="24"/>
          <w:szCs w:val="24"/>
        </w:rPr>
      </w:pPr>
    </w:p>
    <w:p w14:paraId="4CC8D40F" w14:textId="5CFE8A7A" w:rsidR="00737E60" w:rsidRPr="00737E60" w:rsidRDefault="00737E60" w:rsidP="00737E60">
      <w:pPr>
        <w:spacing w:line="276" w:lineRule="auto"/>
        <w:rPr>
          <w:rFonts w:ascii="Times New Roman" w:eastAsia="MS Mincho" w:hAnsi="Times New Roman"/>
          <w:sz w:val="24"/>
          <w:szCs w:val="24"/>
          <w:lang w:eastAsia="zh-CN"/>
        </w:rPr>
      </w:pPr>
    </w:p>
    <w:p w14:paraId="7BBD7AE1" w14:textId="77777777" w:rsidR="00EB4C0C" w:rsidRDefault="00EB4C0C" w:rsidP="00B2340D">
      <w:pPr>
        <w:spacing w:line="276" w:lineRule="auto"/>
        <w:ind w:firstLine="720"/>
        <w:rPr>
          <w:rFonts w:ascii="Times New Roman" w:eastAsia="MS Mincho" w:hAnsi="Times New Roman"/>
          <w:sz w:val="24"/>
          <w:szCs w:val="24"/>
          <w:lang w:eastAsia="zh-CN"/>
        </w:rPr>
      </w:pPr>
    </w:p>
    <w:p w14:paraId="3C0BDED8" w14:textId="5BECD800" w:rsidR="00E54AD2" w:rsidRDefault="00E54AD2" w:rsidP="0094548D">
      <w:pPr>
        <w:spacing w:line="276" w:lineRule="auto"/>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2632EDF7" w14:textId="472CA827" w:rsidR="00E54AD2" w:rsidRDefault="00E54AD2" w:rsidP="0094548D">
      <w:pPr>
        <w:spacing w:line="276" w:lineRule="auto"/>
        <w:jc w:val="center"/>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References</w:t>
      </w:r>
    </w:p>
    <w:p w14:paraId="5BF980C2" w14:textId="3FB4E5CA" w:rsidR="00693368" w:rsidRPr="00693368" w:rsidRDefault="00E54AD2"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eastAsia="MS Mincho" w:hAnsi="Times New Roman"/>
          <w:bCs/>
          <w:sz w:val="24"/>
          <w:szCs w:val="24"/>
          <w:lang w:eastAsia="zh-CN"/>
        </w:rPr>
        <w:fldChar w:fldCharType="begin" w:fldLock="1"/>
      </w:r>
      <w:r>
        <w:rPr>
          <w:rFonts w:ascii="Times New Roman" w:eastAsia="MS Mincho" w:hAnsi="Times New Roman"/>
          <w:bCs/>
          <w:sz w:val="24"/>
          <w:szCs w:val="24"/>
          <w:lang w:eastAsia="zh-CN"/>
        </w:rPr>
        <w:instrText xml:space="preserve">ADDIN Mendeley Bibliography CSL_BIBLIOGRAPHY </w:instrText>
      </w:r>
      <w:r>
        <w:rPr>
          <w:rFonts w:ascii="Times New Roman" w:eastAsia="MS Mincho" w:hAnsi="Times New Roman"/>
          <w:bCs/>
          <w:sz w:val="24"/>
          <w:szCs w:val="24"/>
          <w:lang w:eastAsia="zh-CN"/>
        </w:rPr>
        <w:fldChar w:fldCharType="separate"/>
      </w:r>
      <w:r w:rsidR="00693368" w:rsidRPr="00693368">
        <w:rPr>
          <w:rFonts w:ascii="Times New Roman" w:hAnsi="Times New Roman" w:cs="Times New Roman"/>
          <w:noProof/>
          <w:sz w:val="24"/>
          <w:szCs w:val="24"/>
        </w:rPr>
        <w:t xml:space="preserve">1 </w:t>
      </w:r>
      <w:r w:rsidR="00693368" w:rsidRPr="00693368">
        <w:rPr>
          <w:rFonts w:ascii="Times New Roman" w:hAnsi="Times New Roman" w:cs="Times New Roman"/>
          <w:noProof/>
          <w:sz w:val="24"/>
          <w:szCs w:val="24"/>
        </w:rPr>
        <w:tab/>
        <w:t xml:space="preserve">Weiland BJ, Thayer RE, Depue BE, Sabbineni A, Bryan AD, Hutchison KE. Daily Marijuana Use Is Not Associated with Brain Morphometric Measures in Adolescents or Adults. </w:t>
      </w:r>
      <w:r w:rsidR="00693368" w:rsidRPr="00693368">
        <w:rPr>
          <w:rFonts w:ascii="Times New Roman" w:hAnsi="Times New Roman" w:cs="Times New Roman"/>
          <w:i/>
          <w:iCs/>
          <w:noProof/>
          <w:sz w:val="24"/>
          <w:szCs w:val="24"/>
        </w:rPr>
        <w:t xml:space="preserve">J Neurosci </w:t>
      </w:r>
      <w:r w:rsidR="00693368" w:rsidRPr="00693368">
        <w:rPr>
          <w:rFonts w:ascii="Times New Roman" w:hAnsi="Times New Roman" w:cs="Times New Roman"/>
          <w:noProof/>
          <w:sz w:val="24"/>
          <w:szCs w:val="24"/>
        </w:rPr>
        <w:t xml:space="preserve"> 2015; </w:t>
      </w:r>
      <w:r w:rsidR="00693368" w:rsidRPr="00693368">
        <w:rPr>
          <w:rFonts w:ascii="Times New Roman" w:hAnsi="Times New Roman" w:cs="Times New Roman"/>
          <w:b/>
          <w:bCs/>
          <w:noProof/>
          <w:sz w:val="24"/>
          <w:szCs w:val="24"/>
        </w:rPr>
        <w:t>35</w:t>
      </w:r>
      <w:r w:rsidR="00693368" w:rsidRPr="00693368">
        <w:rPr>
          <w:rFonts w:ascii="Times New Roman" w:hAnsi="Times New Roman" w:cs="Times New Roman"/>
          <w:noProof/>
          <w:sz w:val="24"/>
          <w:szCs w:val="24"/>
        </w:rPr>
        <w:t>: 1505–1512.</w:t>
      </w:r>
    </w:p>
    <w:p w14:paraId="0DCD6F77"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2 </w:t>
      </w:r>
      <w:r w:rsidRPr="00693368">
        <w:rPr>
          <w:rFonts w:ascii="Times New Roman" w:hAnsi="Times New Roman" w:cs="Times New Roman"/>
          <w:noProof/>
          <w:sz w:val="24"/>
          <w:szCs w:val="24"/>
        </w:rPr>
        <w:tab/>
        <w:t xml:space="preserve">Kaufman L, Rousseeuw PJ. </w:t>
      </w:r>
      <w:r w:rsidRPr="00693368">
        <w:rPr>
          <w:rFonts w:ascii="Times New Roman" w:hAnsi="Times New Roman" w:cs="Times New Roman"/>
          <w:i/>
          <w:iCs/>
          <w:noProof/>
          <w:sz w:val="24"/>
          <w:szCs w:val="24"/>
        </w:rPr>
        <w:t>Finding Groups in Data: An Introduction to Cluster Analysis</w:t>
      </w:r>
      <w:r w:rsidRPr="00693368">
        <w:rPr>
          <w:rFonts w:ascii="Times New Roman" w:hAnsi="Times New Roman" w:cs="Times New Roman"/>
          <w:noProof/>
          <w:sz w:val="24"/>
          <w:szCs w:val="24"/>
        </w:rPr>
        <w:t>. 1990.</w:t>
      </w:r>
    </w:p>
    <w:p w14:paraId="1D39EBAB"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3 </w:t>
      </w:r>
      <w:r w:rsidRPr="00693368">
        <w:rPr>
          <w:rFonts w:ascii="Times New Roman" w:hAnsi="Times New Roman" w:cs="Times New Roman"/>
          <w:noProof/>
          <w:sz w:val="24"/>
          <w:szCs w:val="24"/>
        </w:rPr>
        <w:tab/>
        <w:t xml:space="preserve">Orr JM, Paschall CJ, Banich MT. Recreational marijuana use impacts white matter integrity and subcortical (but not cortical) morphometry. </w:t>
      </w:r>
      <w:r w:rsidRPr="00693368">
        <w:rPr>
          <w:rFonts w:ascii="Times New Roman" w:hAnsi="Times New Roman" w:cs="Times New Roman"/>
          <w:i/>
          <w:iCs/>
          <w:noProof/>
          <w:sz w:val="24"/>
          <w:szCs w:val="24"/>
        </w:rPr>
        <w:t>NeuroImage Clin</w:t>
      </w:r>
      <w:r w:rsidRPr="00693368">
        <w:rPr>
          <w:rFonts w:ascii="Times New Roman" w:hAnsi="Times New Roman" w:cs="Times New Roman"/>
          <w:noProof/>
          <w:sz w:val="24"/>
          <w:szCs w:val="24"/>
        </w:rPr>
        <w:t xml:space="preserve"> 2016; </w:t>
      </w:r>
      <w:r w:rsidRPr="00693368">
        <w:rPr>
          <w:rFonts w:ascii="Times New Roman" w:hAnsi="Times New Roman" w:cs="Times New Roman"/>
          <w:b/>
          <w:bCs/>
          <w:noProof/>
          <w:sz w:val="24"/>
          <w:szCs w:val="24"/>
        </w:rPr>
        <w:t>12</w:t>
      </w:r>
      <w:r w:rsidRPr="00693368">
        <w:rPr>
          <w:rFonts w:ascii="Times New Roman" w:hAnsi="Times New Roman" w:cs="Times New Roman"/>
          <w:noProof/>
          <w:sz w:val="24"/>
          <w:szCs w:val="24"/>
        </w:rPr>
        <w:t>: 47–56.</w:t>
      </w:r>
    </w:p>
    <w:p w14:paraId="5212C4E1"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4 </w:t>
      </w:r>
      <w:r w:rsidRPr="00693368">
        <w:rPr>
          <w:rFonts w:ascii="Times New Roman" w:hAnsi="Times New Roman" w:cs="Times New Roman"/>
          <w:noProof/>
          <w:sz w:val="24"/>
          <w:szCs w:val="24"/>
        </w:rPr>
        <w:tab/>
        <w:t xml:space="preserve">Manza P, Tomasi D, Volkow ND. Subcortical local functional hyperconnectivity in cannabis dependence. </w:t>
      </w:r>
      <w:r w:rsidRPr="00693368">
        <w:rPr>
          <w:rFonts w:ascii="Times New Roman" w:hAnsi="Times New Roman" w:cs="Times New Roman"/>
          <w:i/>
          <w:iCs/>
          <w:noProof/>
          <w:sz w:val="24"/>
          <w:szCs w:val="24"/>
        </w:rPr>
        <w:t>Biol Psychiatry Cogn Neurosci Neuroimaging</w:t>
      </w:r>
      <w:r w:rsidRPr="00693368">
        <w:rPr>
          <w:rFonts w:ascii="Times New Roman" w:hAnsi="Times New Roman" w:cs="Times New Roman"/>
          <w:noProof/>
          <w:sz w:val="24"/>
          <w:szCs w:val="24"/>
        </w:rPr>
        <w:t xml:space="preserve"> 2018; </w:t>
      </w:r>
      <w:r w:rsidRPr="00693368">
        <w:rPr>
          <w:rFonts w:ascii="Times New Roman" w:hAnsi="Times New Roman" w:cs="Times New Roman"/>
          <w:b/>
          <w:bCs/>
          <w:noProof/>
          <w:sz w:val="24"/>
          <w:szCs w:val="24"/>
        </w:rPr>
        <w:t>3</w:t>
      </w:r>
      <w:r w:rsidRPr="00693368">
        <w:rPr>
          <w:rFonts w:ascii="Times New Roman" w:hAnsi="Times New Roman" w:cs="Times New Roman"/>
          <w:noProof/>
          <w:sz w:val="24"/>
          <w:szCs w:val="24"/>
        </w:rPr>
        <w:t>: 285–293.</w:t>
      </w:r>
    </w:p>
    <w:p w14:paraId="3517C9B3"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5 </w:t>
      </w:r>
      <w:r w:rsidRPr="00693368">
        <w:rPr>
          <w:rFonts w:ascii="Times New Roman" w:hAnsi="Times New Roman" w:cs="Times New Roman"/>
          <w:noProof/>
          <w:sz w:val="24"/>
          <w:szCs w:val="24"/>
        </w:rPr>
        <w:tab/>
        <w:t xml:space="preserve">Arnatkevičiūtė A, Fulcher BD, Fornito A. A practical guide to linking brain-wide gene expression and neuroimaging data. </w:t>
      </w:r>
      <w:r w:rsidRPr="00693368">
        <w:rPr>
          <w:rFonts w:ascii="Times New Roman" w:hAnsi="Times New Roman" w:cs="Times New Roman"/>
          <w:i/>
          <w:iCs/>
          <w:noProof/>
          <w:sz w:val="24"/>
          <w:szCs w:val="24"/>
        </w:rPr>
        <w:t>Neuroimage</w:t>
      </w:r>
      <w:r w:rsidRPr="00693368">
        <w:rPr>
          <w:rFonts w:ascii="Times New Roman" w:hAnsi="Times New Roman" w:cs="Times New Roman"/>
          <w:noProof/>
          <w:sz w:val="24"/>
          <w:szCs w:val="24"/>
        </w:rPr>
        <w:t xml:space="preserve"> 2019; </w:t>
      </w:r>
      <w:r w:rsidRPr="00693368">
        <w:rPr>
          <w:rFonts w:ascii="Times New Roman" w:hAnsi="Times New Roman" w:cs="Times New Roman"/>
          <w:b/>
          <w:bCs/>
          <w:noProof/>
          <w:sz w:val="24"/>
          <w:szCs w:val="24"/>
        </w:rPr>
        <w:t>189</w:t>
      </w:r>
      <w:r w:rsidRPr="00693368">
        <w:rPr>
          <w:rFonts w:ascii="Times New Roman" w:hAnsi="Times New Roman" w:cs="Times New Roman"/>
          <w:noProof/>
          <w:sz w:val="24"/>
          <w:szCs w:val="24"/>
        </w:rPr>
        <w:t>: 353–367.</w:t>
      </w:r>
    </w:p>
    <w:p w14:paraId="6CA1A952"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6 </w:t>
      </w:r>
      <w:r w:rsidRPr="00693368">
        <w:rPr>
          <w:rFonts w:ascii="Times New Roman" w:hAnsi="Times New Roman" w:cs="Times New Roman"/>
          <w:noProof/>
          <w:sz w:val="24"/>
          <w:szCs w:val="24"/>
        </w:rPr>
        <w:tab/>
        <w:t xml:space="preserve">Hawrylycz M, Miller JA, Menon V, Feng D, Dolbeare T, Guillozet-Bongaarts AL </w:t>
      </w:r>
      <w:r w:rsidRPr="00693368">
        <w:rPr>
          <w:rFonts w:ascii="Times New Roman" w:hAnsi="Times New Roman" w:cs="Times New Roman"/>
          <w:i/>
          <w:iCs/>
          <w:noProof/>
          <w:sz w:val="24"/>
          <w:szCs w:val="24"/>
        </w:rPr>
        <w:t>et al.</w:t>
      </w:r>
      <w:r w:rsidRPr="00693368">
        <w:rPr>
          <w:rFonts w:ascii="Times New Roman" w:hAnsi="Times New Roman" w:cs="Times New Roman"/>
          <w:noProof/>
          <w:sz w:val="24"/>
          <w:szCs w:val="24"/>
        </w:rPr>
        <w:t xml:space="preserve"> Canonical genetic signatures of the adult human brain. </w:t>
      </w:r>
      <w:r w:rsidRPr="00693368">
        <w:rPr>
          <w:rFonts w:ascii="Times New Roman" w:hAnsi="Times New Roman" w:cs="Times New Roman"/>
          <w:i/>
          <w:iCs/>
          <w:noProof/>
          <w:sz w:val="24"/>
          <w:szCs w:val="24"/>
        </w:rPr>
        <w:t>Nat Neurosci</w:t>
      </w:r>
      <w:r w:rsidRPr="00693368">
        <w:rPr>
          <w:rFonts w:ascii="Times New Roman" w:hAnsi="Times New Roman" w:cs="Times New Roman"/>
          <w:noProof/>
          <w:sz w:val="24"/>
          <w:szCs w:val="24"/>
        </w:rPr>
        <w:t xml:space="preserve"> 2015; </w:t>
      </w:r>
      <w:r w:rsidRPr="00693368">
        <w:rPr>
          <w:rFonts w:ascii="Times New Roman" w:hAnsi="Times New Roman" w:cs="Times New Roman"/>
          <w:b/>
          <w:bCs/>
          <w:noProof/>
          <w:sz w:val="24"/>
          <w:szCs w:val="24"/>
        </w:rPr>
        <w:t>18</w:t>
      </w:r>
      <w:r w:rsidRPr="00693368">
        <w:rPr>
          <w:rFonts w:ascii="Times New Roman" w:hAnsi="Times New Roman" w:cs="Times New Roman"/>
          <w:noProof/>
          <w:sz w:val="24"/>
          <w:szCs w:val="24"/>
        </w:rPr>
        <w:t>: 1832–1844.</w:t>
      </w:r>
    </w:p>
    <w:p w14:paraId="10E9B211"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7 </w:t>
      </w:r>
      <w:r w:rsidRPr="00693368">
        <w:rPr>
          <w:rFonts w:ascii="Times New Roman" w:hAnsi="Times New Roman" w:cs="Times New Roman"/>
          <w:noProof/>
          <w:sz w:val="24"/>
          <w:szCs w:val="24"/>
        </w:rPr>
        <w:tab/>
        <w:t xml:space="preserve">Fulcher BD, Little MA, Jones NS. Highly comparative time-series analysis: the empirical structure of time series and their methods. </w:t>
      </w:r>
      <w:r w:rsidRPr="00693368">
        <w:rPr>
          <w:rFonts w:ascii="Times New Roman" w:hAnsi="Times New Roman" w:cs="Times New Roman"/>
          <w:i/>
          <w:iCs/>
          <w:noProof/>
          <w:sz w:val="24"/>
          <w:szCs w:val="24"/>
        </w:rPr>
        <w:t>J R Soc Interface</w:t>
      </w:r>
      <w:r w:rsidRPr="00693368">
        <w:rPr>
          <w:rFonts w:ascii="Times New Roman" w:hAnsi="Times New Roman" w:cs="Times New Roman"/>
          <w:noProof/>
          <w:sz w:val="24"/>
          <w:szCs w:val="24"/>
        </w:rPr>
        <w:t xml:space="preserve"> 2013; </w:t>
      </w:r>
      <w:r w:rsidRPr="00693368">
        <w:rPr>
          <w:rFonts w:ascii="Times New Roman" w:hAnsi="Times New Roman" w:cs="Times New Roman"/>
          <w:b/>
          <w:bCs/>
          <w:noProof/>
          <w:sz w:val="24"/>
          <w:szCs w:val="24"/>
        </w:rPr>
        <w:t>10</w:t>
      </w:r>
      <w:r w:rsidRPr="00693368">
        <w:rPr>
          <w:rFonts w:ascii="Times New Roman" w:hAnsi="Times New Roman" w:cs="Times New Roman"/>
          <w:noProof/>
          <w:sz w:val="24"/>
          <w:szCs w:val="24"/>
        </w:rPr>
        <w:t>: 20130048.</w:t>
      </w:r>
    </w:p>
    <w:p w14:paraId="7060F2A4"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8 </w:t>
      </w:r>
      <w:r w:rsidRPr="00693368">
        <w:rPr>
          <w:rFonts w:ascii="Times New Roman" w:hAnsi="Times New Roman" w:cs="Times New Roman"/>
          <w:noProof/>
          <w:sz w:val="24"/>
          <w:szCs w:val="24"/>
        </w:rPr>
        <w:tab/>
        <w:t xml:space="preserve">Pagliaccio D, Barch DM, Bogdan R, Wood PK, Lynskey MT, Heath AC </w:t>
      </w:r>
      <w:r w:rsidRPr="00693368">
        <w:rPr>
          <w:rFonts w:ascii="Times New Roman" w:hAnsi="Times New Roman" w:cs="Times New Roman"/>
          <w:i/>
          <w:iCs/>
          <w:noProof/>
          <w:sz w:val="24"/>
          <w:szCs w:val="24"/>
        </w:rPr>
        <w:t>et al.</w:t>
      </w:r>
      <w:r w:rsidRPr="00693368">
        <w:rPr>
          <w:rFonts w:ascii="Times New Roman" w:hAnsi="Times New Roman" w:cs="Times New Roman"/>
          <w:noProof/>
          <w:sz w:val="24"/>
          <w:szCs w:val="24"/>
        </w:rPr>
        <w:t xml:space="preserve"> Shared Predisposition in the Association Between Cannabis Use and Subcortical Brain Structure. </w:t>
      </w:r>
      <w:r w:rsidRPr="00693368">
        <w:rPr>
          <w:rFonts w:ascii="Times New Roman" w:hAnsi="Times New Roman" w:cs="Times New Roman"/>
          <w:i/>
          <w:iCs/>
          <w:noProof/>
          <w:sz w:val="24"/>
          <w:szCs w:val="24"/>
        </w:rPr>
        <w:t>JAMA psychiatry</w:t>
      </w:r>
      <w:r w:rsidRPr="00693368">
        <w:rPr>
          <w:rFonts w:ascii="Times New Roman" w:hAnsi="Times New Roman" w:cs="Times New Roman"/>
          <w:noProof/>
          <w:sz w:val="24"/>
          <w:szCs w:val="24"/>
        </w:rPr>
        <w:t xml:space="preserve"> 2015; </w:t>
      </w:r>
      <w:r w:rsidRPr="00693368">
        <w:rPr>
          <w:rFonts w:ascii="Times New Roman" w:hAnsi="Times New Roman" w:cs="Times New Roman"/>
          <w:b/>
          <w:bCs/>
          <w:noProof/>
          <w:sz w:val="24"/>
          <w:szCs w:val="24"/>
        </w:rPr>
        <w:t>72</w:t>
      </w:r>
      <w:r w:rsidRPr="00693368">
        <w:rPr>
          <w:rFonts w:ascii="Times New Roman" w:hAnsi="Times New Roman" w:cs="Times New Roman"/>
          <w:noProof/>
          <w:sz w:val="24"/>
          <w:szCs w:val="24"/>
        </w:rPr>
        <w:t>: 994–1001.</w:t>
      </w:r>
    </w:p>
    <w:p w14:paraId="52496DD2"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9 </w:t>
      </w:r>
      <w:r w:rsidRPr="00693368">
        <w:rPr>
          <w:rFonts w:ascii="Times New Roman" w:hAnsi="Times New Roman" w:cs="Times New Roman"/>
          <w:noProof/>
          <w:sz w:val="24"/>
          <w:szCs w:val="24"/>
        </w:rPr>
        <w:tab/>
        <w:t xml:space="preserve">Vainik U, Baker TB, Dadar M, Zeighami Y, Michaud A, Zhang Y </w:t>
      </w:r>
      <w:r w:rsidRPr="00693368">
        <w:rPr>
          <w:rFonts w:ascii="Times New Roman" w:hAnsi="Times New Roman" w:cs="Times New Roman"/>
          <w:i/>
          <w:iCs/>
          <w:noProof/>
          <w:sz w:val="24"/>
          <w:szCs w:val="24"/>
        </w:rPr>
        <w:t>et al.</w:t>
      </w:r>
      <w:r w:rsidRPr="00693368">
        <w:rPr>
          <w:rFonts w:ascii="Times New Roman" w:hAnsi="Times New Roman" w:cs="Times New Roman"/>
          <w:noProof/>
          <w:sz w:val="24"/>
          <w:szCs w:val="24"/>
        </w:rPr>
        <w:t xml:space="preserve"> Neurobehavioural Correlates of Obesity are Largely Heritable. </w:t>
      </w:r>
      <w:r w:rsidRPr="00693368">
        <w:rPr>
          <w:rFonts w:ascii="Times New Roman" w:hAnsi="Times New Roman" w:cs="Times New Roman"/>
          <w:i/>
          <w:iCs/>
          <w:noProof/>
          <w:sz w:val="24"/>
          <w:szCs w:val="24"/>
        </w:rPr>
        <w:t>Proc Natl Acad Sci</w:t>
      </w:r>
      <w:r w:rsidRPr="00693368">
        <w:rPr>
          <w:rFonts w:ascii="Times New Roman" w:hAnsi="Times New Roman" w:cs="Times New Roman"/>
          <w:noProof/>
          <w:sz w:val="24"/>
          <w:szCs w:val="24"/>
        </w:rPr>
        <w:t xml:space="preserve"> 2018; </w:t>
      </w:r>
      <w:r w:rsidRPr="00693368">
        <w:rPr>
          <w:rFonts w:ascii="Times New Roman" w:hAnsi="Times New Roman" w:cs="Times New Roman"/>
          <w:b/>
          <w:bCs/>
          <w:noProof/>
          <w:sz w:val="24"/>
          <w:szCs w:val="24"/>
        </w:rPr>
        <w:t>115</w:t>
      </w:r>
      <w:r w:rsidRPr="00693368">
        <w:rPr>
          <w:rFonts w:ascii="Times New Roman" w:hAnsi="Times New Roman" w:cs="Times New Roman"/>
          <w:noProof/>
          <w:sz w:val="24"/>
          <w:szCs w:val="24"/>
        </w:rPr>
        <w:t>: 9312–9317.</w:t>
      </w:r>
    </w:p>
    <w:p w14:paraId="6606EF06"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szCs w:val="24"/>
        </w:rPr>
      </w:pPr>
      <w:r w:rsidRPr="00693368">
        <w:rPr>
          <w:rFonts w:ascii="Times New Roman" w:hAnsi="Times New Roman" w:cs="Times New Roman"/>
          <w:noProof/>
          <w:sz w:val="24"/>
          <w:szCs w:val="24"/>
        </w:rPr>
        <w:t xml:space="preserve">10 </w:t>
      </w:r>
      <w:r w:rsidRPr="00693368">
        <w:rPr>
          <w:rFonts w:ascii="Times New Roman" w:hAnsi="Times New Roman" w:cs="Times New Roman"/>
          <w:noProof/>
          <w:sz w:val="24"/>
          <w:szCs w:val="24"/>
        </w:rPr>
        <w:tab/>
        <w:t xml:space="preserve">Bates D, Maechler M, Bolker B, Walker S. Fitting Linear Mixed-Effects Models Using lme4. </w:t>
      </w:r>
      <w:r w:rsidRPr="00693368">
        <w:rPr>
          <w:rFonts w:ascii="Times New Roman" w:hAnsi="Times New Roman" w:cs="Times New Roman"/>
          <w:i/>
          <w:iCs/>
          <w:noProof/>
          <w:sz w:val="24"/>
          <w:szCs w:val="24"/>
        </w:rPr>
        <w:t>J Stat Softw</w:t>
      </w:r>
      <w:r w:rsidRPr="00693368">
        <w:rPr>
          <w:rFonts w:ascii="Times New Roman" w:hAnsi="Times New Roman" w:cs="Times New Roman"/>
          <w:noProof/>
          <w:sz w:val="24"/>
          <w:szCs w:val="24"/>
        </w:rPr>
        <w:t xml:space="preserve"> 2015. doi:10.18637/jss.v067.i01.</w:t>
      </w:r>
    </w:p>
    <w:p w14:paraId="330C9BF0" w14:textId="77777777" w:rsidR="00693368" w:rsidRPr="00693368" w:rsidRDefault="00693368" w:rsidP="00693368">
      <w:pPr>
        <w:widowControl w:val="0"/>
        <w:autoSpaceDE w:val="0"/>
        <w:autoSpaceDN w:val="0"/>
        <w:adjustRightInd w:val="0"/>
        <w:spacing w:line="240" w:lineRule="auto"/>
        <w:ind w:left="640" w:hanging="640"/>
        <w:rPr>
          <w:rFonts w:ascii="Times New Roman" w:hAnsi="Times New Roman" w:cs="Times New Roman"/>
          <w:noProof/>
          <w:sz w:val="24"/>
        </w:rPr>
      </w:pPr>
      <w:r w:rsidRPr="00693368">
        <w:rPr>
          <w:rFonts w:ascii="Times New Roman" w:hAnsi="Times New Roman" w:cs="Times New Roman"/>
          <w:noProof/>
          <w:sz w:val="24"/>
          <w:szCs w:val="24"/>
        </w:rPr>
        <w:t xml:space="preserve">11 </w:t>
      </w:r>
      <w:r w:rsidRPr="00693368">
        <w:rPr>
          <w:rFonts w:ascii="Times New Roman" w:hAnsi="Times New Roman" w:cs="Times New Roman"/>
          <w:noProof/>
          <w:sz w:val="24"/>
          <w:szCs w:val="24"/>
        </w:rPr>
        <w:tab/>
        <w:t xml:space="preserve">Lakens D. Equivalence Tests: A Practical Primer for t Tests, Correlations, and Meta-Analyses. </w:t>
      </w:r>
      <w:r w:rsidRPr="00693368">
        <w:rPr>
          <w:rFonts w:ascii="Times New Roman" w:hAnsi="Times New Roman" w:cs="Times New Roman"/>
          <w:i/>
          <w:iCs/>
          <w:noProof/>
          <w:sz w:val="24"/>
          <w:szCs w:val="24"/>
        </w:rPr>
        <w:t>Soc Psychol Personal Sci</w:t>
      </w:r>
      <w:r w:rsidRPr="00693368">
        <w:rPr>
          <w:rFonts w:ascii="Times New Roman" w:hAnsi="Times New Roman" w:cs="Times New Roman"/>
          <w:noProof/>
          <w:sz w:val="24"/>
          <w:szCs w:val="24"/>
        </w:rPr>
        <w:t xml:space="preserve"> 2017; </w:t>
      </w:r>
      <w:r w:rsidRPr="00693368">
        <w:rPr>
          <w:rFonts w:ascii="Times New Roman" w:hAnsi="Times New Roman" w:cs="Times New Roman"/>
          <w:b/>
          <w:bCs/>
          <w:noProof/>
          <w:sz w:val="24"/>
          <w:szCs w:val="24"/>
        </w:rPr>
        <w:t>8</w:t>
      </w:r>
      <w:r w:rsidRPr="00693368">
        <w:rPr>
          <w:rFonts w:ascii="Times New Roman" w:hAnsi="Times New Roman" w:cs="Times New Roman"/>
          <w:noProof/>
          <w:sz w:val="24"/>
          <w:szCs w:val="24"/>
        </w:rPr>
        <w:t>: 355–362.</w:t>
      </w:r>
    </w:p>
    <w:p w14:paraId="173BACD3" w14:textId="0A9ACEBA" w:rsidR="00E54AD2" w:rsidRPr="00E54AD2" w:rsidRDefault="00E54AD2" w:rsidP="0094548D">
      <w:pPr>
        <w:spacing w:line="276" w:lineRule="auto"/>
        <w:rPr>
          <w:rFonts w:ascii="Times New Roman" w:eastAsia="MS Mincho" w:hAnsi="Times New Roman"/>
          <w:bCs/>
          <w:sz w:val="24"/>
          <w:szCs w:val="24"/>
          <w:lang w:eastAsia="zh-CN"/>
        </w:rPr>
      </w:pPr>
      <w:r>
        <w:rPr>
          <w:rFonts w:ascii="Times New Roman" w:eastAsia="MS Mincho" w:hAnsi="Times New Roman"/>
          <w:bCs/>
          <w:sz w:val="24"/>
          <w:szCs w:val="24"/>
          <w:lang w:eastAsia="zh-CN"/>
        </w:rPr>
        <w:fldChar w:fldCharType="end"/>
      </w:r>
    </w:p>
    <w:p w14:paraId="08B831A3" w14:textId="77777777" w:rsidR="00E54AD2" w:rsidRDefault="00E54AD2" w:rsidP="0094548D">
      <w:pPr>
        <w:spacing w:line="276" w:lineRule="auto"/>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2C159C81" w14:textId="061BA593" w:rsidR="0001568F" w:rsidRDefault="0001568F" w:rsidP="0094548D">
      <w:pPr>
        <w:spacing w:line="276" w:lineRule="auto"/>
        <w:rPr>
          <w:rFonts w:ascii="Times New Roman" w:eastAsia="MS Mincho" w:hAnsi="Times New Roman"/>
          <w:sz w:val="24"/>
          <w:szCs w:val="24"/>
          <w:lang w:eastAsia="zh-CN"/>
        </w:rPr>
      </w:pPr>
      <w:r>
        <w:rPr>
          <w:rFonts w:ascii="Times New Roman" w:eastAsia="MS Mincho" w:hAnsi="Times New Roman"/>
          <w:b/>
          <w:bCs/>
          <w:sz w:val="24"/>
          <w:szCs w:val="24"/>
          <w:lang w:eastAsia="zh-CN"/>
        </w:rPr>
        <w:lastRenderedPageBreak/>
        <w:t xml:space="preserve">Supplementary </w:t>
      </w:r>
      <w:r w:rsidRPr="00036918">
        <w:rPr>
          <w:rFonts w:ascii="Times New Roman" w:eastAsia="MS Mincho" w:hAnsi="Times New Roman"/>
          <w:b/>
          <w:bCs/>
          <w:sz w:val="24"/>
          <w:szCs w:val="24"/>
          <w:lang w:eastAsia="zh-CN"/>
        </w:rPr>
        <w:t>Table 1</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Demographics and clinical characteristics for each group. </w:t>
      </w:r>
      <w:r>
        <w:rPr>
          <w:rFonts w:ascii="Times New Roman" w:eastAsia="MS Mincho" w:hAnsi="Times New Roman"/>
          <w:sz w:val="24"/>
          <w:szCs w:val="24"/>
          <w:lang w:eastAsia="zh-CN"/>
        </w:rPr>
        <w:t xml:space="preserve">Note: CTL = Control (n = 89); CD = Cannabis Dependent (n = 89). </w:t>
      </w:r>
      <w:r w:rsidR="002F58D3">
        <w:rPr>
          <w:rFonts w:ascii="Times New Roman" w:eastAsia="MS Mincho" w:hAnsi="Times New Roman"/>
          <w:sz w:val="24"/>
          <w:szCs w:val="24"/>
          <w:lang w:eastAsia="zh-CN"/>
        </w:rPr>
        <w:t>T</w:t>
      </w:r>
      <w:r>
        <w:rPr>
          <w:rFonts w:ascii="Times New Roman" w:eastAsia="MS Mincho" w:hAnsi="Times New Roman"/>
          <w:sz w:val="24"/>
          <w:szCs w:val="24"/>
          <w:lang w:eastAsia="zh-CN"/>
        </w:rPr>
        <w:t>he CTL group is well matched on all variables except for Tobacco usage</w:t>
      </w:r>
      <w:r w:rsidR="00066D97">
        <w:rPr>
          <w:rFonts w:ascii="Times New Roman" w:eastAsia="MS Mincho" w:hAnsi="Times New Roman"/>
          <w:sz w:val="24"/>
          <w:szCs w:val="24"/>
          <w:lang w:eastAsia="zh-CN"/>
        </w:rPr>
        <w:t xml:space="preserve"> and other illicit drug usage</w:t>
      </w:r>
      <w:r>
        <w:rPr>
          <w:rFonts w:ascii="Times New Roman" w:eastAsia="MS Mincho" w:hAnsi="Times New Roman"/>
          <w:sz w:val="24"/>
          <w:szCs w:val="24"/>
          <w:lang w:eastAsia="zh-CN"/>
        </w:rPr>
        <w:t xml:space="preserve">; therefore we tested whether any significant brain imaging results were associated with </w:t>
      </w:r>
      <w:r w:rsidR="00876704">
        <w:rPr>
          <w:rFonts w:ascii="Times New Roman" w:eastAsia="MS Mincho" w:hAnsi="Times New Roman"/>
          <w:sz w:val="24"/>
          <w:szCs w:val="24"/>
          <w:lang w:eastAsia="zh-CN"/>
        </w:rPr>
        <w:t>these variables</w:t>
      </w:r>
      <w:r>
        <w:rPr>
          <w:rFonts w:ascii="Times New Roman" w:eastAsia="MS Mincho" w:hAnsi="Times New Roman"/>
          <w:sz w:val="24"/>
          <w:szCs w:val="24"/>
          <w:lang w:eastAsia="zh-CN"/>
        </w:rPr>
        <w:t xml:space="preserve"> in follow-up analyses.</w:t>
      </w:r>
      <w:r w:rsidR="00876704">
        <w:rPr>
          <w:rFonts w:ascii="Times New Roman" w:eastAsia="MS Mincho" w:hAnsi="Times New Roman"/>
          <w:sz w:val="24"/>
          <w:szCs w:val="24"/>
          <w:lang w:eastAsia="zh-CN"/>
        </w:rPr>
        <w:t xml:space="preserve"> </w:t>
      </w:r>
    </w:p>
    <w:tbl>
      <w:tblPr>
        <w:tblW w:w="8550" w:type="dxa"/>
        <w:tblBorders>
          <w:bottom w:val="single" w:sz="4" w:space="0" w:color="auto"/>
          <w:insideH w:val="single" w:sz="4" w:space="0" w:color="auto"/>
        </w:tblBorders>
        <w:tblLayout w:type="fixed"/>
        <w:tblLook w:val="04A0" w:firstRow="1" w:lastRow="0" w:firstColumn="1" w:lastColumn="0" w:noHBand="0" w:noVBand="1"/>
      </w:tblPr>
      <w:tblGrid>
        <w:gridCol w:w="3960"/>
        <w:gridCol w:w="1350"/>
        <w:gridCol w:w="1350"/>
        <w:gridCol w:w="1890"/>
      </w:tblGrid>
      <w:tr w:rsidR="0001568F" w:rsidRPr="008826C6" w14:paraId="68315B59" w14:textId="77777777" w:rsidTr="00066D97">
        <w:trPr>
          <w:trHeight w:val="297"/>
        </w:trPr>
        <w:tc>
          <w:tcPr>
            <w:tcW w:w="3960" w:type="dxa"/>
            <w:shd w:val="clear" w:color="auto" w:fill="auto"/>
            <w:noWrap/>
            <w:vAlign w:val="bottom"/>
            <w:hideMark/>
          </w:tcPr>
          <w:p w14:paraId="5421CEDD" w14:textId="77777777" w:rsidR="0001568F" w:rsidRPr="008826C6" w:rsidRDefault="0001568F" w:rsidP="0094548D">
            <w:pPr>
              <w:spacing w:after="0" w:line="276" w:lineRule="auto"/>
              <w:rPr>
                <w:rFonts w:ascii="Times New Roman" w:eastAsia="Times New Roman" w:hAnsi="Times New Roman" w:cs="Times New Roman"/>
              </w:rPr>
            </w:pPr>
          </w:p>
        </w:tc>
        <w:tc>
          <w:tcPr>
            <w:tcW w:w="1350" w:type="dxa"/>
            <w:shd w:val="clear" w:color="auto" w:fill="auto"/>
            <w:noWrap/>
            <w:vAlign w:val="bottom"/>
            <w:hideMark/>
          </w:tcPr>
          <w:p w14:paraId="3009D17F" w14:textId="77777777" w:rsidR="0001568F" w:rsidRPr="008826C6" w:rsidRDefault="0001568F" w:rsidP="0094548D">
            <w:pPr>
              <w:spacing w:after="0" w:line="276" w:lineRule="auto"/>
              <w:rPr>
                <w:rFonts w:ascii="Times New Roman" w:eastAsia="Times New Roman" w:hAnsi="Times New Roman" w:cs="Times New Roman"/>
                <w:b/>
                <w:color w:val="000000"/>
              </w:rPr>
            </w:pPr>
            <w:r w:rsidRPr="008826C6">
              <w:rPr>
                <w:rFonts w:ascii="Times New Roman" w:eastAsia="Times New Roman" w:hAnsi="Times New Roman" w:cs="Times New Roman"/>
                <w:b/>
                <w:color w:val="000000"/>
              </w:rPr>
              <w:t>CTL</w:t>
            </w:r>
          </w:p>
        </w:tc>
        <w:tc>
          <w:tcPr>
            <w:tcW w:w="1350" w:type="dxa"/>
            <w:shd w:val="clear" w:color="auto" w:fill="auto"/>
            <w:noWrap/>
            <w:vAlign w:val="bottom"/>
            <w:hideMark/>
          </w:tcPr>
          <w:p w14:paraId="03B6CD7B" w14:textId="77777777" w:rsidR="0001568F" w:rsidRPr="008826C6" w:rsidRDefault="0001568F" w:rsidP="0094548D">
            <w:pPr>
              <w:spacing w:after="0" w:line="276" w:lineRule="auto"/>
              <w:rPr>
                <w:rFonts w:ascii="Times New Roman" w:eastAsia="Times New Roman" w:hAnsi="Times New Roman" w:cs="Times New Roman"/>
                <w:b/>
                <w:color w:val="000000"/>
              </w:rPr>
            </w:pPr>
            <w:r w:rsidRPr="008826C6">
              <w:rPr>
                <w:rFonts w:ascii="Times New Roman" w:eastAsia="Times New Roman" w:hAnsi="Times New Roman" w:cs="Times New Roman"/>
                <w:b/>
                <w:color w:val="000000"/>
              </w:rPr>
              <w:t>CD</w:t>
            </w:r>
          </w:p>
        </w:tc>
        <w:tc>
          <w:tcPr>
            <w:tcW w:w="1890" w:type="dxa"/>
            <w:shd w:val="clear" w:color="auto" w:fill="auto"/>
            <w:noWrap/>
            <w:vAlign w:val="bottom"/>
            <w:hideMark/>
          </w:tcPr>
          <w:p w14:paraId="16F5A115" w14:textId="77777777" w:rsidR="0001568F" w:rsidRPr="008826C6" w:rsidRDefault="0001568F" w:rsidP="0094548D">
            <w:pPr>
              <w:spacing w:after="0" w:line="276" w:lineRule="auto"/>
              <w:rPr>
                <w:rFonts w:ascii="Times New Roman" w:eastAsia="Times New Roman" w:hAnsi="Times New Roman" w:cs="Times New Roman"/>
                <w:b/>
                <w:color w:val="000000"/>
              </w:rPr>
            </w:pPr>
            <w:r w:rsidRPr="008826C6">
              <w:rPr>
                <w:rFonts w:ascii="Times New Roman" w:eastAsia="Times New Roman" w:hAnsi="Times New Roman" w:cs="Times New Roman"/>
                <w:b/>
                <w:color w:val="000000"/>
              </w:rPr>
              <w:t xml:space="preserve">CD vs. CTL: </w:t>
            </w:r>
            <w:r w:rsidRPr="008826C6">
              <w:rPr>
                <w:rFonts w:ascii="Times New Roman" w:eastAsia="Times New Roman" w:hAnsi="Times New Roman" w:cs="Times New Roman"/>
                <w:b/>
                <w:i/>
                <w:color w:val="000000"/>
              </w:rPr>
              <w:t>t</w:t>
            </w:r>
            <w:r w:rsidRPr="008826C6">
              <w:rPr>
                <w:rFonts w:ascii="Times New Roman" w:eastAsia="Times New Roman" w:hAnsi="Times New Roman" w:cs="Times New Roman"/>
                <w:b/>
                <w:color w:val="000000"/>
              </w:rPr>
              <w:t xml:space="preserve"> (</w:t>
            </w:r>
            <w:r w:rsidRPr="008826C6">
              <w:rPr>
                <w:rFonts w:ascii="Times New Roman" w:eastAsia="Times New Roman" w:hAnsi="Times New Roman" w:cs="Times New Roman"/>
                <w:b/>
                <w:i/>
                <w:color w:val="000000"/>
              </w:rPr>
              <w:t>p</w:t>
            </w:r>
            <w:r w:rsidRPr="008826C6">
              <w:rPr>
                <w:rFonts w:ascii="Times New Roman" w:eastAsia="Times New Roman" w:hAnsi="Times New Roman" w:cs="Times New Roman"/>
                <w:b/>
                <w:color w:val="000000"/>
              </w:rPr>
              <w:t>)</w:t>
            </w:r>
          </w:p>
        </w:tc>
      </w:tr>
      <w:tr w:rsidR="0001568F" w:rsidRPr="008826C6" w14:paraId="3B9A8B32" w14:textId="77777777" w:rsidTr="00066D97">
        <w:trPr>
          <w:trHeight w:val="297"/>
        </w:trPr>
        <w:tc>
          <w:tcPr>
            <w:tcW w:w="3960" w:type="dxa"/>
            <w:shd w:val="clear" w:color="auto" w:fill="auto"/>
            <w:noWrap/>
            <w:vAlign w:val="bottom"/>
            <w:hideMark/>
          </w:tcPr>
          <w:p w14:paraId="488A526D"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Age</w:t>
            </w:r>
          </w:p>
        </w:tc>
        <w:tc>
          <w:tcPr>
            <w:tcW w:w="1350" w:type="dxa"/>
            <w:shd w:val="clear" w:color="auto" w:fill="auto"/>
            <w:noWrap/>
            <w:vAlign w:val="bottom"/>
            <w:hideMark/>
          </w:tcPr>
          <w:p w14:paraId="7D890B6B"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 xml:space="preserve">28.6 </w:t>
            </w:r>
            <w:bookmarkStart w:id="12" w:name="_Hlk15477891"/>
            <w:r w:rsidRPr="008826C6">
              <w:rPr>
                <w:rFonts w:ascii="Times New Roman" w:eastAsia="Times New Roman" w:hAnsi="Times New Roman" w:cs="Times New Roman"/>
                <w:color w:val="000000"/>
              </w:rPr>
              <w:t>± 3.9</w:t>
            </w:r>
            <w:bookmarkEnd w:id="12"/>
          </w:p>
        </w:tc>
        <w:tc>
          <w:tcPr>
            <w:tcW w:w="1350" w:type="dxa"/>
            <w:shd w:val="clear" w:color="auto" w:fill="auto"/>
            <w:noWrap/>
            <w:vAlign w:val="bottom"/>
            <w:hideMark/>
          </w:tcPr>
          <w:p w14:paraId="0D87F053"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28.6 ± 3.5</w:t>
            </w:r>
          </w:p>
        </w:tc>
        <w:tc>
          <w:tcPr>
            <w:tcW w:w="1890" w:type="dxa"/>
            <w:shd w:val="clear" w:color="auto" w:fill="auto"/>
            <w:noWrap/>
            <w:vAlign w:val="bottom"/>
            <w:hideMark/>
          </w:tcPr>
          <w:p w14:paraId="331B5BB9"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0.02 (0.98)</w:t>
            </w:r>
          </w:p>
        </w:tc>
      </w:tr>
      <w:tr w:rsidR="0001568F" w:rsidRPr="008826C6" w14:paraId="08D713A8" w14:textId="77777777" w:rsidTr="00066D97">
        <w:trPr>
          <w:trHeight w:val="297"/>
        </w:trPr>
        <w:tc>
          <w:tcPr>
            <w:tcW w:w="3960" w:type="dxa"/>
            <w:shd w:val="clear" w:color="auto" w:fill="auto"/>
            <w:noWrap/>
            <w:vAlign w:val="bottom"/>
            <w:hideMark/>
          </w:tcPr>
          <w:p w14:paraId="32DABF7A"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BMI</w:t>
            </w:r>
          </w:p>
        </w:tc>
        <w:tc>
          <w:tcPr>
            <w:tcW w:w="1350" w:type="dxa"/>
            <w:shd w:val="clear" w:color="auto" w:fill="auto"/>
            <w:noWrap/>
            <w:vAlign w:val="bottom"/>
            <w:hideMark/>
          </w:tcPr>
          <w:p w14:paraId="0CF07BA6"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27.5 ± 5.2</w:t>
            </w:r>
          </w:p>
        </w:tc>
        <w:tc>
          <w:tcPr>
            <w:tcW w:w="1350" w:type="dxa"/>
            <w:shd w:val="clear" w:color="auto" w:fill="auto"/>
            <w:noWrap/>
            <w:vAlign w:val="bottom"/>
            <w:hideMark/>
          </w:tcPr>
          <w:p w14:paraId="00C437FF"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26.8 ± 4.8</w:t>
            </w:r>
          </w:p>
        </w:tc>
        <w:tc>
          <w:tcPr>
            <w:tcW w:w="1890" w:type="dxa"/>
            <w:shd w:val="clear" w:color="auto" w:fill="auto"/>
            <w:noWrap/>
            <w:vAlign w:val="bottom"/>
            <w:hideMark/>
          </w:tcPr>
          <w:p w14:paraId="02A4D6F5"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-0.96 (0.34)</w:t>
            </w:r>
          </w:p>
        </w:tc>
      </w:tr>
      <w:tr w:rsidR="0001568F" w:rsidRPr="008826C6" w14:paraId="7561CC90" w14:textId="77777777" w:rsidTr="00066D97">
        <w:trPr>
          <w:trHeight w:val="297"/>
        </w:trPr>
        <w:tc>
          <w:tcPr>
            <w:tcW w:w="3960" w:type="dxa"/>
            <w:shd w:val="clear" w:color="auto" w:fill="auto"/>
            <w:noWrap/>
            <w:vAlign w:val="bottom"/>
            <w:hideMark/>
          </w:tcPr>
          <w:p w14:paraId="3E19B7CF" w14:textId="49D080AF"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Edu</w:t>
            </w:r>
            <w:r w:rsidR="008F6C78">
              <w:rPr>
                <w:rFonts w:ascii="Times New Roman" w:eastAsia="Times New Roman" w:hAnsi="Times New Roman" w:cs="Times New Roman"/>
                <w:color w:val="000000"/>
              </w:rPr>
              <w:t>cation (Years)</w:t>
            </w:r>
          </w:p>
        </w:tc>
        <w:tc>
          <w:tcPr>
            <w:tcW w:w="1350" w:type="dxa"/>
            <w:shd w:val="clear" w:color="auto" w:fill="auto"/>
            <w:noWrap/>
            <w:vAlign w:val="bottom"/>
            <w:hideMark/>
          </w:tcPr>
          <w:p w14:paraId="7BAD4BFF"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14.3 ± 1.8</w:t>
            </w:r>
          </w:p>
        </w:tc>
        <w:tc>
          <w:tcPr>
            <w:tcW w:w="1350" w:type="dxa"/>
            <w:shd w:val="clear" w:color="auto" w:fill="auto"/>
            <w:noWrap/>
            <w:vAlign w:val="bottom"/>
            <w:hideMark/>
          </w:tcPr>
          <w:p w14:paraId="42496787"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14.3 ± 1.8</w:t>
            </w:r>
          </w:p>
        </w:tc>
        <w:tc>
          <w:tcPr>
            <w:tcW w:w="1890" w:type="dxa"/>
            <w:shd w:val="clear" w:color="auto" w:fill="auto"/>
            <w:noWrap/>
            <w:vAlign w:val="bottom"/>
            <w:hideMark/>
          </w:tcPr>
          <w:p w14:paraId="1515837B"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-0.04 (0.97)</w:t>
            </w:r>
          </w:p>
        </w:tc>
      </w:tr>
      <w:tr w:rsidR="0001568F" w:rsidRPr="008826C6" w14:paraId="526E7CEF" w14:textId="77777777" w:rsidTr="00066D97">
        <w:trPr>
          <w:trHeight w:val="297"/>
        </w:trPr>
        <w:tc>
          <w:tcPr>
            <w:tcW w:w="3960" w:type="dxa"/>
            <w:shd w:val="clear" w:color="auto" w:fill="auto"/>
            <w:noWrap/>
            <w:vAlign w:val="bottom"/>
            <w:hideMark/>
          </w:tcPr>
          <w:p w14:paraId="43F1AA12"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DSM Depression</w:t>
            </w:r>
          </w:p>
        </w:tc>
        <w:tc>
          <w:tcPr>
            <w:tcW w:w="1350" w:type="dxa"/>
            <w:shd w:val="clear" w:color="auto" w:fill="auto"/>
            <w:noWrap/>
            <w:vAlign w:val="bottom"/>
            <w:hideMark/>
          </w:tcPr>
          <w:p w14:paraId="291654D3"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53.6 ± 5.5</w:t>
            </w:r>
          </w:p>
        </w:tc>
        <w:tc>
          <w:tcPr>
            <w:tcW w:w="1350" w:type="dxa"/>
            <w:shd w:val="clear" w:color="auto" w:fill="auto"/>
            <w:noWrap/>
            <w:vAlign w:val="bottom"/>
            <w:hideMark/>
          </w:tcPr>
          <w:p w14:paraId="58C0E5C9"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54.3 ± 7.0</w:t>
            </w:r>
          </w:p>
        </w:tc>
        <w:tc>
          <w:tcPr>
            <w:tcW w:w="1890" w:type="dxa"/>
            <w:shd w:val="clear" w:color="auto" w:fill="auto"/>
            <w:noWrap/>
            <w:vAlign w:val="bottom"/>
            <w:hideMark/>
          </w:tcPr>
          <w:p w14:paraId="7B3C46A1"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0.73 (0.47)</w:t>
            </w:r>
          </w:p>
        </w:tc>
      </w:tr>
      <w:tr w:rsidR="0001568F" w:rsidRPr="008826C6" w14:paraId="2EF0B38E" w14:textId="77777777" w:rsidTr="00066D97">
        <w:trPr>
          <w:trHeight w:val="297"/>
        </w:trPr>
        <w:tc>
          <w:tcPr>
            <w:tcW w:w="3960" w:type="dxa"/>
            <w:shd w:val="clear" w:color="auto" w:fill="auto"/>
            <w:noWrap/>
            <w:vAlign w:val="bottom"/>
            <w:hideMark/>
          </w:tcPr>
          <w:p w14:paraId="73BBACC5"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DSM Anxiety</w:t>
            </w:r>
          </w:p>
        </w:tc>
        <w:tc>
          <w:tcPr>
            <w:tcW w:w="1350" w:type="dxa"/>
            <w:shd w:val="clear" w:color="auto" w:fill="auto"/>
            <w:noWrap/>
            <w:vAlign w:val="bottom"/>
            <w:hideMark/>
          </w:tcPr>
          <w:p w14:paraId="01DFFA81"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53.1 ± 5.1</w:t>
            </w:r>
          </w:p>
        </w:tc>
        <w:tc>
          <w:tcPr>
            <w:tcW w:w="1350" w:type="dxa"/>
            <w:shd w:val="clear" w:color="auto" w:fill="auto"/>
            <w:noWrap/>
            <w:vAlign w:val="bottom"/>
            <w:hideMark/>
          </w:tcPr>
          <w:p w14:paraId="0899E0F0"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53.7 ± 6.3</w:t>
            </w:r>
          </w:p>
        </w:tc>
        <w:tc>
          <w:tcPr>
            <w:tcW w:w="1890" w:type="dxa"/>
            <w:shd w:val="clear" w:color="auto" w:fill="auto"/>
            <w:noWrap/>
            <w:vAlign w:val="bottom"/>
            <w:hideMark/>
          </w:tcPr>
          <w:p w14:paraId="125701E7"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0.80 (0.43)</w:t>
            </w:r>
          </w:p>
        </w:tc>
      </w:tr>
      <w:tr w:rsidR="0001568F" w:rsidRPr="008826C6" w14:paraId="3260248F" w14:textId="77777777" w:rsidTr="00066D97">
        <w:trPr>
          <w:trHeight w:val="297"/>
        </w:trPr>
        <w:tc>
          <w:tcPr>
            <w:tcW w:w="3960" w:type="dxa"/>
            <w:shd w:val="clear" w:color="auto" w:fill="auto"/>
            <w:noWrap/>
            <w:vAlign w:val="bottom"/>
            <w:hideMark/>
          </w:tcPr>
          <w:p w14:paraId="63252577"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Alcohol (Composite Z)</w:t>
            </w:r>
          </w:p>
        </w:tc>
        <w:tc>
          <w:tcPr>
            <w:tcW w:w="1350" w:type="dxa"/>
            <w:shd w:val="clear" w:color="auto" w:fill="auto"/>
            <w:noWrap/>
            <w:vAlign w:val="bottom"/>
            <w:hideMark/>
          </w:tcPr>
          <w:p w14:paraId="231B2461"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0.17 ± 0.42</w:t>
            </w:r>
          </w:p>
        </w:tc>
        <w:tc>
          <w:tcPr>
            <w:tcW w:w="1350" w:type="dxa"/>
            <w:shd w:val="clear" w:color="auto" w:fill="auto"/>
            <w:noWrap/>
            <w:vAlign w:val="bottom"/>
            <w:hideMark/>
          </w:tcPr>
          <w:p w14:paraId="634F6CCF"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0.22 ± 0.46</w:t>
            </w:r>
          </w:p>
        </w:tc>
        <w:tc>
          <w:tcPr>
            <w:tcW w:w="1890" w:type="dxa"/>
            <w:shd w:val="clear" w:color="auto" w:fill="auto"/>
            <w:noWrap/>
            <w:vAlign w:val="bottom"/>
            <w:hideMark/>
          </w:tcPr>
          <w:p w14:paraId="790E3DA7"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0.80 (0.43)</w:t>
            </w:r>
          </w:p>
        </w:tc>
      </w:tr>
      <w:tr w:rsidR="0001568F" w:rsidRPr="008826C6" w14:paraId="17D37388" w14:textId="77777777" w:rsidTr="00066D97">
        <w:trPr>
          <w:trHeight w:val="297"/>
        </w:trPr>
        <w:tc>
          <w:tcPr>
            <w:tcW w:w="3960" w:type="dxa"/>
            <w:shd w:val="clear" w:color="auto" w:fill="auto"/>
            <w:noWrap/>
            <w:vAlign w:val="bottom"/>
            <w:hideMark/>
          </w:tcPr>
          <w:p w14:paraId="2D674337"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Tobacco (Composite Z)</w:t>
            </w:r>
          </w:p>
        </w:tc>
        <w:tc>
          <w:tcPr>
            <w:tcW w:w="1350" w:type="dxa"/>
            <w:shd w:val="clear" w:color="auto" w:fill="auto"/>
            <w:noWrap/>
            <w:vAlign w:val="bottom"/>
            <w:hideMark/>
          </w:tcPr>
          <w:p w14:paraId="6D8A5079"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-0.19 ± 0.56</w:t>
            </w:r>
          </w:p>
        </w:tc>
        <w:tc>
          <w:tcPr>
            <w:tcW w:w="1350" w:type="dxa"/>
            <w:shd w:val="clear" w:color="auto" w:fill="auto"/>
            <w:noWrap/>
            <w:vAlign w:val="bottom"/>
            <w:hideMark/>
          </w:tcPr>
          <w:p w14:paraId="6E3E1456"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0.79 ± 1.02</w:t>
            </w:r>
          </w:p>
        </w:tc>
        <w:tc>
          <w:tcPr>
            <w:tcW w:w="1890" w:type="dxa"/>
            <w:shd w:val="clear" w:color="auto" w:fill="auto"/>
            <w:noWrap/>
            <w:vAlign w:val="bottom"/>
            <w:hideMark/>
          </w:tcPr>
          <w:p w14:paraId="5E9F141D" w14:textId="77777777" w:rsidR="0001568F" w:rsidRPr="008826C6" w:rsidRDefault="0001568F" w:rsidP="0094548D">
            <w:pPr>
              <w:spacing w:after="0" w:line="276" w:lineRule="auto"/>
              <w:rPr>
                <w:rFonts w:ascii="Times New Roman" w:eastAsia="Times New Roman" w:hAnsi="Times New Roman" w:cs="Times New Roman"/>
                <w:color w:val="000000"/>
              </w:rPr>
            </w:pPr>
            <w:r w:rsidRPr="008826C6">
              <w:rPr>
                <w:rFonts w:ascii="Times New Roman" w:eastAsia="Times New Roman" w:hAnsi="Times New Roman" w:cs="Times New Roman"/>
                <w:color w:val="000000"/>
              </w:rPr>
              <w:t>7.94 (&lt;0.001)</w:t>
            </w:r>
          </w:p>
        </w:tc>
      </w:tr>
      <w:tr w:rsidR="0001568F" w:rsidRPr="008826C6" w14:paraId="4D26DD2D" w14:textId="77777777" w:rsidTr="00066D97">
        <w:trPr>
          <w:trHeight w:val="302"/>
        </w:trPr>
        <w:tc>
          <w:tcPr>
            <w:tcW w:w="3960" w:type="dxa"/>
            <w:shd w:val="clear" w:color="auto" w:fill="auto"/>
            <w:noWrap/>
            <w:vAlign w:val="bottom"/>
          </w:tcPr>
          <w:p w14:paraId="2603D777" w14:textId="77777777" w:rsidR="0001568F" w:rsidRPr="008826C6" w:rsidRDefault="0001568F" w:rsidP="0094548D">
            <w:pPr>
              <w:spacing w:after="0" w:line="276" w:lineRule="auto"/>
              <w:rPr>
                <w:rFonts w:ascii="Times New Roman" w:hAnsi="Times New Roman" w:cs="Times New Roman"/>
                <w:color w:val="000000"/>
              </w:rPr>
            </w:pPr>
            <w:r w:rsidRPr="008826C6">
              <w:rPr>
                <w:rFonts w:ascii="Times New Roman" w:hAnsi="Times New Roman" w:cs="Times New Roman"/>
                <w:color w:val="000000"/>
              </w:rPr>
              <w:t>Sex (% Male)</w:t>
            </w:r>
          </w:p>
        </w:tc>
        <w:tc>
          <w:tcPr>
            <w:tcW w:w="1350" w:type="dxa"/>
            <w:shd w:val="clear" w:color="auto" w:fill="auto"/>
            <w:noWrap/>
            <w:vAlign w:val="bottom"/>
          </w:tcPr>
          <w:p w14:paraId="7C6DA666" w14:textId="77777777" w:rsidR="0001568F" w:rsidRPr="008826C6" w:rsidRDefault="0001568F" w:rsidP="0094548D">
            <w:pPr>
              <w:spacing w:after="0" w:line="276" w:lineRule="auto"/>
              <w:rPr>
                <w:rFonts w:ascii="Times New Roman" w:hAnsi="Times New Roman" w:cs="Times New Roman"/>
                <w:color w:val="000000"/>
              </w:rPr>
            </w:pPr>
            <w:r w:rsidRPr="008826C6">
              <w:rPr>
                <w:rFonts w:ascii="Times New Roman" w:hAnsi="Times New Roman" w:cs="Times New Roman"/>
                <w:color w:val="000000"/>
              </w:rPr>
              <w:t>64/89 (72%)</w:t>
            </w:r>
          </w:p>
        </w:tc>
        <w:tc>
          <w:tcPr>
            <w:tcW w:w="1350" w:type="dxa"/>
            <w:shd w:val="clear" w:color="auto" w:fill="auto"/>
            <w:noWrap/>
            <w:vAlign w:val="bottom"/>
          </w:tcPr>
          <w:p w14:paraId="1595A3C6" w14:textId="77777777" w:rsidR="0001568F" w:rsidRPr="008826C6" w:rsidRDefault="0001568F" w:rsidP="0094548D">
            <w:pPr>
              <w:spacing w:after="0" w:line="276" w:lineRule="auto"/>
              <w:rPr>
                <w:rFonts w:ascii="Times New Roman" w:hAnsi="Times New Roman" w:cs="Times New Roman"/>
                <w:color w:val="000000"/>
              </w:rPr>
            </w:pPr>
            <w:r w:rsidRPr="008826C6">
              <w:rPr>
                <w:rFonts w:ascii="Times New Roman" w:hAnsi="Times New Roman" w:cs="Times New Roman"/>
                <w:color w:val="000000"/>
              </w:rPr>
              <w:t>64/89 (72%)</w:t>
            </w:r>
          </w:p>
        </w:tc>
        <w:tc>
          <w:tcPr>
            <w:tcW w:w="1890" w:type="dxa"/>
            <w:shd w:val="clear" w:color="auto" w:fill="auto"/>
            <w:noWrap/>
            <w:vAlign w:val="bottom"/>
          </w:tcPr>
          <w:p w14:paraId="28B89B34" w14:textId="2A09F3BF" w:rsidR="0001568F" w:rsidRPr="008826C6" w:rsidRDefault="0001568F" w:rsidP="0094548D">
            <w:pPr>
              <w:spacing w:after="0" w:line="276" w:lineRule="auto"/>
              <w:jc w:val="center"/>
              <w:rPr>
                <w:rFonts w:ascii="Times New Roman" w:hAnsi="Times New Roman" w:cs="Times New Roman"/>
                <w:color w:val="000000"/>
              </w:rPr>
            </w:pPr>
          </w:p>
        </w:tc>
      </w:tr>
      <w:tr w:rsidR="00066D97" w:rsidRPr="008826C6" w14:paraId="441F84E5" w14:textId="77777777" w:rsidTr="00066D97">
        <w:trPr>
          <w:trHeight w:val="302"/>
        </w:trPr>
        <w:tc>
          <w:tcPr>
            <w:tcW w:w="3960" w:type="dxa"/>
            <w:shd w:val="clear" w:color="auto" w:fill="auto"/>
            <w:noWrap/>
            <w:vAlign w:val="bottom"/>
          </w:tcPr>
          <w:p w14:paraId="6721B33A" w14:textId="033E0DFD" w:rsidR="00066D97" w:rsidRDefault="00066D97" w:rsidP="0094548D">
            <w:pPr>
              <w:spacing w:after="0" w:line="276" w:lineRule="auto"/>
              <w:rPr>
                <w:rFonts w:ascii="Times New Roman" w:hAnsi="Times New Roman" w:cs="Times New Roman"/>
                <w:color w:val="000000"/>
              </w:rPr>
            </w:pPr>
            <w:r>
              <w:rPr>
                <w:rFonts w:ascii="Times New Roman" w:hAnsi="Times New Roman" w:cs="Times New Roman"/>
                <w:color w:val="000000"/>
              </w:rPr>
              <w:t>Used Illicit Drugs (other than cannabis)</w:t>
            </w:r>
          </w:p>
        </w:tc>
        <w:tc>
          <w:tcPr>
            <w:tcW w:w="1350" w:type="dxa"/>
            <w:shd w:val="clear" w:color="auto" w:fill="auto"/>
            <w:noWrap/>
            <w:vAlign w:val="bottom"/>
          </w:tcPr>
          <w:p w14:paraId="12E5A099" w14:textId="6339F7C1" w:rsidR="00066D97" w:rsidRDefault="00066D97" w:rsidP="0094548D">
            <w:pPr>
              <w:spacing w:after="0" w:line="276" w:lineRule="auto"/>
              <w:rPr>
                <w:rFonts w:ascii="Times New Roman" w:hAnsi="Times New Roman" w:cs="Times New Roman"/>
                <w:color w:val="000000"/>
              </w:rPr>
            </w:pPr>
            <w:r>
              <w:rPr>
                <w:rFonts w:ascii="Times New Roman" w:hAnsi="Times New Roman" w:cs="Times New Roman"/>
                <w:color w:val="000000"/>
              </w:rPr>
              <w:t>8/89 (9%)</w:t>
            </w:r>
          </w:p>
        </w:tc>
        <w:tc>
          <w:tcPr>
            <w:tcW w:w="1350" w:type="dxa"/>
            <w:shd w:val="clear" w:color="auto" w:fill="auto"/>
            <w:noWrap/>
            <w:vAlign w:val="bottom"/>
          </w:tcPr>
          <w:p w14:paraId="0E4ECFF9" w14:textId="5BBAD854" w:rsidR="00066D97" w:rsidRDefault="00066D97" w:rsidP="0094548D">
            <w:pPr>
              <w:spacing w:after="0" w:line="276" w:lineRule="auto"/>
              <w:rPr>
                <w:rFonts w:ascii="Times New Roman" w:hAnsi="Times New Roman" w:cs="Times New Roman"/>
                <w:color w:val="000000"/>
              </w:rPr>
            </w:pPr>
            <w:r>
              <w:rPr>
                <w:rFonts w:ascii="Times New Roman" w:hAnsi="Times New Roman" w:cs="Times New Roman"/>
                <w:color w:val="000000"/>
              </w:rPr>
              <w:t>69/89 (78%)</w:t>
            </w:r>
          </w:p>
        </w:tc>
        <w:tc>
          <w:tcPr>
            <w:tcW w:w="1890" w:type="dxa"/>
            <w:shd w:val="clear" w:color="auto" w:fill="auto"/>
            <w:noWrap/>
            <w:vAlign w:val="bottom"/>
          </w:tcPr>
          <w:p w14:paraId="008D3464" w14:textId="77777777" w:rsidR="00066D97" w:rsidRDefault="00066D97" w:rsidP="0094548D">
            <w:pPr>
              <w:spacing w:after="0" w:line="276" w:lineRule="auto"/>
              <w:jc w:val="center"/>
              <w:rPr>
                <w:rFonts w:ascii="Times New Roman" w:hAnsi="Times New Roman" w:cs="Times New Roman"/>
                <w:color w:val="000000"/>
              </w:rPr>
            </w:pPr>
          </w:p>
        </w:tc>
      </w:tr>
      <w:tr w:rsidR="00A869FF" w:rsidRPr="008826C6" w14:paraId="6F625291" w14:textId="77777777" w:rsidTr="00066D97">
        <w:trPr>
          <w:trHeight w:val="302"/>
        </w:trPr>
        <w:tc>
          <w:tcPr>
            <w:tcW w:w="3960" w:type="dxa"/>
            <w:shd w:val="clear" w:color="auto" w:fill="auto"/>
            <w:noWrap/>
            <w:vAlign w:val="bottom"/>
          </w:tcPr>
          <w:p w14:paraId="7FF3A077" w14:textId="75603DC9" w:rsidR="00A869FF" w:rsidRPr="008826C6" w:rsidRDefault="00A869FF" w:rsidP="0094548D">
            <w:pPr>
              <w:spacing w:after="0" w:line="276" w:lineRule="auto"/>
              <w:rPr>
                <w:rFonts w:ascii="Times New Roman" w:hAnsi="Times New Roman" w:cs="Times New Roman"/>
                <w:color w:val="000000"/>
              </w:rPr>
            </w:pPr>
            <w:r>
              <w:rPr>
                <w:rFonts w:ascii="Times New Roman" w:hAnsi="Times New Roman" w:cs="Times New Roman"/>
                <w:color w:val="000000"/>
              </w:rPr>
              <w:t>Used cannabis in last 12 months</w:t>
            </w:r>
          </w:p>
        </w:tc>
        <w:tc>
          <w:tcPr>
            <w:tcW w:w="1350" w:type="dxa"/>
            <w:shd w:val="clear" w:color="auto" w:fill="auto"/>
            <w:noWrap/>
            <w:vAlign w:val="bottom"/>
          </w:tcPr>
          <w:p w14:paraId="405FFB5A" w14:textId="2B483748" w:rsidR="00A869FF" w:rsidRPr="008826C6" w:rsidRDefault="00A869FF" w:rsidP="0094548D">
            <w:pPr>
              <w:spacing w:after="0" w:line="276" w:lineRule="auto"/>
              <w:rPr>
                <w:rFonts w:ascii="Times New Roman" w:hAnsi="Times New Roman" w:cs="Times New Roman"/>
                <w:color w:val="000000"/>
              </w:rPr>
            </w:pPr>
            <w:r>
              <w:rPr>
                <w:rFonts w:ascii="Times New Roman" w:hAnsi="Times New Roman" w:cs="Times New Roman"/>
                <w:color w:val="000000"/>
              </w:rPr>
              <w:t>5/89 (6%)</w:t>
            </w:r>
          </w:p>
        </w:tc>
        <w:tc>
          <w:tcPr>
            <w:tcW w:w="1350" w:type="dxa"/>
            <w:shd w:val="clear" w:color="auto" w:fill="auto"/>
            <w:noWrap/>
            <w:vAlign w:val="bottom"/>
          </w:tcPr>
          <w:p w14:paraId="3D3A8AEE" w14:textId="7472C8F0" w:rsidR="00A869FF" w:rsidRPr="008826C6" w:rsidRDefault="00A869FF" w:rsidP="0094548D">
            <w:pPr>
              <w:spacing w:after="0" w:line="276" w:lineRule="auto"/>
              <w:rPr>
                <w:rFonts w:ascii="Times New Roman" w:hAnsi="Times New Roman" w:cs="Times New Roman"/>
                <w:color w:val="000000"/>
              </w:rPr>
            </w:pPr>
            <w:r>
              <w:rPr>
                <w:rFonts w:ascii="Times New Roman" w:hAnsi="Times New Roman" w:cs="Times New Roman"/>
                <w:color w:val="000000"/>
              </w:rPr>
              <w:t>62/89 (68%)</w:t>
            </w:r>
          </w:p>
        </w:tc>
        <w:tc>
          <w:tcPr>
            <w:tcW w:w="1890" w:type="dxa"/>
            <w:shd w:val="clear" w:color="auto" w:fill="auto"/>
            <w:noWrap/>
            <w:vAlign w:val="bottom"/>
          </w:tcPr>
          <w:p w14:paraId="09F0A122" w14:textId="77777777" w:rsidR="00A869FF" w:rsidRDefault="00A869FF" w:rsidP="0094548D">
            <w:pPr>
              <w:spacing w:after="0" w:line="276" w:lineRule="auto"/>
              <w:jc w:val="center"/>
              <w:rPr>
                <w:rFonts w:ascii="Times New Roman" w:hAnsi="Times New Roman" w:cs="Times New Roman"/>
                <w:color w:val="000000"/>
              </w:rPr>
            </w:pPr>
          </w:p>
        </w:tc>
      </w:tr>
    </w:tbl>
    <w:p w14:paraId="66FFE588" w14:textId="77777777" w:rsidR="0001568F" w:rsidRPr="009F2479" w:rsidRDefault="0001568F" w:rsidP="0094548D">
      <w:pPr>
        <w:spacing w:line="276" w:lineRule="auto"/>
        <w:rPr>
          <w:rFonts w:ascii="Times New Roman" w:hAnsi="Times New Roman"/>
          <w:sz w:val="24"/>
          <w:szCs w:val="24"/>
        </w:rPr>
      </w:pPr>
    </w:p>
    <w:p w14:paraId="3E67884E" w14:textId="77777777" w:rsidR="004220E5" w:rsidRDefault="0001568F" w:rsidP="0094548D">
      <w:pPr>
        <w:spacing w:line="276" w:lineRule="auto"/>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6DE4D877" w14:textId="0D071230" w:rsidR="004220E5" w:rsidRPr="003557EA" w:rsidRDefault="004220E5" w:rsidP="004220E5">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 xml:space="preserve">Supplementary </w:t>
      </w:r>
      <w:r w:rsidRPr="00036918">
        <w:rPr>
          <w:rFonts w:ascii="Times New Roman" w:eastAsia="MS Mincho" w:hAnsi="Times New Roman"/>
          <w:b/>
          <w:bCs/>
          <w:sz w:val="24"/>
          <w:szCs w:val="24"/>
          <w:lang w:eastAsia="zh-CN"/>
        </w:rPr>
        <w:t xml:space="preserve">Table </w:t>
      </w:r>
      <w:r>
        <w:rPr>
          <w:rFonts w:ascii="Times New Roman" w:eastAsia="MS Mincho" w:hAnsi="Times New Roman"/>
          <w:b/>
          <w:bCs/>
          <w:sz w:val="24"/>
          <w:szCs w:val="24"/>
          <w:lang w:eastAsia="zh-CN"/>
        </w:rPr>
        <w:t>2</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r>
        <w:rPr>
          <w:rFonts w:ascii="Times New Roman" w:eastAsia="MS Mincho" w:hAnsi="Times New Roman"/>
          <w:b/>
          <w:sz w:val="24"/>
          <w:szCs w:val="24"/>
          <w:lang w:eastAsia="zh-CN"/>
        </w:rPr>
        <w:t xml:space="preserve">Participant Illicit Drug Use (other than </w:t>
      </w:r>
      <w:r w:rsidR="00066D97">
        <w:rPr>
          <w:rFonts w:ascii="Times New Roman" w:eastAsia="MS Mincho" w:hAnsi="Times New Roman"/>
          <w:b/>
          <w:sz w:val="24"/>
          <w:szCs w:val="24"/>
          <w:lang w:eastAsia="zh-CN"/>
        </w:rPr>
        <w:t>c</w:t>
      </w:r>
      <w:r>
        <w:rPr>
          <w:rFonts w:ascii="Times New Roman" w:eastAsia="MS Mincho" w:hAnsi="Times New Roman"/>
          <w:b/>
          <w:sz w:val="24"/>
          <w:szCs w:val="24"/>
          <w:lang w:eastAsia="zh-CN"/>
        </w:rPr>
        <w:t xml:space="preserve">annabis). </w:t>
      </w:r>
      <w:r>
        <w:rPr>
          <w:rFonts w:ascii="Times New Roman" w:eastAsia="MS Mincho" w:hAnsi="Times New Roman"/>
          <w:bCs/>
          <w:sz w:val="24"/>
          <w:szCs w:val="24"/>
          <w:lang w:eastAsia="zh-CN"/>
        </w:rPr>
        <w:t xml:space="preserve">Each cell represents the number (%) of participants within each group.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68"/>
        <w:gridCol w:w="1169"/>
        <w:gridCol w:w="1169"/>
        <w:gridCol w:w="1169"/>
        <w:gridCol w:w="1168"/>
        <w:gridCol w:w="1169"/>
        <w:gridCol w:w="1169"/>
        <w:gridCol w:w="1169"/>
      </w:tblGrid>
      <w:tr w:rsidR="004220E5" w:rsidRPr="00066D97" w14:paraId="339DB940" w14:textId="77777777" w:rsidTr="004220E5">
        <w:trPr>
          <w:trHeight w:val="300"/>
        </w:trPr>
        <w:tc>
          <w:tcPr>
            <w:tcW w:w="1168" w:type="dxa"/>
            <w:noWrap/>
            <w:hideMark/>
          </w:tcPr>
          <w:p w14:paraId="76B35579" w14:textId="77777777" w:rsidR="004220E5" w:rsidRPr="00066D97" w:rsidRDefault="004220E5">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 </w:t>
            </w:r>
          </w:p>
        </w:tc>
        <w:tc>
          <w:tcPr>
            <w:tcW w:w="1169" w:type="dxa"/>
            <w:noWrap/>
            <w:hideMark/>
          </w:tcPr>
          <w:p w14:paraId="58E2F512"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Never</w:t>
            </w:r>
          </w:p>
        </w:tc>
        <w:tc>
          <w:tcPr>
            <w:tcW w:w="1169" w:type="dxa"/>
            <w:noWrap/>
            <w:hideMark/>
          </w:tcPr>
          <w:p w14:paraId="15E0A5F5" w14:textId="7EB3273B"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 xml:space="preserve">1-2 </w:t>
            </w:r>
            <w:r w:rsidR="00066D97">
              <w:rPr>
                <w:rFonts w:ascii="Times New Roman" w:eastAsia="MS Mincho" w:hAnsi="Times New Roman" w:cs="Times New Roman"/>
                <w:b/>
                <w:bCs/>
                <w:lang w:eastAsia="zh-CN"/>
              </w:rPr>
              <w:t xml:space="preserve"> </w:t>
            </w:r>
            <w:r w:rsidRPr="00066D97">
              <w:rPr>
                <w:rFonts w:ascii="Times New Roman" w:eastAsia="MS Mincho" w:hAnsi="Times New Roman" w:cs="Times New Roman"/>
                <w:b/>
                <w:bCs/>
                <w:lang w:eastAsia="zh-CN"/>
              </w:rPr>
              <w:t>Times</w:t>
            </w:r>
          </w:p>
        </w:tc>
        <w:tc>
          <w:tcPr>
            <w:tcW w:w="1169" w:type="dxa"/>
            <w:noWrap/>
            <w:hideMark/>
          </w:tcPr>
          <w:p w14:paraId="664B697D"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3-10  Times</w:t>
            </w:r>
          </w:p>
        </w:tc>
        <w:tc>
          <w:tcPr>
            <w:tcW w:w="1168" w:type="dxa"/>
            <w:noWrap/>
            <w:hideMark/>
          </w:tcPr>
          <w:p w14:paraId="761AD72B"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11-25 Times</w:t>
            </w:r>
          </w:p>
        </w:tc>
        <w:tc>
          <w:tcPr>
            <w:tcW w:w="1169" w:type="dxa"/>
            <w:noWrap/>
            <w:hideMark/>
          </w:tcPr>
          <w:p w14:paraId="7EBD8900"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25-100 Times</w:t>
            </w:r>
          </w:p>
        </w:tc>
        <w:tc>
          <w:tcPr>
            <w:tcW w:w="1169" w:type="dxa"/>
            <w:noWrap/>
            <w:hideMark/>
          </w:tcPr>
          <w:p w14:paraId="483DB2EB"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&gt;100 Times</w:t>
            </w:r>
          </w:p>
        </w:tc>
        <w:tc>
          <w:tcPr>
            <w:tcW w:w="1169" w:type="dxa"/>
            <w:noWrap/>
            <w:hideMark/>
          </w:tcPr>
          <w:p w14:paraId="0205CD32" w14:textId="77777777" w:rsidR="004220E5" w:rsidRPr="00066D97" w:rsidRDefault="004220E5"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Total N</w:t>
            </w:r>
          </w:p>
        </w:tc>
      </w:tr>
      <w:tr w:rsidR="00066D97" w:rsidRPr="00066D97" w14:paraId="27B126DA" w14:textId="77777777" w:rsidTr="00066D97">
        <w:trPr>
          <w:trHeight w:val="300"/>
        </w:trPr>
        <w:tc>
          <w:tcPr>
            <w:tcW w:w="1168" w:type="dxa"/>
            <w:noWrap/>
          </w:tcPr>
          <w:p w14:paraId="44D8AE09" w14:textId="1AE468AA" w:rsidR="00066D97" w:rsidRPr="00066D97" w:rsidRDefault="00066D97">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CTL</w:t>
            </w:r>
          </w:p>
        </w:tc>
        <w:tc>
          <w:tcPr>
            <w:tcW w:w="1169" w:type="dxa"/>
            <w:noWrap/>
          </w:tcPr>
          <w:p w14:paraId="47995B52" w14:textId="47900B43"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81 (91.0)</w:t>
            </w:r>
          </w:p>
        </w:tc>
        <w:tc>
          <w:tcPr>
            <w:tcW w:w="1169" w:type="dxa"/>
            <w:noWrap/>
          </w:tcPr>
          <w:p w14:paraId="615140A3" w14:textId="7C0CEA72"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7 (7.9)</w:t>
            </w:r>
          </w:p>
        </w:tc>
        <w:tc>
          <w:tcPr>
            <w:tcW w:w="1169" w:type="dxa"/>
            <w:noWrap/>
          </w:tcPr>
          <w:p w14:paraId="0529A3FB" w14:textId="168B00D7"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 (1.1)</w:t>
            </w:r>
          </w:p>
        </w:tc>
        <w:tc>
          <w:tcPr>
            <w:tcW w:w="1168" w:type="dxa"/>
            <w:noWrap/>
          </w:tcPr>
          <w:p w14:paraId="298483D7" w14:textId="6DAC0175"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0 (0.0)</w:t>
            </w:r>
          </w:p>
        </w:tc>
        <w:tc>
          <w:tcPr>
            <w:tcW w:w="1169" w:type="dxa"/>
            <w:noWrap/>
          </w:tcPr>
          <w:p w14:paraId="5BC296A9" w14:textId="7AC0DF09"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0 (0.0)</w:t>
            </w:r>
          </w:p>
        </w:tc>
        <w:tc>
          <w:tcPr>
            <w:tcW w:w="1169" w:type="dxa"/>
            <w:noWrap/>
          </w:tcPr>
          <w:p w14:paraId="531ABD24" w14:textId="54394E16"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0 (0.0)</w:t>
            </w:r>
          </w:p>
        </w:tc>
        <w:tc>
          <w:tcPr>
            <w:tcW w:w="1169" w:type="dxa"/>
            <w:noWrap/>
          </w:tcPr>
          <w:p w14:paraId="43D6EF8F" w14:textId="35757889"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89</w:t>
            </w:r>
          </w:p>
        </w:tc>
      </w:tr>
      <w:tr w:rsidR="00066D97" w:rsidRPr="00066D97" w14:paraId="7CE9F1D9" w14:textId="77777777" w:rsidTr="004220E5">
        <w:trPr>
          <w:trHeight w:val="300"/>
        </w:trPr>
        <w:tc>
          <w:tcPr>
            <w:tcW w:w="1168" w:type="dxa"/>
            <w:noWrap/>
            <w:hideMark/>
          </w:tcPr>
          <w:p w14:paraId="522C543B" w14:textId="244FD4ED" w:rsidR="00066D97" w:rsidRPr="00066D97" w:rsidRDefault="00066D97">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CD</w:t>
            </w:r>
          </w:p>
        </w:tc>
        <w:tc>
          <w:tcPr>
            <w:tcW w:w="1169" w:type="dxa"/>
            <w:noWrap/>
            <w:hideMark/>
          </w:tcPr>
          <w:p w14:paraId="09A84FE0" w14:textId="438EF63A"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20 (22.5)</w:t>
            </w:r>
          </w:p>
        </w:tc>
        <w:tc>
          <w:tcPr>
            <w:tcW w:w="1169" w:type="dxa"/>
            <w:noWrap/>
            <w:hideMark/>
          </w:tcPr>
          <w:p w14:paraId="190D0232" w14:textId="464D797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4 (4.5)</w:t>
            </w:r>
          </w:p>
        </w:tc>
        <w:tc>
          <w:tcPr>
            <w:tcW w:w="1169" w:type="dxa"/>
            <w:noWrap/>
            <w:hideMark/>
          </w:tcPr>
          <w:p w14:paraId="2319E606" w14:textId="1DE52130"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19 (21.3)</w:t>
            </w:r>
          </w:p>
        </w:tc>
        <w:tc>
          <w:tcPr>
            <w:tcW w:w="1168" w:type="dxa"/>
            <w:noWrap/>
            <w:hideMark/>
          </w:tcPr>
          <w:p w14:paraId="339A2DF3" w14:textId="2612A4DB"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11 (12.4)</w:t>
            </w:r>
          </w:p>
        </w:tc>
        <w:tc>
          <w:tcPr>
            <w:tcW w:w="1169" w:type="dxa"/>
            <w:noWrap/>
            <w:hideMark/>
          </w:tcPr>
          <w:p w14:paraId="3CE19ED7" w14:textId="41B5ACCD"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24 (27.0)</w:t>
            </w:r>
          </w:p>
        </w:tc>
        <w:tc>
          <w:tcPr>
            <w:tcW w:w="1169" w:type="dxa"/>
            <w:noWrap/>
            <w:hideMark/>
          </w:tcPr>
          <w:p w14:paraId="36977699" w14:textId="7DBD1EC8"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11 (12.4)</w:t>
            </w:r>
          </w:p>
        </w:tc>
        <w:tc>
          <w:tcPr>
            <w:tcW w:w="1169" w:type="dxa"/>
            <w:noWrap/>
            <w:hideMark/>
          </w:tcPr>
          <w:p w14:paraId="6BAD92E9" w14:textId="15816C91"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89</w:t>
            </w:r>
          </w:p>
        </w:tc>
      </w:tr>
      <w:tr w:rsidR="00066D97" w:rsidRPr="00066D97" w14:paraId="09575E28" w14:textId="77777777" w:rsidTr="004220E5">
        <w:trPr>
          <w:trHeight w:val="300"/>
        </w:trPr>
        <w:tc>
          <w:tcPr>
            <w:tcW w:w="1168" w:type="dxa"/>
            <w:noWrap/>
          </w:tcPr>
          <w:p w14:paraId="7500B5FD" w14:textId="19A964A8" w:rsidR="00066D97" w:rsidRPr="00066D97" w:rsidRDefault="00066D97" w:rsidP="00066D97">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 xml:space="preserve">&gt; 100 Use </w:t>
            </w:r>
          </w:p>
        </w:tc>
        <w:tc>
          <w:tcPr>
            <w:tcW w:w="1169" w:type="dxa"/>
            <w:noWrap/>
          </w:tcPr>
          <w:p w14:paraId="3752AE2F" w14:textId="6A7CF3CC"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38 (47.5)</w:t>
            </w:r>
          </w:p>
        </w:tc>
        <w:tc>
          <w:tcPr>
            <w:tcW w:w="1169" w:type="dxa"/>
            <w:noWrap/>
          </w:tcPr>
          <w:p w14:paraId="79F123E7" w14:textId="190F4FC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7 (8.8)</w:t>
            </w:r>
          </w:p>
        </w:tc>
        <w:tc>
          <w:tcPr>
            <w:tcW w:w="1169" w:type="dxa"/>
            <w:noWrap/>
          </w:tcPr>
          <w:p w14:paraId="32FB4529" w14:textId="2353D74F"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16 (20.0)</w:t>
            </w:r>
          </w:p>
        </w:tc>
        <w:tc>
          <w:tcPr>
            <w:tcW w:w="1168" w:type="dxa"/>
            <w:noWrap/>
          </w:tcPr>
          <w:p w14:paraId="6C9913A1" w14:textId="240575A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10 (12.5)</w:t>
            </w:r>
          </w:p>
        </w:tc>
        <w:tc>
          <w:tcPr>
            <w:tcW w:w="1169" w:type="dxa"/>
            <w:noWrap/>
          </w:tcPr>
          <w:p w14:paraId="4792EA3E" w14:textId="1DE12F53"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6 (7.5)</w:t>
            </w:r>
          </w:p>
        </w:tc>
        <w:tc>
          <w:tcPr>
            <w:tcW w:w="1169" w:type="dxa"/>
            <w:noWrap/>
          </w:tcPr>
          <w:p w14:paraId="6A3135F2" w14:textId="7829F6EE"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3 (3.8)</w:t>
            </w:r>
          </w:p>
        </w:tc>
        <w:tc>
          <w:tcPr>
            <w:tcW w:w="1169" w:type="dxa"/>
            <w:noWrap/>
          </w:tcPr>
          <w:p w14:paraId="7CEF748E" w14:textId="11D41C9D"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80</w:t>
            </w:r>
          </w:p>
        </w:tc>
      </w:tr>
      <w:tr w:rsidR="00066D97" w:rsidRPr="00066D97" w14:paraId="5E8431DB" w14:textId="77777777" w:rsidTr="0050220E">
        <w:trPr>
          <w:trHeight w:val="300"/>
        </w:trPr>
        <w:tc>
          <w:tcPr>
            <w:tcW w:w="1168" w:type="dxa"/>
            <w:tcBorders>
              <w:bottom w:val="single" w:sz="4" w:space="0" w:color="auto"/>
            </w:tcBorders>
            <w:noWrap/>
            <w:hideMark/>
          </w:tcPr>
          <w:p w14:paraId="35EFFFC1" w14:textId="57A7D865" w:rsidR="00066D97" w:rsidRPr="00066D97" w:rsidRDefault="00066D97" w:rsidP="00066D97">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All Others In HCP</w:t>
            </w:r>
          </w:p>
        </w:tc>
        <w:tc>
          <w:tcPr>
            <w:tcW w:w="1169" w:type="dxa"/>
            <w:tcBorders>
              <w:bottom w:val="single" w:sz="4" w:space="0" w:color="auto"/>
            </w:tcBorders>
            <w:noWrap/>
            <w:hideMark/>
          </w:tcPr>
          <w:p w14:paraId="53335492" w14:textId="0133943D"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805 (85.1)</w:t>
            </w:r>
          </w:p>
        </w:tc>
        <w:tc>
          <w:tcPr>
            <w:tcW w:w="1169" w:type="dxa"/>
            <w:tcBorders>
              <w:bottom w:val="single" w:sz="4" w:space="0" w:color="auto"/>
            </w:tcBorders>
            <w:noWrap/>
            <w:hideMark/>
          </w:tcPr>
          <w:p w14:paraId="73404D7C" w14:textId="1F99A6B9"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52 (5.5)</w:t>
            </w:r>
          </w:p>
        </w:tc>
        <w:tc>
          <w:tcPr>
            <w:tcW w:w="1169" w:type="dxa"/>
            <w:tcBorders>
              <w:bottom w:val="single" w:sz="4" w:space="0" w:color="auto"/>
            </w:tcBorders>
            <w:noWrap/>
            <w:hideMark/>
          </w:tcPr>
          <w:p w14:paraId="04E99632" w14:textId="118FB301"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49 (5.2)</w:t>
            </w:r>
          </w:p>
        </w:tc>
        <w:tc>
          <w:tcPr>
            <w:tcW w:w="1168" w:type="dxa"/>
            <w:tcBorders>
              <w:bottom w:val="single" w:sz="4" w:space="0" w:color="auto"/>
            </w:tcBorders>
            <w:noWrap/>
            <w:hideMark/>
          </w:tcPr>
          <w:p w14:paraId="1033B14B" w14:textId="4692380F"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17 (1.8)</w:t>
            </w:r>
          </w:p>
        </w:tc>
        <w:tc>
          <w:tcPr>
            <w:tcW w:w="1169" w:type="dxa"/>
            <w:tcBorders>
              <w:bottom w:val="single" w:sz="4" w:space="0" w:color="auto"/>
            </w:tcBorders>
            <w:noWrap/>
            <w:hideMark/>
          </w:tcPr>
          <w:p w14:paraId="2A253568" w14:textId="52FF839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20 (2.1)</w:t>
            </w:r>
          </w:p>
        </w:tc>
        <w:tc>
          <w:tcPr>
            <w:tcW w:w="1169" w:type="dxa"/>
            <w:tcBorders>
              <w:bottom w:val="single" w:sz="4" w:space="0" w:color="auto"/>
            </w:tcBorders>
            <w:noWrap/>
            <w:hideMark/>
          </w:tcPr>
          <w:p w14:paraId="707EA23B" w14:textId="3592AE1A"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3 (0.3)</w:t>
            </w:r>
          </w:p>
        </w:tc>
        <w:tc>
          <w:tcPr>
            <w:tcW w:w="1169" w:type="dxa"/>
            <w:tcBorders>
              <w:bottom w:val="single" w:sz="4" w:space="0" w:color="auto"/>
            </w:tcBorders>
            <w:noWrap/>
            <w:hideMark/>
          </w:tcPr>
          <w:p w14:paraId="4522AE44" w14:textId="17CED2B7"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lang w:eastAsia="zh-CN"/>
              </w:rPr>
              <w:t>946</w:t>
            </w:r>
          </w:p>
        </w:tc>
      </w:tr>
      <w:tr w:rsidR="00066D97" w:rsidRPr="00066D97" w14:paraId="07F4D372" w14:textId="77777777" w:rsidTr="0050220E">
        <w:trPr>
          <w:trHeight w:val="300"/>
        </w:trPr>
        <w:tc>
          <w:tcPr>
            <w:tcW w:w="1168" w:type="dxa"/>
            <w:tcBorders>
              <w:top w:val="single" w:sz="4" w:space="0" w:color="auto"/>
              <w:bottom w:val="single" w:sz="4" w:space="0" w:color="auto"/>
            </w:tcBorders>
            <w:noWrap/>
            <w:hideMark/>
          </w:tcPr>
          <w:p w14:paraId="10797F85" w14:textId="7D1975B1" w:rsidR="00066D97" w:rsidRPr="00066D97" w:rsidRDefault="00066D97" w:rsidP="00066D97">
            <w:pP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Grand Total</w:t>
            </w:r>
          </w:p>
        </w:tc>
        <w:tc>
          <w:tcPr>
            <w:tcW w:w="1169" w:type="dxa"/>
            <w:tcBorders>
              <w:top w:val="single" w:sz="4" w:space="0" w:color="auto"/>
              <w:bottom w:val="single" w:sz="4" w:space="0" w:color="auto"/>
            </w:tcBorders>
            <w:noWrap/>
            <w:hideMark/>
          </w:tcPr>
          <w:p w14:paraId="201DC671" w14:textId="23B848E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944 (78.4)</w:t>
            </w:r>
          </w:p>
        </w:tc>
        <w:tc>
          <w:tcPr>
            <w:tcW w:w="1169" w:type="dxa"/>
            <w:tcBorders>
              <w:top w:val="single" w:sz="4" w:space="0" w:color="auto"/>
              <w:bottom w:val="single" w:sz="4" w:space="0" w:color="auto"/>
            </w:tcBorders>
            <w:noWrap/>
            <w:hideMark/>
          </w:tcPr>
          <w:p w14:paraId="3152AE93" w14:textId="43D42E83"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70 (5.8)</w:t>
            </w:r>
          </w:p>
        </w:tc>
        <w:tc>
          <w:tcPr>
            <w:tcW w:w="1169" w:type="dxa"/>
            <w:tcBorders>
              <w:top w:val="single" w:sz="4" w:space="0" w:color="auto"/>
              <w:bottom w:val="single" w:sz="4" w:space="0" w:color="auto"/>
            </w:tcBorders>
            <w:noWrap/>
            <w:hideMark/>
          </w:tcPr>
          <w:p w14:paraId="4C0008DB" w14:textId="02B14F84"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85 (7.1)</w:t>
            </w:r>
          </w:p>
        </w:tc>
        <w:tc>
          <w:tcPr>
            <w:tcW w:w="1168" w:type="dxa"/>
            <w:tcBorders>
              <w:top w:val="single" w:sz="4" w:space="0" w:color="auto"/>
              <w:bottom w:val="single" w:sz="4" w:space="0" w:color="auto"/>
            </w:tcBorders>
            <w:noWrap/>
            <w:hideMark/>
          </w:tcPr>
          <w:p w14:paraId="38609007" w14:textId="3C461430"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38 (3.2)</w:t>
            </w:r>
          </w:p>
        </w:tc>
        <w:tc>
          <w:tcPr>
            <w:tcW w:w="1169" w:type="dxa"/>
            <w:tcBorders>
              <w:top w:val="single" w:sz="4" w:space="0" w:color="auto"/>
              <w:bottom w:val="single" w:sz="4" w:space="0" w:color="auto"/>
            </w:tcBorders>
            <w:noWrap/>
            <w:hideMark/>
          </w:tcPr>
          <w:p w14:paraId="6B82278B" w14:textId="68BC7217"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50 (4.2)</w:t>
            </w:r>
          </w:p>
        </w:tc>
        <w:tc>
          <w:tcPr>
            <w:tcW w:w="1169" w:type="dxa"/>
            <w:tcBorders>
              <w:top w:val="single" w:sz="4" w:space="0" w:color="auto"/>
              <w:bottom w:val="single" w:sz="4" w:space="0" w:color="auto"/>
            </w:tcBorders>
            <w:noWrap/>
            <w:hideMark/>
          </w:tcPr>
          <w:p w14:paraId="7B33F8E0" w14:textId="47BA7311" w:rsidR="00066D97" w:rsidRPr="00066D97" w:rsidRDefault="00066D97" w:rsidP="00066D97">
            <w:pPr>
              <w:jc w:val="center"/>
              <w:rPr>
                <w:rFonts w:ascii="Times New Roman" w:eastAsia="MS Mincho" w:hAnsi="Times New Roman" w:cs="Times New Roman"/>
                <w:lang w:eastAsia="zh-CN"/>
              </w:rPr>
            </w:pPr>
            <w:r w:rsidRPr="00066D97">
              <w:rPr>
                <w:rFonts w:ascii="Times New Roman" w:eastAsia="MS Mincho" w:hAnsi="Times New Roman" w:cs="Times New Roman"/>
                <w:b/>
                <w:bCs/>
                <w:lang w:eastAsia="zh-CN"/>
              </w:rPr>
              <w:t>17 (1.4)</w:t>
            </w:r>
          </w:p>
        </w:tc>
        <w:tc>
          <w:tcPr>
            <w:tcW w:w="1169" w:type="dxa"/>
            <w:tcBorders>
              <w:top w:val="single" w:sz="4" w:space="0" w:color="auto"/>
              <w:bottom w:val="single" w:sz="4" w:space="0" w:color="auto"/>
            </w:tcBorders>
            <w:noWrap/>
            <w:hideMark/>
          </w:tcPr>
          <w:p w14:paraId="13DFB379" w14:textId="7CA7B48C" w:rsidR="00066D97" w:rsidRPr="00066D97" w:rsidRDefault="00066D97" w:rsidP="00066D97">
            <w:pPr>
              <w:jc w:val="center"/>
              <w:rPr>
                <w:rFonts w:ascii="Times New Roman" w:eastAsia="MS Mincho" w:hAnsi="Times New Roman" w:cs="Times New Roman"/>
                <w:b/>
                <w:bCs/>
                <w:lang w:eastAsia="zh-CN"/>
              </w:rPr>
            </w:pPr>
            <w:r w:rsidRPr="00066D97">
              <w:rPr>
                <w:rFonts w:ascii="Times New Roman" w:eastAsia="MS Mincho" w:hAnsi="Times New Roman" w:cs="Times New Roman"/>
                <w:b/>
                <w:bCs/>
                <w:lang w:eastAsia="zh-CN"/>
              </w:rPr>
              <w:t>1204</w:t>
            </w:r>
          </w:p>
        </w:tc>
      </w:tr>
    </w:tbl>
    <w:p w14:paraId="37BCF1BB" w14:textId="77777777" w:rsidR="00066D97" w:rsidRDefault="00066D97" w:rsidP="0094548D">
      <w:pPr>
        <w:spacing w:line="276" w:lineRule="auto"/>
        <w:rPr>
          <w:rFonts w:ascii="Times New Roman" w:eastAsia="MS Mincho" w:hAnsi="Times New Roman"/>
          <w:b/>
          <w:bCs/>
          <w:sz w:val="24"/>
          <w:szCs w:val="24"/>
          <w:lang w:eastAsia="zh-CN"/>
        </w:rPr>
      </w:pPr>
    </w:p>
    <w:p w14:paraId="1821F399" w14:textId="77777777" w:rsidR="00066D97" w:rsidRDefault="00066D97">
      <w:pPr>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192D007F" w14:textId="66925DB6" w:rsidR="003557EA" w:rsidRPr="003557EA" w:rsidRDefault="004C4132" w:rsidP="0094548D">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 xml:space="preserve">Supplementary </w:t>
      </w:r>
      <w:r w:rsidRPr="00036918">
        <w:rPr>
          <w:rFonts w:ascii="Times New Roman" w:eastAsia="MS Mincho" w:hAnsi="Times New Roman"/>
          <w:b/>
          <w:bCs/>
          <w:sz w:val="24"/>
          <w:szCs w:val="24"/>
          <w:lang w:eastAsia="zh-CN"/>
        </w:rPr>
        <w:t>Table</w:t>
      </w:r>
      <w:r w:rsidR="004220E5">
        <w:rPr>
          <w:rFonts w:ascii="Times New Roman" w:eastAsia="MS Mincho" w:hAnsi="Times New Roman"/>
          <w:b/>
          <w:bCs/>
          <w:sz w:val="24"/>
          <w:szCs w:val="24"/>
          <w:lang w:eastAsia="zh-CN"/>
        </w:rPr>
        <w:t xml:space="preserve"> 3</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r>
        <w:rPr>
          <w:rFonts w:ascii="Times New Roman" w:eastAsia="MS Mincho" w:hAnsi="Times New Roman"/>
          <w:b/>
          <w:sz w:val="24"/>
          <w:szCs w:val="24"/>
          <w:lang w:eastAsia="zh-CN"/>
        </w:rPr>
        <w:t>Sibling-pair characteristics</w:t>
      </w:r>
      <w:r w:rsidR="003557EA">
        <w:rPr>
          <w:rFonts w:ascii="Times New Roman" w:eastAsia="MS Mincho" w:hAnsi="Times New Roman"/>
          <w:b/>
          <w:sz w:val="24"/>
          <w:szCs w:val="24"/>
          <w:lang w:eastAsia="zh-CN"/>
        </w:rPr>
        <w:t xml:space="preserve">. </w:t>
      </w:r>
      <w:r w:rsidR="003557EA">
        <w:rPr>
          <w:rFonts w:ascii="Times New Roman" w:eastAsia="MS Mincho" w:hAnsi="Times New Roman"/>
          <w:bCs/>
          <w:sz w:val="24"/>
          <w:szCs w:val="24"/>
          <w:lang w:eastAsia="zh-CN"/>
        </w:rPr>
        <w:t>Each cell represents the number</w:t>
      </w:r>
      <w:r w:rsidR="004220E5">
        <w:rPr>
          <w:rFonts w:ascii="Times New Roman" w:eastAsia="MS Mincho" w:hAnsi="Times New Roman"/>
          <w:bCs/>
          <w:sz w:val="24"/>
          <w:szCs w:val="24"/>
          <w:lang w:eastAsia="zh-CN"/>
        </w:rPr>
        <w:t xml:space="preserve"> (%)</w:t>
      </w:r>
      <w:r w:rsidR="003557EA">
        <w:rPr>
          <w:rFonts w:ascii="Times New Roman" w:eastAsia="MS Mincho" w:hAnsi="Times New Roman"/>
          <w:bCs/>
          <w:sz w:val="24"/>
          <w:szCs w:val="24"/>
          <w:lang w:eastAsia="zh-CN"/>
        </w:rPr>
        <w:t xml:space="preserve"> of sibling pairs. </w:t>
      </w:r>
      <w:r w:rsidR="003557EA">
        <w:rPr>
          <w:rFonts w:ascii="Times New Roman" w:eastAsia="MS Mincho" w:hAnsi="Times New Roman"/>
          <w:sz w:val="24"/>
          <w:szCs w:val="24"/>
          <w:lang w:eastAsia="zh-CN"/>
        </w:rPr>
        <w:t>Note: DZ = Dizygotic; MZ = Monozygotic</w:t>
      </w:r>
    </w:p>
    <w:tbl>
      <w:tblPr>
        <w:tblW w:w="8460" w:type="dxa"/>
        <w:tblLayout w:type="fixed"/>
        <w:tblLook w:val="04A0" w:firstRow="1" w:lastRow="0" w:firstColumn="1" w:lastColumn="0" w:noHBand="0" w:noVBand="1"/>
      </w:tblPr>
      <w:tblGrid>
        <w:gridCol w:w="4050"/>
        <w:gridCol w:w="1800"/>
        <w:gridCol w:w="1620"/>
        <w:gridCol w:w="990"/>
      </w:tblGrid>
      <w:tr w:rsidR="004220E5" w:rsidRPr="004220E5" w14:paraId="4A37F8BC"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115A3E80"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 </w:t>
            </w:r>
          </w:p>
        </w:tc>
        <w:tc>
          <w:tcPr>
            <w:tcW w:w="1800" w:type="dxa"/>
            <w:tcBorders>
              <w:top w:val="nil"/>
              <w:left w:val="nil"/>
              <w:bottom w:val="single" w:sz="4" w:space="0" w:color="auto"/>
              <w:right w:val="nil"/>
            </w:tcBorders>
            <w:shd w:val="clear" w:color="auto" w:fill="auto"/>
            <w:noWrap/>
            <w:vAlign w:val="bottom"/>
            <w:hideMark/>
          </w:tcPr>
          <w:p w14:paraId="4E1C6401"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DZ or Non-Twin</w:t>
            </w:r>
          </w:p>
        </w:tc>
        <w:tc>
          <w:tcPr>
            <w:tcW w:w="1620" w:type="dxa"/>
            <w:tcBorders>
              <w:top w:val="nil"/>
              <w:left w:val="nil"/>
              <w:bottom w:val="single" w:sz="4" w:space="0" w:color="auto"/>
              <w:right w:val="nil"/>
            </w:tcBorders>
            <w:shd w:val="clear" w:color="auto" w:fill="auto"/>
            <w:noWrap/>
            <w:vAlign w:val="bottom"/>
            <w:hideMark/>
          </w:tcPr>
          <w:p w14:paraId="32355A59"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MZ</w:t>
            </w:r>
          </w:p>
        </w:tc>
        <w:tc>
          <w:tcPr>
            <w:tcW w:w="990" w:type="dxa"/>
            <w:tcBorders>
              <w:top w:val="nil"/>
              <w:left w:val="nil"/>
              <w:bottom w:val="single" w:sz="4" w:space="0" w:color="auto"/>
              <w:right w:val="nil"/>
            </w:tcBorders>
            <w:shd w:val="clear" w:color="auto" w:fill="auto"/>
            <w:noWrap/>
            <w:vAlign w:val="bottom"/>
            <w:hideMark/>
          </w:tcPr>
          <w:p w14:paraId="43D7D5F5"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Total N</w:t>
            </w:r>
          </w:p>
        </w:tc>
      </w:tr>
      <w:tr w:rsidR="004220E5" w:rsidRPr="004220E5" w14:paraId="6651855D"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604E313E" w14:textId="77777777" w:rsidR="004220E5" w:rsidRPr="004220E5" w:rsidRDefault="004220E5" w:rsidP="004220E5">
            <w:pPr>
              <w:spacing w:after="0" w:line="240" w:lineRule="auto"/>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Concordant, High Cannabis Exposure</w:t>
            </w:r>
          </w:p>
        </w:tc>
        <w:tc>
          <w:tcPr>
            <w:tcW w:w="1800" w:type="dxa"/>
            <w:tcBorders>
              <w:top w:val="nil"/>
              <w:left w:val="nil"/>
              <w:bottom w:val="single" w:sz="4" w:space="0" w:color="auto"/>
              <w:right w:val="nil"/>
            </w:tcBorders>
            <w:shd w:val="clear" w:color="auto" w:fill="auto"/>
            <w:noWrap/>
            <w:vAlign w:val="bottom"/>
            <w:hideMark/>
          </w:tcPr>
          <w:p w14:paraId="32C3F569"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30 (73.2)</w:t>
            </w:r>
          </w:p>
        </w:tc>
        <w:tc>
          <w:tcPr>
            <w:tcW w:w="1620" w:type="dxa"/>
            <w:tcBorders>
              <w:top w:val="nil"/>
              <w:left w:val="nil"/>
              <w:bottom w:val="single" w:sz="4" w:space="0" w:color="auto"/>
              <w:right w:val="nil"/>
            </w:tcBorders>
            <w:shd w:val="clear" w:color="auto" w:fill="auto"/>
            <w:noWrap/>
            <w:vAlign w:val="bottom"/>
            <w:hideMark/>
          </w:tcPr>
          <w:p w14:paraId="22AA877A"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11 (26.8)</w:t>
            </w:r>
          </w:p>
        </w:tc>
        <w:tc>
          <w:tcPr>
            <w:tcW w:w="990" w:type="dxa"/>
            <w:tcBorders>
              <w:top w:val="nil"/>
              <w:left w:val="nil"/>
              <w:bottom w:val="single" w:sz="4" w:space="0" w:color="auto"/>
              <w:right w:val="nil"/>
            </w:tcBorders>
            <w:shd w:val="clear" w:color="auto" w:fill="auto"/>
            <w:noWrap/>
            <w:vAlign w:val="bottom"/>
            <w:hideMark/>
          </w:tcPr>
          <w:p w14:paraId="031C0DFE"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41</w:t>
            </w:r>
          </w:p>
        </w:tc>
      </w:tr>
      <w:tr w:rsidR="004220E5" w:rsidRPr="004220E5" w14:paraId="735DAF3E"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6076348D"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F</w:t>
            </w:r>
          </w:p>
        </w:tc>
        <w:tc>
          <w:tcPr>
            <w:tcW w:w="1800" w:type="dxa"/>
            <w:tcBorders>
              <w:top w:val="nil"/>
              <w:left w:val="nil"/>
              <w:bottom w:val="single" w:sz="4" w:space="0" w:color="auto"/>
              <w:right w:val="nil"/>
            </w:tcBorders>
            <w:shd w:val="clear" w:color="auto" w:fill="auto"/>
            <w:noWrap/>
            <w:vAlign w:val="bottom"/>
            <w:hideMark/>
          </w:tcPr>
          <w:p w14:paraId="31CAE80E"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7 (70.0)</w:t>
            </w:r>
          </w:p>
        </w:tc>
        <w:tc>
          <w:tcPr>
            <w:tcW w:w="1620" w:type="dxa"/>
            <w:tcBorders>
              <w:top w:val="nil"/>
              <w:left w:val="nil"/>
              <w:bottom w:val="single" w:sz="4" w:space="0" w:color="auto"/>
              <w:right w:val="nil"/>
            </w:tcBorders>
            <w:shd w:val="clear" w:color="auto" w:fill="auto"/>
            <w:noWrap/>
            <w:vAlign w:val="bottom"/>
            <w:hideMark/>
          </w:tcPr>
          <w:p w14:paraId="50352AF7"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3 (30.0)</w:t>
            </w:r>
          </w:p>
        </w:tc>
        <w:tc>
          <w:tcPr>
            <w:tcW w:w="990" w:type="dxa"/>
            <w:tcBorders>
              <w:top w:val="nil"/>
              <w:left w:val="nil"/>
              <w:bottom w:val="single" w:sz="4" w:space="0" w:color="auto"/>
              <w:right w:val="nil"/>
            </w:tcBorders>
            <w:shd w:val="clear" w:color="auto" w:fill="auto"/>
            <w:noWrap/>
            <w:vAlign w:val="bottom"/>
            <w:hideMark/>
          </w:tcPr>
          <w:p w14:paraId="22BE2351"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10</w:t>
            </w:r>
          </w:p>
        </w:tc>
      </w:tr>
      <w:tr w:rsidR="004220E5" w:rsidRPr="004220E5" w14:paraId="4484FF52"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6C18CF0A"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M</w:t>
            </w:r>
          </w:p>
        </w:tc>
        <w:tc>
          <w:tcPr>
            <w:tcW w:w="1800" w:type="dxa"/>
            <w:tcBorders>
              <w:top w:val="nil"/>
              <w:left w:val="nil"/>
              <w:bottom w:val="single" w:sz="4" w:space="0" w:color="auto"/>
              <w:right w:val="nil"/>
            </w:tcBorders>
            <w:shd w:val="clear" w:color="auto" w:fill="auto"/>
            <w:noWrap/>
            <w:vAlign w:val="bottom"/>
            <w:hideMark/>
          </w:tcPr>
          <w:p w14:paraId="0ECB93AB"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18 (69.2)</w:t>
            </w:r>
          </w:p>
        </w:tc>
        <w:tc>
          <w:tcPr>
            <w:tcW w:w="1620" w:type="dxa"/>
            <w:tcBorders>
              <w:top w:val="nil"/>
              <w:left w:val="nil"/>
              <w:bottom w:val="single" w:sz="4" w:space="0" w:color="auto"/>
              <w:right w:val="nil"/>
            </w:tcBorders>
            <w:shd w:val="clear" w:color="auto" w:fill="auto"/>
            <w:noWrap/>
            <w:vAlign w:val="bottom"/>
            <w:hideMark/>
          </w:tcPr>
          <w:p w14:paraId="32ECC34A"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8 (30.8)</w:t>
            </w:r>
          </w:p>
        </w:tc>
        <w:tc>
          <w:tcPr>
            <w:tcW w:w="990" w:type="dxa"/>
            <w:tcBorders>
              <w:top w:val="nil"/>
              <w:left w:val="nil"/>
              <w:bottom w:val="single" w:sz="4" w:space="0" w:color="auto"/>
              <w:right w:val="nil"/>
            </w:tcBorders>
            <w:shd w:val="clear" w:color="auto" w:fill="auto"/>
            <w:noWrap/>
            <w:vAlign w:val="bottom"/>
            <w:hideMark/>
          </w:tcPr>
          <w:p w14:paraId="400CC241"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26</w:t>
            </w:r>
          </w:p>
        </w:tc>
      </w:tr>
      <w:tr w:rsidR="004220E5" w:rsidRPr="004220E5" w14:paraId="6590CDC7"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3D43C01C"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Opposite Sex</w:t>
            </w:r>
          </w:p>
        </w:tc>
        <w:tc>
          <w:tcPr>
            <w:tcW w:w="1800" w:type="dxa"/>
            <w:tcBorders>
              <w:top w:val="nil"/>
              <w:left w:val="nil"/>
              <w:bottom w:val="single" w:sz="4" w:space="0" w:color="auto"/>
              <w:right w:val="nil"/>
            </w:tcBorders>
            <w:shd w:val="clear" w:color="auto" w:fill="auto"/>
            <w:noWrap/>
            <w:vAlign w:val="bottom"/>
            <w:hideMark/>
          </w:tcPr>
          <w:p w14:paraId="6B2DCB69"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5 (100.0)</w:t>
            </w:r>
          </w:p>
        </w:tc>
        <w:tc>
          <w:tcPr>
            <w:tcW w:w="1620" w:type="dxa"/>
            <w:tcBorders>
              <w:top w:val="nil"/>
              <w:left w:val="nil"/>
              <w:bottom w:val="single" w:sz="4" w:space="0" w:color="auto"/>
              <w:right w:val="nil"/>
            </w:tcBorders>
            <w:shd w:val="clear" w:color="auto" w:fill="auto"/>
            <w:noWrap/>
            <w:vAlign w:val="bottom"/>
            <w:hideMark/>
          </w:tcPr>
          <w:p w14:paraId="56E161CC"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0 (0.0)</w:t>
            </w:r>
          </w:p>
        </w:tc>
        <w:tc>
          <w:tcPr>
            <w:tcW w:w="990" w:type="dxa"/>
            <w:tcBorders>
              <w:top w:val="nil"/>
              <w:left w:val="nil"/>
              <w:bottom w:val="single" w:sz="4" w:space="0" w:color="auto"/>
              <w:right w:val="nil"/>
            </w:tcBorders>
            <w:shd w:val="clear" w:color="auto" w:fill="auto"/>
            <w:noWrap/>
            <w:vAlign w:val="bottom"/>
            <w:hideMark/>
          </w:tcPr>
          <w:p w14:paraId="1F71A342"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5</w:t>
            </w:r>
          </w:p>
        </w:tc>
      </w:tr>
      <w:tr w:rsidR="004220E5" w:rsidRPr="004220E5" w14:paraId="7747EC62"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7F332AF9"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 </w:t>
            </w:r>
          </w:p>
        </w:tc>
        <w:tc>
          <w:tcPr>
            <w:tcW w:w="1800" w:type="dxa"/>
            <w:tcBorders>
              <w:top w:val="nil"/>
              <w:left w:val="nil"/>
              <w:bottom w:val="single" w:sz="4" w:space="0" w:color="auto"/>
              <w:right w:val="nil"/>
            </w:tcBorders>
            <w:shd w:val="clear" w:color="auto" w:fill="auto"/>
            <w:noWrap/>
            <w:vAlign w:val="bottom"/>
            <w:hideMark/>
          </w:tcPr>
          <w:p w14:paraId="690490EF" w14:textId="7A8F2186"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1620" w:type="dxa"/>
            <w:tcBorders>
              <w:top w:val="nil"/>
              <w:left w:val="nil"/>
              <w:bottom w:val="single" w:sz="4" w:space="0" w:color="auto"/>
              <w:right w:val="nil"/>
            </w:tcBorders>
            <w:shd w:val="clear" w:color="auto" w:fill="auto"/>
            <w:noWrap/>
            <w:vAlign w:val="bottom"/>
            <w:hideMark/>
          </w:tcPr>
          <w:p w14:paraId="6F39120A" w14:textId="60061374"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990" w:type="dxa"/>
            <w:tcBorders>
              <w:top w:val="nil"/>
              <w:left w:val="nil"/>
              <w:bottom w:val="single" w:sz="4" w:space="0" w:color="auto"/>
              <w:right w:val="nil"/>
            </w:tcBorders>
            <w:shd w:val="clear" w:color="auto" w:fill="auto"/>
            <w:noWrap/>
            <w:vAlign w:val="bottom"/>
            <w:hideMark/>
          </w:tcPr>
          <w:p w14:paraId="7B75F514" w14:textId="64253A0E" w:rsidR="004220E5" w:rsidRPr="004220E5" w:rsidRDefault="004220E5" w:rsidP="004220E5">
            <w:pPr>
              <w:spacing w:after="0" w:line="240" w:lineRule="auto"/>
              <w:jc w:val="center"/>
              <w:rPr>
                <w:rFonts w:ascii="Times New Roman" w:eastAsia="Times New Roman" w:hAnsi="Times New Roman" w:cs="Times New Roman"/>
                <w:b/>
                <w:bCs/>
                <w:color w:val="000000"/>
              </w:rPr>
            </w:pPr>
          </w:p>
        </w:tc>
      </w:tr>
      <w:tr w:rsidR="004220E5" w:rsidRPr="004220E5" w14:paraId="33CBA0BF"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1D447001" w14:textId="77777777" w:rsidR="004220E5" w:rsidRPr="004220E5" w:rsidRDefault="004220E5" w:rsidP="004220E5">
            <w:pPr>
              <w:spacing w:after="0" w:line="240" w:lineRule="auto"/>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Concordant, Low Cannabis Exposure</w:t>
            </w:r>
          </w:p>
        </w:tc>
        <w:tc>
          <w:tcPr>
            <w:tcW w:w="1800" w:type="dxa"/>
            <w:tcBorders>
              <w:top w:val="nil"/>
              <w:left w:val="nil"/>
              <w:bottom w:val="single" w:sz="4" w:space="0" w:color="auto"/>
              <w:right w:val="nil"/>
            </w:tcBorders>
            <w:shd w:val="clear" w:color="auto" w:fill="auto"/>
            <w:noWrap/>
            <w:vAlign w:val="bottom"/>
            <w:hideMark/>
          </w:tcPr>
          <w:p w14:paraId="65898857"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536 (82.8)</w:t>
            </w:r>
          </w:p>
        </w:tc>
        <w:tc>
          <w:tcPr>
            <w:tcW w:w="1620" w:type="dxa"/>
            <w:tcBorders>
              <w:top w:val="nil"/>
              <w:left w:val="nil"/>
              <w:bottom w:val="single" w:sz="4" w:space="0" w:color="auto"/>
              <w:right w:val="nil"/>
            </w:tcBorders>
            <w:shd w:val="clear" w:color="auto" w:fill="auto"/>
            <w:noWrap/>
            <w:vAlign w:val="bottom"/>
            <w:hideMark/>
          </w:tcPr>
          <w:p w14:paraId="6840515D"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111 (17.2)</w:t>
            </w:r>
          </w:p>
        </w:tc>
        <w:tc>
          <w:tcPr>
            <w:tcW w:w="990" w:type="dxa"/>
            <w:tcBorders>
              <w:top w:val="nil"/>
              <w:left w:val="nil"/>
              <w:bottom w:val="single" w:sz="4" w:space="0" w:color="auto"/>
              <w:right w:val="nil"/>
            </w:tcBorders>
            <w:shd w:val="clear" w:color="auto" w:fill="auto"/>
            <w:noWrap/>
            <w:vAlign w:val="bottom"/>
            <w:hideMark/>
          </w:tcPr>
          <w:p w14:paraId="067E3BDF"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647</w:t>
            </w:r>
          </w:p>
        </w:tc>
      </w:tr>
      <w:tr w:rsidR="004220E5" w:rsidRPr="004220E5" w14:paraId="6357C88D"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25E284D9"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F</w:t>
            </w:r>
          </w:p>
        </w:tc>
        <w:tc>
          <w:tcPr>
            <w:tcW w:w="1800" w:type="dxa"/>
            <w:tcBorders>
              <w:top w:val="nil"/>
              <w:left w:val="nil"/>
              <w:bottom w:val="single" w:sz="4" w:space="0" w:color="auto"/>
              <w:right w:val="nil"/>
            </w:tcBorders>
            <w:shd w:val="clear" w:color="auto" w:fill="auto"/>
            <w:noWrap/>
            <w:vAlign w:val="bottom"/>
            <w:hideMark/>
          </w:tcPr>
          <w:p w14:paraId="7E0F3AEA"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187 (71.1)</w:t>
            </w:r>
          </w:p>
        </w:tc>
        <w:tc>
          <w:tcPr>
            <w:tcW w:w="1620" w:type="dxa"/>
            <w:tcBorders>
              <w:top w:val="nil"/>
              <w:left w:val="nil"/>
              <w:bottom w:val="single" w:sz="4" w:space="0" w:color="auto"/>
              <w:right w:val="nil"/>
            </w:tcBorders>
            <w:shd w:val="clear" w:color="auto" w:fill="auto"/>
            <w:noWrap/>
            <w:vAlign w:val="bottom"/>
            <w:hideMark/>
          </w:tcPr>
          <w:p w14:paraId="29542B27"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76 (28.9)</w:t>
            </w:r>
          </w:p>
        </w:tc>
        <w:tc>
          <w:tcPr>
            <w:tcW w:w="990" w:type="dxa"/>
            <w:tcBorders>
              <w:top w:val="nil"/>
              <w:left w:val="nil"/>
              <w:bottom w:val="single" w:sz="4" w:space="0" w:color="auto"/>
              <w:right w:val="nil"/>
            </w:tcBorders>
            <w:shd w:val="clear" w:color="auto" w:fill="auto"/>
            <w:noWrap/>
            <w:vAlign w:val="bottom"/>
            <w:hideMark/>
          </w:tcPr>
          <w:p w14:paraId="1D0852A8"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263</w:t>
            </w:r>
          </w:p>
        </w:tc>
      </w:tr>
      <w:tr w:rsidR="004220E5" w:rsidRPr="004220E5" w14:paraId="054714D8"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39B5BB0A"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M</w:t>
            </w:r>
          </w:p>
        </w:tc>
        <w:tc>
          <w:tcPr>
            <w:tcW w:w="1800" w:type="dxa"/>
            <w:tcBorders>
              <w:top w:val="nil"/>
              <w:left w:val="nil"/>
              <w:bottom w:val="single" w:sz="4" w:space="0" w:color="auto"/>
              <w:right w:val="nil"/>
            </w:tcBorders>
            <w:shd w:val="clear" w:color="auto" w:fill="auto"/>
            <w:noWrap/>
            <w:vAlign w:val="bottom"/>
            <w:hideMark/>
          </w:tcPr>
          <w:p w14:paraId="0BD5451B"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129 (78.7)</w:t>
            </w:r>
          </w:p>
        </w:tc>
        <w:tc>
          <w:tcPr>
            <w:tcW w:w="1620" w:type="dxa"/>
            <w:tcBorders>
              <w:top w:val="nil"/>
              <w:left w:val="nil"/>
              <w:bottom w:val="single" w:sz="4" w:space="0" w:color="auto"/>
              <w:right w:val="nil"/>
            </w:tcBorders>
            <w:shd w:val="clear" w:color="auto" w:fill="auto"/>
            <w:noWrap/>
            <w:vAlign w:val="bottom"/>
            <w:hideMark/>
          </w:tcPr>
          <w:p w14:paraId="0FC8C174"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35 (21.3)</w:t>
            </w:r>
          </w:p>
        </w:tc>
        <w:tc>
          <w:tcPr>
            <w:tcW w:w="990" w:type="dxa"/>
            <w:tcBorders>
              <w:top w:val="nil"/>
              <w:left w:val="nil"/>
              <w:bottom w:val="single" w:sz="4" w:space="0" w:color="auto"/>
              <w:right w:val="nil"/>
            </w:tcBorders>
            <w:shd w:val="clear" w:color="auto" w:fill="auto"/>
            <w:noWrap/>
            <w:vAlign w:val="bottom"/>
            <w:hideMark/>
          </w:tcPr>
          <w:p w14:paraId="23B22BCD"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164</w:t>
            </w:r>
          </w:p>
        </w:tc>
      </w:tr>
      <w:tr w:rsidR="004220E5" w:rsidRPr="004220E5" w14:paraId="65100B9E"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12F74CE2"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Opposite Sex</w:t>
            </w:r>
          </w:p>
        </w:tc>
        <w:tc>
          <w:tcPr>
            <w:tcW w:w="1800" w:type="dxa"/>
            <w:tcBorders>
              <w:top w:val="nil"/>
              <w:left w:val="nil"/>
              <w:bottom w:val="single" w:sz="4" w:space="0" w:color="auto"/>
              <w:right w:val="nil"/>
            </w:tcBorders>
            <w:shd w:val="clear" w:color="auto" w:fill="auto"/>
            <w:noWrap/>
            <w:vAlign w:val="bottom"/>
            <w:hideMark/>
          </w:tcPr>
          <w:p w14:paraId="344D263C"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220 (100.0)</w:t>
            </w:r>
          </w:p>
        </w:tc>
        <w:tc>
          <w:tcPr>
            <w:tcW w:w="1620" w:type="dxa"/>
            <w:tcBorders>
              <w:top w:val="nil"/>
              <w:left w:val="nil"/>
              <w:bottom w:val="single" w:sz="4" w:space="0" w:color="auto"/>
              <w:right w:val="nil"/>
            </w:tcBorders>
            <w:shd w:val="clear" w:color="auto" w:fill="auto"/>
            <w:noWrap/>
            <w:vAlign w:val="bottom"/>
            <w:hideMark/>
          </w:tcPr>
          <w:p w14:paraId="0EC0A51D"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0 (0.0)</w:t>
            </w:r>
          </w:p>
        </w:tc>
        <w:tc>
          <w:tcPr>
            <w:tcW w:w="990" w:type="dxa"/>
            <w:tcBorders>
              <w:top w:val="nil"/>
              <w:left w:val="nil"/>
              <w:bottom w:val="single" w:sz="4" w:space="0" w:color="auto"/>
              <w:right w:val="nil"/>
            </w:tcBorders>
            <w:shd w:val="clear" w:color="auto" w:fill="auto"/>
            <w:noWrap/>
            <w:vAlign w:val="bottom"/>
            <w:hideMark/>
          </w:tcPr>
          <w:p w14:paraId="0F8B10CC"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220</w:t>
            </w:r>
          </w:p>
        </w:tc>
      </w:tr>
      <w:tr w:rsidR="004220E5" w:rsidRPr="004220E5" w14:paraId="61ED5677"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339A9E5E"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 </w:t>
            </w:r>
          </w:p>
        </w:tc>
        <w:tc>
          <w:tcPr>
            <w:tcW w:w="1800" w:type="dxa"/>
            <w:tcBorders>
              <w:top w:val="nil"/>
              <w:left w:val="nil"/>
              <w:bottom w:val="single" w:sz="4" w:space="0" w:color="auto"/>
              <w:right w:val="nil"/>
            </w:tcBorders>
            <w:shd w:val="clear" w:color="auto" w:fill="auto"/>
            <w:noWrap/>
            <w:vAlign w:val="bottom"/>
            <w:hideMark/>
          </w:tcPr>
          <w:p w14:paraId="4DBA3A30" w14:textId="03312107"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1620" w:type="dxa"/>
            <w:tcBorders>
              <w:top w:val="nil"/>
              <w:left w:val="nil"/>
              <w:bottom w:val="single" w:sz="4" w:space="0" w:color="auto"/>
              <w:right w:val="nil"/>
            </w:tcBorders>
            <w:shd w:val="clear" w:color="auto" w:fill="auto"/>
            <w:noWrap/>
            <w:vAlign w:val="bottom"/>
            <w:hideMark/>
          </w:tcPr>
          <w:p w14:paraId="7C572C8F" w14:textId="0ECCB947"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990" w:type="dxa"/>
            <w:tcBorders>
              <w:top w:val="nil"/>
              <w:left w:val="nil"/>
              <w:bottom w:val="single" w:sz="4" w:space="0" w:color="auto"/>
              <w:right w:val="nil"/>
            </w:tcBorders>
            <w:shd w:val="clear" w:color="auto" w:fill="auto"/>
            <w:noWrap/>
            <w:vAlign w:val="bottom"/>
            <w:hideMark/>
          </w:tcPr>
          <w:p w14:paraId="37556415" w14:textId="5EEC80F5" w:rsidR="004220E5" w:rsidRPr="004220E5" w:rsidRDefault="004220E5" w:rsidP="004220E5">
            <w:pPr>
              <w:spacing w:after="0" w:line="240" w:lineRule="auto"/>
              <w:jc w:val="center"/>
              <w:rPr>
                <w:rFonts w:ascii="Times New Roman" w:eastAsia="Times New Roman" w:hAnsi="Times New Roman" w:cs="Times New Roman"/>
                <w:b/>
                <w:bCs/>
                <w:color w:val="000000"/>
              </w:rPr>
            </w:pPr>
          </w:p>
        </w:tc>
      </w:tr>
      <w:tr w:rsidR="004220E5" w:rsidRPr="004220E5" w14:paraId="52E8CF5B"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691AEF17" w14:textId="77777777" w:rsidR="004220E5" w:rsidRPr="004220E5" w:rsidRDefault="004220E5" w:rsidP="004220E5">
            <w:pPr>
              <w:spacing w:after="0" w:line="240" w:lineRule="auto"/>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Discordant for Cannabis Exposure</w:t>
            </w:r>
          </w:p>
        </w:tc>
        <w:tc>
          <w:tcPr>
            <w:tcW w:w="1800" w:type="dxa"/>
            <w:tcBorders>
              <w:top w:val="nil"/>
              <w:left w:val="nil"/>
              <w:bottom w:val="single" w:sz="4" w:space="0" w:color="auto"/>
              <w:right w:val="nil"/>
            </w:tcBorders>
            <w:shd w:val="clear" w:color="auto" w:fill="auto"/>
            <w:noWrap/>
            <w:vAlign w:val="bottom"/>
            <w:hideMark/>
          </w:tcPr>
          <w:p w14:paraId="495339B8"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119 (90.2)</w:t>
            </w:r>
          </w:p>
        </w:tc>
        <w:tc>
          <w:tcPr>
            <w:tcW w:w="1620" w:type="dxa"/>
            <w:tcBorders>
              <w:top w:val="nil"/>
              <w:left w:val="nil"/>
              <w:bottom w:val="single" w:sz="4" w:space="0" w:color="auto"/>
              <w:right w:val="nil"/>
            </w:tcBorders>
            <w:shd w:val="clear" w:color="auto" w:fill="auto"/>
            <w:noWrap/>
            <w:vAlign w:val="bottom"/>
            <w:hideMark/>
          </w:tcPr>
          <w:p w14:paraId="18DA250F"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13 (9.8)</w:t>
            </w:r>
          </w:p>
        </w:tc>
        <w:tc>
          <w:tcPr>
            <w:tcW w:w="990" w:type="dxa"/>
            <w:tcBorders>
              <w:top w:val="nil"/>
              <w:left w:val="nil"/>
              <w:bottom w:val="single" w:sz="4" w:space="0" w:color="auto"/>
              <w:right w:val="nil"/>
            </w:tcBorders>
            <w:shd w:val="clear" w:color="auto" w:fill="auto"/>
            <w:noWrap/>
            <w:vAlign w:val="bottom"/>
            <w:hideMark/>
          </w:tcPr>
          <w:p w14:paraId="03CC626E"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132</w:t>
            </w:r>
          </w:p>
        </w:tc>
      </w:tr>
      <w:tr w:rsidR="004220E5" w:rsidRPr="004220E5" w14:paraId="447B574D"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4867B524"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F</w:t>
            </w:r>
          </w:p>
        </w:tc>
        <w:tc>
          <w:tcPr>
            <w:tcW w:w="1800" w:type="dxa"/>
            <w:tcBorders>
              <w:top w:val="nil"/>
              <w:left w:val="nil"/>
              <w:bottom w:val="single" w:sz="4" w:space="0" w:color="auto"/>
              <w:right w:val="nil"/>
            </w:tcBorders>
            <w:shd w:val="clear" w:color="auto" w:fill="auto"/>
            <w:noWrap/>
            <w:vAlign w:val="bottom"/>
            <w:hideMark/>
          </w:tcPr>
          <w:p w14:paraId="4D9D132C"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27 (87.1)</w:t>
            </w:r>
          </w:p>
        </w:tc>
        <w:tc>
          <w:tcPr>
            <w:tcW w:w="1620" w:type="dxa"/>
            <w:tcBorders>
              <w:top w:val="nil"/>
              <w:left w:val="nil"/>
              <w:bottom w:val="single" w:sz="4" w:space="0" w:color="auto"/>
              <w:right w:val="nil"/>
            </w:tcBorders>
            <w:shd w:val="clear" w:color="auto" w:fill="auto"/>
            <w:noWrap/>
            <w:vAlign w:val="bottom"/>
            <w:hideMark/>
          </w:tcPr>
          <w:p w14:paraId="1DF56ACF"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4 (12.9)</w:t>
            </w:r>
          </w:p>
        </w:tc>
        <w:tc>
          <w:tcPr>
            <w:tcW w:w="990" w:type="dxa"/>
            <w:tcBorders>
              <w:top w:val="nil"/>
              <w:left w:val="nil"/>
              <w:bottom w:val="single" w:sz="4" w:space="0" w:color="auto"/>
              <w:right w:val="nil"/>
            </w:tcBorders>
            <w:shd w:val="clear" w:color="auto" w:fill="auto"/>
            <w:noWrap/>
            <w:vAlign w:val="bottom"/>
            <w:hideMark/>
          </w:tcPr>
          <w:p w14:paraId="6B0F4949"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31</w:t>
            </w:r>
          </w:p>
        </w:tc>
      </w:tr>
      <w:tr w:rsidR="004220E5" w:rsidRPr="004220E5" w14:paraId="1F4C88A1"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4AD10076"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Both M</w:t>
            </w:r>
          </w:p>
        </w:tc>
        <w:tc>
          <w:tcPr>
            <w:tcW w:w="1800" w:type="dxa"/>
            <w:tcBorders>
              <w:top w:val="nil"/>
              <w:left w:val="nil"/>
              <w:bottom w:val="single" w:sz="4" w:space="0" w:color="auto"/>
              <w:right w:val="nil"/>
            </w:tcBorders>
            <w:shd w:val="clear" w:color="auto" w:fill="auto"/>
            <w:noWrap/>
            <w:vAlign w:val="bottom"/>
            <w:hideMark/>
          </w:tcPr>
          <w:p w14:paraId="4F0B8063"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35 (79.5)</w:t>
            </w:r>
          </w:p>
        </w:tc>
        <w:tc>
          <w:tcPr>
            <w:tcW w:w="1620" w:type="dxa"/>
            <w:tcBorders>
              <w:top w:val="nil"/>
              <w:left w:val="nil"/>
              <w:bottom w:val="single" w:sz="4" w:space="0" w:color="auto"/>
              <w:right w:val="nil"/>
            </w:tcBorders>
            <w:shd w:val="clear" w:color="auto" w:fill="auto"/>
            <w:noWrap/>
            <w:vAlign w:val="bottom"/>
            <w:hideMark/>
          </w:tcPr>
          <w:p w14:paraId="074947C9"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9 (20.5)</w:t>
            </w:r>
          </w:p>
        </w:tc>
        <w:tc>
          <w:tcPr>
            <w:tcW w:w="990" w:type="dxa"/>
            <w:tcBorders>
              <w:top w:val="nil"/>
              <w:left w:val="nil"/>
              <w:bottom w:val="single" w:sz="4" w:space="0" w:color="auto"/>
              <w:right w:val="nil"/>
            </w:tcBorders>
            <w:shd w:val="clear" w:color="auto" w:fill="auto"/>
            <w:noWrap/>
            <w:vAlign w:val="bottom"/>
            <w:hideMark/>
          </w:tcPr>
          <w:p w14:paraId="21539A20"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44</w:t>
            </w:r>
          </w:p>
        </w:tc>
      </w:tr>
      <w:tr w:rsidR="004220E5" w:rsidRPr="004220E5" w14:paraId="414F9270"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56225B82"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Opposite Sex</w:t>
            </w:r>
          </w:p>
        </w:tc>
        <w:tc>
          <w:tcPr>
            <w:tcW w:w="1800" w:type="dxa"/>
            <w:tcBorders>
              <w:top w:val="nil"/>
              <w:left w:val="nil"/>
              <w:bottom w:val="single" w:sz="4" w:space="0" w:color="auto"/>
              <w:right w:val="nil"/>
            </w:tcBorders>
            <w:shd w:val="clear" w:color="auto" w:fill="auto"/>
            <w:noWrap/>
            <w:vAlign w:val="bottom"/>
            <w:hideMark/>
          </w:tcPr>
          <w:p w14:paraId="7F1D6DF4"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57 (100.0)</w:t>
            </w:r>
          </w:p>
        </w:tc>
        <w:tc>
          <w:tcPr>
            <w:tcW w:w="1620" w:type="dxa"/>
            <w:tcBorders>
              <w:top w:val="nil"/>
              <w:left w:val="nil"/>
              <w:bottom w:val="single" w:sz="4" w:space="0" w:color="auto"/>
              <w:right w:val="nil"/>
            </w:tcBorders>
            <w:shd w:val="clear" w:color="auto" w:fill="auto"/>
            <w:noWrap/>
            <w:vAlign w:val="bottom"/>
            <w:hideMark/>
          </w:tcPr>
          <w:p w14:paraId="271020C7" w14:textId="77777777" w:rsidR="004220E5" w:rsidRPr="004220E5" w:rsidRDefault="004220E5" w:rsidP="004220E5">
            <w:pPr>
              <w:spacing w:after="0" w:line="240" w:lineRule="auto"/>
              <w:jc w:val="center"/>
              <w:rPr>
                <w:rFonts w:ascii="Times New Roman" w:eastAsia="Times New Roman" w:hAnsi="Times New Roman" w:cs="Times New Roman"/>
                <w:color w:val="000000"/>
              </w:rPr>
            </w:pPr>
            <w:r w:rsidRPr="004220E5">
              <w:rPr>
                <w:rFonts w:ascii="Times New Roman" w:eastAsia="Times New Roman" w:hAnsi="Times New Roman" w:cs="Times New Roman"/>
                <w:color w:val="000000"/>
              </w:rPr>
              <w:t>0 (0.0)</w:t>
            </w:r>
          </w:p>
        </w:tc>
        <w:tc>
          <w:tcPr>
            <w:tcW w:w="990" w:type="dxa"/>
            <w:tcBorders>
              <w:top w:val="nil"/>
              <w:left w:val="nil"/>
              <w:bottom w:val="single" w:sz="4" w:space="0" w:color="auto"/>
              <w:right w:val="nil"/>
            </w:tcBorders>
            <w:shd w:val="clear" w:color="auto" w:fill="auto"/>
            <w:noWrap/>
            <w:vAlign w:val="bottom"/>
            <w:hideMark/>
          </w:tcPr>
          <w:p w14:paraId="30C644F1"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57</w:t>
            </w:r>
          </w:p>
        </w:tc>
      </w:tr>
      <w:tr w:rsidR="004220E5" w:rsidRPr="004220E5" w14:paraId="0AEE08BE"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24B1B811" w14:textId="77777777" w:rsidR="004220E5" w:rsidRPr="004220E5" w:rsidRDefault="004220E5" w:rsidP="004220E5">
            <w:pPr>
              <w:spacing w:after="0" w:line="240" w:lineRule="auto"/>
              <w:rPr>
                <w:rFonts w:ascii="Times New Roman" w:eastAsia="Times New Roman" w:hAnsi="Times New Roman" w:cs="Times New Roman"/>
                <w:color w:val="000000"/>
              </w:rPr>
            </w:pPr>
            <w:r w:rsidRPr="004220E5">
              <w:rPr>
                <w:rFonts w:ascii="Times New Roman" w:eastAsia="Times New Roman" w:hAnsi="Times New Roman" w:cs="Times New Roman"/>
                <w:color w:val="000000"/>
              </w:rPr>
              <w:t> </w:t>
            </w:r>
          </w:p>
        </w:tc>
        <w:tc>
          <w:tcPr>
            <w:tcW w:w="1800" w:type="dxa"/>
            <w:tcBorders>
              <w:top w:val="nil"/>
              <w:left w:val="nil"/>
              <w:bottom w:val="single" w:sz="4" w:space="0" w:color="auto"/>
              <w:right w:val="nil"/>
            </w:tcBorders>
            <w:shd w:val="clear" w:color="auto" w:fill="auto"/>
            <w:noWrap/>
            <w:vAlign w:val="bottom"/>
            <w:hideMark/>
          </w:tcPr>
          <w:p w14:paraId="50EF34CC" w14:textId="321C0F45"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1620" w:type="dxa"/>
            <w:tcBorders>
              <w:top w:val="nil"/>
              <w:left w:val="nil"/>
              <w:bottom w:val="single" w:sz="4" w:space="0" w:color="auto"/>
              <w:right w:val="nil"/>
            </w:tcBorders>
            <w:shd w:val="clear" w:color="auto" w:fill="auto"/>
            <w:noWrap/>
            <w:vAlign w:val="bottom"/>
            <w:hideMark/>
          </w:tcPr>
          <w:p w14:paraId="03C96109" w14:textId="7982A2DA" w:rsidR="004220E5" w:rsidRPr="004220E5" w:rsidRDefault="004220E5" w:rsidP="004220E5">
            <w:pPr>
              <w:spacing w:after="0" w:line="240" w:lineRule="auto"/>
              <w:jc w:val="center"/>
              <w:rPr>
                <w:rFonts w:ascii="Times New Roman" w:eastAsia="Times New Roman" w:hAnsi="Times New Roman" w:cs="Times New Roman"/>
                <w:color w:val="000000"/>
              </w:rPr>
            </w:pPr>
          </w:p>
        </w:tc>
        <w:tc>
          <w:tcPr>
            <w:tcW w:w="990" w:type="dxa"/>
            <w:tcBorders>
              <w:top w:val="nil"/>
              <w:left w:val="nil"/>
              <w:bottom w:val="single" w:sz="4" w:space="0" w:color="auto"/>
              <w:right w:val="nil"/>
            </w:tcBorders>
            <w:shd w:val="clear" w:color="auto" w:fill="auto"/>
            <w:noWrap/>
            <w:vAlign w:val="bottom"/>
            <w:hideMark/>
          </w:tcPr>
          <w:p w14:paraId="5F9C5176" w14:textId="23AE8EC4" w:rsidR="004220E5" w:rsidRPr="004220E5" w:rsidRDefault="004220E5" w:rsidP="004220E5">
            <w:pPr>
              <w:spacing w:after="0" w:line="240" w:lineRule="auto"/>
              <w:jc w:val="center"/>
              <w:rPr>
                <w:rFonts w:ascii="Times New Roman" w:eastAsia="Times New Roman" w:hAnsi="Times New Roman" w:cs="Times New Roman"/>
                <w:b/>
                <w:bCs/>
                <w:color w:val="000000"/>
              </w:rPr>
            </w:pPr>
          </w:p>
        </w:tc>
      </w:tr>
      <w:tr w:rsidR="004220E5" w:rsidRPr="004220E5" w14:paraId="0795BBD0" w14:textId="77777777" w:rsidTr="00565579">
        <w:trPr>
          <w:trHeight w:val="300"/>
        </w:trPr>
        <w:tc>
          <w:tcPr>
            <w:tcW w:w="4050" w:type="dxa"/>
            <w:tcBorders>
              <w:top w:val="nil"/>
              <w:left w:val="nil"/>
              <w:bottom w:val="single" w:sz="4" w:space="0" w:color="auto"/>
              <w:right w:val="nil"/>
            </w:tcBorders>
            <w:shd w:val="clear" w:color="auto" w:fill="auto"/>
            <w:noWrap/>
            <w:vAlign w:val="bottom"/>
            <w:hideMark/>
          </w:tcPr>
          <w:p w14:paraId="68D21193" w14:textId="77777777" w:rsidR="004220E5" w:rsidRPr="004220E5" w:rsidRDefault="004220E5" w:rsidP="004220E5">
            <w:pPr>
              <w:spacing w:after="0" w:line="240" w:lineRule="auto"/>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Grand Total</w:t>
            </w:r>
          </w:p>
        </w:tc>
        <w:tc>
          <w:tcPr>
            <w:tcW w:w="1800" w:type="dxa"/>
            <w:tcBorders>
              <w:top w:val="nil"/>
              <w:left w:val="nil"/>
              <w:bottom w:val="single" w:sz="4" w:space="0" w:color="auto"/>
              <w:right w:val="nil"/>
            </w:tcBorders>
            <w:shd w:val="clear" w:color="auto" w:fill="auto"/>
            <w:noWrap/>
            <w:vAlign w:val="bottom"/>
            <w:hideMark/>
          </w:tcPr>
          <w:p w14:paraId="5DF92937"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685 (83.5)</w:t>
            </w:r>
          </w:p>
        </w:tc>
        <w:tc>
          <w:tcPr>
            <w:tcW w:w="1620" w:type="dxa"/>
            <w:tcBorders>
              <w:top w:val="nil"/>
              <w:left w:val="nil"/>
              <w:bottom w:val="single" w:sz="4" w:space="0" w:color="auto"/>
              <w:right w:val="nil"/>
            </w:tcBorders>
            <w:shd w:val="clear" w:color="auto" w:fill="auto"/>
            <w:noWrap/>
            <w:vAlign w:val="bottom"/>
            <w:hideMark/>
          </w:tcPr>
          <w:p w14:paraId="3AAF03A3"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135 (16.5)</w:t>
            </w:r>
          </w:p>
        </w:tc>
        <w:tc>
          <w:tcPr>
            <w:tcW w:w="990" w:type="dxa"/>
            <w:tcBorders>
              <w:top w:val="nil"/>
              <w:left w:val="nil"/>
              <w:bottom w:val="single" w:sz="4" w:space="0" w:color="auto"/>
              <w:right w:val="nil"/>
            </w:tcBorders>
            <w:shd w:val="clear" w:color="auto" w:fill="auto"/>
            <w:noWrap/>
            <w:vAlign w:val="bottom"/>
            <w:hideMark/>
          </w:tcPr>
          <w:p w14:paraId="672B6A31" w14:textId="77777777" w:rsidR="004220E5" w:rsidRPr="004220E5" w:rsidRDefault="004220E5" w:rsidP="004220E5">
            <w:pPr>
              <w:spacing w:after="0" w:line="240" w:lineRule="auto"/>
              <w:jc w:val="center"/>
              <w:rPr>
                <w:rFonts w:ascii="Times New Roman" w:eastAsia="Times New Roman" w:hAnsi="Times New Roman" w:cs="Times New Roman"/>
                <w:b/>
                <w:bCs/>
                <w:color w:val="000000"/>
              </w:rPr>
            </w:pPr>
            <w:r w:rsidRPr="004220E5">
              <w:rPr>
                <w:rFonts w:ascii="Times New Roman" w:eastAsia="Times New Roman" w:hAnsi="Times New Roman" w:cs="Times New Roman"/>
                <w:b/>
                <w:bCs/>
                <w:color w:val="000000"/>
              </w:rPr>
              <w:t>820</w:t>
            </w:r>
          </w:p>
        </w:tc>
      </w:tr>
    </w:tbl>
    <w:p w14:paraId="64AE632A" w14:textId="77777777" w:rsidR="004220E5" w:rsidRDefault="004220E5" w:rsidP="0094548D">
      <w:pPr>
        <w:spacing w:line="276" w:lineRule="auto"/>
        <w:rPr>
          <w:rFonts w:ascii="Times New Roman" w:eastAsia="MS Mincho" w:hAnsi="Times New Roman"/>
          <w:b/>
          <w:bCs/>
          <w:sz w:val="24"/>
          <w:szCs w:val="24"/>
          <w:lang w:eastAsia="zh-CN"/>
        </w:rPr>
      </w:pPr>
    </w:p>
    <w:p w14:paraId="15978AC6" w14:textId="77777777" w:rsidR="004220E5" w:rsidRDefault="004220E5">
      <w:pPr>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324E7134" w14:textId="1E31044F" w:rsidR="004C4132" w:rsidRPr="004C4132" w:rsidRDefault="004C4132" w:rsidP="0094548D">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 xml:space="preserve">Supplementary </w:t>
      </w:r>
      <w:r w:rsidRPr="00036918">
        <w:rPr>
          <w:rFonts w:ascii="Times New Roman" w:eastAsia="MS Mincho" w:hAnsi="Times New Roman"/>
          <w:b/>
          <w:bCs/>
          <w:sz w:val="24"/>
          <w:szCs w:val="24"/>
          <w:lang w:eastAsia="zh-CN"/>
        </w:rPr>
        <w:t xml:space="preserve">Table </w:t>
      </w:r>
      <w:r w:rsidR="004220E5">
        <w:rPr>
          <w:rFonts w:ascii="Times New Roman" w:eastAsia="MS Mincho" w:hAnsi="Times New Roman"/>
          <w:b/>
          <w:bCs/>
          <w:sz w:val="24"/>
          <w:szCs w:val="24"/>
          <w:lang w:eastAsia="zh-CN"/>
        </w:rPr>
        <w:t>4</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r>
        <w:rPr>
          <w:rFonts w:ascii="Times New Roman" w:eastAsia="MS Mincho" w:hAnsi="Times New Roman"/>
          <w:b/>
          <w:sz w:val="24"/>
          <w:szCs w:val="24"/>
          <w:lang w:eastAsia="zh-CN"/>
        </w:rPr>
        <w:t>Contrast coding for the ‘Causal’</w:t>
      </w:r>
      <w:r w:rsidR="008F715E">
        <w:rPr>
          <w:rFonts w:ascii="Times New Roman" w:eastAsia="MS Mincho" w:hAnsi="Times New Roman"/>
          <w:b/>
          <w:sz w:val="24"/>
          <w:szCs w:val="24"/>
          <w:lang w:eastAsia="zh-CN"/>
        </w:rPr>
        <w:t xml:space="preserve">, ‘Graded Liability’, and </w:t>
      </w:r>
      <w:r>
        <w:rPr>
          <w:rFonts w:ascii="Times New Roman" w:eastAsia="MS Mincho" w:hAnsi="Times New Roman"/>
          <w:b/>
          <w:sz w:val="24"/>
          <w:szCs w:val="24"/>
          <w:lang w:eastAsia="zh-CN"/>
        </w:rPr>
        <w:t xml:space="preserve">‘Predisposition’ hypotheses. </w:t>
      </w:r>
      <w:r>
        <w:rPr>
          <w:rFonts w:ascii="Times New Roman" w:eastAsia="MS Mincho" w:hAnsi="Times New Roman"/>
          <w:bCs/>
          <w:sz w:val="24"/>
          <w:szCs w:val="24"/>
          <w:lang w:eastAsia="zh-CN"/>
        </w:rPr>
        <w:t>These primary hypotheses were tested with a linear mixed model approach (</w:t>
      </w:r>
      <w:r w:rsidRPr="00005794">
        <w:rPr>
          <w:rFonts w:ascii="Times New Roman" w:eastAsia="MS Mincho" w:hAnsi="Times New Roman"/>
          <w:bCs/>
          <w:sz w:val="24"/>
          <w:szCs w:val="24"/>
          <w:lang w:eastAsia="zh-CN"/>
        </w:rPr>
        <w:t xml:space="preserve">see </w:t>
      </w:r>
      <w:r w:rsidR="00BC55A5">
        <w:rPr>
          <w:rFonts w:ascii="Times New Roman" w:eastAsia="MS Mincho" w:hAnsi="Times New Roman"/>
          <w:b/>
          <w:sz w:val="24"/>
          <w:szCs w:val="24"/>
          <w:lang w:eastAsia="zh-CN"/>
        </w:rPr>
        <w:t>Figure 2c</w:t>
      </w:r>
      <w:r w:rsidRPr="00005794">
        <w:rPr>
          <w:rFonts w:ascii="Times New Roman" w:eastAsia="MS Mincho" w:hAnsi="Times New Roman"/>
          <w:bCs/>
          <w:sz w:val="24"/>
          <w:szCs w:val="24"/>
          <w:lang w:eastAsia="zh-CN"/>
        </w:rPr>
        <w:t xml:space="preserve"> and </w:t>
      </w:r>
      <w:r w:rsidRPr="00005794">
        <w:rPr>
          <w:rFonts w:ascii="Times New Roman" w:eastAsia="MS Mincho" w:hAnsi="Times New Roman"/>
          <w:b/>
          <w:sz w:val="24"/>
          <w:szCs w:val="24"/>
          <w:lang w:eastAsia="zh-CN"/>
        </w:rPr>
        <w:t xml:space="preserve">Supplementary Table </w:t>
      </w:r>
      <w:r w:rsidR="00876704" w:rsidRPr="00005794">
        <w:rPr>
          <w:rFonts w:ascii="Times New Roman" w:eastAsia="MS Mincho" w:hAnsi="Times New Roman"/>
          <w:b/>
          <w:sz w:val="24"/>
          <w:szCs w:val="24"/>
          <w:lang w:eastAsia="zh-CN"/>
        </w:rPr>
        <w:t>5</w:t>
      </w:r>
      <w:r w:rsidRPr="00005794">
        <w:rPr>
          <w:rFonts w:ascii="Times New Roman" w:eastAsia="MS Mincho" w:hAnsi="Times New Roman"/>
          <w:bCs/>
          <w:sz w:val="24"/>
          <w:szCs w:val="24"/>
          <w:lang w:eastAsia="zh-CN"/>
        </w:rPr>
        <w:t xml:space="preserve">). </w:t>
      </w:r>
      <w:r w:rsidR="008F715E" w:rsidRPr="00005794">
        <w:rPr>
          <w:rFonts w:ascii="Times New Roman" w:eastAsia="MS Mincho" w:hAnsi="Times New Roman"/>
          <w:bCs/>
          <w:sz w:val="24"/>
          <w:szCs w:val="24"/>
          <w:lang w:eastAsia="zh-CN"/>
        </w:rPr>
        <w:t>Contrast 1 tested</w:t>
      </w:r>
      <w:r w:rsidR="008F715E">
        <w:rPr>
          <w:rFonts w:ascii="Times New Roman" w:eastAsia="MS Mincho" w:hAnsi="Times New Roman"/>
          <w:bCs/>
          <w:sz w:val="24"/>
          <w:szCs w:val="24"/>
          <w:lang w:eastAsia="zh-CN"/>
        </w:rPr>
        <w:t xml:space="preserve"> whether there may be causal effects of high cannabis exposure on </w:t>
      </w:r>
      <w:proofErr w:type="spellStart"/>
      <w:r w:rsidR="008F715E">
        <w:rPr>
          <w:rFonts w:ascii="Times New Roman" w:eastAsia="MS Mincho" w:hAnsi="Times New Roman"/>
          <w:bCs/>
          <w:sz w:val="24"/>
          <w:szCs w:val="24"/>
          <w:lang w:eastAsia="zh-CN"/>
        </w:rPr>
        <w:t>precuneus</w:t>
      </w:r>
      <w:proofErr w:type="spellEnd"/>
      <w:r w:rsidR="008F715E">
        <w:rPr>
          <w:rFonts w:ascii="Times New Roman" w:eastAsia="MS Mincho" w:hAnsi="Times New Roman"/>
          <w:bCs/>
          <w:sz w:val="24"/>
          <w:szCs w:val="24"/>
          <w:lang w:eastAsia="zh-CN"/>
        </w:rPr>
        <w:t xml:space="preserve"> cortical thickness, whereas contrasts 2 and 3 tested whether heavy cannabis use and </w:t>
      </w:r>
      <w:proofErr w:type="spellStart"/>
      <w:r w:rsidR="008F715E">
        <w:rPr>
          <w:rFonts w:ascii="Times New Roman" w:eastAsia="MS Mincho" w:hAnsi="Times New Roman"/>
          <w:bCs/>
          <w:sz w:val="24"/>
          <w:szCs w:val="24"/>
          <w:lang w:eastAsia="zh-CN"/>
        </w:rPr>
        <w:t>precuneus</w:t>
      </w:r>
      <w:proofErr w:type="spellEnd"/>
      <w:r w:rsidR="008F715E">
        <w:rPr>
          <w:rFonts w:ascii="Times New Roman" w:eastAsia="MS Mincho" w:hAnsi="Times New Roman"/>
          <w:bCs/>
          <w:sz w:val="24"/>
          <w:szCs w:val="24"/>
          <w:lang w:eastAsia="zh-CN"/>
        </w:rPr>
        <w:t xml:space="preserve"> cortical thickness may share </w:t>
      </w:r>
      <w:proofErr w:type="spellStart"/>
      <w:r w:rsidR="008F715E">
        <w:rPr>
          <w:rFonts w:ascii="Times New Roman" w:eastAsia="MS Mincho" w:hAnsi="Times New Roman"/>
          <w:bCs/>
          <w:sz w:val="24"/>
          <w:szCs w:val="24"/>
          <w:lang w:eastAsia="zh-CN"/>
        </w:rPr>
        <w:t>predispositional</w:t>
      </w:r>
      <w:proofErr w:type="spellEnd"/>
      <w:r w:rsidR="008F715E">
        <w:rPr>
          <w:rFonts w:ascii="Times New Roman" w:eastAsia="MS Mincho" w:hAnsi="Times New Roman"/>
          <w:bCs/>
          <w:sz w:val="24"/>
          <w:szCs w:val="24"/>
          <w:lang w:eastAsia="zh-CN"/>
        </w:rPr>
        <w:t xml:space="preserve"> factors; coding was adapted from </w:t>
      </w:r>
      <w:proofErr w:type="spellStart"/>
      <w:r w:rsidR="008F715E">
        <w:rPr>
          <w:rFonts w:ascii="Times New Roman" w:eastAsia="MS Mincho" w:hAnsi="Times New Roman"/>
          <w:bCs/>
          <w:sz w:val="24"/>
          <w:szCs w:val="24"/>
          <w:lang w:eastAsia="zh-CN"/>
        </w:rPr>
        <w:t>Pagliaccio</w:t>
      </w:r>
      <w:proofErr w:type="spellEnd"/>
      <w:r w:rsidR="008F715E">
        <w:rPr>
          <w:rFonts w:ascii="Times New Roman" w:eastAsia="MS Mincho" w:hAnsi="Times New Roman"/>
          <w:bCs/>
          <w:sz w:val="24"/>
          <w:szCs w:val="24"/>
          <w:lang w:eastAsia="zh-CN"/>
        </w:rPr>
        <w:t xml:space="preserve"> et al</w:t>
      </w:r>
      <w:r w:rsidR="008F715E">
        <w:rPr>
          <w:rFonts w:ascii="Times New Roman" w:eastAsia="MS Mincho" w:hAnsi="Times New Roman"/>
          <w:bCs/>
          <w:sz w:val="24"/>
          <w:szCs w:val="24"/>
          <w:lang w:eastAsia="zh-CN"/>
        </w:rPr>
        <w:fldChar w:fldCharType="begin" w:fldLock="1"/>
      </w:r>
      <w:r w:rsidR="00F54462">
        <w:rPr>
          <w:rFonts w:ascii="Times New Roman" w:eastAsia="MS Mincho" w:hAnsi="Times New Roman"/>
          <w:bCs/>
          <w:sz w:val="24"/>
          <w:szCs w:val="24"/>
          <w:lang w:eastAsia="zh-CN"/>
        </w:rPr>
        <w:instrText>ADDIN CSL_CITATION {"citationItems":[{"id":"ITEM-1","itemData":{"DOI":"10.1001/jamapsychiatry.2015.1054","ISBN":"2168-6238 (Electronic)\\r2168-622X (Linking)","ISSN":"2168-6238","PMID":"26308883","abstract":"IMPORTANCE: Prior neuroimaging studies have suggested that alterations in brain structure may be a consequence of cannabis use. Siblings discordant for cannabis use offer an opportunity to use cross-sectional data to disentangle such causal hypotheses from shared effects of genetics and familial environment on brain structure and cannabis use.\\n\\nOBJECTIVES: To determine whether cannabis use is associated with differences in brain structure in a large sample of twins/siblings and to examine sibling pairs discordant for cannabis use to separate potential causal and predispositional factors linking lifetime cannabis exposure to volumetric alterations.\\n\\nDESIGN, SETTING, AND PARTICIPANTS: Cross-sectional diagnostic interview, behavioral, and neuroimaging data were collected from community sampling and established family registries from August 2012 to September 2014. This study included data from 483 participants (22-35 years old) enrolled in the ongoing Human Connectome Project, with 262 participants reporting cannabis exposure (ie, ever used cannabis in their lifetime).\\n\\nMAIN OUTCOMES AND MEASURES: Cannabis exposure was measured with the Semi-Structured Assessment for the Genetics of Alcoholism. Whole-brain, hippocampus, amygdala, ventral striatum, and orbitofrontal cortex volumes were related to lifetime cannabis use (ever used, age at onset, and frequency of use) using linear regressions. Genetic (ρg) and environmental (ρe) correlations between cannabis use and brain volumes were estimated. Linear mixed models were used to examine volume differences in sex-matched concordant unexposed (n = 71 pairs), exposed (n = 81 pairs), or exposure discordant (n = 89 pairs) sibling pairs.\\n\\nRESULTS: Among 483 study participants, cannabis exposure was related to smaller left amygdala (approximately 2.3%; P = .007) and right ventral striatum (approximately 3.5%; P &lt; .005) volumes. These volumetric differences were within the range of normal variation. The association between left amygdala volume and cannabis use was largely owing to shared genetic factors (ρg = -0.43; P = .004), while the origin of the association with right ventral striatum volumes was unclear. Importantly, brain volumes did not differ between sex-matched siblings discordant for use (fixed effect = -7.43; t = -0.93, P = .35). Both the exposed and unexposed siblings in pairs discordant for cannabis exposure showed reduced amygdala volumes relative to members of concordant unexposed pairs (fixed ef…","author":[{"dropping-particle":"","family":"Pagliaccio","given":"David","non-dropping-particle":"","parse-names":false,"suffix":""},{"dropping-particle":"","family":"Barch","given":"Deanna M.","non-dropping-particle":"","parse-names":false,"suffix":""},{"dropping-particle":"","family":"Bogdan","given":"Ryan","non-dropping-particle":"","parse-names":false,"suffix":""},{"dropping-particle":"","family":"Wood","given":"Phillip K","non-dropping-particle":"","parse-names":false,"suffix":""},{"dropping-particle":"","family":"Lynskey","given":"Michael T","non-dropping-particle":"","parse-names":false,"suffix":""},{"dropping-particle":"","family":"Heath","given":"Andrew C","non-dropping-particle":"","parse-names":false,"suffix":""},{"dropping-particle":"","family":"Agrawal","given":"Arpana","non-dropping-particle":"","parse-names":false,"suffix":""}],"container-title":"JAMA psychiatry","id":"ITEM-1","issue":"10","issued":{"date-parts":[["2015"]]},"page":"994-1001","title":"Shared Predisposition in the Association Between Cannabis Use and Subcortical Brain Structure.","type":"article-journal","volume":"72"},"uris":["http://www.mendeley.com/documents/?uuid=3e31672e-3f30-4052-a57d-13ac7e570b7c"]}],"mendeley":{"formattedCitation":"&lt;sup&gt;8&lt;/sup&gt;","plainTextFormattedCitation":"8","previouslyFormattedCitation":"&lt;sup&gt;8&lt;/sup&gt;"},"properties":{"noteIndex":0},"schema":"https://github.com/citation-style-language/schema/raw/master/csl-citation.json"}</w:instrText>
      </w:r>
      <w:r w:rsidR="008F715E">
        <w:rPr>
          <w:rFonts w:ascii="Times New Roman" w:eastAsia="MS Mincho" w:hAnsi="Times New Roman"/>
          <w:bCs/>
          <w:sz w:val="24"/>
          <w:szCs w:val="24"/>
          <w:lang w:eastAsia="zh-CN"/>
        </w:rPr>
        <w:fldChar w:fldCharType="separate"/>
      </w:r>
      <w:r w:rsidR="008F715E" w:rsidRPr="008F715E">
        <w:rPr>
          <w:rFonts w:ascii="Times New Roman" w:eastAsia="MS Mincho" w:hAnsi="Times New Roman"/>
          <w:bCs/>
          <w:noProof/>
          <w:sz w:val="24"/>
          <w:szCs w:val="24"/>
          <w:vertAlign w:val="superscript"/>
          <w:lang w:eastAsia="zh-CN"/>
        </w:rPr>
        <w:t>8</w:t>
      </w:r>
      <w:r w:rsidR="008F715E">
        <w:rPr>
          <w:rFonts w:ascii="Times New Roman" w:eastAsia="MS Mincho" w:hAnsi="Times New Roman"/>
          <w:bCs/>
          <w:sz w:val="24"/>
          <w:szCs w:val="24"/>
          <w:lang w:eastAsia="zh-CN"/>
        </w:rPr>
        <w:fldChar w:fldCharType="end"/>
      </w:r>
      <w:r w:rsidR="008F715E">
        <w:rPr>
          <w:rFonts w:ascii="Times New Roman" w:eastAsia="MS Mincho" w:hAnsi="Times New Roman"/>
          <w:bCs/>
          <w:sz w:val="24"/>
          <w:szCs w:val="24"/>
          <w:lang w:eastAsia="zh-CN"/>
        </w:rPr>
        <w:t xml:space="preserve">. </w:t>
      </w:r>
    </w:p>
    <w:tbl>
      <w:tblPr>
        <w:tblW w:w="8640" w:type="dxa"/>
        <w:tblBorders>
          <w:bottom w:val="single" w:sz="4" w:space="0" w:color="auto"/>
          <w:insideH w:val="single" w:sz="4" w:space="0" w:color="auto"/>
        </w:tblBorders>
        <w:tblLayout w:type="fixed"/>
        <w:tblLook w:val="04A0" w:firstRow="1" w:lastRow="0" w:firstColumn="1" w:lastColumn="0" w:noHBand="0" w:noVBand="1"/>
      </w:tblPr>
      <w:tblGrid>
        <w:gridCol w:w="3510"/>
        <w:gridCol w:w="1440"/>
        <w:gridCol w:w="1980"/>
        <w:gridCol w:w="1710"/>
      </w:tblGrid>
      <w:tr w:rsidR="008F715E" w:rsidRPr="00092757" w14:paraId="0FE05D57" w14:textId="77777777" w:rsidTr="008F715E">
        <w:trPr>
          <w:trHeight w:val="297"/>
        </w:trPr>
        <w:tc>
          <w:tcPr>
            <w:tcW w:w="3510" w:type="dxa"/>
            <w:shd w:val="clear" w:color="auto" w:fill="auto"/>
            <w:noWrap/>
            <w:vAlign w:val="bottom"/>
            <w:hideMark/>
          </w:tcPr>
          <w:p w14:paraId="4011BBEC" w14:textId="77777777" w:rsidR="008F715E" w:rsidRDefault="008F715E" w:rsidP="008F715E">
            <w:pPr>
              <w:spacing w:after="0" w:line="276" w:lineRule="auto"/>
              <w:rPr>
                <w:rFonts w:ascii="Times New Roman" w:eastAsia="Times New Roman" w:hAnsi="Times New Roman" w:cs="Times New Roman"/>
              </w:rPr>
            </w:pPr>
          </w:p>
          <w:p w14:paraId="0363181E" w14:textId="77777777" w:rsidR="008F715E" w:rsidRPr="00092757" w:rsidRDefault="008F715E" w:rsidP="008F715E">
            <w:pPr>
              <w:spacing w:after="0" w:line="276" w:lineRule="auto"/>
              <w:rPr>
                <w:rFonts w:ascii="Times New Roman" w:eastAsia="Times New Roman" w:hAnsi="Times New Roman" w:cs="Times New Roman"/>
              </w:rPr>
            </w:pPr>
          </w:p>
        </w:tc>
        <w:tc>
          <w:tcPr>
            <w:tcW w:w="1440" w:type="dxa"/>
            <w:shd w:val="clear" w:color="auto" w:fill="auto"/>
            <w:noWrap/>
            <w:vAlign w:val="bottom"/>
            <w:hideMark/>
          </w:tcPr>
          <w:p w14:paraId="01666C48" w14:textId="4EC8EDFE" w:rsidR="008F715E" w:rsidRDefault="008F715E" w:rsidP="008F715E">
            <w:pPr>
              <w:spacing w:after="0" w:line="276" w:lineRule="auto"/>
              <w:jc w:val="center"/>
              <w:rPr>
                <w:rFonts w:ascii="Times New Roman" w:hAnsi="Times New Roman" w:cs="Times New Roman"/>
                <w:b/>
                <w:bCs/>
                <w:color w:val="000000"/>
              </w:rPr>
            </w:pPr>
            <w:r>
              <w:rPr>
                <w:rFonts w:ascii="Times New Roman" w:hAnsi="Times New Roman" w:cs="Times New Roman"/>
                <w:b/>
                <w:bCs/>
                <w:color w:val="000000"/>
              </w:rPr>
              <w:t>Contrast 1:</w:t>
            </w:r>
          </w:p>
          <w:p w14:paraId="0BA0E00A" w14:textId="53430FFB" w:rsidR="008F715E" w:rsidRPr="00092757" w:rsidRDefault="008F715E" w:rsidP="008F715E">
            <w:pPr>
              <w:spacing w:after="0" w:line="276" w:lineRule="auto"/>
              <w:jc w:val="center"/>
              <w:rPr>
                <w:rFonts w:ascii="Times New Roman" w:eastAsia="Times New Roman" w:hAnsi="Times New Roman" w:cs="Times New Roman"/>
                <w:b/>
                <w:color w:val="000000"/>
              </w:rPr>
            </w:pPr>
            <w:r>
              <w:rPr>
                <w:rFonts w:ascii="Times New Roman" w:hAnsi="Times New Roman" w:cs="Times New Roman"/>
                <w:b/>
                <w:bCs/>
                <w:color w:val="000000"/>
              </w:rPr>
              <w:t>‘Causal’ Hypothesis</w:t>
            </w:r>
          </w:p>
        </w:tc>
        <w:tc>
          <w:tcPr>
            <w:tcW w:w="1980" w:type="dxa"/>
            <w:vAlign w:val="center"/>
          </w:tcPr>
          <w:p w14:paraId="2E12621E" w14:textId="15CEE85A" w:rsidR="008F715E" w:rsidRDefault="008F715E" w:rsidP="008F715E">
            <w:pPr>
              <w:spacing w:after="0" w:line="276" w:lineRule="auto"/>
              <w:jc w:val="center"/>
              <w:rPr>
                <w:rFonts w:ascii="Times New Roman" w:hAnsi="Times New Roman" w:cs="Times New Roman"/>
                <w:b/>
                <w:bCs/>
                <w:color w:val="000000"/>
              </w:rPr>
            </w:pPr>
            <w:r w:rsidRPr="004C4132">
              <w:rPr>
                <w:rFonts w:ascii="Times New Roman" w:hAnsi="Times New Roman" w:cs="Times New Roman"/>
                <w:b/>
                <w:bCs/>
                <w:color w:val="000000"/>
              </w:rPr>
              <w:t xml:space="preserve">Contrast </w:t>
            </w:r>
            <w:r>
              <w:rPr>
                <w:rFonts w:ascii="Times New Roman" w:hAnsi="Times New Roman" w:cs="Times New Roman"/>
                <w:b/>
                <w:bCs/>
                <w:color w:val="000000"/>
              </w:rPr>
              <w:t>2:</w:t>
            </w:r>
          </w:p>
          <w:p w14:paraId="43BC9DEF" w14:textId="6E4164BC" w:rsidR="008F715E" w:rsidRPr="004C4132" w:rsidRDefault="008F715E" w:rsidP="008F715E">
            <w:pPr>
              <w:spacing w:after="0" w:line="276" w:lineRule="auto"/>
              <w:jc w:val="center"/>
              <w:rPr>
                <w:rFonts w:ascii="Times New Roman" w:hAnsi="Times New Roman" w:cs="Times New Roman"/>
                <w:b/>
                <w:bCs/>
                <w:color w:val="000000"/>
              </w:rPr>
            </w:pPr>
            <w:r w:rsidRPr="004C4132">
              <w:rPr>
                <w:rFonts w:ascii="Times New Roman" w:hAnsi="Times New Roman" w:cs="Times New Roman"/>
                <w:b/>
                <w:bCs/>
                <w:color w:val="000000"/>
              </w:rPr>
              <w:t>‘</w:t>
            </w:r>
            <w:r>
              <w:rPr>
                <w:rFonts w:ascii="Times New Roman" w:hAnsi="Times New Roman" w:cs="Times New Roman"/>
                <w:b/>
                <w:bCs/>
                <w:color w:val="000000"/>
              </w:rPr>
              <w:t>Graded Liability’</w:t>
            </w:r>
            <w:r w:rsidRPr="004C4132">
              <w:rPr>
                <w:rFonts w:ascii="Times New Roman" w:hAnsi="Times New Roman" w:cs="Times New Roman"/>
                <w:b/>
                <w:bCs/>
                <w:color w:val="000000"/>
              </w:rPr>
              <w:t xml:space="preserve"> Hypothesis</w:t>
            </w:r>
          </w:p>
        </w:tc>
        <w:tc>
          <w:tcPr>
            <w:tcW w:w="1710" w:type="dxa"/>
            <w:shd w:val="clear" w:color="auto" w:fill="auto"/>
            <w:noWrap/>
            <w:vAlign w:val="center"/>
            <w:hideMark/>
          </w:tcPr>
          <w:p w14:paraId="386E2407" w14:textId="3F450B72" w:rsidR="008F715E" w:rsidRDefault="008F715E" w:rsidP="008F715E">
            <w:pPr>
              <w:spacing w:after="0" w:line="276" w:lineRule="auto"/>
              <w:jc w:val="center"/>
              <w:rPr>
                <w:rFonts w:ascii="Times New Roman" w:hAnsi="Times New Roman" w:cs="Times New Roman"/>
                <w:b/>
                <w:bCs/>
                <w:color w:val="000000"/>
              </w:rPr>
            </w:pPr>
            <w:r w:rsidRPr="004C4132">
              <w:rPr>
                <w:rFonts w:ascii="Times New Roman" w:hAnsi="Times New Roman" w:cs="Times New Roman"/>
                <w:b/>
                <w:bCs/>
                <w:color w:val="000000"/>
              </w:rPr>
              <w:t xml:space="preserve">Contrast </w:t>
            </w:r>
            <w:r>
              <w:rPr>
                <w:rFonts w:ascii="Times New Roman" w:hAnsi="Times New Roman" w:cs="Times New Roman"/>
                <w:b/>
                <w:bCs/>
                <w:color w:val="000000"/>
              </w:rPr>
              <w:t>3:</w:t>
            </w:r>
          </w:p>
          <w:p w14:paraId="35BF8865" w14:textId="6FD76FA7" w:rsidR="008F715E" w:rsidRPr="004C4132" w:rsidRDefault="008F715E" w:rsidP="008F715E">
            <w:pPr>
              <w:spacing w:after="0" w:line="276" w:lineRule="auto"/>
              <w:jc w:val="center"/>
              <w:rPr>
                <w:rFonts w:ascii="Times New Roman" w:eastAsia="Times New Roman" w:hAnsi="Times New Roman" w:cs="Times New Roman"/>
                <w:b/>
                <w:color w:val="000000"/>
              </w:rPr>
            </w:pPr>
            <w:r w:rsidRPr="004C4132">
              <w:rPr>
                <w:rFonts w:ascii="Times New Roman" w:hAnsi="Times New Roman" w:cs="Times New Roman"/>
                <w:b/>
                <w:bCs/>
                <w:color w:val="000000"/>
              </w:rPr>
              <w:t>‘Predisposition’ Hypothesis</w:t>
            </w:r>
          </w:p>
        </w:tc>
      </w:tr>
      <w:tr w:rsidR="008F715E" w:rsidRPr="00092757" w14:paraId="77A8564D" w14:textId="77777777" w:rsidTr="008F715E">
        <w:trPr>
          <w:trHeight w:val="297"/>
        </w:trPr>
        <w:tc>
          <w:tcPr>
            <w:tcW w:w="3510" w:type="dxa"/>
            <w:shd w:val="clear" w:color="auto" w:fill="auto"/>
            <w:noWrap/>
            <w:vAlign w:val="center"/>
          </w:tcPr>
          <w:p w14:paraId="2D69937F" w14:textId="06D59B17" w:rsidR="008F715E" w:rsidRPr="00092757" w:rsidRDefault="008F715E" w:rsidP="008F715E">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Individual with Low Cannabis Exposure from Discordant Pair</w:t>
            </w:r>
          </w:p>
        </w:tc>
        <w:tc>
          <w:tcPr>
            <w:tcW w:w="1440" w:type="dxa"/>
            <w:shd w:val="clear" w:color="auto" w:fill="auto"/>
            <w:noWrap/>
            <w:vAlign w:val="bottom"/>
            <w:hideMark/>
          </w:tcPr>
          <w:p w14:paraId="464C2E27" w14:textId="2B1871FA"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-1</w:t>
            </w:r>
          </w:p>
        </w:tc>
        <w:tc>
          <w:tcPr>
            <w:tcW w:w="1980" w:type="dxa"/>
            <w:vAlign w:val="bottom"/>
          </w:tcPr>
          <w:p w14:paraId="4738909E" w14:textId="604C2E76" w:rsidR="008F715E" w:rsidRDefault="008F715E" w:rsidP="008F715E">
            <w:pPr>
              <w:spacing w:after="0" w:line="276" w:lineRule="auto"/>
              <w:jc w:val="center"/>
              <w:rPr>
                <w:rFonts w:ascii="Times New Roman" w:hAnsi="Times New Roman" w:cs="Times New Roman"/>
                <w:color w:val="000000"/>
              </w:rPr>
            </w:pPr>
            <w:r>
              <w:rPr>
                <w:rFonts w:ascii="Times New Roman" w:hAnsi="Times New Roman" w:cs="Times New Roman"/>
                <w:color w:val="000000"/>
              </w:rPr>
              <w:t>-1</w:t>
            </w:r>
          </w:p>
        </w:tc>
        <w:tc>
          <w:tcPr>
            <w:tcW w:w="1710" w:type="dxa"/>
            <w:shd w:val="clear" w:color="auto" w:fill="auto"/>
            <w:noWrap/>
            <w:vAlign w:val="bottom"/>
            <w:hideMark/>
          </w:tcPr>
          <w:p w14:paraId="73935ECA" w14:textId="4E5AF5EE"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-1</w:t>
            </w:r>
          </w:p>
        </w:tc>
      </w:tr>
      <w:tr w:rsidR="008F715E" w:rsidRPr="00092757" w14:paraId="79014B9B" w14:textId="77777777" w:rsidTr="008F715E">
        <w:trPr>
          <w:trHeight w:val="297"/>
        </w:trPr>
        <w:tc>
          <w:tcPr>
            <w:tcW w:w="3510" w:type="dxa"/>
            <w:shd w:val="clear" w:color="auto" w:fill="auto"/>
            <w:noWrap/>
            <w:vAlign w:val="center"/>
          </w:tcPr>
          <w:p w14:paraId="1003CFF9" w14:textId="77FA3A7E" w:rsidR="008F715E" w:rsidRPr="00092757" w:rsidRDefault="008F715E" w:rsidP="008F715E">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Individual with High Cannabis Exposure from Discordant Pair</w:t>
            </w:r>
          </w:p>
        </w:tc>
        <w:tc>
          <w:tcPr>
            <w:tcW w:w="1440" w:type="dxa"/>
            <w:shd w:val="clear" w:color="auto" w:fill="auto"/>
            <w:noWrap/>
            <w:vAlign w:val="bottom"/>
            <w:hideMark/>
          </w:tcPr>
          <w:p w14:paraId="7D4E2AA4" w14:textId="1FB809F2"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1</w:t>
            </w:r>
          </w:p>
        </w:tc>
        <w:tc>
          <w:tcPr>
            <w:tcW w:w="1980" w:type="dxa"/>
            <w:vAlign w:val="bottom"/>
          </w:tcPr>
          <w:p w14:paraId="03E6F0C3" w14:textId="659F4260" w:rsidR="008F715E" w:rsidRDefault="008F715E" w:rsidP="008F715E">
            <w:pPr>
              <w:spacing w:after="0" w:line="276" w:lineRule="auto"/>
              <w:jc w:val="center"/>
              <w:rPr>
                <w:rFonts w:ascii="Times New Roman" w:hAnsi="Times New Roman" w:cs="Times New Roman"/>
                <w:color w:val="000000"/>
              </w:rPr>
            </w:pPr>
            <w:r>
              <w:rPr>
                <w:rFonts w:ascii="Times New Roman" w:hAnsi="Times New Roman" w:cs="Times New Roman"/>
                <w:color w:val="000000"/>
              </w:rPr>
              <w:t>-1</w:t>
            </w:r>
          </w:p>
        </w:tc>
        <w:tc>
          <w:tcPr>
            <w:tcW w:w="1710" w:type="dxa"/>
            <w:shd w:val="clear" w:color="auto" w:fill="auto"/>
            <w:noWrap/>
            <w:vAlign w:val="bottom"/>
            <w:hideMark/>
          </w:tcPr>
          <w:p w14:paraId="3AC6D5B5" w14:textId="2698E3C7"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-1</w:t>
            </w:r>
          </w:p>
        </w:tc>
      </w:tr>
      <w:tr w:rsidR="008F715E" w:rsidRPr="00092757" w14:paraId="03C6FEC7" w14:textId="77777777" w:rsidTr="008F715E">
        <w:trPr>
          <w:trHeight w:val="297"/>
        </w:trPr>
        <w:tc>
          <w:tcPr>
            <w:tcW w:w="3510" w:type="dxa"/>
            <w:shd w:val="clear" w:color="auto" w:fill="auto"/>
            <w:noWrap/>
            <w:vAlign w:val="center"/>
          </w:tcPr>
          <w:p w14:paraId="41BE64C2" w14:textId="0A558E88" w:rsidR="008F715E" w:rsidRPr="00092757" w:rsidRDefault="008F715E" w:rsidP="008F715E">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Concordant High Exposure Pairs</w:t>
            </w:r>
          </w:p>
        </w:tc>
        <w:tc>
          <w:tcPr>
            <w:tcW w:w="1440" w:type="dxa"/>
            <w:shd w:val="clear" w:color="auto" w:fill="auto"/>
            <w:noWrap/>
            <w:vAlign w:val="bottom"/>
            <w:hideMark/>
          </w:tcPr>
          <w:p w14:paraId="402C2C3C" w14:textId="41DE0A05"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0</w:t>
            </w:r>
          </w:p>
        </w:tc>
        <w:tc>
          <w:tcPr>
            <w:tcW w:w="1980" w:type="dxa"/>
            <w:vAlign w:val="bottom"/>
          </w:tcPr>
          <w:p w14:paraId="53DDCA14" w14:textId="61A258A5" w:rsidR="008F715E" w:rsidRDefault="008F715E" w:rsidP="008F715E">
            <w:pPr>
              <w:spacing w:after="0" w:line="276" w:lineRule="auto"/>
              <w:jc w:val="center"/>
              <w:rPr>
                <w:rFonts w:ascii="Times New Roman" w:hAnsi="Times New Roman" w:cs="Times New Roman"/>
                <w:color w:val="000000"/>
              </w:rPr>
            </w:pPr>
            <w:r>
              <w:rPr>
                <w:rFonts w:ascii="Times New Roman" w:hAnsi="Times New Roman" w:cs="Times New Roman"/>
                <w:color w:val="000000"/>
              </w:rPr>
              <w:t>2</w:t>
            </w:r>
          </w:p>
        </w:tc>
        <w:tc>
          <w:tcPr>
            <w:tcW w:w="1710" w:type="dxa"/>
            <w:shd w:val="clear" w:color="auto" w:fill="auto"/>
            <w:noWrap/>
            <w:vAlign w:val="bottom"/>
            <w:hideMark/>
          </w:tcPr>
          <w:p w14:paraId="79A9D7C1" w14:textId="58ECAA55"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-1</w:t>
            </w:r>
          </w:p>
        </w:tc>
      </w:tr>
      <w:tr w:rsidR="008F715E" w:rsidRPr="00092757" w14:paraId="040F46F8" w14:textId="77777777" w:rsidTr="008F715E">
        <w:trPr>
          <w:trHeight w:val="297"/>
        </w:trPr>
        <w:tc>
          <w:tcPr>
            <w:tcW w:w="3510" w:type="dxa"/>
            <w:shd w:val="clear" w:color="auto" w:fill="auto"/>
            <w:noWrap/>
            <w:vAlign w:val="center"/>
          </w:tcPr>
          <w:p w14:paraId="0428CEEB" w14:textId="2A072786" w:rsidR="008F715E" w:rsidRPr="00092757" w:rsidRDefault="008F715E" w:rsidP="008F715E">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Concordant Low Exposure Pairs</w:t>
            </w:r>
          </w:p>
        </w:tc>
        <w:tc>
          <w:tcPr>
            <w:tcW w:w="1440" w:type="dxa"/>
            <w:shd w:val="clear" w:color="auto" w:fill="auto"/>
            <w:noWrap/>
            <w:vAlign w:val="bottom"/>
            <w:hideMark/>
          </w:tcPr>
          <w:p w14:paraId="2C96D0CF" w14:textId="0F4DA4A7"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0</w:t>
            </w:r>
          </w:p>
        </w:tc>
        <w:tc>
          <w:tcPr>
            <w:tcW w:w="1980" w:type="dxa"/>
            <w:vAlign w:val="bottom"/>
          </w:tcPr>
          <w:p w14:paraId="168AD547" w14:textId="3B56982F" w:rsidR="008F715E" w:rsidRDefault="008F715E" w:rsidP="008F715E">
            <w:pPr>
              <w:spacing w:after="0" w:line="276" w:lineRule="auto"/>
              <w:jc w:val="center"/>
              <w:rPr>
                <w:rFonts w:ascii="Times New Roman" w:hAnsi="Times New Roman" w:cs="Times New Roman"/>
                <w:color w:val="000000"/>
              </w:rPr>
            </w:pPr>
            <w:r>
              <w:rPr>
                <w:rFonts w:ascii="Times New Roman" w:hAnsi="Times New Roman" w:cs="Times New Roman"/>
                <w:color w:val="000000"/>
              </w:rPr>
              <w:t>0</w:t>
            </w:r>
          </w:p>
        </w:tc>
        <w:tc>
          <w:tcPr>
            <w:tcW w:w="1710" w:type="dxa"/>
            <w:shd w:val="clear" w:color="auto" w:fill="auto"/>
            <w:noWrap/>
            <w:vAlign w:val="bottom"/>
            <w:hideMark/>
          </w:tcPr>
          <w:p w14:paraId="30D55AF5" w14:textId="2532ECAB" w:rsidR="008F715E" w:rsidRPr="00092757" w:rsidRDefault="008F715E" w:rsidP="008F715E">
            <w:pPr>
              <w:spacing w:after="0" w:line="276" w:lineRule="auto"/>
              <w:jc w:val="center"/>
              <w:rPr>
                <w:rFonts w:ascii="Times New Roman" w:eastAsia="Times New Roman" w:hAnsi="Times New Roman" w:cs="Times New Roman"/>
                <w:color w:val="000000"/>
              </w:rPr>
            </w:pPr>
            <w:r>
              <w:rPr>
                <w:rFonts w:ascii="Times New Roman" w:hAnsi="Times New Roman" w:cs="Times New Roman"/>
                <w:color w:val="000000"/>
              </w:rPr>
              <w:t>3</w:t>
            </w:r>
          </w:p>
        </w:tc>
      </w:tr>
    </w:tbl>
    <w:p w14:paraId="209113E8" w14:textId="77777777" w:rsidR="004C4132" w:rsidRDefault="004C4132">
      <w:pPr>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12071BE6" w14:textId="267936FA" w:rsidR="00092757" w:rsidRPr="00092757" w:rsidRDefault="00092757" w:rsidP="0094548D">
      <w:pPr>
        <w:spacing w:line="276" w:lineRule="auto"/>
        <w:rPr>
          <w:rFonts w:ascii="Times New Roman" w:eastAsia="MS Mincho" w:hAnsi="Times New Roman"/>
          <w:sz w:val="24"/>
          <w:szCs w:val="24"/>
          <w:lang w:eastAsia="zh-CN"/>
        </w:rPr>
      </w:pPr>
      <w:r>
        <w:rPr>
          <w:rFonts w:ascii="Times New Roman" w:eastAsia="MS Mincho" w:hAnsi="Times New Roman"/>
          <w:b/>
          <w:bCs/>
          <w:sz w:val="24"/>
          <w:szCs w:val="24"/>
          <w:lang w:eastAsia="zh-CN"/>
        </w:rPr>
        <w:lastRenderedPageBreak/>
        <w:t xml:space="preserve">Supplementary </w:t>
      </w:r>
      <w:r w:rsidRPr="00036918">
        <w:rPr>
          <w:rFonts w:ascii="Times New Roman" w:eastAsia="MS Mincho" w:hAnsi="Times New Roman"/>
          <w:b/>
          <w:bCs/>
          <w:sz w:val="24"/>
          <w:szCs w:val="24"/>
          <w:lang w:eastAsia="zh-CN"/>
        </w:rPr>
        <w:t xml:space="preserve">Table </w:t>
      </w:r>
      <w:r w:rsidR="004220E5">
        <w:rPr>
          <w:rFonts w:ascii="Times New Roman" w:eastAsia="MS Mincho" w:hAnsi="Times New Roman"/>
          <w:b/>
          <w:bCs/>
          <w:sz w:val="24"/>
          <w:szCs w:val="24"/>
          <w:lang w:eastAsia="zh-CN"/>
        </w:rPr>
        <w:t>5</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r>
        <w:rPr>
          <w:rFonts w:ascii="Times New Roman" w:eastAsia="MS Mincho" w:hAnsi="Times New Roman"/>
          <w:b/>
          <w:sz w:val="24"/>
          <w:szCs w:val="24"/>
          <w:lang w:eastAsia="zh-CN"/>
        </w:rPr>
        <w:t xml:space="preserve">Linear Mixed Model Results for Sibling Pairs: Effects of cannabis usage on left </w:t>
      </w:r>
      <w:proofErr w:type="spellStart"/>
      <w:r>
        <w:rPr>
          <w:rFonts w:ascii="Times New Roman" w:eastAsia="MS Mincho" w:hAnsi="Times New Roman"/>
          <w:b/>
          <w:sz w:val="24"/>
          <w:szCs w:val="24"/>
          <w:lang w:eastAsia="zh-CN"/>
        </w:rPr>
        <w:t>precuneus</w:t>
      </w:r>
      <w:proofErr w:type="spellEnd"/>
      <w:r>
        <w:rPr>
          <w:rFonts w:ascii="Times New Roman" w:eastAsia="MS Mincho" w:hAnsi="Times New Roman"/>
          <w:b/>
          <w:sz w:val="24"/>
          <w:szCs w:val="24"/>
          <w:lang w:eastAsia="zh-CN"/>
        </w:rPr>
        <w:t xml:space="preserve"> cortical thickness</w:t>
      </w:r>
      <w:r w:rsidRPr="00A9322C">
        <w:rPr>
          <w:rFonts w:ascii="Times New Roman" w:eastAsia="MS Mincho" w:hAnsi="Times New Roman"/>
          <w:b/>
          <w:sz w:val="24"/>
          <w:szCs w:val="24"/>
          <w:lang w:eastAsia="zh-CN"/>
        </w:rPr>
        <w:t xml:space="preserve">. </w:t>
      </w:r>
      <w:r>
        <w:rPr>
          <w:rFonts w:ascii="Times New Roman" w:eastAsia="MS Mincho" w:hAnsi="Times New Roman"/>
          <w:bCs/>
          <w:sz w:val="24"/>
          <w:szCs w:val="24"/>
          <w:lang w:eastAsia="zh-CN"/>
        </w:rPr>
        <w:t xml:space="preserve">We included </w:t>
      </w:r>
      <w:r>
        <w:rPr>
          <w:rFonts w:ascii="Times New Roman" w:eastAsia="MS Mincho" w:hAnsi="Times New Roman"/>
          <w:sz w:val="24"/>
          <w:szCs w:val="24"/>
          <w:lang w:eastAsia="zh-CN"/>
        </w:rPr>
        <w:t>sex, age, alcohol usage, tobacco usage, BMI, income, education</w:t>
      </w:r>
      <w:r w:rsidR="008F715E">
        <w:rPr>
          <w:rFonts w:ascii="Times New Roman" w:eastAsia="MS Mincho" w:hAnsi="Times New Roman"/>
          <w:sz w:val="24"/>
          <w:szCs w:val="24"/>
          <w:lang w:eastAsia="zh-CN"/>
        </w:rPr>
        <w:t>, depression and anxiety</w:t>
      </w:r>
      <w:r>
        <w:rPr>
          <w:rFonts w:ascii="Times New Roman" w:eastAsia="MS Mincho" w:hAnsi="Times New Roman"/>
          <w:sz w:val="24"/>
          <w:szCs w:val="24"/>
          <w:lang w:eastAsia="zh-CN"/>
        </w:rPr>
        <w:t xml:space="preserve"> as covariates</w:t>
      </w:r>
      <w:r w:rsidR="008F715E">
        <w:rPr>
          <w:rFonts w:ascii="Times New Roman" w:eastAsia="MS Mincho" w:hAnsi="Times New Roman"/>
          <w:sz w:val="24"/>
          <w:szCs w:val="24"/>
          <w:lang w:eastAsia="zh-CN"/>
        </w:rPr>
        <w:t xml:space="preserve"> (i.e., the same covariates that were used to match the CD and CTL groups in the main manuscript)</w:t>
      </w:r>
      <w:r>
        <w:rPr>
          <w:rFonts w:ascii="Times New Roman" w:eastAsia="MS Mincho" w:hAnsi="Times New Roman"/>
          <w:sz w:val="24"/>
          <w:szCs w:val="24"/>
          <w:lang w:eastAsia="zh-CN"/>
        </w:rPr>
        <w:t>. There was</w:t>
      </w:r>
      <w:r w:rsidR="008F715E">
        <w:rPr>
          <w:rFonts w:ascii="Times New Roman" w:eastAsia="MS Mincho" w:hAnsi="Times New Roman"/>
          <w:sz w:val="24"/>
          <w:szCs w:val="24"/>
          <w:lang w:eastAsia="zh-CN"/>
        </w:rPr>
        <w:t xml:space="preserve"> some </w:t>
      </w:r>
      <w:r>
        <w:rPr>
          <w:rFonts w:ascii="Times New Roman" w:eastAsia="MS Mincho" w:hAnsi="Times New Roman"/>
          <w:sz w:val="24"/>
          <w:szCs w:val="24"/>
          <w:lang w:eastAsia="zh-CN"/>
        </w:rPr>
        <w:t>support for ‘causal’</w:t>
      </w:r>
      <w:r w:rsidR="00F50DE7">
        <w:rPr>
          <w:rFonts w:ascii="Times New Roman" w:eastAsia="MS Mincho" w:hAnsi="Times New Roman"/>
          <w:sz w:val="24"/>
          <w:szCs w:val="24"/>
          <w:lang w:eastAsia="zh-CN"/>
        </w:rPr>
        <w:t xml:space="preserve"> and</w:t>
      </w:r>
      <w:r w:rsidR="008F715E">
        <w:rPr>
          <w:rFonts w:ascii="Times New Roman" w:eastAsia="MS Mincho" w:hAnsi="Times New Roman"/>
          <w:sz w:val="24"/>
          <w:szCs w:val="24"/>
          <w:lang w:eastAsia="zh-CN"/>
        </w:rPr>
        <w:t xml:space="preserve"> ‘graded liability’</w:t>
      </w:r>
      <w:r w:rsidR="00F50DE7">
        <w:rPr>
          <w:rFonts w:ascii="Times New Roman" w:eastAsia="MS Mincho" w:hAnsi="Times New Roman"/>
          <w:sz w:val="24"/>
          <w:szCs w:val="24"/>
          <w:lang w:eastAsia="zh-CN"/>
        </w:rPr>
        <w:t xml:space="preserve"> hypotheses</w:t>
      </w:r>
      <w:r w:rsidR="008F715E">
        <w:rPr>
          <w:rFonts w:ascii="Times New Roman" w:eastAsia="MS Mincho" w:hAnsi="Times New Roman"/>
          <w:sz w:val="24"/>
          <w:szCs w:val="24"/>
          <w:lang w:eastAsia="zh-CN"/>
        </w:rPr>
        <w:t>,</w:t>
      </w:r>
      <w:r>
        <w:rPr>
          <w:rFonts w:ascii="Times New Roman" w:eastAsia="MS Mincho" w:hAnsi="Times New Roman"/>
          <w:sz w:val="24"/>
          <w:szCs w:val="24"/>
          <w:lang w:eastAsia="zh-CN"/>
        </w:rPr>
        <w:t xml:space="preserve"> </w:t>
      </w:r>
      <w:r w:rsidR="00F50DE7">
        <w:rPr>
          <w:rFonts w:ascii="Times New Roman" w:eastAsia="MS Mincho" w:hAnsi="Times New Roman"/>
          <w:sz w:val="24"/>
          <w:szCs w:val="24"/>
          <w:lang w:eastAsia="zh-CN"/>
        </w:rPr>
        <w:t xml:space="preserve">but not </w:t>
      </w:r>
      <w:r>
        <w:rPr>
          <w:rFonts w:ascii="Times New Roman" w:eastAsia="MS Mincho" w:hAnsi="Times New Roman"/>
          <w:sz w:val="24"/>
          <w:szCs w:val="24"/>
          <w:lang w:eastAsia="zh-CN"/>
        </w:rPr>
        <w:t>the ‘predisposition’ hypothes</w:t>
      </w:r>
      <w:r w:rsidR="00F50DE7">
        <w:rPr>
          <w:rFonts w:ascii="Times New Roman" w:eastAsia="MS Mincho" w:hAnsi="Times New Roman"/>
          <w:sz w:val="24"/>
          <w:szCs w:val="24"/>
          <w:lang w:eastAsia="zh-CN"/>
        </w:rPr>
        <w:t>i</w:t>
      </w:r>
      <w:r>
        <w:rPr>
          <w:rFonts w:ascii="Times New Roman" w:eastAsia="MS Mincho" w:hAnsi="Times New Roman"/>
          <w:sz w:val="24"/>
          <w:szCs w:val="24"/>
          <w:lang w:eastAsia="zh-CN"/>
        </w:rPr>
        <w:t xml:space="preserve">s (also see </w:t>
      </w:r>
      <w:r w:rsidR="00BC55A5" w:rsidRPr="00BC55A5">
        <w:rPr>
          <w:rFonts w:ascii="Times New Roman" w:eastAsia="MS Mincho" w:hAnsi="Times New Roman"/>
          <w:b/>
          <w:sz w:val="24"/>
          <w:szCs w:val="24"/>
          <w:lang w:eastAsia="zh-CN"/>
        </w:rPr>
        <w:t>S</w:t>
      </w:r>
      <w:r w:rsidRPr="00BC55A5">
        <w:rPr>
          <w:rFonts w:ascii="Times New Roman" w:eastAsia="MS Mincho" w:hAnsi="Times New Roman"/>
          <w:b/>
          <w:sz w:val="24"/>
          <w:szCs w:val="24"/>
          <w:lang w:eastAsia="zh-CN"/>
        </w:rPr>
        <w:t xml:space="preserve">upplementary </w:t>
      </w:r>
      <w:r w:rsidR="00BC55A5" w:rsidRPr="00BC55A5">
        <w:rPr>
          <w:rFonts w:ascii="Times New Roman" w:eastAsia="MS Mincho" w:hAnsi="Times New Roman"/>
          <w:b/>
          <w:sz w:val="24"/>
          <w:szCs w:val="24"/>
          <w:lang w:eastAsia="zh-CN"/>
        </w:rPr>
        <w:t>T</w:t>
      </w:r>
      <w:r w:rsidRPr="00BC55A5">
        <w:rPr>
          <w:rFonts w:ascii="Times New Roman" w:eastAsia="MS Mincho" w:hAnsi="Times New Roman"/>
          <w:b/>
          <w:sz w:val="24"/>
          <w:szCs w:val="24"/>
          <w:lang w:eastAsia="zh-CN"/>
        </w:rPr>
        <w:t xml:space="preserve">able </w:t>
      </w:r>
      <w:r w:rsidR="00F50DE7" w:rsidRPr="00BC55A5">
        <w:rPr>
          <w:rFonts w:ascii="Times New Roman" w:eastAsia="MS Mincho" w:hAnsi="Times New Roman"/>
          <w:b/>
          <w:sz w:val="24"/>
          <w:szCs w:val="24"/>
          <w:lang w:eastAsia="zh-CN"/>
        </w:rPr>
        <w:t>4</w:t>
      </w:r>
      <w:r w:rsidRPr="00BC55A5">
        <w:rPr>
          <w:rFonts w:ascii="Times New Roman" w:eastAsia="MS Mincho" w:hAnsi="Times New Roman"/>
          <w:b/>
          <w:sz w:val="24"/>
          <w:szCs w:val="24"/>
          <w:lang w:eastAsia="zh-CN"/>
        </w:rPr>
        <w:t xml:space="preserve"> </w:t>
      </w:r>
      <w:r w:rsidRPr="00BC55A5">
        <w:rPr>
          <w:rFonts w:ascii="Times New Roman" w:eastAsia="MS Mincho" w:hAnsi="Times New Roman"/>
          <w:sz w:val="24"/>
          <w:szCs w:val="24"/>
          <w:lang w:eastAsia="zh-CN"/>
        </w:rPr>
        <w:t>for the contrasts</w:t>
      </w:r>
      <w:r>
        <w:rPr>
          <w:rFonts w:ascii="Times New Roman" w:eastAsia="MS Mincho" w:hAnsi="Times New Roman"/>
          <w:sz w:val="24"/>
          <w:szCs w:val="24"/>
          <w:lang w:eastAsia="zh-CN"/>
        </w:rPr>
        <w:t xml:space="preserve">, and </w:t>
      </w:r>
      <w:r w:rsidR="00BC55A5" w:rsidRPr="00BC55A5">
        <w:rPr>
          <w:rFonts w:ascii="Times New Roman" w:eastAsia="MS Mincho" w:hAnsi="Times New Roman"/>
          <w:b/>
          <w:sz w:val="24"/>
          <w:szCs w:val="24"/>
          <w:lang w:eastAsia="zh-CN"/>
        </w:rPr>
        <w:t>Fig. 2c</w:t>
      </w:r>
      <w:r>
        <w:rPr>
          <w:rFonts w:ascii="Times New Roman" w:eastAsia="MS Mincho" w:hAnsi="Times New Roman"/>
          <w:sz w:val="24"/>
          <w:szCs w:val="24"/>
          <w:lang w:eastAsia="zh-CN"/>
        </w:rPr>
        <w:t xml:space="preserve"> for the estimated marginal means in each group).</w:t>
      </w:r>
      <w:r w:rsidR="008F715E">
        <w:rPr>
          <w:rFonts w:ascii="Times New Roman" w:eastAsia="MS Mincho" w:hAnsi="Times New Roman"/>
          <w:sz w:val="24"/>
          <w:szCs w:val="24"/>
          <w:lang w:eastAsia="zh-CN"/>
        </w:rPr>
        <w:t xml:space="preserve"> </w:t>
      </w:r>
      <w:r w:rsidR="00F50DE7" w:rsidRPr="00F50DE7">
        <w:rPr>
          <w:rFonts w:ascii="Times New Roman" w:eastAsia="MS Mincho" w:hAnsi="Times New Roman"/>
          <w:sz w:val="24"/>
          <w:szCs w:val="24"/>
          <w:lang w:eastAsia="zh-CN"/>
        </w:rPr>
        <w:t xml:space="preserve">Therefore, these data provide some preliminary evidence for a) causal effects of cannabis on </w:t>
      </w:r>
      <w:proofErr w:type="spellStart"/>
      <w:r w:rsidR="00F50DE7" w:rsidRPr="00F50DE7">
        <w:rPr>
          <w:rFonts w:ascii="Times New Roman" w:eastAsia="MS Mincho" w:hAnsi="Times New Roman"/>
          <w:sz w:val="24"/>
          <w:szCs w:val="24"/>
          <w:lang w:eastAsia="zh-CN"/>
        </w:rPr>
        <w:t>precuneus</w:t>
      </w:r>
      <w:proofErr w:type="spellEnd"/>
      <w:r w:rsidR="00F50DE7" w:rsidRPr="00F50DE7">
        <w:rPr>
          <w:rFonts w:ascii="Times New Roman" w:eastAsia="MS Mincho" w:hAnsi="Times New Roman"/>
          <w:sz w:val="24"/>
          <w:szCs w:val="24"/>
          <w:lang w:eastAsia="zh-CN"/>
        </w:rPr>
        <w:t xml:space="preserve"> cortical thickness, and b) that cortical thickness and heavy cannabis use might have common </w:t>
      </w:r>
      <w:proofErr w:type="spellStart"/>
      <w:r w:rsidR="00F50DE7" w:rsidRPr="00F50DE7">
        <w:rPr>
          <w:rFonts w:ascii="Times New Roman" w:eastAsia="MS Mincho" w:hAnsi="Times New Roman"/>
          <w:sz w:val="24"/>
          <w:szCs w:val="24"/>
          <w:lang w:eastAsia="zh-CN"/>
        </w:rPr>
        <w:t>predispositional</w:t>
      </w:r>
      <w:proofErr w:type="spellEnd"/>
      <w:r w:rsidR="00F50DE7" w:rsidRPr="00F50DE7">
        <w:rPr>
          <w:rFonts w:ascii="Times New Roman" w:eastAsia="MS Mincho" w:hAnsi="Times New Roman"/>
          <w:sz w:val="24"/>
          <w:szCs w:val="24"/>
          <w:lang w:eastAsia="zh-CN"/>
        </w:rPr>
        <w:t xml:space="preserve"> factors, with concordant exposed pairs at the highest liability (that is, </w:t>
      </w:r>
      <w:r w:rsidR="00BD514F">
        <w:rPr>
          <w:rFonts w:ascii="Times New Roman" w:eastAsia="MS Mincho" w:hAnsi="Times New Roman"/>
          <w:sz w:val="24"/>
          <w:szCs w:val="24"/>
          <w:lang w:eastAsia="zh-CN"/>
        </w:rPr>
        <w:t>‘</w:t>
      </w:r>
      <w:r w:rsidR="00F50DE7" w:rsidRPr="00F50DE7">
        <w:rPr>
          <w:rFonts w:ascii="Times New Roman" w:eastAsia="MS Mincho" w:hAnsi="Times New Roman"/>
          <w:sz w:val="24"/>
          <w:szCs w:val="24"/>
          <w:lang w:eastAsia="zh-CN"/>
        </w:rPr>
        <w:t>graded liability</w:t>
      </w:r>
      <w:r w:rsidR="00BD514F">
        <w:rPr>
          <w:rFonts w:ascii="Times New Roman" w:eastAsia="MS Mincho" w:hAnsi="Times New Roman"/>
          <w:sz w:val="24"/>
          <w:szCs w:val="24"/>
          <w:lang w:eastAsia="zh-CN"/>
        </w:rPr>
        <w:t>’</w:t>
      </w:r>
      <w:r w:rsidR="00F50DE7" w:rsidRPr="00F50DE7">
        <w:rPr>
          <w:rFonts w:ascii="Times New Roman" w:eastAsia="MS Mincho" w:hAnsi="Times New Roman"/>
          <w:sz w:val="24"/>
          <w:szCs w:val="24"/>
          <w:lang w:eastAsia="zh-CN"/>
        </w:rPr>
        <w:t>).</w:t>
      </w:r>
    </w:p>
    <w:tbl>
      <w:tblPr>
        <w:tblW w:w="6930" w:type="dxa"/>
        <w:tblBorders>
          <w:bottom w:val="single" w:sz="4" w:space="0" w:color="auto"/>
          <w:insideH w:val="single" w:sz="4" w:space="0" w:color="auto"/>
        </w:tblBorders>
        <w:tblLayout w:type="fixed"/>
        <w:tblLook w:val="04A0" w:firstRow="1" w:lastRow="0" w:firstColumn="1" w:lastColumn="0" w:noHBand="0" w:noVBand="1"/>
      </w:tblPr>
      <w:tblGrid>
        <w:gridCol w:w="2970"/>
        <w:gridCol w:w="1800"/>
        <w:gridCol w:w="2160"/>
      </w:tblGrid>
      <w:tr w:rsidR="008F715E" w:rsidRPr="008826C6" w14:paraId="57363680" w14:textId="77777777" w:rsidTr="00092757">
        <w:trPr>
          <w:trHeight w:val="297"/>
        </w:trPr>
        <w:tc>
          <w:tcPr>
            <w:tcW w:w="2970" w:type="dxa"/>
            <w:shd w:val="clear" w:color="auto" w:fill="auto"/>
            <w:noWrap/>
            <w:vAlign w:val="bottom"/>
            <w:hideMark/>
          </w:tcPr>
          <w:p w14:paraId="5B504E8F" w14:textId="62B14D97" w:rsidR="008F715E" w:rsidRPr="008F715E" w:rsidRDefault="008F715E" w:rsidP="008F715E">
            <w:pPr>
              <w:spacing w:after="0" w:line="276" w:lineRule="auto"/>
              <w:rPr>
                <w:rFonts w:ascii="Times New Roman" w:eastAsia="Times New Roman" w:hAnsi="Times New Roman" w:cs="Times New Roman"/>
              </w:rPr>
            </w:pPr>
          </w:p>
        </w:tc>
        <w:tc>
          <w:tcPr>
            <w:tcW w:w="1800" w:type="dxa"/>
            <w:shd w:val="clear" w:color="auto" w:fill="auto"/>
            <w:noWrap/>
            <w:vAlign w:val="bottom"/>
            <w:hideMark/>
          </w:tcPr>
          <w:p w14:paraId="32E2B7A4" w14:textId="547A5C23" w:rsidR="008F715E" w:rsidRPr="008F715E" w:rsidRDefault="008F715E" w:rsidP="008F715E">
            <w:pPr>
              <w:spacing w:after="0" w:line="276" w:lineRule="auto"/>
              <w:jc w:val="center"/>
              <w:rPr>
                <w:rFonts w:ascii="Times New Roman" w:eastAsia="Times New Roman" w:hAnsi="Times New Roman" w:cs="Times New Roman"/>
                <w:b/>
                <w:color w:val="000000"/>
              </w:rPr>
            </w:pPr>
            <w:r w:rsidRPr="008F715E">
              <w:rPr>
                <w:rFonts w:ascii="Times New Roman" w:hAnsi="Times New Roman" w:cs="Times New Roman"/>
                <w:b/>
                <w:bCs/>
                <w:color w:val="000000"/>
              </w:rPr>
              <w:t>Fixed Effect Estimate ± SEM</w:t>
            </w:r>
          </w:p>
        </w:tc>
        <w:tc>
          <w:tcPr>
            <w:tcW w:w="2160" w:type="dxa"/>
            <w:shd w:val="clear" w:color="auto" w:fill="auto"/>
            <w:noWrap/>
            <w:vAlign w:val="center"/>
            <w:hideMark/>
          </w:tcPr>
          <w:p w14:paraId="3EABD370" w14:textId="6EF8251C" w:rsidR="008F715E" w:rsidRPr="008F715E" w:rsidRDefault="008F715E" w:rsidP="008F715E">
            <w:pPr>
              <w:spacing w:after="0" w:line="276" w:lineRule="auto"/>
              <w:jc w:val="center"/>
              <w:rPr>
                <w:rFonts w:ascii="Times New Roman" w:eastAsia="Times New Roman" w:hAnsi="Times New Roman" w:cs="Times New Roman"/>
                <w:b/>
                <w:color w:val="000000"/>
              </w:rPr>
            </w:pPr>
            <w:r w:rsidRPr="008F715E">
              <w:rPr>
                <w:rFonts w:ascii="Times New Roman" w:hAnsi="Times New Roman" w:cs="Times New Roman"/>
                <w:b/>
                <w:bCs/>
                <w:i/>
                <w:iCs/>
                <w:color w:val="000000"/>
              </w:rPr>
              <w:t>t</w:t>
            </w:r>
            <w:r w:rsidRPr="008F715E">
              <w:rPr>
                <w:rFonts w:ascii="Times New Roman" w:hAnsi="Times New Roman" w:cs="Times New Roman"/>
                <w:b/>
                <w:bCs/>
                <w:color w:val="000000"/>
              </w:rPr>
              <w:t xml:space="preserve"> (</w:t>
            </w:r>
            <w:r w:rsidRPr="008F715E">
              <w:rPr>
                <w:rFonts w:ascii="Times New Roman" w:hAnsi="Times New Roman" w:cs="Times New Roman"/>
                <w:b/>
                <w:bCs/>
                <w:i/>
                <w:iCs/>
                <w:color w:val="000000"/>
              </w:rPr>
              <w:t>p</w:t>
            </w:r>
            <w:r w:rsidRPr="008F715E">
              <w:rPr>
                <w:rFonts w:ascii="Times New Roman" w:hAnsi="Times New Roman" w:cs="Times New Roman"/>
                <w:b/>
                <w:bCs/>
                <w:color w:val="000000"/>
              </w:rPr>
              <w:t>)</w:t>
            </w:r>
          </w:p>
        </w:tc>
      </w:tr>
      <w:tr w:rsidR="00565579" w:rsidRPr="008826C6" w14:paraId="4A1E2F15" w14:textId="77777777" w:rsidTr="00092757">
        <w:trPr>
          <w:trHeight w:val="297"/>
        </w:trPr>
        <w:tc>
          <w:tcPr>
            <w:tcW w:w="2970" w:type="dxa"/>
            <w:shd w:val="clear" w:color="auto" w:fill="auto"/>
            <w:noWrap/>
            <w:vAlign w:val="center"/>
            <w:hideMark/>
          </w:tcPr>
          <w:p w14:paraId="55D5A4EA" w14:textId="68745F17"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Intercept</w:t>
            </w:r>
          </w:p>
        </w:tc>
        <w:tc>
          <w:tcPr>
            <w:tcW w:w="1800" w:type="dxa"/>
            <w:shd w:val="clear" w:color="auto" w:fill="auto"/>
            <w:noWrap/>
            <w:vAlign w:val="bottom"/>
            <w:hideMark/>
          </w:tcPr>
          <w:p w14:paraId="00248BBD" w14:textId="497B88EF"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2.5598 ± 0.0431</w:t>
            </w:r>
          </w:p>
        </w:tc>
        <w:tc>
          <w:tcPr>
            <w:tcW w:w="2160" w:type="dxa"/>
            <w:shd w:val="clear" w:color="auto" w:fill="auto"/>
            <w:noWrap/>
            <w:vAlign w:val="bottom"/>
            <w:hideMark/>
          </w:tcPr>
          <w:p w14:paraId="15118643" w14:textId="10CC6893"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59.440 (0.000)</w:t>
            </w:r>
          </w:p>
        </w:tc>
      </w:tr>
      <w:tr w:rsidR="00565579" w:rsidRPr="008826C6" w14:paraId="4E945392" w14:textId="77777777" w:rsidTr="00092757">
        <w:trPr>
          <w:trHeight w:val="297"/>
        </w:trPr>
        <w:tc>
          <w:tcPr>
            <w:tcW w:w="2970" w:type="dxa"/>
            <w:shd w:val="clear" w:color="auto" w:fill="auto"/>
            <w:noWrap/>
            <w:vAlign w:val="center"/>
            <w:hideMark/>
          </w:tcPr>
          <w:p w14:paraId="03010F8D" w14:textId="3FE4FCE9"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Sex (M&gt;F)</w:t>
            </w:r>
          </w:p>
        </w:tc>
        <w:tc>
          <w:tcPr>
            <w:tcW w:w="1800" w:type="dxa"/>
            <w:shd w:val="clear" w:color="auto" w:fill="auto"/>
            <w:noWrap/>
            <w:vAlign w:val="bottom"/>
            <w:hideMark/>
          </w:tcPr>
          <w:p w14:paraId="5ABE3C4F" w14:textId="4F070AE9"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-0.0014 ± 0.0057</w:t>
            </w:r>
          </w:p>
        </w:tc>
        <w:tc>
          <w:tcPr>
            <w:tcW w:w="2160" w:type="dxa"/>
            <w:shd w:val="clear" w:color="auto" w:fill="auto"/>
            <w:noWrap/>
            <w:vAlign w:val="bottom"/>
            <w:hideMark/>
          </w:tcPr>
          <w:p w14:paraId="4F1C835C" w14:textId="48BC663C"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-0.240 (0.810)</w:t>
            </w:r>
          </w:p>
        </w:tc>
      </w:tr>
      <w:tr w:rsidR="00565579" w:rsidRPr="008826C6" w14:paraId="4929E226" w14:textId="77777777" w:rsidTr="00092757">
        <w:trPr>
          <w:trHeight w:val="297"/>
        </w:trPr>
        <w:tc>
          <w:tcPr>
            <w:tcW w:w="2970" w:type="dxa"/>
            <w:shd w:val="clear" w:color="auto" w:fill="auto"/>
            <w:noWrap/>
            <w:vAlign w:val="center"/>
            <w:hideMark/>
          </w:tcPr>
          <w:p w14:paraId="2B56F92F" w14:textId="3E6B8792"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Age</w:t>
            </w:r>
          </w:p>
        </w:tc>
        <w:tc>
          <w:tcPr>
            <w:tcW w:w="1800" w:type="dxa"/>
            <w:shd w:val="clear" w:color="auto" w:fill="auto"/>
            <w:noWrap/>
            <w:vAlign w:val="bottom"/>
            <w:hideMark/>
          </w:tcPr>
          <w:p w14:paraId="42A23E31" w14:textId="7CF932BA"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-0.0031 ± 0.0008</w:t>
            </w:r>
          </w:p>
        </w:tc>
        <w:tc>
          <w:tcPr>
            <w:tcW w:w="2160" w:type="dxa"/>
            <w:shd w:val="clear" w:color="auto" w:fill="auto"/>
            <w:noWrap/>
            <w:vAlign w:val="bottom"/>
            <w:hideMark/>
          </w:tcPr>
          <w:p w14:paraId="6538A787" w14:textId="73B52B65"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-3.694 (0.000)</w:t>
            </w:r>
          </w:p>
        </w:tc>
      </w:tr>
      <w:tr w:rsidR="00565579" w:rsidRPr="008826C6" w14:paraId="34189F65" w14:textId="77777777" w:rsidTr="00092757">
        <w:trPr>
          <w:trHeight w:val="297"/>
        </w:trPr>
        <w:tc>
          <w:tcPr>
            <w:tcW w:w="2970" w:type="dxa"/>
            <w:shd w:val="clear" w:color="auto" w:fill="auto"/>
            <w:noWrap/>
            <w:vAlign w:val="center"/>
            <w:hideMark/>
          </w:tcPr>
          <w:p w14:paraId="66D59635" w14:textId="029CDD32"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Alcohol (Composite Z-score)</w:t>
            </w:r>
          </w:p>
        </w:tc>
        <w:tc>
          <w:tcPr>
            <w:tcW w:w="1800" w:type="dxa"/>
            <w:shd w:val="clear" w:color="auto" w:fill="auto"/>
            <w:noWrap/>
            <w:vAlign w:val="bottom"/>
            <w:hideMark/>
          </w:tcPr>
          <w:p w14:paraId="2AF05742" w14:textId="4F7FCACD"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-0.0102 ± 0.0056</w:t>
            </w:r>
          </w:p>
        </w:tc>
        <w:tc>
          <w:tcPr>
            <w:tcW w:w="2160" w:type="dxa"/>
            <w:shd w:val="clear" w:color="auto" w:fill="auto"/>
            <w:noWrap/>
            <w:vAlign w:val="bottom"/>
            <w:hideMark/>
          </w:tcPr>
          <w:p w14:paraId="615036F2" w14:textId="6C2D05EE"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-1.809 (0.070)</w:t>
            </w:r>
          </w:p>
        </w:tc>
      </w:tr>
      <w:tr w:rsidR="00565579" w:rsidRPr="008826C6" w14:paraId="7AC2A44E" w14:textId="77777777" w:rsidTr="00092757">
        <w:trPr>
          <w:trHeight w:val="297"/>
        </w:trPr>
        <w:tc>
          <w:tcPr>
            <w:tcW w:w="2970" w:type="dxa"/>
            <w:shd w:val="clear" w:color="auto" w:fill="auto"/>
            <w:noWrap/>
            <w:vAlign w:val="center"/>
            <w:hideMark/>
          </w:tcPr>
          <w:p w14:paraId="2FA7A408" w14:textId="67523FB9"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Tobacco (Composite Z-score)</w:t>
            </w:r>
          </w:p>
        </w:tc>
        <w:tc>
          <w:tcPr>
            <w:tcW w:w="1800" w:type="dxa"/>
            <w:shd w:val="clear" w:color="auto" w:fill="auto"/>
            <w:noWrap/>
            <w:vAlign w:val="bottom"/>
            <w:hideMark/>
          </w:tcPr>
          <w:p w14:paraId="4D4CA58A" w14:textId="1865652F"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-0.0066 ± 0.0036</w:t>
            </w:r>
          </w:p>
        </w:tc>
        <w:tc>
          <w:tcPr>
            <w:tcW w:w="2160" w:type="dxa"/>
            <w:shd w:val="clear" w:color="auto" w:fill="auto"/>
            <w:noWrap/>
            <w:vAlign w:val="bottom"/>
            <w:hideMark/>
          </w:tcPr>
          <w:p w14:paraId="107788C9" w14:textId="413E7CE6"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-1.869 (0.062)</w:t>
            </w:r>
          </w:p>
        </w:tc>
      </w:tr>
      <w:tr w:rsidR="00565579" w:rsidRPr="008826C6" w14:paraId="50C9C7E2" w14:textId="77777777" w:rsidTr="00092757">
        <w:trPr>
          <w:trHeight w:val="297"/>
        </w:trPr>
        <w:tc>
          <w:tcPr>
            <w:tcW w:w="2970" w:type="dxa"/>
            <w:shd w:val="clear" w:color="auto" w:fill="auto"/>
            <w:noWrap/>
            <w:vAlign w:val="center"/>
            <w:hideMark/>
          </w:tcPr>
          <w:p w14:paraId="18263B40" w14:textId="56A3B5B6"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BMI</w:t>
            </w:r>
          </w:p>
        </w:tc>
        <w:tc>
          <w:tcPr>
            <w:tcW w:w="1800" w:type="dxa"/>
            <w:shd w:val="clear" w:color="auto" w:fill="auto"/>
            <w:noWrap/>
            <w:vAlign w:val="bottom"/>
            <w:hideMark/>
          </w:tcPr>
          <w:p w14:paraId="0DBBC3EB" w14:textId="608EE1A1"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0.0011 ± 0.0006</w:t>
            </w:r>
          </w:p>
        </w:tc>
        <w:tc>
          <w:tcPr>
            <w:tcW w:w="2160" w:type="dxa"/>
            <w:shd w:val="clear" w:color="auto" w:fill="auto"/>
            <w:noWrap/>
            <w:vAlign w:val="bottom"/>
            <w:hideMark/>
          </w:tcPr>
          <w:p w14:paraId="7757D4A7" w14:textId="23009FE2"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1.987 (0.047)</w:t>
            </w:r>
          </w:p>
        </w:tc>
      </w:tr>
      <w:tr w:rsidR="00565579" w:rsidRPr="008826C6" w14:paraId="4DDAB12E" w14:textId="77777777" w:rsidTr="00092757">
        <w:trPr>
          <w:trHeight w:val="297"/>
        </w:trPr>
        <w:tc>
          <w:tcPr>
            <w:tcW w:w="2970" w:type="dxa"/>
            <w:shd w:val="clear" w:color="auto" w:fill="auto"/>
            <w:noWrap/>
            <w:vAlign w:val="center"/>
            <w:hideMark/>
          </w:tcPr>
          <w:p w14:paraId="68060FAD" w14:textId="1D997D48" w:rsidR="00565579" w:rsidRPr="008F715E" w:rsidRDefault="00565579" w:rsidP="00565579">
            <w:pPr>
              <w:spacing w:after="0" w:line="276" w:lineRule="auto"/>
              <w:jc w:val="both"/>
              <w:rPr>
                <w:rFonts w:ascii="Times New Roman" w:eastAsia="Times New Roman" w:hAnsi="Times New Roman" w:cs="Times New Roman"/>
                <w:color w:val="000000"/>
              </w:rPr>
            </w:pPr>
            <w:r w:rsidRPr="008F715E">
              <w:rPr>
                <w:rFonts w:ascii="Times New Roman" w:hAnsi="Times New Roman" w:cs="Times New Roman"/>
                <w:color w:val="000000"/>
              </w:rPr>
              <w:t>Income</w:t>
            </w:r>
          </w:p>
        </w:tc>
        <w:tc>
          <w:tcPr>
            <w:tcW w:w="1800" w:type="dxa"/>
            <w:shd w:val="clear" w:color="auto" w:fill="auto"/>
            <w:noWrap/>
            <w:vAlign w:val="bottom"/>
            <w:hideMark/>
          </w:tcPr>
          <w:p w14:paraId="4B94533D" w14:textId="7A41F798"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-0.0013 ± 0.0013</w:t>
            </w:r>
          </w:p>
        </w:tc>
        <w:tc>
          <w:tcPr>
            <w:tcW w:w="2160" w:type="dxa"/>
            <w:shd w:val="clear" w:color="auto" w:fill="auto"/>
            <w:noWrap/>
            <w:vAlign w:val="bottom"/>
            <w:hideMark/>
          </w:tcPr>
          <w:p w14:paraId="144A1A83" w14:textId="3E56B73B" w:rsidR="00565579" w:rsidRPr="00565579" w:rsidRDefault="00565579" w:rsidP="00565579">
            <w:pPr>
              <w:spacing w:after="0" w:line="276" w:lineRule="auto"/>
              <w:jc w:val="center"/>
              <w:rPr>
                <w:rFonts w:ascii="Times New Roman" w:eastAsia="Times New Roman" w:hAnsi="Times New Roman" w:cs="Times New Roman"/>
                <w:color w:val="000000"/>
              </w:rPr>
            </w:pPr>
            <w:r w:rsidRPr="00565579">
              <w:rPr>
                <w:rFonts w:ascii="Times New Roman" w:hAnsi="Times New Roman" w:cs="Times New Roman"/>
                <w:color w:val="000000"/>
              </w:rPr>
              <w:t>-0.926 (0.354)</w:t>
            </w:r>
          </w:p>
        </w:tc>
      </w:tr>
      <w:tr w:rsidR="00565579" w:rsidRPr="008826C6" w14:paraId="5F7E7C8A" w14:textId="77777777" w:rsidTr="00092757">
        <w:trPr>
          <w:trHeight w:val="302"/>
        </w:trPr>
        <w:tc>
          <w:tcPr>
            <w:tcW w:w="2970" w:type="dxa"/>
            <w:shd w:val="clear" w:color="auto" w:fill="auto"/>
            <w:noWrap/>
            <w:vAlign w:val="center"/>
          </w:tcPr>
          <w:p w14:paraId="59CC1849" w14:textId="24162D61" w:rsidR="00565579" w:rsidRPr="008F715E" w:rsidRDefault="00565579" w:rsidP="00565579">
            <w:pPr>
              <w:spacing w:after="0" w:line="276" w:lineRule="auto"/>
              <w:jc w:val="both"/>
              <w:rPr>
                <w:rFonts w:ascii="Times New Roman" w:hAnsi="Times New Roman" w:cs="Times New Roman"/>
                <w:color w:val="000000"/>
              </w:rPr>
            </w:pPr>
            <w:r w:rsidRPr="008F715E">
              <w:rPr>
                <w:rFonts w:ascii="Times New Roman" w:hAnsi="Times New Roman" w:cs="Times New Roman"/>
                <w:color w:val="000000"/>
              </w:rPr>
              <w:t>Education</w:t>
            </w:r>
          </w:p>
        </w:tc>
        <w:tc>
          <w:tcPr>
            <w:tcW w:w="1800" w:type="dxa"/>
            <w:shd w:val="clear" w:color="auto" w:fill="auto"/>
            <w:noWrap/>
            <w:vAlign w:val="bottom"/>
          </w:tcPr>
          <w:p w14:paraId="05CC9BEA" w14:textId="27A38B4E" w:rsidR="00565579" w:rsidRPr="00565579" w:rsidRDefault="00565579" w:rsidP="00565579">
            <w:pPr>
              <w:spacing w:after="0" w:line="276" w:lineRule="auto"/>
              <w:jc w:val="center"/>
              <w:rPr>
                <w:rFonts w:ascii="Times New Roman" w:hAnsi="Times New Roman" w:cs="Times New Roman"/>
                <w:color w:val="000000"/>
              </w:rPr>
            </w:pPr>
            <w:r w:rsidRPr="00565579">
              <w:rPr>
                <w:rFonts w:ascii="Times New Roman" w:hAnsi="Times New Roman" w:cs="Times New Roman"/>
                <w:color w:val="000000"/>
              </w:rPr>
              <w:t>0.0016 ± 0.0016</w:t>
            </w:r>
          </w:p>
        </w:tc>
        <w:tc>
          <w:tcPr>
            <w:tcW w:w="2160" w:type="dxa"/>
            <w:shd w:val="clear" w:color="auto" w:fill="auto"/>
            <w:noWrap/>
            <w:vAlign w:val="bottom"/>
          </w:tcPr>
          <w:p w14:paraId="158608FF" w14:textId="27FCC67B" w:rsidR="00565579" w:rsidRPr="00565579" w:rsidRDefault="00565579" w:rsidP="00565579">
            <w:pPr>
              <w:spacing w:after="0" w:line="276" w:lineRule="auto"/>
              <w:jc w:val="center"/>
              <w:rPr>
                <w:rFonts w:ascii="Times New Roman" w:hAnsi="Times New Roman" w:cs="Times New Roman"/>
                <w:color w:val="000000"/>
              </w:rPr>
            </w:pPr>
            <w:r w:rsidRPr="00565579">
              <w:rPr>
                <w:rFonts w:ascii="Times New Roman" w:hAnsi="Times New Roman" w:cs="Times New Roman"/>
                <w:color w:val="000000"/>
              </w:rPr>
              <w:t>1.027 (0.304)</w:t>
            </w:r>
          </w:p>
        </w:tc>
      </w:tr>
      <w:tr w:rsidR="00565579" w:rsidRPr="008826C6" w14:paraId="6AAD0C9A" w14:textId="77777777" w:rsidTr="00092757">
        <w:trPr>
          <w:trHeight w:val="302"/>
        </w:trPr>
        <w:tc>
          <w:tcPr>
            <w:tcW w:w="2970" w:type="dxa"/>
            <w:shd w:val="clear" w:color="auto" w:fill="auto"/>
            <w:noWrap/>
            <w:vAlign w:val="center"/>
          </w:tcPr>
          <w:p w14:paraId="0F9F81B5" w14:textId="08E855B8" w:rsidR="00565579" w:rsidRPr="008F715E" w:rsidRDefault="00565579" w:rsidP="00565579">
            <w:pPr>
              <w:spacing w:after="0" w:line="276" w:lineRule="auto"/>
              <w:jc w:val="both"/>
              <w:rPr>
                <w:rFonts w:ascii="Times New Roman" w:hAnsi="Times New Roman" w:cs="Times New Roman"/>
                <w:color w:val="0070C0"/>
              </w:rPr>
            </w:pPr>
            <w:r w:rsidRPr="008F715E">
              <w:rPr>
                <w:rFonts w:ascii="Times New Roman" w:hAnsi="Times New Roman" w:cs="Times New Roman"/>
                <w:color w:val="000000"/>
              </w:rPr>
              <w:t>DSM Depression</w:t>
            </w:r>
          </w:p>
        </w:tc>
        <w:tc>
          <w:tcPr>
            <w:tcW w:w="1800" w:type="dxa"/>
            <w:shd w:val="clear" w:color="auto" w:fill="auto"/>
            <w:noWrap/>
            <w:vAlign w:val="bottom"/>
          </w:tcPr>
          <w:p w14:paraId="753FB339" w14:textId="54E5461B"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0000"/>
              </w:rPr>
              <w:t>0.0002 ± 0.0006</w:t>
            </w:r>
          </w:p>
        </w:tc>
        <w:tc>
          <w:tcPr>
            <w:tcW w:w="2160" w:type="dxa"/>
            <w:shd w:val="clear" w:color="auto" w:fill="auto"/>
            <w:noWrap/>
            <w:vAlign w:val="bottom"/>
          </w:tcPr>
          <w:p w14:paraId="27CB93EF" w14:textId="191E374C"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0000"/>
              </w:rPr>
              <w:t>0.287 (0.774)</w:t>
            </w:r>
          </w:p>
        </w:tc>
      </w:tr>
      <w:tr w:rsidR="00565579" w:rsidRPr="008826C6" w14:paraId="15FAC9C1" w14:textId="77777777" w:rsidTr="00092757">
        <w:trPr>
          <w:trHeight w:val="302"/>
        </w:trPr>
        <w:tc>
          <w:tcPr>
            <w:tcW w:w="2970" w:type="dxa"/>
            <w:shd w:val="clear" w:color="auto" w:fill="auto"/>
            <w:noWrap/>
            <w:vAlign w:val="center"/>
          </w:tcPr>
          <w:p w14:paraId="0BC96669" w14:textId="7FC593EB" w:rsidR="00565579" w:rsidRPr="008F715E" w:rsidRDefault="00565579" w:rsidP="00565579">
            <w:pPr>
              <w:spacing w:after="0" w:line="276" w:lineRule="auto"/>
              <w:jc w:val="both"/>
              <w:rPr>
                <w:rFonts w:ascii="Times New Roman" w:hAnsi="Times New Roman" w:cs="Times New Roman"/>
                <w:color w:val="0070C0"/>
              </w:rPr>
            </w:pPr>
            <w:r w:rsidRPr="008F715E">
              <w:rPr>
                <w:rFonts w:ascii="Times New Roman" w:hAnsi="Times New Roman" w:cs="Times New Roman"/>
                <w:color w:val="000000"/>
              </w:rPr>
              <w:t>DSM Anxiety</w:t>
            </w:r>
          </w:p>
        </w:tc>
        <w:tc>
          <w:tcPr>
            <w:tcW w:w="1800" w:type="dxa"/>
            <w:shd w:val="clear" w:color="auto" w:fill="auto"/>
            <w:noWrap/>
            <w:vAlign w:val="bottom"/>
          </w:tcPr>
          <w:p w14:paraId="486A844A" w14:textId="19F8805A"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0000"/>
              </w:rPr>
              <w:t>-0.0002 ± 0.0007</w:t>
            </w:r>
          </w:p>
        </w:tc>
        <w:tc>
          <w:tcPr>
            <w:tcW w:w="2160" w:type="dxa"/>
            <w:shd w:val="clear" w:color="auto" w:fill="auto"/>
            <w:noWrap/>
            <w:vAlign w:val="bottom"/>
          </w:tcPr>
          <w:p w14:paraId="3961E2ED" w14:textId="333C03AC"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0000"/>
              </w:rPr>
              <w:t>-0.239 (0.811)</w:t>
            </w:r>
          </w:p>
        </w:tc>
      </w:tr>
      <w:tr w:rsidR="00565579" w:rsidRPr="008826C6" w14:paraId="689D1994" w14:textId="77777777" w:rsidTr="00092757">
        <w:trPr>
          <w:trHeight w:val="302"/>
        </w:trPr>
        <w:tc>
          <w:tcPr>
            <w:tcW w:w="2970" w:type="dxa"/>
            <w:shd w:val="clear" w:color="auto" w:fill="auto"/>
            <w:noWrap/>
            <w:vAlign w:val="center"/>
          </w:tcPr>
          <w:p w14:paraId="05B30D30" w14:textId="2913477E" w:rsidR="00565579" w:rsidRPr="008F715E" w:rsidRDefault="00565579" w:rsidP="00565579">
            <w:pPr>
              <w:spacing w:after="0" w:line="276" w:lineRule="auto"/>
              <w:jc w:val="both"/>
              <w:rPr>
                <w:rFonts w:ascii="Times New Roman" w:hAnsi="Times New Roman" w:cs="Times New Roman"/>
                <w:color w:val="0070C0"/>
              </w:rPr>
            </w:pPr>
            <w:r w:rsidRPr="008F715E">
              <w:rPr>
                <w:rFonts w:ascii="Times New Roman" w:hAnsi="Times New Roman" w:cs="Times New Roman"/>
                <w:color w:val="0070C0"/>
              </w:rPr>
              <w:t>Contrast 1: 'Causal'</w:t>
            </w:r>
          </w:p>
        </w:tc>
        <w:tc>
          <w:tcPr>
            <w:tcW w:w="1800" w:type="dxa"/>
            <w:shd w:val="clear" w:color="auto" w:fill="auto"/>
            <w:noWrap/>
            <w:vAlign w:val="bottom"/>
          </w:tcPr>
          <w:p w14:paraId="410D9872" w14:textId="77A44EED"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-0.0115 ± 0.0054</w:t>
            </w:r>
          </w:p>
        </w:tc>
        <w:tc>
          <w:tcPr>
            <w:tcW w:w="2160" w:type="dxa"/>
            <w:shd w:val="clear" w:color="auto" w:fill="auto"/>
            <w:noWrap/>
            <w:vAlign w:val="bottom"/>
          </w:tcPr>
          <w:p w14:paraId="419E151F" w14:textId="1F0FCBE9"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-2.130 (0.033)</w:t>
            </w:r>
          </w:p>
        </w:tc>
      </w:tr>
      <w:tr w:rsidR="00565579" w:rsidRPr="008826C6" w14:paraId="002288A4" w14:textId="77777777" w:rsidTr="00092757">
        <w:trPr>
          <w:trHeight w:val="302"/>
        </w:trPr>
        <w:tc>
          <w:tcPr>
            <w:tcW w:w="2970" w:type="dxa"/>
            <w:shd w:val="clear" w:color="auto" w:fill="auto"/>
            <w:noWrap/>
            <w:vAlign w:val="center"/>
          </w:tcPr>
          <w:p w14:paraId="6DEB425E" w14:textId="52D71485" w:rsidR="00565579" w:rsidRPr="008F715E" w:rsidRDefault="00565579" w:rsidP="00565579">
            <w:pPr>
              <w:spacing w:after="0" w:line="276" w:lineRule="auto"/>
              <w:jc w:val="both"/>
              <w:rPr>
                <w:rFonts w:ascii="Times New Roman" w:hAnsi="Times New Roman" w:cs="Times New Roman"/>
                <w:color w:val="0070C0"/>
              </w:rPr>
            </w:pPr>
            <w:r w:rsidRPr="008F715E">
              <w:rPr>
                <w:rFonts w:ascii="Times New Roman" w:hAnsi="Times New Roman" w:cs="Times New Roman"/>
                <w:color w:val="0070C0"/>
              </w:rPr>
              <w:t>Contrast 2: 'Graded Liability'</w:t>
            </w:r>
          </w:p>
        </w:tc>
        <w:tc>
          <w:tcPr>
            <w:tcW w:w="1800" w:type="dxa"/>
            <w:shd w:val="clear" w:color="auto" w:fill="auto"/>
            <w:noWrap/>
            <w:vAlign w:val="bottom"/>
          </w:tcPr>
          <w:p w14:paraId="755DF6CC" w14:textId="11EE53B5"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-0.0102 ± 0.0050</w:t>
            </w:r>
          </w:p>
        </w:tc>
        <w:tc>
          <w:tcPr>
            <w:tcW w:w="2160" w:type="dxa"/>
            <w:shd w:val="clear" w:color="auto" w:fill="auto"/>
            <w:noWrap/>
            <w:vAlign w:val="bottom"/>
          </w:tcPr>
          <w:p w14:paraId="30D1EA9E" w14:textId="57B56A8D"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-2.039 (0.041)</w:t>
            </w:r>
          </w:p>
        </w:tc>
      </w:tr>
      <w:tr w:rsidR="00565579" w:rsidRPr="008826C6" w14:paraId="08C9219E" w14:textId="77777777" w:rsidTr="00092757">
        <w:trPr>
          <w:trHeight w:val="302"/>
        </w:trPr>
        <w:tc>
          <w:tcPr>
            <w:tcW w:w="2970" w:type="dxa"/>
            <w:shd w:val="clear" w:color="auto" w:fill="auto"/>
            <w:noWrap/>
            <w:vAlign w:val="center"/>
          </w:tcPr>
          <w:p w14:paraId="6CFF10B7" w14:textId="0262261C" w:rsidR="00565579" w:rsidRPr="008F715E" w:rsidRDefault="00565579" w:rsidP="00565579">
            <w:pPr>
              <w:spacing w:after="0" w:line="276" w:lineRule="auto"/>
              <w:jc w:val="both"/>
              <w:rPr>
                <w:rFonts w:ascii="Times New Roman" w:hAnsi="Times New Roman" w:cs="Times New Roman"/>
                <w:color w:val="0070C0"/>
              </w:rPr>
            </w:pPr>
            <w:r w:rsidRPr="008F715E">
              <w:rPr>
                <w:rFonts w:ascii="Times New Roman" w:hAnsi="Times New Roman" w:cs="Times New Roman"/>
                <w:color w:val="0070C0"/>
              </w:rPr>
              <w:t>Contrast 3: 'Predisposition'</w:t>
            </w:r>
          </w:p>
        </w:tc>
        <w:tc>
          <w:tcPr>
            <w:tcW w:w="1800" w:type="dxa"/>
            <w:shd w:val="clear" w:color="auto" w:fill="auto"/>
            <w:noWrap/>
            <w:vAlign w:val="bottom"/>
          </w:tcPr>
          <w:p w14:paraId="1031223D" w14:textId="65C01072"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0.0030 ± 0.0022</w:t>
            </w:r>
          </w:p>
        </w:tc>
        <w:tc>
          <w:tcPr>
            <w:tcW w:w="2160" w:type="dxa"/>
            <w:shd w:val="clear" w:color="auto" w:fill="auto"/>
            <w:noWrap/>
            <w:vAlign w:val="bottom"/>
          </w:tcPr>
          <w:p w14:paraId="47FB250C" w14:textId="09E4060F" w:rsidR="00565579" w:rsidRPr="00565579" w:rsidRDefault="00565579" w:rsidP="00565579">
            <w:pPr>
              <w:spacing w:after="0" w:line="276" w:lineRule="auto"/>
              <w:jc w:val="center"/>
              <w:rPr>
                <w:rFonts w:ascii="Times New Roman" w:hAnsi="Times New Roman" w:cs="Times New Roman"/>
                <w:color w:val="0070C0"/>
              </w:rPr>
            </w:pPr>
            <w:r w:rsidRPr="00565579">
              <w:rPr>
                <w:rFonts w:ascii="Times New Roman" w:hAnsi="Times New Roman" w:cs="Times New Roman"/>
                <w:color w:val="0070C0"/>
              </w:rPr>
              <w:t>1.378 (0.168)</w:t>
            </w:r>
          </w:p>
        </w:tc>
      </w:tr>
    </w:tbl>
    <w:p w14:paraId="63A2DE2C" w14:textId="54591085" w:rsidR="00117D35" w:rsidRDefault="00117D35" w:rsidP="0094548D">
      <w:pPr>
        <w:spacing w:line="276" w:lineRule="auto"/>
      </w:pPr>
    </w:p>
    <w:p w14:paraId="77DB9FF2" w14:textId="3F93FAC1" w:rsidR="00F50DE7" w:rsidRDefault="00F50DE7">
      <w:r>
        <w:br w:type="page"/>
      </w:r>
    </w:p>
    <w:p w14:paraId="28CB8A45" w14:textId="20E94276" w:rsidR="008E0D40" w:rsidRDefault="008E0D40" w:rsidP="008E0D40">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Supplementary Figure 1.</w:t>
      </w:r>
      <w:r w:rsidRPr="00A9322C">
        <w:rPr>
          <w:rFonts w:ascii="Times New Roman" w:eastAsia="MS Mincho" w:hAnsi="Times New Roman"/>
          <w:b/>
          <w:sz w:val="24"/>
          <w:szCs w:val="24"/>
          <w:lang w:eastAsia="zh-CN"/>
        </w:rPr>
        <w:t xml:space="preserve"> </w:t>
      </w:r>
      <w:r w:rsidR="00BC55A5">
        <w:rPr>
          <w:rFonts w:ascii="Times New Roman" w:eastAsia="MS Mincho" w:hAnsi="Times New Roman"/>
          <w:b/>
          <w:bCs/>
          <w:sz w:val="24"/>
          <w:szCs w:val="24"/>
          <w:lang w:eastAsia="zh-CN"/>
        </w:rPr>
        <w:t>Association between g</w:t>
      </w:r>
      <w:r w:rsidRPr="008E0D40">
        <w:rPr>
          <w:rFonts w:ascii="Times New Roman" w:eastAsia="MS Mincho" w:hAnsi="Times New Roman"/>
          <w:b/>
          <w:bCs/>
          <w:sz w:val="24"/>
          <w:szCs w:val="24"/>
          <w:lang w:eastAsia="zh-CN"/>
        </w:rPr>
        <w:t>roup differences in cortical thickness and gray matter density</w:t>
      </w:r>
      <w:r>
        <w:rPr>
          <w:rFonts w:ascii="Times New Roman" w:eastAsia="MS Mincho" w:hAnsi="Times New Roman"/>
          <w:sz w:val="24"/>
          <w:szCs w:val="24"/>
          <w:lang w:eastAsia="zh-CN"/>
        </w:rPr>
        <w:t xml:space="preserve">. </w:t>
      </w:r>
      <w:r w:rsidR="00BC55A5">
        <w:rPr>
          <w:rFonts w:ascii="Times New Roman" w:eastAsia="MS Mincho" w:hAnsi="Times New Roman"/>
          <w:sz w:val="24"/>
          <w:szCs w:val="24"/>
          <w:lang w:eastAsia="zh-CN"/>
        </w:rPr>
        <w:t>Group differences in c</w:t>
      </w:r>
      <w:r w:rsidRPr="008E0D40">
        <w:rPr>
          <w:rFonts w:ascii="Times New Roman" w:eastAsia="MS Mincho" w:hAnsi="Times New Roman"/>
          <w:sz w:val="24"/>
          <w:szCs w:val="24"/>
          <w:lang w:eastAsia="zh-CN"/>
        </w:rPr>
        <w:t>ortical thickness and gray matter density</w:t>
      </w:r>
      <w:r>
        <w:rPr>
          <w:rFonts w:ascii="Times New Roman" w:eastAsia="MS Mincho" w:hAnsi="Times New Roman"/>
          <w:sz w:val="24"/>
          <w:szCs w:val="24"/>
          <w:lang w:eastAsia="zh-CN"/>
        </w:rPr>
        <w:t xml:space="preserve"> were generally consistent across brain regions; there was a positive correlation between the two (</w:t>
      </w:r>
      <w:r w:rsidRPr="00B258DB">
        <w:rPr>
          <w:rFonts w:ascii="Times New Roman" w:eastAsia="MS Mincho" w:hAnsi="Times New Roman"/>
          <w:i/>
          <w:sz w:val="24"/>
          <w:szCs w:val="24"/>
          <w:lang w:eastAsia="zh-CN"/>
        </w:rPr>
        <w:t xml:space="preserve">r </w:t>
      </w:r>
      <w:r>
        <w:rPr>
          <w:rFonts w:ascii="Times New Roman" w:eastAsia="MS Mincho" w:hAnsi="Times New Roman"/>
          <w:sz w:val="24"/>
          <w:szCs w:val="24"/>
          <w:lang w:eastAsia="zh-CN"/>
        </w:rPr>
        <w:t xml:space="preserve">= .53, </w:t>
      </w:r>
      <w:r w:rsidRPr="00B258DB">
        <w:rPr>
          <w:rFonts w:ascii="Times New Roman" w:eastAsia="MS Mincho" w:hAnsi="Times New Roman"/>
          <w:i/>
          <w:sz w:val="24"/>
          <w:szCs w:val="24"/>
          <w:lang w:eastAsia="zh-CN"/>
        </w:rPr>
        <w:t>p</w:t>
      </w:r>
      <w:r>
        <w:rPr>
          <w:rFonts w:ascii="Times New Roman" w:eastAsia="MS Mincho" w:hAnsi="Times New Roman"/>
          <w:sz w:val="24"/>
          <w:szCs w:val="24"/>
          <w:lang w:eastAsia="zh-CN"/>
        </w:rPr>
        <w:t xml:space="preserve"> = .001). The solid line indicates the line of best fit, and the dashed lines indicate the 95% confidence intervals. Note: GM = gray matter.</w:t>
      </w:r>
    </w:p>
    <w:p w14:paraId="2384518F" w14:textId="3757FCE9" w:rsidR="008E0D40" w:rsidRDefault="008E0D40" w:rsidP="008E0D40">
      <w:pPr>
        <w:spacing w:line="276" w:lineRule="auto"/>
        <w:rPr>
          <w:rFonts w:ascii="Times New Roman" w:eastAsia="MS Mincho" w:hAnsi="Times New Roman"/>
          <w:bCs/>
          <w:sz w:val="24"/>
          <w:szCs w:val="24"/>
          <w:lang w:eastAsia="zh-CN"/>
        </w:rPr>
      </w:pPr>
      <w:r>
        <w:rPr>
          <w:rFonts w:ascii="Times New Roman" w:eastAsia="MS Mincho" w:hAnsi="Times New Roman"/>
          <w:bCs/>
          <w:noProof/>
          <w:sz w:val="24"/>
          <w:szCs w:val="24"/>
        </w:rPr>
        <w:drawing>
          <wp:inline distT="0" distB="0" distL="0" distR="0" wp14:anchorId="6A183134" wp14:editId="6FCA1A18">
            <wp:extent cx="2743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p>
    <w:p w14:paraId="6FA45864" w14:textId="77777777" w:rsidR="008E0D40" w:rsidRDefault="008E0D40">
      <w:pPr>
        <w:rPr>
          <w:rFonts w:ascii="Times New Roman" w:eastAsia="MS Mincho" w:hAnsi="Times New Roman"/>
          <w:b/>
          <w:bCs/>
          <w:sz w:val="24"/>
          <w:szCs w:val="24"/>
          <w:lang w:eastAsia="zh-CN"/>
        </w:rPr>
      </w:pPr>
      <w:r>
        <w:rPr>
          <w:rFonts w:ascii="Times New Roman" w:eastAsia="MS Mincho" w:hAnsi="Times New Roman"/>
          <w:b/>
          <w:bCs/>
          <w:sz w:val="24"/>
          <w:szCs w:val="24"/>
          <w:lang w:eastAsia="zh-CN"/>
        </w:rPr>
        <w:br w:type="page"/>
      </w:r>
    </w:p>
    <w:p w14:paraId="2B07910F" w14:textId="46FB81CC" w:rsidR="00F50DE7" w:rsidRDefault="00F50DE7" w:rsidP="0094548D">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 xml:space="preserve">Supplementary Figure </w:t>
      </w:r>
      <w:r w:rsidR="008E0D40">
        <w:rPr>
          <w:rFonts w:ascii="Times New Roman" w:eastAsia="MS Mincho" w:hAnsi="Times New Roman"/>
          <w:b/>
          <w:bCs/>
          <w:sz w:val="24"/>
          <w:szCs w:val="24"/>
          <w:lang w:eastAsia="zh-CN"/>
        </w:rPr>
        <w:t>2</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proofErr w:type="spellStart"/>
      <w:r>
        <w:rPr>
          <w:rFonts w:ascii="Times New Roman" w:eastAsia="MS Mincho" w:hAnsi="Times New Roman"/>
          <w:b/>
          <w:sz w:val="24"/>
          <w:szCs w:val="24"/>
          <w:lang w:eastAsia="zh-CN"/>
        </w:rPr>
        <w:t>Precuneus</w:t>
      </w:r>
      <w:proofErr w:type="spellEnd"/>
      <w:r>
        <w:rPr>
          <w:rFonts w:ascii="Times New Roman" w:eastAsia="MS Mincho" w:hAnsi="Times New Roman"/>
          <w:b/>
          <w:sz w:val="24"/>
          <w:szCs w:val="24"/>
          <w:lang w:eastAsia="zh-CN"/>
        </w:rPr>
        <w:t xml:space="preserve"> cortical thickness based on past-year cannabis use and THC Urinalysis in the CD group</w:t>
      </w:r>
      <w:r w:rsidRPr="00A9322C">
        <w:rPr>
          <w:rFonts w:ascii="Times New Roman" w:eastAsia="MS Mincho" w:hAnsi="Times New Roman"/>
          <w:b/>
          <w:sz w:val="24"/>
          <w:szCs w:val="24"/>
          <w:lang w:eastAsia="zh-CN"/>
        </w:rPr>
        <w:t xml:space="preserve">. </w:t>
      </w:r>
      <w:r>
        <w:rPr>
          <w:rFonts w:ascii="Times New Roman" w:eastAsia="MS Mincho" w:hAnsi="Times New Roman"/>
          <w:bCs/>
          <w:sz w:val="24"/>
          <w:szCs w:val="24"/>
          <w:lang w:eastAsia="zh-CN"/>
        </w:rPr>
        <w:t xml:space="preserve">Our results suggest that recent cannabis use, as assessed by </w:t>
      </w:r>
      <w:r w:rsidR="008F6F95">
        <w:rPr>
          <w:rFonts w:ascii="Times New Roman" w:eastAsia="MS Mincho" w:hAnsi="Times New Roman"/>
          <w:bCs/>
          <w:sz w:val="24"/>
          <w:szCs w:val="24"/>
          <w:lang w:eastAsia="zh-CN"/>
        </w:rPr>
        <w:t>a</w:t>
      </w:r>
      <w:r>
        <w:rPr>
          <w:rFonts w:ascii="Times New Roman" w:eastAsia="MS Mincho" w:hAnsi="Times New Roman"/>
          <w:bCs/>
          <w:sz w:val="24"/>
          <w:szCs w:val="24"/>
          <w:lang w:eastAsia="zh-CN"/>
        </w:rPr>
        <w:t xml:space="preserve">) subjective (self-reported </w:t>
      </w:r>
      <w:r w:rsidR="008F6F95">
        <w:rPr>
          <w:rFonts w:ascii="Times New Roman" w:eastAsia="MS Mincho" w:hAnsi="Times New Roman"/>
          <w:bCs/>
          <w:sz w:val="24"/>
          <w:szCs w:val="24"/>
          <w:lang w:eastAsia="zh-CN"/>
        </w:rPr>
        <w:t xml:space="preserve">number of cannabis </w:t>
      </w:r>
      <w:r>
        <w:rPr>
          <w:rFonts w:ascii="Times New Roman" w:eastAsia="MS Mincho" w:hAnsi="Times New Roman"/>
          <w:bCs/>
          <w:sz w:val="24"/>
          <w:szCs w:val="24"/>
          <w:lang w:eastAsia="zh-CN"/>
        </w:rPr>
        <w:t>use</w:t>
      </w:r>
      <w:r w:rsidR="008F6F95">
        <w:rPr>
          <w:rFonts w:ascii="Times New Roman" w:eastAsia="MS Mincho" w:hAnsi="Times New Roman"/>
          <w:bCs/>
          <w:sz w:val="24"/>
          <w:szCs w:val="24"/>
          <w:lang w:eastAsia="zh-CN"/>
        </w:rPr>
        <w:t>s</w:t>
      </w:r>
      <w:r>
        <w:rPr>
          <w:rFonts w:ascii="Times New Roman" w:eastAsia="MS Mincho" w:hAnsi="Times New Roman"/>
          <w:bCs/>
          <w:sz w:val="24"/>
          <w:szCs w:val="24"/>
          <w:lang w:eastAsia="zh-CN"/>
        </w:rPr>
        <w:t xml:space="preserve"> in the past year) and </w:t>
      </w:r>
      <w:r w:rsidR="008F6F95">
        <w:rPr>
          <w:rFonts w:ascii="Times New Roman" w:eastAsia="MS Mincho" w:hAnsi="Times New Roman"/>
          <w:bCs/>
          <w:sz w:val="24"/>
          <w:szCs w:val="24"/>
          <w:lang w:eastAsia="zh-CN"/>
        </w:rPr>
        <w:t>b</w:t>
      </w:r>
      <w:r>
        <w:rPr>
          <w:rFonts w:ascii="Times New Roman" w:eastAsia="MS Mincho" w:hAnsi="Times New Roman"/>
          <w:bCs/>
          <w:sz w:val="24"/>
          <w:szCs w:val="24"/>
          <w:lang w:eastAsia="zh-CN"/>
        </w:rPr>
        <w:t>) objective (</w:t>
      </w:r>
      <w:r w:rsidR="008F6F95">
        <w:rPr>
          <w:rFonts w:ascii="Times New Roman" w:eastAsia="MS Mincho" w:hAnsi="Times New Roman"/>
          <w:bCs/>
          <w:sz w:val="24"/>
          <w:szCs w:val="24"/>
          <w:lang w:eastAsia="zh-CN"/>
        </w:rPr>
        <w:t xml:space="preserve">THC </w:t>
      </w:r>
      <w:r>
        <w:rPr>
          <w:rFonts w:ascii="Times New Roman" w:eastAsia="MS Mincho" w:hAnsi="Times New Roman"/>
          <w:bCs/>
          <w:sz w:val="24"/>
          <w:szCs w:val="24"/>
          <w:lang w:eastAsia="zh-CN"/>
        </w:rPr>
        <w:t xml:space="preserve">urine screen results) </w:t>
      </w:r>
      <w:r w:rsidR="00CA3191">
        <w:rPr>
          <w:rFonts w:ascii="Times New Roman" w:eastAsia="MS Mincho" w:hAnsi="Times New Roman"/>
          <w:bCs/>
          <w:sz w:val="24"/>
          <w:szCs w:val="24"/>
          <w:lang w:eastAsia="zh-CN"/>
        </w:rPr>
        <w:t xml:space="preserve">measures both suggested that recent use was not driving the </w:t>
      </w:r>
      <w:proofErr w:type="spellStart"/>
      <w:r w:rsidR="00CA3191">
        <w:rPr>
          <w:rFonts w:ascii="Times New Roman" w:eastAsia="MS Mincho" w:hAnsi="Times New Roman"/>
          <w:bCs/>
          <w:sz w:val="24"/>
          <w:szCs w:val="24"/>
          <w:lang w:eastAsia="zh-CN"/>
        </w:rPr>
        <w:t>precuneus</w:t>
      </w:r>
      <w:proofErr w:type="spellEnd"/>
      <w:r w:rsidR="00CA3191">
        <w:rPr>
          <w:rFonts w:ascii="Times New Roman" w:eastAsia="MS Mincho" w:hAnsi="Times New Roman"/>
          <w:bCs/>
          <w:sz w:val="24"/>
          <w:szCs w:val="24"/>
          <w:lang w:eastAsia="zh-CN"/>
        </w:rPr>
        <w:t xml:space="preserve"> thickness deficits in the CD group. </w:t>
      </w:r>
      <w:r w:rsidR="00DB64C0">
        <w:rPr>
          <w:rFonts w:ascii="Times New Roman" w:eastAsia="MS Mincho" w:hAnsi="Times New Roman"/>
          <w:bCs/>
          <w:sz w:val="24"/>
          <w:szCs w:val="24"/>
          <w:lang w:eastAsia="zh-CN"/>
        </w:rPr>
        <w:t xml:space="preserve">Indeed, the primary results held when including these factors as covariates in the analyses. </w:t>
      </w:r>
      <w:r w:rsidR="008F6F95">
        <w:rPr>
          <w:rFonts w:ascii="Times New Roman" w:eastAsia="MS Mincho" w:hAnsi="Times New Roman"/>
          <w:bCs/>
          <w:sz w:val="24"/>
          <w:szCs w:val="24"/>
          <w:lang w:eastAsia="zh-CN"/>
        </w:rPr>
        <w:t>The numbers in each bar represent the number of participants. NOTE: L = Left.</w:t>
      </w:r>
      <w:r w:rsidR="00306DD9">
        <w:rPr>
          <w:rFonts w:ascii="Times New Roman" w:eastAsia="MS Mincho" w:hAnsi="Times New Roman"/>
          <w:bCs/>
          <w:sz w:val="24"/>
          <w:szCs w:val="24"/>
          <w:lang w:eastAsia="zh-CN"/>
        </w:rPr>
        <w:t xml:space="preserve"> Error bars represent standard error of the mean.</w:t>
      </w:r>
    </w:p>
    <w:p w14:paraId="5548CAB9" w14:textId="66B46796" w:rsidR="008F6F95" w:rsidRDefault="008F6F95" w:rsidP="0094548D">
      <w:pPr>
        <w:spacing w:line="276" w:lineRule="auto"/>
      </w:pPr>
      <w:r>
        <w:rPr>
          <w:noProof/>
        </w:rPr>
        <w:drawing>
          <wp:inline distT="0" distB="0" distL="0" distR="0" wp14:anchorId="5781C36B" wp14:editId="1919313B">
            <wp:extent cx="4746373" cy="296648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8157" cy="2967598"/>
                    </a:xfrm>
                    <a:prstGeom prst="rect">
                      <a:avLst/>
                    </a:prstGeom>
                    <a:noFill/>
                    <a:ln>
                      <a:noFill/>
                    </a:ln>
                  </pic:spPr>
                </pic:pic>
              </a:graphicData>
            </a:graphic>
          </wp:inline>
        </w:drawing>
      </w:r>
    </w:p>
    <w:p w14:paraId="09E5C572" w14:textId="1BBF9505" w:rsidR="008F6F95" w:rsidRDefault="008F6F95" w:rsidP="0094548D">
      <w:pPr>
        <w:spacing w:line="276" w:lineRule="auto"/>
      </w:pPr>
    </w:p>
    <w:p w14:paraId="1FC49FAF" w14:textId="552EBF42" w:rsidR="008F6F95" w:rsidRDefault="008F6F95">
      <w:r>
        <w:br w:type="page"/>
      </w:r>
    </w:p>
    <w:p w14:paraId="7518AC0F" w14:textId="62CFF4E6" w:rsidR="005A53D9" w:rsidRDefault="008F6F95" w:rsidP="0094548D">
      <w:pPr>
        <w:spacing w:line="276" w:lineRule="auto"/>
        <w:rPr>
          <w:rFonts w:ascii="Times New Roman" w:eastAsia="MS Mincho" w:hAnsi="Times New Roman"/>
          <w:bCs/>
          <w:sz w:val="24"/>
          <w:szCs w:val="24"/>
          <w:lang w:eastAsia="zh-CN"/>
        </w:rPr>
      </w:pPr>
      <w:r>
        <w:rPr>
          <w:rFonts w:ascii="Times New Roman" w:eastAsia="MS Mincho" w:hAnsi="Times New Roman"/>
          <w:b/>
          <w:bCs/>
          <w:sz w:val="24"/>
          <w:szCs w:val="24"/>
          <w:lang w:eastAsia="zh-CN"/>
        </w:rPr>
        <w:lastRenderedPageBreak/>
        <w:t xml:space="preserve">Supplementary Figure </w:t>
      </w:r>
      <w:r w:rsidR="008E0D40">
        <w:rPr>
          <w:rFonts w:ascii="Times New Roman" w:eastAsia="MS Mincho" w:hAnsi="Times New Roman"/>
          <w:b/>
          <w:bCs/>
          <w:sz w:val="24"/>
          <w:szCs w:val="24"/>
          <w:lang w:eastAsia="zh-CN"/>
        </w:rPr>
        <w:t>3</w:t>
      </w:r>
      <w:r w:rsidRPr="00A9322C">
        <w:rPr>
          <w:rFonts w:ascii="Times New Roman" w:eastAsia="MS Mincho" w:hAnsi="Times New Roman"/>
          <w:b/>
          <w:bCs/>
          <w:sz w:val="24"/>
          <w:szCs w:val="24"/>
          <w:lang w:eastAsia="zh-CN"/>
        </w:rPr>
        <w:t>.</w:t>
      </w:r>
      <w:r w:rsidRPr="00A9322C">
        <w:rPr>
          <w:rFonts w:ascii="Times New Roman" w:eastAsia="MS Mincho" w:hAnsi="Times New Roman"/>
          <w:b/>
          <w:sz w:val="24"/>
          <w:szCs w:val="24"/>
          <w:lang w:eastAsia="zh-CN"/>
        </w:rPr>
        <w:t xml:space="preserve"> </w:t>
      </w:r>
      <w:r w:rsidR="005A53D9">
        <w:rPr>
          <w:rFonts w:ascii="Times New Roman" w:eastAsia="MS Mincho" w:hAnsi="Times New Roman"/>
          <w:b/>
          <w:sz w:val="24"/>
          <w:szCs w:val="24"/>
          <w:lang w:eastAsia="zh-CN"/>
        </w:rPr>
        <w:t xml:space="preserve">Group differences in left </w:t>
      </w:r>
      <w:proofErr w:type="spellStart"/>
      <w:r w:rsidR="005A53D9">
        <w:rPr>
          <w:rFonts w:ascii="Times New Roman" w:eastAsia="MS Mincho" w:hAnsi="Times New Roman"/>
          <w:b/>
          <w:sz w:val="24"/>
          <w:szCs w:val="24"/>
          <w:lang w:eastAsia="zh-CN"/>
        </w:rPr>
        <w:t>p</w:t>
      </w:r>
      <w:r>
        <w:rPr>
          <w:rFonts w:ascii="Times New Roman" w:eastAsia="MS Mincho" w:hAnsi="Times New Roman"/>
          <w:b/>
          <w:sz w:val="24"/>
          <w:szCs w:val="24"/>
          <w:lang w:eastAsia="zh-CN"/>
        </w:rPr>
        <w:t>recuneus</w:t>
      </w:r>
      <w:proofErr w:type="spellEnd"/>
      <w:r>
        <w:rPr>
          <w:rFonts w:ascii="Times New Roman" w:eastAsia="MS Mincho" w:hAnsi="Times New Roman"/>
          <w:b/>
          <w:sz w:val="24"/>
          <w:szCs w:val="24"/>
          <w:lang w:eastAsia="zh-CN"/>
        </w:rPr>
        <w:t xml:space="preserve"> cortical thickness</w:t>
      </w:r>
      <w:r w:rsidR="005A53D9">
        <w:rPr>
          <w:rFonts w:ascii="Times New Roman" w:eastAsia="MS Mincho" w:hAnsi="Times New Roman"/>
          <w:b/>
          <w:sz w:val="24"/>
          <w:szCs w:val="24"/>
          <w:lang w:eastAsia="zh-CN"/>
        </w:rPr>
        <w:t>, including the ‘&gt;100 Use’ group</w:t>
      </w:r>
      <w:r w:rsidRPr="00A9322C">
        <w:rPr>
          <w:rFonts w:ascii="Times New Roman" w:eastAsia="MS Mincho" w:hAnsi="Times New Roman"/>
          <w:b/>
          <w:sz w:val="24"/>
          <w:szCs w:val="24"/>
          <w:lang w:eastAsia="zh-CN"/>
        </w:rPr>
        <w:t xml:space="preserve">. </w:t>
      </w:r>
      <w:r w:rsidR="005A53D9" w:rsidRPr="00C70AAB">
        <w:rPr>
          <w:rFonts w:ascii="Times New Roman" w:eastAsia="MS Mincho" w:hAnsi="Times New Roman"/>
          <w:bCs/>
          <w:sz w:val="24"/>
          <w:szCs w:val="24"/>
          <w:lang w:eastAsia="zh-CN"/>
        </w:rPr>
        <w:t>T</w:t>
      </w:r>
      <w:r w:rsidR="005A53D9" w:rsidRPr="005A53D9">
        <w:rPr>
          <w:rFonts w:ascii="Times New Roman" w:eastAsia="MS Mincho" w:hAnsi="Times New Roman"/>
          <w:bCs/>
          <w:sz w:val="24"/>
          <w:szCs w:val="24"/>
          <w:lang w:eastAsia="zh-CN"/>
        </w:rPr>
        <w:t xml:space="preserve">he &gt;100 </w:t>
      </w:r>
      <w:r w:rsidR="00D375B7">
        <w:rPr>
          <w:rFonts w:ascii="Times New Roman" w:eastAsia="MS Mincho" w:hAnsi="Times New Roman"/>
          <w:bCs/>
          <w:sz w:val="24"/>
          <w:szCs w:val="24"/>
          <w:lang w:eastAsia="zh-CN"/>
        </w:rPr>
        <w:t>U</w:t>
      </w:r>
      <w:r w:rsidR="005A53D9" w:rsidRPr="005A53D9">
        <w:rPr>
          <w:rFonts w:ascii="Times New Roman" w:eastAsia="MS Mincho" w:hAnsi="Times New Roman"/>
          <w:bCs/>
          <w:sz w:val="24"/>
          <w:szCs w:val="24"/>
          <w:lang w:eastAsia="zh-CN"/>
        </w:rPr>
        <w:t xml:space="preserve">se group showed significantly lower cortical thickness than </w:t>
      </w:r>
      <w:r w:rsidR="00A61EC3">
        <w:rPr>
          <w:rFonts w:ascii="Times New Roman" w:eastAsia="MS Mincho" w:hAnsi="Times New Roman"/>
          <w:bCs/>
          <w:sz w:val="24"/>
          <w:szCs w:val="24"/>
          <w:lang w:eastAsia="zh-CN"/>
        </w:rPr>
        <w:t>CTL</w:t>
      </w:r>
      <w:r w:rsidR="005A53D9" w:rsidRPr="005A53D9">
        <w:rPr>
          <w:rFonts w:ascii="Times New Roman" w:eastAsia="MS Mincho" w:hAnsi="Times New Roman"/>
          <w:bCs/>
          <w:sz w:val="24"/>
          <w:szCs w:val="24"/>
          <w:lang w:eastAsia="zh-CN"/>
        </w:rPr>
        <w:t xml:space="preserve"> (</w:t>
      </w:r>
      <w:r w:rsidR="005A53D9" w:rsidRPr="005A53D9">
        <w:rPr>
          <w:rFonts w:ascii="Times New Roman" w:eastAsia="MS Mincho" w:hAnsi="Times New Roman"/>
          <w:bCs/>
          <w:i/>
          <w:iCs/>
          <w:sz w:val="24"/>
          <w:szCs w:val="24"/>
          <w:lang w:eastAsia="zh-CN"/>
        </w:rPr>
        <w:t xml:space="preserve">t </w:t>
      </w:r>
      <w:r w:rsidR="005A53D9" w:rsidRPr="005A53D9">
        <w:rPr>
          <w:rFonts w:ascii="Times New Roman" w:eastAsia="MS Mincho" w:hAnsi="Times New Roman"/>
          <w:bCs/>
          <w:sz w:val="24"/>
          <w:szCs w:val="24"/>
          <w:lang w:eastAsia="zh-CN"/>
        </w:rPr>
        <w:t xml:space="preserve">= 2.40, </w:t>
      </w:r>
      <w:r w:rsidR="005A53D9" w:rsidRPr="005A53D9">
        <w:rPr>
          <w:rFonts w:ascii="Times New Roman" w:eastAsia="MS Mincho" w:hAnsi="Times New Roman"/>
          <w:bCs/>
          <w:i/>
          <w:iCs/>
          <w:sz w:val="24"/>
          <w:szCs w:val="24"/>
          <w:lang w:eastAsia="zh-CN"/>
        </w:rPr>
        <w:t xml:space="preserve">p </w:t>
      </w:r>
      <w:r w:rsidR="005A53D9" w:rsidRPr="005A53D9">
        <w:rPr>
          <w:rFonts w:ascii="Times New Roman" w:eastAsia="MS Mincho" w:hAnsi="Times New Roman"/>
          <w:bCs/>
          <w:sz w:val="24"/>
          <w:szCs w:val="24"/>
          <w:lang w:eastAsia="zh-CN"/>
        </w:rPr>
        <w:t xml:space="preserve">= .020, Cohen’s </w:t>
      </w:r>
      <w:r w:rsidR="005A53D9" w:rsidRPr="005A53D9">
        <w:rPr>
          <w:rFonts w:ascii="Times New Roman" w:eastAsia="MS Mincho" w:hAnsi="Times New Roman"/>
          <w:bCs/>
          <w:i/>
          <w:iCs/>
          <w:sz w:val="24"/>
          <w:szCs w:val="24"/>
          <w:lang w:eastAsia="zh-CN"/>
        </w:rPr>
        <w:t xml:space="preserve">D </w:t>
      </w:r>
      <w:r w:rsidR="005A53D9" w:rsidRPr="005A53D9">
        <w:rPr>
          <w:rFonts w:ascii="Times New Roman" w:eastAsia="MS Mincho" w:hAnsi="Times New Roman"/>
          <w:bCs/>
          <w:sz w:val="24"/>
          <w:szCs w:val="24"/>
          <w:lang w:eastAsia="zh-CN"/>
        </w:rPr>
        <w:t xml:space="preserve">= .36) albeit the effects were not as strong as the CD vs. control comparison (Cohen’s </w:t>
      </w:r>
      <w:r w:rsidR="005A53D9" w:rsidRPr="005A53D9">
        <w:rPr>
          <w:rFonts w:ascii="Times New Roman" w:eastAsia="MS Mincho" w:hAnsi="Times New Roman"/>
          <w:bCs/>
          <w:i/>
          <w:iCs/>
          <w:sz w:val="24"/>
          <w:szCs w:val="24"/>
          <w:lang w:eastAsia="zh-CN"/>
        </w:rPr>
        <w:t xml:space="preserve">D </w:t>
      </w:r>
      <w:r w:rsidR="005A53D9" w:rsidRPr="005A53D9">
        <w:rPr>
          <w:rFonts w:ascii="Times New Roman" w:eastAsia="MS Mincho" w:hAnsi="Times New Roman"/>
          <w:bCs/>
          <w:sz w:val="24"/>
          <w:szCs w:val="24"/>
          <w:lang w:eastAsia="zh-CN"/>
        </w:rPr>
        <w:t xml:space="preserve">= .51). This suggests that there may be a graded effect of cannabis use on </w:t>
      </w:r>
      <w:proofErr w:type="spellStart"/>
      <w:r w:rsidR="005A53D9" w:rsidRPr="005A53D9">
        <w:rPr>
          <w:rFonts w:ascii="Times New Roman" w:eastAsia="MS Mincho" w:hAnsi="Times New Roman"/>
          <w:bCs/>
          <w:sz w:val="24"/>
          <w:szCs w:val="24"/>
          <w:lang w:eastAsia="zh-CN"/>
        </w:rPr>
        <w:t>precuneus</w:t>
      </w:r>
      <w:proofErr w:type="spellEnd"/>
      <w:r w:rsidR="005A53D9" w:rsidRPr="005A53D9">
        <w:rPr>
          <w:rFonts w:ascii="Times New Roman" w:eastAsia="MS Mincho" w:hAnsi="Times New Roman"/>
          <w:bCs/>
          <w:sz w:val="24"/>
          <w:szCs w:val="24"/>
          <w:lang w:eastAsia="zh-CN"/>
        </w:rPr>
        <w:t xml:space="preserve"> structure.</w:t>
      </w:r>
      <w:r w:rsidR="00C70AAB" w:rsidRPr="00C70AAB">
        <w:t xml:space="preserve"> </w:t>
      </w:r>
      <w:r w:rsidR="00C70AAB" w:rsidRPr="00C70AAB">
        <w:rPr>
          <w:rFonts w:ascii="Times New Roman" w:eastAsia="MS Mincho" w:hAnsi="Times New Roman"/>
          <w:bCs/>
          <w:sz w:val="24"/>
          <w:szCs w:val="24"/>
          <w:lang w:eastAsia="zh-CN"/>
        </w:rPr>
        <w:t>Error bars represent standard error of the mean.</w:t>
      </w:r>
    </w:p>
    <w:p w14:paraId="0A21B3DE" w14:textId="0D160B87" w:rsidR="00C70AAB" w:rsidRDefault="008E0D40" w:rsidP="00DB64C0">
      <w:pPr>
        <w:spacing w:line="276" w:lineRule="auto"/>
      </w:pPr>
      <w:r>
        <w:rPr>
          <w:noProof/>
        </w:rPr>
        <w:drawing>
          <wp:inline distT="0" distB="0" distL="0" distR="0" wp14:anchorId="5F05E64C" wp14:editId="507637A5">
            <wp:extent cx="2701085" cy="3933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4965" cy="3939295"/>
                    </a:xfrm>
                    <a:prstGeom prst="rect">
                      <a:avLst/>
                    </a:prstGeom>
                    <a:noFill/>
                    <a:ln>
                      <a:noFill/>
                    </a:ln>
                  </pic:spPr>
                </pic:pic>
              </a:graphicData>
            </a:graphic>
          </wp:inline>
        </w:drawing>
      </w:r>
    </w:p>
    <w:sectPr w:rsidR="00C7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8F"/>
    <w:rsid w:val="00005794"/>
    <w:rsid w:val="0001568F"/>
    <w:rsid w:val="00066D97"/>
    <w:rsid w:val="00071E67"/>
    <w:rsid w:val="00074A6C"/>
    <w:rsid w:val="000841C4"/>
    <w:rsid w:val="00092757"/>
    <w:rsid w:val="001067EF"/>
    <w:rsid w:val="00117D35"/>
    <w:rsid w:val="00144981"/>
    <w:rsid w:val="00193222"/>
    <w:rsid w:val="001E464F"/>
    <w:rsid w:val="001F6836"/>
    <w:rsid w:val="002F58D3"/>
    <w:rsid w:val="00306DD9"/>
    <w:rsid w:val="00344415"/>
    <w:rsid w:val="003557EA"/>
    <w:rsid w:val="00376DCE"/>
    <w:rsid w:val="003F198D"/>
    <w:rsid w:val="004220E5"/>
    <w:rsid w:val="0046232D"/>
    <w:rsid w:val="00494BC6"/>
    <w:rsid w:val="004C265F"/>
    <w:rsid w:val="004C4132"/>
    <w:rsid w:val="004E5886"/>
    <w:rsid w:val="0050220E"/>
    <w:rsid w:val="005373A3"/>
    <w:rsid w:val="00565579"/>
    <w:rsid w:val="005A53D9"/>
    <w:rsid w:val="006536FF"/>
    <w:rsid w:val="00693368"/>
    <w:rsid w:val="006B55B2"/>
    <w:rsid w:val="006E18A3"/>
    <w:rsid w:val="00737E60"/>
    <w:rsid w:val="007441FC"/>
    <w:rsid w:val="00795144"/>
    <w:rsid w:val="00796956"/>
    <w:rsid w:val="00876704"/>
    <w:rsid w:val="008B2DCD"/>
    <w:rsid w:val="008D08DA"/>
    <w:rsid w:val="008E0D40"/>
    <w:rsid w:val="008F6C78"/>
    <w:rsid w:val="008F6F95"/>
    <w:rsid w:val="008F715E"/>
    <w:rsid w:val="0094548D"/>
    <w:rsid w:val="00993029"/>
    <w:rsid w:val="009B14E5"/>
    <w:rsid w:val="00A61EC3"/>
    <w:rsid w:val="00A82CAA"/>
    <w:rsid w:val="00A869FF"/>
    <w:rsid w:val="00B2340D"/>
    <w:rsid w:val="00B84107"/>
    <w:rsid w:val="00BB3079"/>
    <w:rsid w:val="00BC55A5"/>
    <w:rsid w:val="00BD514F"/>
    <w:rsid w:val="00C07A11"/>
    <w:rsid w:val="00C13DBB"/>
    <w:rsid w:val="00C45FF2"/>
    <w:rsid w:val="00C70AAB"/>
    <w:rsid w:val="00CA3191"/>
    <w:rsid w:val="00CB761E"/>
    <w:rsid w:val="00CC2E41"/>
    <w:rsid w:val="00CE55F5"/>
    <w:rsid w:val="00D375B7"/>
    <w:rsid w:val="00D458D5"/>
    <w:rsid w:val="00DB64C0"/>
    <w:rsid w:val="00E261B1"/>
    <w:rsid w:val="00E3020C"/>
    <w:rsid w:val="00E30F4D"/>
    <w:rsid w:val="00E54AD2"/>
    <w:rsid w:val="00E91215"/>
    <w:rsid w:val="00EB3692"/>
    <w:rsid w:val="00EB4C0C"/>
    <w:rsid w:val="00F03FDF"/>
    <w:rsid w:val="00F50DE7"/>
    <w:rsid w:val="00F54462"/>
    <w:rsid w:val="00F56F73"/>
    <w:rsid w:val="00F72E46"/>
    <w:rsid w:val="00FF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5E93"/>
  <w15:chartTrackingRefBased/>
  <w15:docId w15:val="{9C93B6CE-17EA-480D-A585-2DFF19BE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68F"/>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E6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E67"/>
    <w:rPr>
      <w:rFonts w:ascii="Times New Roman" w:eastAsia="SimSun" w:hAnsi="Times New Roman" w:cs="Times New Roman"/>
      <w:sz w:val="18"/>
      <w:szCs w:val="18"/>
    </w:rPr>
  </w:style>
  <w:style w:type="table" w:styleId="TableGrid">
    <w:name w:val="Table Grid"/>
    <w:basedOn w:val="TableNormal"/>
    <w:uiPriority w:val="39"/>
    <w:rsid w:val="004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6FF"/>
    <w:rPr>
      <w:sz w:val="16"/>
      <w:szCs w:val="16"/>
    </w:rPr>
  </w:style>
  <w:style w:type="paragraph" w:styleId="CommentText">
    <w:name w:val="annotation text"/>
    <w:basedOn w:val="Normal"/>
    <w:link w:val="CommentTextChar"/>
    <w:uiPriority w:val="99"/>
    <w:semiHidden/>
    <w:unhideWhenUsed/>
    <w:rsid w:val="006536FF"/>
    <w:pPr>
      <w:spacing w:line="240" w:lineRule="auto"/>
    </w:pPr>
    <w:rPr>
      <w:sz w:val="20"/>
      <w:szCs w:val="20"/>
    </w:rPr>
  </w:style>
  <w:style w:type="character" w:customStyle="1" w:styleId="CommentTextChar">
    <w:name w:val="Comment Text Char"/>
    <w:basedOn w:val="DefaultParagraphFont"/>
    <w:link w:val="CommentText"/>
    <w:uiPriority w:val="99"/>
    <w:semiHidden/>
    <w:rsid w:val="006536FF"/>
    <w:rPr>
      <w:rFonts w:eastAsia="SimSun"/>
      <w:sz w:val="20"/>
      <w:szCs w:val="20"/>
    </w:rPr>
  </w:style>
  <w:style w:type="paragraph" w:styleId="CommentSubject">
    <w:name w:val="annotation subject"/>
    <w:basedOn w:val="CommentText"/>
    <w:next w:val="CommentText"/>
    <w:link w:val="CommentSubjectChar"/>
    <w:uiPriority w:val="99"/>
    <w:semiHidden/>
    <w:unhideWhenUsed/>
    <w:rsid w:val="006536FF"/>
    <w:rPr>
      <w:b/>
      <w:bCs/>
    </w:rPr>
  </w:style>
  <w:style w:type="character" w:customStyle="1" w:styleId="CommentSubjectChar">
    <w:name w:val="Comment Subject Char"/>
    <w:basedOn w:val="CommentTextChar"/>
    <w:link w:val="CommentSubject"/>
    <w:uiPriority w:val="99"/>
    <w:semiHidden/>
    <w:rsid w:val="006536FF"/>
    <w:rPr>
      <w:rFonts w:eastAsia="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41237">
      <w:bodyDiv w:val="1"/>
      <w:marLeft w:val="0"/>
      <w:marRight w:val="0"/>
      <w:marTop w:val="0"/>
      <w:marBottom w:val="0"/>
      <w:divBdr>
        <w:top w:val="none" w:sz="0" w:space="0" w:color="auto"/>
        <w:left w:val="none" w:sz="0" w:space="0" w:color="auto"/>
        <w:bottom w:val="none" w:sz="0" w:space="0" w:color="auto"/>
        <w:right w:val="none" w:sz="0" w:space="0" w:color="auto"/>
      </w:divBdr>
    </w:div>
    <w:div w:id="524638391">
      <w:bodyDiv w:val="1"/>
      <w:marLeft w:val="0"/>
      <w:marRight w:val="0"/>
      <w:marTop w:val="0"/>
      <w:marBottom w:val="0"/>
      <w:divBdr>
        <w:top w:val="none" w:sz="0" w:space="0" w:color="auto"/>
        <w:left w:val="none" w:sz="0" w:space="0" w:color="auto"/>
        <w:bottom w:val="none" w:sz="0" w:space="0" w:color="auto"/>
        <w:right w:val="none" w:sz="0" w:space="0" w:color="auto"/>
      </w:divBdr>
    </w:div>
    <w:div w:id="652180612">
      <w:bodyDiv w:val="1"/>
      <w:marLeft w:val="0"/>
      <w:marRight w:val="0"/>
      <w:marTop w:val="0"/>
      <w:marBottom w:val="0"/>
      <w:divBdr>
        <w:top w:val="none" w:sz="0" w:space="0" w:color="auto"/>
        <w:left w:val="none" w:sz="0" w:space="0" w:color="auto"/>
        <w:bottom w:val="none" w:sz="0" w:space="0" w:color="auto"/>
        <w:right w:val="none" w:sz="0" w:space="0" w:color="auto"/>
      </w:divBdr>
    </w:div>
    <w:div w:id="819611906">
      <w:bodyDiv w:val="1"/>
      <w:marLeft w:val="0"/>
      <w:marRight w:val="0"/>
      <w:marTop w:val="0"/>
      <w:marBottom w:val="0"/>
      <w:divBdr>
        <w:top w:val="none" w:sz="0" w:space="0" w:color="auto"/>
        <w:left w:val="none" w:sz="0" w:space="0" w:color="auto"/>
        <w:bottom w:val="none" w:sz="0" w:space="0" w:color="auto"/>
        <w:right w:val="none" w:sz="0" w:space="0" w:color="auto"/>
      </w:divBdr>
    </w:div>
    <w:div w:id="952520492">
      <w:bodyDiv w:val="1"/>
      <w:marLeft w:val="0"/>
      <w:marRight w:val="0"/>
      <w:marTop w:val="0"/>
      <w:marBottom w:val="0"/>
      <w:divBdr>
        <w:top w:val="none" w:sz="0" w:space="0" w:color="auto"/>
        <w:left w:val="none" w:sz="0" w:space="0" w:color="auto"/>
        <w:bottom w:val="none" w:sz="0" w:space="0" w:color="auto"/>
        <w:right w:val="none" w:sz="0" w:space="0" w:color="auto"/>
      </w:divBdr>
    </w:div>
    <w:div w:id="1178346953">
      <w:bodyDiv w:val="1"/>
      <w:marLeft w:val="0"/>
      <w:marRight w:val="0"/>
      <w:marTop w:val="0"/>
      <w:marBottom w:val="0"/>
      <w:divBdr>
        <w:top w:val="none" w:sz="0" w:space="0" w:color="auto"/>
        <w:left w:val="none" w:sz="0" w:space="0" w:color="auto"/>
        <w:bottom w:val="none" w:sz="0" w:space="0" w:color="auto"/>
        <w:right w:val="none" w:sz="0" w:space="0" w:color="auto"/>
      </w:divBdr>
    </w:div>
    <w:div w:id="1437679096">
      <w:bodyDiv w:val="1"/>
      <w:marLeft w:val="0"/>
      <w:marRight w:val="0"/>
      <w:marTop w:val="0"/>
      <w:marBottom w:val="0"/>
      <w:divBdr>
        <w:top w:val="none" w:sz="0" w:space="0" w:color="auto"/>
        <w:left w:val="none" w:sz="0" w:space="0" w:color="auto"/>
        <w:bottom w:val="none" w:sz="0" w:space="0" w:color="auto"/>
        <w:right w:val="none" w:sz="0" w:space="0" w:color="auto"/>
      </w:divBdr>
    </w:div>
    <w:div w:id="1449855106">
      <w:bodyDiv w:val="1"/>
      <w:marLeft w:val="0"/>
      <w:marRight w:val="0"/>
      <w:marTop w:val="0"/>
      <w:marBottom w:val="0"/>
      <w:divBdr>
        <w:top w:val="none" w:sz="0" w:space="0" w:color="auto"/>
        <w:left w:val="none" w:sz="0" w:space="0" w:color="auto"/>
        <w:bottom w:val="none" w:sz="0" w:space="0" w:color="auto"/>
        <w:right w:val="none" w:sz="0" w:space="0" w:color="auto"/>
      </w:divBdr>
    </w:div>
    <w:div w:id="1609501602">
      <w:bodyDiv w:val="1"/>
      <w:marLeft w:val="0"/>
      <w:marRight w:val="0"/>
      <w:marTop w:val="0"/>
      <w:marBottom w:val="0"/>
      <w:divBdr>
        <w:top w:val="none" w:sz="0" w:space="0" w:color="auto"/>
        <w:left w:val="none" w:sz="0" w:space="0" w:color="auto"/>
        <w:bottom w:val="none" w:sz="0" w:space="0" w:color="auto"/>
        <w:right w:val="none" w:sz="0" w:space="0" w:color="auto"/>
      </w:divBdr>
    </w:div>
    <w:div w:id="1641421679">
      <w:bodyDiv w:val="1"/>
      <w:marLeft w:val="0"/>
      <w:marRight w:val="0"/>
      <w:marTop w:val="0"/>
      <w:marBottom w:val="0"/>
      <w:divBdr>
        <w:top w:val="none" w:sz="0" w:space="0" w:color="auto"/>
        <w:left w:val="none" w:sz="0" w:space="0" w:color="auto"/>
        <w:bottom w:val="none" w:sz="0" w:space="0" w:color="auto"/>
        <w:right w:val="none" w:sz="0" w:space="0" w:color="auto"/>
      </w:divBdr>
    </w:div>
    <w:div w:id="1824588140">
      <w:bodyDiv w:val="1"/>
      <w:marLeft w:val="0"/>
      <w:marRight w:val="0"/>
      <w:marTop w:val="0"/>
      <w:marBottom w:val="0"/>
      <w:divBdr>
        <w:top w:val="none" w:sz="0" w:space="0" w:color="auto"/>
        <w:left w:val="none" w:sz="0" w:space="0" w:color="auto"/>
        <w:bottom w:val="none" w:sz="0" w:space="0" w:color="auto"/>
        <w:right w:val="none" w:sz="0" w:space="0" w:color="auto"/>
      </w:divBdr>
    </w:div>
    <w:div w:id="18656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43EF-D1C5-4DA5-9D28-5CC2F5F1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9037</Words>
  <Characters>51515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Manza, Peter (NIH/NIAAA) [F]</dc:creator>
  <cp:keywords/>
  <dc:description/>
  <cp:lastModifiedBy>Pete</cp:lastModifiedBy>
  <cp:revision>8</cp:revision>
  <dcterms:created xsi:type="dcterms:W3CDTF">2019-08-05T14:59:00Z</dcterms:created>
  <dcterms:modified xsi:type="dcterms:W3CDTF">2019-08-14T13:34:00Z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http://www.zotero.org/styles/cerebral-cortex</vt:lpwstr>
  </property>
  <property fmtid="{D5CDD505-2E9C-101B-9397-08002B2CF9AE}" pid="11" name="Mendeley Recent Style Name 4_1">
    <vt:lpwstr>Cerebral Cortex</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http://www.zotero.org/styles/molecular-psychiatry</vt:lpwstr>
  </property>
  <property fmtid="{D5CDD505-2E9C-101B-9397-08002B2CF9AE}" pid="19" name="Mendeley Recent Style Name 8_1">
    <vt:lpwstr>Molecular Psychiatry</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y fmtid="{D5CDD505-2E9C-101B-9397-08002B2CF9AE}" pid="22" name="Mendeley Document_1">
    <vt:lpwstr>True</vt:lpwstr>
  </property>
  <property fmtid="{D5CDD505-2E9C-101B-9397-08002B2CF9AE}" pid="23" name="Mendeley Unique User Id_1">
    <vt:lpwstr>5fcda7fd-de62-380a-ae5f-634d6231d561</vt:lpwstr>
  </property>
  <property fmtid="{D5CDD505-2E9C-101B-9397-08002B2CF9AE}" pid="24" name="Mendeley Citation Style_1">
    <vt:lpwstr>http://www.zotero.org/styles/molecular-psychiatry</vt:lpwstr>
  </property>
</Properties>
</file>