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333" w14:textId="5B666E81" w:rsidR="00C049BA" w:rsidRPr="00837C24" w:rsidRDefault="00837C24" w:rsidP="00837C24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837C24">
        <w:rPr>
          <w:rFonts w:ascii="Times New Roman" w:hAnsi="Times New Roman" w:cs="Times New Roman"/>
          <w:b/>
          <w:bCs/>
          <w:sz w:val="32"/>
          <w:szCs w:val="36"/>
        </w:rPr>
        <w:t>Supplementary materials</w:t>
      </w:r>
    </w:p>
    <w:p w14:paraId="4E12D20D" w14:textId="7E6EA75E" w:rsidR="00837C24" w:rsidRDefault="006B7DD7">
      <w:r>
        <w:rPr>
          <w:noProof/>
        </w:rPr>
        <w:drawing>
          <wp:inline distT="0" distB="0" distL="0" distR="0" wp14:anchorId="30020CA6" wp14:editId="4145B04B">
            <wp:extent cx="5287617" cy="4405657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85" cy="44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A478" w14:textId="6DCCE4FF" w:rsidR="00981E14" w:rsidRDefault="00981E14" w:rsidP="00981E1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1. Correlation between SHOX2 mRNA expression and prognosis of </w:t>
      </w:r>
      <w:r w:rsidRPr="00981E14">
        <w:rPr>
          <w:rFonts w:ascii="Times New Roman" w:hAnsi="Times New Roman" w:cs="Times New Roman" w:hint="eastAsia"/>
          <w:b/>
          <w:bCs/>
          <w:sz w:val="24"/>
          <w:szCs w:val="28"/>
        </w:rPr>
        <w:t>pan-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cancers. </w:t>
      </w:r>
      <w:r w:rsidRPr="00981E14">
        <w:rPr>
          <w:rFonts w:ascii="Times New Roman" w:hAnsi="Times New Roman" w:cs="Times New Roman" w:hint="eastAsia"/>
          <w:b/>
          <w:bCs/>
          <w:sz w:val="24"/>
          <w:szCs w:val="28"/>
        </w:rPr>
        <w:t>(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A)</w:t>
      </w:r>
      <w:r w:rsidRPr="00981E14">
        <w:t xml:space="preserve"> </w:t>
      </w:r>
      <w:r w:rsidRPr="00981E14">
        <w:rPr>
          <w:rFonts w:ascii="Times New Roman" w:hAnsi="Times New Roman" w:cs="Times New Roman"/>
          <w:sz w:val="24"/>
          <w:szCs w:val="28"/>
        </w:rPr>
        <w:t xml:space="preserve">The relationships between </w:t>
      </w:r>
      <w:r>
        <w:rPr>
          <w:rFonts w:ascii="Times New Roman" w:hAnsi="Times New Roman" w:cs="Times New Roman"/>
          <w:sz w:val="24"/>
          <w:szCs w:val="28"/>
        </w:rPr>
        <w:t>SHOX2</w:t>
      </w:r>
      <w:r w:rsidRPr="00981E14">
        <w:rPr>
          <w:rFonts w:ascii="Times New Roman" w:hAnsi="Times New Roman" w:cs="Times New Roman"/>
          <w:sz w:val="24"/>
          <w:szCs w:val="28"/>
        </w:rPr>
        <w:t xml:space="preserve"> expression and OS prognosis of </w:t>
      </w:r>
      <w:r>
        <w:rPr>
          <w:rFonts w:ascii="Times New Roman" w:hAnsi="Times New Roman" w:cs="Times New Roman"/>
          <w:sz w:val="24"/>
          <w:szCs w:val="28"/>
        </w:rPr>
        <w:t>multiple</w:t>
      </w:r>
      <w:r w:rsidRPr="00981E14">
        <w:rPr>
          <w:rFonts w:ascii="Times New Roman" w:hAnsi="Times New Roman" w:cs="Times New Roman"/>
          <w:sz w:val="24"/>
          <w:szCs w:val="28"/>
        </w:rPr>
        <w:t xml:space="preserve"> cancers </w:t>
      </w:r>
      <w:r>
        <w:rPr>
          <w:rFonts w:ascii="Times New Roman" w:hAnsi="Times New Roman" w:cs="Times New Roman"/>
          <w:sz w:val="24"/>
          <w:szCs w:val="28"/>
        </w:rPr>
        <w:t>via</w:t>
      </w:r>
      <w:r w:rsidRPr="00981E1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81E14">
        <w:rPr>
          <w:rFonts w:ascii="Times New Roman" w:hAnsi="Times New Roman" w:cs="Times New Roman"/>
          <w:sz w:val="24"/>
          <w:szCs w:val="28"/>
        </w:rPr>
        <w:t>SangerBox</w:t>
      </w:r>
      <w:proofErr w:type="spellEnd"/>
      <w:r w:rsidRPr="00981E14">
        <w:rPr>
          <w:rFonts w:ascii="Times New Roman" w:hAnsi="Times New Roman" w:cs="Times New Roman"/>
          <w:sz w:val="24"/>
          <w:szCs w:val="28"/>
        </w:rPr>
        <w:t xml:space="preserve">. 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(B)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81E14">
        <w:rPr>
          <w:rFonts w:ascii="Times New Roman" w:hAnsi="Times New Roman" w:cs="Times New Roman"/>
          <w:sz w:val="24"/>
          <w:szCs w:val="28"/>
        </w:rPr>
        <w:t xml:space="preserve">The </w:t>
      </w:r>
      <w:r>
        <w:rPr>
          <w:rFonts w:ascii="Times New Roman" w:hAnsi="Times New Roman" w:cs="Times New Roman"/>
          <w:sz w:val="24"/>
          <w:szCs w:val="28"/>
        </w:rPr>
        <w:t>correlation</w:t>
      </w:r>
      <w:r w:rsidRPr="00981E14">
        <w:rPr>
          <w:rFonts w:ascii="Times New Roman" w:hAnsi="Times New Roman" w:cs="Times New Roman"/>
          <w:sz w:val="24"/>
          <w:szCs w:val="28"/>
        </w:rPr>
        <w:t xml:space="preserve">s between </w:t>
      </w:r>
      <w:r>
        <w:rPr>
          <w:rFonts w:ascii="Times New Roman" w:hAnsi="Times New Roman" w:cs="Times New Roman"/>
          <w:sz w:val="24"/>
          <w:szCs w:val="28"/>
        </w:rPr>
        <w:t>SHOX2</w:t>
      </w:r>
      <w:r w:rsidRPr="00981E14">
        <w:rPr>
          <w:rFonts w:ascii="Times New Roman" w:hAnsi="Times New Roman" w:cs="Times New Roman"/>
          <w:sz w:val="24"/>
          <w:szCs w:val="28"/>
        </w:rPr>
        <w:t xml:space="preserve"> expression and OS prognosis of </w:t>
      </w:r>
      <w:r>
        <w:rPr>
          <w:rFonts w:ascii="Times New Roman" w:hAnsi="Times New Roman" w:cs="Times New Roman"/>
          <w:sz w:val="24"/>
          <w:szCs w:val="28"/>
        </w:rPr>
        <w:t>GC, liver cancer, lung cancer and OV</w:t>
      </w:r>
      <w:r w:rsidRPr="00981E1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via</w:t>
      </w:r>
      <w:r w:rsidRPr="00981E1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981E14">
        <w:rPr>
          <w:rFonts w:ascii="Times New Roman" w:hAnsi="Times New Roman" w:cs="Times New Roman"/>
          <w:sz w:val="24"/>
          <w:szCs w:val="28"/>
        </w:rPr>
        <w:t>he Kaplan–Meier plotter.</w:t>
      </w:r>
    </w:p>
    <w:p w14:paraId="0D407EBB" w14:textId="7E4A8A0C" w:rsidR="00981E14" w:rsidRDefault="00981E14" w:rsidP="00981E1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C9EDE75" w14:textId="77777777" w:rsidR="00981E14" w:rsidRDefault="00981E14" w:rsidP="00981E1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571D5FCC" w14:textId="069D6637" w:rsidR="00981E14" w:rsidRP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8E574BC" w14:textId="519E2B5E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BF2A338" w14:textId="666C6EA9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8DE48FF" w14:textId="32A3454A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CA5FBE1" w14:textId="46BCB1F7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00438A8" w14:textId="4CFE5C66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52B86F3" w14:textId="01E50693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A39F744" w14:textId="2CCFB895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40905A0" w14:textId="69297096" w:rsidR="00981E14" w:rsidRDefault="00981E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5D123CC" w14:textId="7F67D17F" w:rsidR="00981E14" w:rsidRDefault="006B7DD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33DAA764" wp14:editId="7C71C7D3">
            <wp:extent cx="5271715" cy="4598818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35" cy="46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E47E" w14:textId="7D7F2F80" w:rsidR="00981E14" w:rsidRPr="00981E14" w:rsidRDefault="00981E14" w:rsidP="00981E1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KEGG enrichment analyses of 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SHOX2</w:t>
      </w:r>
      <w:r>
        <w:rPr>
          <w:rFonts w:ascii="Times New Roman" w:hAnsi="Times New Roman" w:cs="Times New Roman"/>
          <w:b/>
          <w:bCs/>
          <w:sz w:val="24"/>
          <w:szCs w:val="28"/>
        </w:rPr>
        <w:t>-related genes in glioma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Pr="00981E14">
        <w:rPr>
          <w:rFonts w:ascii="Times New Roman" w:hAnsi="Times New Roman" w:cs="Times New Roman" w:hint="eastAsia"/>
          <w:b/>
          <w:bCs/>
          <w:sz w:val="24"/>
          <w:szCs w:val="28"/>
        </w:rPr>
        <w:t>(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A)</w:t>
      </w:r>
      <w:r w:rsidRPr="00981E14">
        <w:t xml:space="preserve"> 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981E14">
        <w:rPr>
          <w:rFonts w:ascii="Times New Roman" w:hAnsi="Times New Roman" w:cs="Times New Roman"/>
          <w:sz w:val="24"/>
          <w:szCs w:val="28"/>
        </w:rPr>
        <w:t>eatmaps</w:t>
      </w:r>
      <w:r>
        <w:rPr>
          <w:rFonts w:ascii="Times New Roman" w:hAnsi="Times New Roman" w:cs="Times New Roman"/>
          <w:sz w:val="24"/>
          <w:szCs w:val="28"/>
        </w:rPr>
        <w:t xml:space="preserve"> showed the top 50 positively-related genes or negatively-related genes of SHOX2 in glioma</w:t>
      </w:r>
      <w:r w:rsidRPr="00981E1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via </w:t>
      </w:r>
      <w:proofErr w:type="spellStart"/>
      <w:r>
        <w:rPr>
          <w:rFonts w:ascii="Times New Roman" w:hAnsi="Times New Roman" w:cs="Times New Roman"/>
          <w:sz w:val="24"/>
          <w:szCs w:val="28"/>
        </w:rPr>
        <w:t>LinkedOmics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(B) </w:t>
      </w:r>
      <w:r w:rsidRPr="00981E14">
        <w:rPr>
          <w:rFonts w:ascii="Times New Roman" w:hAnsi="Times New Roman" w:cs="Times New Roman"/>
          <w:sz w:val="24"/>
          <w:szCs w:val="28"/>
        </w:rPr>
        <w:t>KEGG enrichment analyses of SHOX2</w:t>
      </w:r>
      <w:r>
        <w:rPr>
          <w:rFonts w:ascii="Times New Roman" w:hAnsi="Times New Roman" w:cs="Times New Roman"/>
          <w:sz w:val="24"/>
          <w:szCs w:val="28"/>
        </w:rPr>
        <w:t xml:space="preserve"> positively-</w:t>
      </w:r>
      <w:r w:rsidRPr="00981E14">
        <w:rPr>
          <w:rFonts w:ascii="Times New Roman" w:hAnsi="Times New Roman" w:cs="Times New Roman"/>
          <w:sz w:val="24"/>
          <w:szCs w:val="28"/>
        </w:rPr>
        <w:t>related genes</w:t>
      </w:r>
      <w:r>
        <w:rPr>
          <w:rFonts w:ascii="Times New Roman" w:hAnsi="Times New Roman" w:cs="Times New Roman"/>
          <w:sz w:val="24"/>
          <w:szCs w:val="28"/>
        </w:rPr>
        <w:t xml:space="preserve"> or negatively-related genes</w:t>
      </w:r>
      <w:r w:rsidRPr="00981E14">
        <w:rPr>
          <w:rFonts w:ascii="Times New Roman" w:hAnsi="Times New Roman" w:cs="Times New Roman"/>
          <w:sz w:val="24"/>
          <w:szCs w:val="28"/>
        </w:rPr>
        <w:t xml:space="preserve"> in glioma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0B2C4786" w14:textId="316340B8" w:rsidR="00981E14" w:rsidRDefault="00981E14">
      <w:pPr>
        <w:rPr>
          <w:rFonts w:ascii="Times New Roman" w:hAnsi="Times New Roman" w:cs="Times New Roman"/>
          <w:sz w:val="24"/>
          <w:szCs w:val="28"/>
        </w:rPr>
      </w:pPr>
    </w:p>
    <w:p w14:paraId="47B6A4AA" w14:textId="44D7F515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2BE212FA" w14:textId="1AFECD53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3C17AE16" w14:textId="737E6006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5236C4CF" w14:textId="1A291224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34A9B9DC" w14:textId="6E4BEB09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7184A85C" w14:textId="093BC770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555ECA76" w14:textId="3089E23E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34B9220A" w14:textId="3D5BB858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02BBD23A" w14:textId="7A7CAEC5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1C49A226" w14:textId="3ADC8C68" w:rsidR="00ED0AFB" w:rsidRDefault="00ED0AFB">
      <w:pPr>
        <w:rPr>
          <w:rFonts w:ascii="Times New Roman" w:hAnsi="Times New Roman" w:cs="Times New Roman"/>
          <w:sz w:val="24"/>
          <w:szCs w:val="28"/>
        </w:rPr>
      </w:pPr>
    </w:p>
    <w:p w14:paraId="3A035104" w14:textId="2C47DB20" w:rsidR="00ED4D76" w:rsidRDefault="00ED4D76">
      <w:pPr>
        <w:rPr>
          <w:rFonts w:ascii="Times New Roman" w:hAnsi="Times New Roman" w:cs="Times New Roman"/>
          <w:sz w:val="24"/>
          <w:szCs w:val="28"/>
        </w:rPr>
      </w:pPr>
    </w:p>
    <w:p w14:paraId="5BAE17D7" w14:textId="40D57C4E" w:rsidR="00ED4D76" w:rsidRDefault="00ED4D76">
      <w:pPr>
        <w:rPr>
          <w:rFonts w:ascii="Times New Roman" w:hAnsi="Times New Roman" w:cs="Times New Roman"/>
          <w:sz w:val="24"/>
          <w:szCs w:val="28"/>
        </w:rPr>
      </w:pPr>
    </w:p>
    <w:p w14:paraId="590E9713" w14:textId="1FC68C78" w:rsidR="00ED4D76" w:rsidRDefault="00ED4D76">
      <w:pPr>
        <w:rPr>
          <w:rFonts w:ascii="Times New Roman" w:hAnsi="Times New Roman" w:cs="Times New Roman"/>
          <w:sz w:val="24"/>
          <w:szCs w:val="28"/>
        </w:rPr>
      </w:pPr>
    </w:p>
    <w:p w14:paraId="1F07A5E5" w14:textId="2C4C488E" w:rsidR="00ED4D76" w:rsidRDefault="00ED4D7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058833A0" wp14:editId="357545BA">
            <wp:extent cx="5274310" cy="3877049"/>
            <wp:effectExtent l="0" t="0" r="2540" b="9525"/>
            <wp:docPr id="1768909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F5F0" w14:textId="1552A6FD" w:rsidR="00ED0AFB" w:rsidRDefault="00ED4D76" w:rsidP="00ED4D7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A1567E"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>orrelation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 between SHOX2 expression and </w:t>
      </w:r>
      <w:r>
        <w:rPr>
          <w:rFonts w:ascii="Times New Roman" w:hAnsi="Times New Roman" w:cs="Times New Roman"/>
          <w:b/>
          <w:bCs/>
          <w:sz w:val="24"/>
          <w:szCs w:val="28"/>
        </w:rPr>
        <w:t>ICP genes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 in glioma. </w:t>
      </w:r>
      <w:r w:rsidRPr="00A1567E">
        <w:rPr>
          <w:rFonts w:ascii="Times New Roman" w:hAnsi="Times New Roman" w:cs="Times New Roman"/>
          <w:sz w:val="24"/>
          <w:szCs w:val="28"/>
        </w:rPr>
        <w:t xml:space="preserve">The correlation between SHOX2 expression and </w:t>
      </w:r>
      <w:r>
        <w:rPr>
          <w:rFonts w:ascii="Times New Roman" w:hAnsi="Times New Roman" w:cs="Times New Roman"/>
          <w:sz w:val="24"/>
          <w:szCs w:val="28"/>
        </w:rPr>
        <w:t>ICP ligands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and</w:t>
      </w:r>
      <w:r w:rsidRPr="0042043C">
        <w:rPr>
          <w:rFonts w:ascii="Times New Roman" w:hAnsi="Times New Roman" w:cs="Times New Roman"/>
          <w:sz w:val="24"/>
          <w:szCs w:val="28"/>
        </w:rPr>
        <w:t xml:space="preserve"> ICP receptors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A1567E">
        <w:rPr>
          <w:rFonts w:ascii="Times New Roman" w:hAnsi="Times New Roman" w:cs="Times New Roman"/>
          <w:sz w:val="24"/>
          <w:szCs w:val="28"/>
        </w:rPr>
        <w:t xml:space="preserve">in </w:t>
      </w:r>
      <w:r>
        <w:rPr>
          <w:rFonts w:ascii="Times New Roman" w:hAnsi="Times New Roman" w:cs="Times New Roman"/>
          <w:sz w:val="24"/>
          <w:szCs w:val="28"/>
        </w:rPr>
        <w:t>glioma</w:t>
      </w:r>
      <w:r w:rsidRPr="00A1567E">
        <w:rPr>
          <w:rFonts w:ascii="Times New Roman" w:hAnsi="Times New Roman" w:cs="Times New Roman"/>
          <w:sz w:val="24"/>
          <w:szCs w:val="28"/>
        </w:rPr>
        <w:t xml:space="preserve"> via </w:t>
      </w:r>
      <w:r>
        <w:rPr>
          <w:rFonts w:ascii="Times New Roman" w:hAnsi="Times New Roman" w:cs="Times New Roman"/>
          <w:sz w:val="24"/>
          <w:szCs w:val="28"/>
        </w:rPr>
        <w:t>TCGA database</w:t>
      </w:r>
      <w:r w:rsidRPr="00A1567E">
        <w:rPr>
          <w:rFonts w:ascii="Times New Roman" w:hAnsi="Times New Roman" w:cs="Times New Roman"/>
          <w:sz w:val="24"/>
          <w:szCs w:val="28"/>
        </w:rPr>
        <w:t>.</w:t>
      </w:r>
    </w:p>
    <w:p w14:paraId="2BAC4B8E" w14:textId="77777777" w:rsidR="00ED4D76" w:rsidRDefault="00ED4D76" w:rsidP="00ED4D76">
      <w:pPr>
        <w:spacing w:line="360" w:lineRule="auto"/>
        <w:rPr>
          <w:rFonts w:ascii="Times New Roman" w:hAnsi="Times New Roman" w:cs="Times New Roman" w:hint="eastAsia"/>
          <w:sz w:val="24"/>
          <w:szCs w:val="28"/>
        </w:rPr>
      </w:pPr>
    </w:p>
    <w:p w14:paraId="090673DC" w14:textId="7C236F94" w:rsidR="00ED0AFB" w:rsidRDefault="00ED0AF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2207AB2A" wp14:editId="1B19B58A">
            <wp:extent cx="5265420" cy="394210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1" cy="39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9B7C" w14:textId="785A1AED" w:rsidR="00ED0AFB" w:rsidRDefault="00ED0AFB" w:rsidP="00A1567E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ED4D76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The correlations between SHOX2 expression and TIICs via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ImmuCellAI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 xml:space="preserve"> in CGGA database.</w:t>
      </w:r>
    </w:p>
    <w:p w14:paraId="01D88B46" w14:textId="6B63AC4E" w:rsidR="00A1567E" w:rsidRDefault="00A1567E" w:rsidP="00A1567E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9D62F29" w14:textId="58DC2E5B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1EB3992" w14:textId="080C47B8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A2821BA" w14:textId="50A2CC23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07E4651" w14:textId="575C3E9B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8DAAE75" w14:textId="4863726E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A29BB15" w14:textId="1DFAD54B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AD56EB8" w14:textId="290565D5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F205FD0" w14:textId="28089AB0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D230988" w14:textId="74319E10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E89CF2A" w14:textId="77DD41C4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E30EF4A" w14:textId="3658EA16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C191FBE" w14:textId="3AE37605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33367EC" w14:textId="262694DD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129AABE" w14:textId="2688074D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B8CEB5D" w14:textId="782E392E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0549738" w14:textId="6839FC68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3952369" w14:textId="5B7C2FC3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64123A8" w14:textId="4C01B960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9316D71" w14:textId="78407285" w:rsidR="00A1567E" w:rsidRDefault="00A1567E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26442F8" w14:textId="77777777" w:rsidR="0042043C" w:rsidRPr="0042043C" w:rsidRDefault="0042043C">
      <w:pPr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386D31E3" w14:textId="2FE0CA9B" w:rsidR="00A1567E" w:rsidRDefault="00A1567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061A05AD" wp14:editId="2CD330FA">
            <wp:extent cx="5280660" cy="7352818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26" cy="73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7B8A" w14:textId="071533AC" w:rsidR="00A1567E" w:rsidRPr="00AD62B6" w:rsidRDefault="00A1567E" w:rsidP="00AD62B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981E14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42043C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981E14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A1567E">
        <w:rPr>
          <w:b/>
          <w:bCs/>
        </w:rPr>
        <w:t xml:space="preserve"> 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Analysis showed the correlation between SHOX2 expression and ESTIMATE score in glioma. </w:t>
      </w:r>
      <w:r w:rsidRPr="00A1567E">
        <w:rPr>
          <w:rFonts w:ascii="Times New Roman" w:hAnsi="Times New Roman" w:cs="Times New Roman"/>
          <w:sz w:val="24"/>
          <w:szCs w:val="28"/>
        </w:rPr>
        <w:t>The correlation between SHOX2 expression and stromal score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 (A), </w:t>
      </w:r>
      <w:r w:rsidRPr="00A1567E">
        <w:rPr>
          <w:rFonts w:ascii="Times New Roman" w:hAnsi="Times New Roman" w:cs="Times New Roman"/>
          <w:sz w:val="24"/>
          <w:szCs w:val="28"/>
        </w:rPr>
        <w:t>immune score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 (B) </w:t>
      </w:r>
      <w:r w:rsidRPr="00A1567E">
        <w:rPr>
          <w:rFonts w:ascii="Times New Roman" w:hAnsi="Times New Roman" w:cs="Times New Roman"/>
          <w:sz w:val="24"/>
          <w:szCs w:val="28"/>
        </w:rPr>
        <w:t>and ESTIMATE score</w:t>
      </w:r>
      <w:r w:rsidRPr="00A1567E">
        <w:rPr>
          <w:rFonts w:ascii="Times New Roman" w:hAnsi="Times New Roman" w:cs="Times New Roman"/>
          <w:b/>
          <w:bCs/>
          <w:sz w:val="24"/>
          <w:szCs w:val="28"/>
        </w:rPr>
        <w:t xml:space="preserve"> (C) </w:t>
      </w:r>
      <w:r w:rsidRPr="00A1567E">
        <w:rPr>
          <w:rFonts w:ascii="Times New Roman" w:hAnsi="Times New Roman" w:cs="Times New Roman"/>
          <w:sz w:val="24"/>
          <w:szCs w:val="28"/>
        </w:rPr>
        <w:t xml:space="preserve">in GBM and LGG via </w:t>
      </w:r>
      <w:proofErr w:type="spellStart"/>
      <w:r w:rsidRPr="00A1567E">
        <w:rPr>
          <w:rFonts w:ascii="Times New Roman" w:hAnsi="Times New Roman" w:cs="Times New Roman"/>
          <w:sz w:val="24"/>
          <w:szCs w:val="28"/>
        </w:rPr>
        <w:t>SangerBox</w:t>
      </w:r>
      <w:proofErr w:type="spellEnd"/>
      <w:r w:rsidRPr="00A1567E">
        <w:rPr>
          <w:rFonts w:ascii="Times New Roman" w:hAnsi="Times New Roman" w:cs="Times New Roman"/>
          <w:sz w:val="24"/>
          <w:szCs w:val="28"/>
        </w:rPr>
        <w:t>.</w:t>
      </w:r>
    </w:p>
    <w:sectPr w:rsidR="00A1567E" w:rsidRPr="00AD62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D2FDF" w14:textId="77777777" w:rsidR="00812582" w:rsidRDefault="00812582" w:rsidP="00ED0AFB">
      <w:r>
        <w:separator/>
      </w:r>
    </w:p>
  </w:endnote>
  <w:endnote w:type="continuationSeparator" w:id="0">
    <w:p w14:paraId="57A8951D" w14:textId="77777777" w:rsidR="00812582" w:rsidRDefault="00812582" w:rsidP="00ED0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68C6D" w14:textId="77777777" w:rsidR="00812582" w:rsidRDefault="00812582" w:rsidP="00ED0AFB">
      <w:r>
        <w:separator/>
      </w:r>
    </w:p>
  </w:footnote>
  <w:footnote w:type="continuationSeparator" w:id="0">
    <w:p w14:paraId="43735B1D" w14:textId="77777777" w:rsidR="00812582" w:rsidRDefault="00812582" w:rsidP="00ED0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BA"/>
    <w:rsid w:val="000A7B9F"/>
    <w:rsid w:val="001F2AE9"/>
    <w:rsid w:val="0042043C"/>
    <w:rsid w:val="006B7DD7"/>
    <w:rsid w:val="00812582"/>
    <w:rsid w:val="00837C24"/>
    <w:rsid w:val="00981E14"/>
    <w:rsid w:val="00A1567E"/>
    <w:rsid w:val="00AD62B6"/>
    <w:rsid w:val="00C049BA"/>
    <w:rsid w:val="00DA6DB5"/>
    <w:rsid w:val="00E85D0F"/>
    <w:rsid w:val="00E87F63"/>
    <w:rsid w:val="00ED0AFB"/>
    <w:rsid w:val="00ED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3E48A"/>
  <w15:chartTrackingRefBased/>
  <w15:docId w15:val="{0CF77E14-EBEF-4D6D-9EE3-20EAF233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0A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0A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0A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Cheng</dc:creator>
  <cp:keywords/>
  <dc:description/>
  <cp:lastModifiedBy>Dr. Cheng</cp:lastModifiedBy>
  <cp:revision>12</cp:revision>
  <dcterms:created xsi:type="dcterms:W3CDTF">2022-10-06T11:51:00Z</dcterms:created>
  <dcterms:modified xsi:type="dcterms:W3CDTF">2023-04-01T08:27:00Z</dcterms:modified>
</cp:coreProperties>
</file>