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等线"/>
          <w:b/>
          <w:bCs/>
          <w:sz w:val="32"/>
          <w:szCs w:val="32"/>
        </w:rPr>
      </w:pPr>
      <w:r>
        <w:rPr>
          <w:rFonts w:hint="eastAsia" w:ascii="Times New Roman" w:hAnsi="Times New Roman" w:eastAsia="等线"/>
          <w:b/>
          <w:bCs/>
          <w:sz w:val="32"/>
          <w:szCs w:val="32"/>
        </w:rPr>
        <w:t>S</w:t>
      </w:r>
      <w:r>
        <w:rPr>
          <w:rFonts w:ascii="Times New Roman" w:hAnsi="Times New Roman" w:eastAsia="等线"/>
          <w:b/>
          <w:bCs/>
          <w:sz w:val="32"/>
          <w:szCs w:val="32"/>
        </w:rPr>
        <w:t>upporting Information:</w:t>
      </w:r>
    </w:p>
    <w:p>
      <w:pPr>
        <w:spacing w:line="360" w:lineRule="auto"/>
        <w:jc w:val="center"/>
        <w:rPr>
          <w:rFonts w:ascii="Times New Roman" w:hAnsi="Times New Roman"/>
          <w:b/>
          <w:kern w:val="0"/>
          <w:sz w:val="32"/>
          <w:szCs w:val="32"/>
        </w:rPr>
      </w:pPr>
      <w:r>
        <w:rPr>
          <w:rFonts w:ascii="Times New Roman" w:hAnsi="Times New Roman"/>
          <w:b/>
          <w:kern w:val="0"/>
          <w:sz w:val="32"/>
          <w:szCs w:val="32"/>
        </w:rPr>
        <w:t>Identification of GINS1 as a therapeutic target in the cancer patients infected with COVID-19: A bioinformatics and system biology approach</w:t>
      </w:r>
    </w:p>
    <w:p>
      <w:pPr>
        <w:spacing w:line="360" w:lineRule="auto"/>
        <w:jc w:val="center"/>
        <w:rPr>
          <w:rFonts w:ascii="Times New Roman" w:hAnsi="Times New Roman"/>
          <w:b/>
          <w:kern w:val="0"/>
          <w:sz w:val="24"/>
          <w:szCs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Changpeng Hu</w:t>
      </w:r>
      <w:r>
        <w:rPr>
          <w:rFonts w:ascii="Times New Roman" w:hAnsi="Times New Roman"/>
          <w:sz w:val="24"/>
          <w:vertAlign w:val="superscript"/>
        </w:rPr>
        <w:t>#</w:t>
      </w:r>
      <w:r>
        <w:rPr>
          <w:rFonts w:ascii="Times New Roman" w:hAnsi="Times New Roman"/>
          <w:sz w:val="24"/>
        </w:rPr>
        <w:t xml:space="preserve">, </w:t>
      </w:r>
      <w:r>
        <w:rPr>
          <w:rFonts w:hint="eastAsia" w:ascii="Times New Roman" w:hAnsi="Times New Roman"/>
          <w:sz w:val="24"/>
        </w:rPr>
        <w:t>Yue Dai</w:t>
      </w:r>
      <w:r>
        <w:rPr>
          <w:rFonts w:ascii="Times New Roman" w:hAnsi="Times New Roman"/>
          <w:sz w:val="24"/>
          <w:vertAlign w:val="superscript"/>
        </w:rPr>
        <w:t xml:space="preserve"> #</w:t>
      </w:r>
      <w:r>
        <w:rPr>
          <w:rFonts w:ascii="Times New Roman" w:hAnsi="Times New Roman"/>
          <w:sz w:val="24"/>
        </w:rPr>
        <w:t>, Huyue Zhou</w:t>
      </w:r>
      <w:r>
        <w:rPr>
          <w:rFonts w:hint="eastAsia"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Jing Zhang,</w:t>
      </w:r>
      <w:r>
        <w:rPr>
          <w:rFonts w:hint="eastAsia" w:ascii="Times New Roman" w:hAnsi="Times New Roman"/>
          <w:sz w:val="24"/>
        </w:rPr>
        <w:t xml:space="preserve"> Dandan Xie,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 xml:space="preserve">Rufu Xu, </w:t>
      </w:r>
      <w:r>
        <w:rPr>
          <w:rFonts w:ascii="Times New Roman" w:hAnsi="Times New Roman"/>
          <w:sz w:val="24"/>
        </w:rPr>
        <w:t>Guobing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Li* and Rong Zhang*</w:t>
      </w:r>
    </w:p>
    <w:p>
      <w:pPr>
        <w:spacing w:line="360" w:lineRule="auto"/>
        <w:rPr>
          <w:rFonts w:ascii="Times New Roman" w:hAnsi="Times New Roman"/>
          <w:sz w:val="28"/>
        </w:rPr>
      </w:pPr>
    </w:p>
    <w:p>
      <w:pPr>
        <w:spacing w:line="360" w:lineRule="auto"/>
        <w:rPr>
          <w:rFonts w:ascii="Times New Roman" w:hAnsi="Times New Roman" w:cs="宋体"/>
          <w:sz w:val="24"/>
        </w:rPr>
      </w:pPr>
      <w:r>
        <w:rPr>
          <w:rFonts w:ascii="Times New Roman" w:hAnsi="Times New Roman"/>
          <w:sz w:val="24"/>
          <w:vertAlign w:val="superscript"/>
        </w:rPr>
        <w:t>#</w:t>
      </w:r>
      <w:r>
        <w:rPr>
          <w:rFonts w:ascii="Times New Roman" w:hAnsi="Times New Roman"/>
          <w:sz w:val="24"/>
        </w:rPr>
        <w:t>These authors contributed equally</w:t>
      </w:r>
    </w:p>
    <w:p>
      <w:pPr>
        <w:spacing w:line="360" w:lineRule="auto"/>
        <w:rPr>
          <w:rFonts w:ascii="Times New Roman" w:hAnsi="Times New Roman"/>
          <w:color w:val="000000"/>
          <w:szCs w:val="21"/>
        </w:rPr>
      </w:pPr>
    </w:p>
    <w:p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Authors</w:t>
      </w:r>
      <w:r>
        <w:rPr>
          <w:rFonts w:ascii="Times New Roman" w:hAnsi="Times New Roman"/>
          <w:b/>
          <w:sz w:val="40"/>
          <w:vertAlign w:val="superscript"/>
        </w:rPr>
        <w:t>,</w:t>
      </w:r>
      <w:r>
        <w:rPr>
          <w:rFonts w:ascii="Times New Roman" w:hAnsi="Times New Roman"/>
          <w:b/>
          <w:sz w:val="24"/>
        </w:rPr>
        <w:t xml:space="preserve"> affiliations:</w:t>
      </w:r>
      <w:r>
        <w:rPr>
          <w:rFonts w:ascii="Times New Roman" w:hAnsi="Times New Roman"/>
          <w:sz w:val="24"/>
        </w:rPr>
        <w:t xml:space="preserve"> </w:t>
      </w: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Department of Pharmacy, The Second Affiliated Hospital</w:t>
      </w:r>
      <w:r>
        <w:rPr>
          <w:rFonts w:hint="eastAsia" w:ascii="Times New Roman" w:hAnsi="Times New Roman"/>
          <w:sz w:val="24"/>
        </w:rPr>
        <w:t xml:space="preserve"> of</w:t>
      </w:r>
      <w:r>
        <w:rPr>
          <w:rFonts w:ascii="Times New Roman" w:hAnsi="Times New Roman"/>
          <w:sz w:val="24"/>
        </w:rPr>
        <w:t xml:space="preserve"> Army Medical University, Chongqing 400037, China</w:t>
      </w: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*Corresponding authors:</w:t>
      </w: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Rong Zhang</w:t>
      </w:r>
      <w:r>
        <w:rPr>
          <w:rFonts w:ascii="Times New Roman" w:hAnsi="Times New Roman"/>
          <w:sz w:val="24"/>
        </w:rPr>
        <w:t>, Department of Pharmacy, The Second Affiliated Hospital</w:t>
      </w:r>
      <w:r>
        <w:rPr>
          <w:rFonts w:hint="eastAsia" w:ascii="Times New Roman" w:hAnsi="Times New Roman"/>
          <w:sz w:val="24"/>
        </w:rPr>
        <w:t xml:space="preserve"> of</w:t>
      </w:r>
      <w:r>
        <w:rPr>
          <w:rFonts w:ascii="Times New Roman" w:hAnsi="Times New Roman"/>
          <w:sz w:val="24"/>
        </w:rPr>
        <w:t xml:space="preserve"> Army Medical University, 83 Xinqiao Road, Chongqing 400037, China, Phone: 86-023-68774770 (office), E-mail: </w:t>
      </w:r>
      <w:r>
        <w:fldChar w:fldCharType="begin"/>
      </w:r>
      <w:r>
        <w:instrText xml:space="preserve"> HYPERLINK "mailto:xqpharmacylab@126.com" </w:instrText>
      </w:r>
      <w:r>
        <w:fldChar w:fldCharType="separate"/>
      </w:r>
      <w:r>
        <w:rPr>
          <w:rStyle w:val="7"/>
          <w:rFonts w:ascii="Times New Roman" w:hAnsi="Times New Roman"/>
          <w:sz w:val="24"/>
        </w:rPr>
        <w:t>xqpharmacylab@126.com</w:t>
      </w:r>
      <w:r>
        <w:rPr>
          <w:rStyle w:val="7"/>
          <w:rFonts w:ascii="Times New Roman" w:hAnsi="Times New Roman"/>
          <w:sz w:val="24"/>
        </w:rPr>
        <w:fldChar w:fldCharType="end"/>
      </w: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Guobing Li,</w:t>
      </w:r>
      <w:r>
        <w:rPr>
          <w:rFonts w:ascii="Times New Roman" w:hAnsi="Times New Roman"/>
          <w:sz w:val="24"/>
        </w:rPr>
        <w:t xml:space="preserve"> Department of Pharmacy, The Second Affiliated Hospital</w:t>
      </w:r>
      <w:r>
        <w:rPr>
          <w:rFonts w:hint="eastAsia" w:ascii="Times New Roman" w:hAnsi="Times New Roman"/>
          <w:sz w:val="24"/>
        </w:rPr>
        <w:t xml:space="preserve"> of</w:t>
      </w:r>
      <w:r>
        <w:rPr>
          <w:rFonts w:ascii="Times New Roman" w:hAnsi="Times New Roman"/>
          <w:sz w:val="24"/>
        </w:rPr>
        <w:t xml:space="preserve"> Army Medical University, 83 Xinqiao Road, Chongqing 400037, China, Phone: 86-023-68774770 (office), E-mail: </w:t>
      </w:r>
      <w:r>
        <w:fldChar w:fldCharType="begin"/>
      </w:r>
      <w:r>
        <w:instrText xml:space="preserve"> HYPERLINK "mailto:rgwlsb@126.com" </w:instrText>
      </w:r>
      <w:r>
        <w:fldChar w:fldCharType="separate"/>
      </w:r>
      <w:r>
        <w:rPr>
          <w:rStyle w:val="7"/>
          <w:rFonts w:ascii="Times New Roman" w:hAnsi="Times New Roman"/>
          <w:sz w:val="24"/>
        </w:rPr>
        <w:t>rgwlsb@126.com</w:t>
      </w:r>
      <w:r>
        <w:rPr>
          <w:rStyle w:val="7"/>
          <w:rFonts w:ascii="Times New Roman" w:hAnsi="Times New Roman"/>
          <w:sz w:val="24"/>
        </w:rPr>
        <w:fldChar w:fldCharType="end"/>
      </w: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>
      <w:pPr>
        <w:rPr>
          <w:rFonts w:ascii="Times New Roman" w:hAnsi="Times New Roman" w:eastAsia="等线"/>
          <w:b/>
          <w:bCs/>
          <w:sz w:val="24"/>
          <w:szCs w:val="24"/>
        </w:rPr>
      </w:pPr>
      <w:r>
        <w:rPr>
          <w:rFonts w:hint="eastAsia" w:ascii="Times New Roman" w:hAnsi="Times New Roman" w:eastAsia="等线"/>
          <w:b/>
          <w:bCs/>
          <w:sz w:val="24"/>
          <w:szCs w:val="24"/>
        </w:rPr>
        <w:t>T</w:t>
      </w:r>
      <w:r>
        <w:rPr>
          <w:rFonts w:ascii="Times New Roman" w:hAnsi="Times New Roman" w:eastAsia="等线"/>
          <w:b/>
          <w:bCs/>
          <w:sz w:val="24"/>
          <w:szCs w:val="24"/>
        </w:rPr>
        <w:t>able of content</w:t>
      </w:r>
    </w:p>
    <w:p>
      <w:pPr>
        <w:pStyle w:val="9"/>
        <w:widowControl/>
        <w:numPr>
          <w:ilvl w:val="0"/>
          <w:numId w:val="1"/>
        </w:numPr>
        <w:shd w:val="clear" w:color="auto" w:fill="FFFFFF"/>
        <w:spacing w:before="166" w:after="166" w:line="36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The volcano represented 11 types of cancer-associated DEGs identified by GEO2R. Red: upregulated genes; black: downregulated gene.</w:t>
      </w:r>
    </w:p>
    <w:p>
      <w:pPr>
        <w:pStyle w:val="9"/>
        <w:widowControl/>
        <w:numPr>
          <w:ilvl w:val="0"/>
          <w:numId w:val="1"/>
        </w:numPr>
        <w:shd w:val="clear" w:color="auto" w:fill="FFFFFF"/>
        <w:spacing w:before="166" w:after="166" w:line="36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The radar map represented mRNA expression levels of GINS1 in the original 11 types of cancers from the GEO database.</w:t>
      </w:r>
    </w:p>
    <w:p>
      <w:pPr>
        <w:pStyle w:val="9"/>
        <w:widowControl/>
        <w:numPr>
          <w:ilvl w:val="0"/>
          <w:numId w:val="1"/>
        </w:numPr>
        <w:shd w:val="clear" w:color="auto" w:fill="FFFFFF"/>
        <w:spacing w:before="166" w:after="166" w:line="36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The expression analysis of GINS1 in lung cancer was conducted by the Lung Cancer Explorer Platform.</w:t>
      </w:r>
    </w:p>
    <w:p>
      <w:pPr>
        <w:pStyle w:val="9"/>
        <w:widowControl/>
        <w:numPr>
          <w:ilvl w:val="0"/>
          <w:numId w:val="1"/>
        </w:numPr>
        <w:shd w:val="clear" w:color="auto" w:fill="FFFFFF"/>
        <w:spacing w:before="166" w:after="166" w:line="36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The survival analysis of GINS1 in lung cancer was conducted by the Lung Cancer Explorer Platform.</w:t>
      </w:r>
    </w:p>
    <w:p>
      <w:pPr>
        <w:pStyle w:val="9"/>
        <w:widowControl/>
        <w:numPr>
          <w:ilvl w:val="0"/>
          <w:numId w:val="1"/>
        </w:numPr>
        <w:shd w:val="clear" w:color="auto" w:fill="FFFFFF"/>
        <w:spacing w:before="166" w:after="166" w:line="36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>
        <w:rPr>
          <w:rFonts w:hint="eastAsia" w:ascii="Times New Roman" w:hAnsi="Times New Roman"/>
          <w:kern w:val="0"/>
          <w:sz w:val="24"/>
          <w:szCs w:val="24"/>
        </w:rPr>
        <w:t>The c</w:t>
      </w:r>
      <w:r>
        <w:rPr>
          <w:rFonts w:ascii="Times New Roman" w:hAnsi="Times New Roman"/>
          <w:kern w:val="0"/>
          <w:sz w:val="24"/>
          <w:szCs w:val="24"/>
        </w:rPr>
        <w:t>omplete biological processes of these upregulated intersection genes in COVID-19 and cancers were annotated by GO analysis.</w:t>
      </w:r>
    </w:p>
    <w:p>
      <w:pPr>
        <w:pStyle w:val="9"/>
        <w:widowControl/>
        <w:numPr>
          <w:ilvl w:val="0"/>
          <w:numId w:val="1"/>
        </w:numPr>
        <w:shd w:val="clear" w:color="auto" w:fill="FFFFFF"/>
        <w:spacing w:before="166" w:after="166" w:line="36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hint="eastAsia" w:ascii="Times New Roman" w:hAnsi="Times New Roman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kern w:val="0"/>
          <w:sz w:val="24"/>
          <w:szCs w:val="24"/>
        </w:rPr>
        <w:t xml:space="preserve">omplete pathway enrichments of these upregulated intersection genes in COVID-19 and cancers were annotated by Kyoto Encyclopedia of Genes and Genomes (KEGG) analysis. </w:t>
      </w:r>
    </w:p>
    <w:p>
      <w:pPr>
        <w:pStyle w:val="9"/>
        <w:widowControl/>
        <w:numPr>
          <w:ilvl w:val="0"/>
          <w:numId w:val="1"/>
        </w:numPr>
        <w:shd w:val="clear" w:color="auto" w:fill="FFFFFF"/>
        <w:spacing w:before="166" w:after="166" w:line="36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The</w:t>
      </w:r>
      <w:r>
        <w:rPr>
          <w:rFonts w:hint="eastAsia"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potential prevention and protection compounds for cancer patients infected with COVID-19</w:t>
      </w:r>
    </w:p>
    <w:p>
      <w:pPr>
        <w:pStyle w:val="9"/>
        <w:widowControl/>
        <w:numPr>
          <w:numId w:val="0"/>
        </w:numPr>
        <w:shd w:val="clear" w:color="auto" w:fill="FFFFFF"/>
        <w:spacing w:before="166" w:after="166" w:line="360" w:lineRule="auto"/>
        <w:ind w:leftChars="0"/>
        <w:rPr>
          <w:rFonts w:ascii="Times New Roman" w:hAnsi="Times New Roman"/>
          <w:kern w:val="0"/>
          <w:sz w:val="24"/>
          <w:szCs w:val="24"/>
        </w:rPr>
      </w:pPr>
      <w:bookmarkStart w:id="2" w:name="_GoBack"/>
      <w:bookmarkEnd w:id="2"/>
    </w:p>
    <w:p>
      <w:pPr>
        <w:pStyle w:val="9"/>
        <w:widowControl/>
        <w:shd w:val="clear" w:color="auto" w:fill="FFFFFF"/>
        <w:spacing w:before="166" w:after="166" w:line="360" w:lineRule="auto"/>
        <w:ind w:left="420" w:firstLine="0" w:firstLineChars="0"/>
        <w:rPr>
          <w:rFonts w:ascii="Times New Roman" w:hAnsi="Times New Roman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spacing w:before="166" w:after="166" w:line="360" w:lineRule="auto"/>
        <w:ind w:left="420" w:firstLine="0" w:firstLineChars="0"/>
        <w:rPr>
          <w:rFonts w:ascii="Times New Roman" w:hAnsi="Times New Roman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spacing w:before="166" w:after="166" w:line="360" w:lineRule="auto"/>
        <w:ind w:left="420" w:firstLine="0" w:firstLineChars="0"/>
        <w:rPr>
          <w:rFonts w:ascii="Times New Roman" w:hAnsi="Times New Roman"/>
          <w:kern w:val="0"/>
          <w:sz w:val="24"/>
          <w:szCs w:val="24"/>
        </w:rPr>
      </w:pPr>
    </w:p>
    <w:p>
      <w:pPr>
        <w:pStyle w:val="9"/>
        <w:widowControl/>
        <w:shd w:val="clear" w:color="auto" w:fill="FFFFFF"/>
        <w:spacing w:before="166" w:after="166" w:line="360" w:lineRule="auto"/>
        <w:ind w:left="420" w:firstLine="0" w:firstLineChars="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br w:type="page"/>
      </w: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eastAsia="Times New Roman"/>
          <w:b/>
          <w:color w:val="000000"/>
          <w:sz w:val="24"/>
          <w:shd w:val="clear" w:color="auto" w:fill="FFFFFF"/>
        </w:rPr>
        <w:t>Figure</w:t>
      </w:r>
      <w:r>
        <w:rPr>
          <w:rFonts w:ascii="Times New Roman" w:hAnsi="Times New Roman" w:eastAsia="Times New Roman"/>
          <w:b/>
          <w:sz w:val="24"/>
          <w:shd w:val="clear" w:color="auto" w:fill="FFFFFF"/>
        </w:rPr>
        <w:t xml:space="preserve"> S</w:t>
      </w:r>
      <w:r>
        <w:rPr>
          <w:rFonts w:hint="eastAsia" w:ascii="Times New Roman" w:hAnsi="Times New Roman"/>
          <w:b/>
          <w:sz w:val="24"/>
          <w:shd w:val="clear" w:color="auto" w:fill="FFFFFF"/>
        </w:rPr>
        <w:t>1</w:t>
      </w:r>
      <w:r>
        <w:rPr>
          <w:rFonts w:ascii="Times New Roman" w:hAnsi="Times New Roman" w:eastAsia="Times New Roman"/>
          <w:b/>
          <w:sz w:val="24"/>
          <w:shd w:val="clear" w:color="auto" w:fill="FFFFFF"/>
        </w:rPr>
        <w:t xml:space="preserve">. </w:t>
      </w:r>
      <w:r>
        <w:rPr>
          <w:rFonts w:ascii="Times New Roman" w:hAnsi="Times New Roman"/>
          <w:kern w:val="0"/>
          <w:sz w:val="24"/>
          <w:szCs w:val="24"/>
        </w:rPr>
        <w:t>The volcano represented 11 types of cancer-associated DEGs identified by GEO2R. Red: upregulated genes; green: downregulated gene.</w:t>
      </w:r>
    </w:p>
    <w:p>
      <w:r>
        <w:drawing>
          <wp:inline distT="0" distB="0" distL="0" distR="0">
            <wp:extent cx="5274945" cy="6387465"/>
            <wp:effectExtent l="0" t="0" r="1905" b="0"/>
            <wp:docPr id="2" name="图片 2" descr="E:\新桥课题\COVID-19\COVID-19文章及投稿\3. 20211009-\COVID-19 figures\Figur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新桥课题\COVID-19\COVID-19文章及投稿\3. 20211009-\COVID-19 figures\Figure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hd w:val="clear" w:color="auto" w:fill="FFFFFF"/>
        </w:rPr>
        <w:t>Figure S</w:t>
      </w:r>
      <w:r>
        <w:rPr>
          <w:rFonts w:hint="eastAsia" w:ascii="Times New Roman" w:hAnsi="Times New Roman"/>
          <w:b/>
          <w:sz w:val="24"/>
          <w:shd w:val="clear" w:color="auto" w:fill="FFFFFF"/>
        </w:rPr>
        <w:t>2</w:t>
      </w:r>
      <w:r>
        <w:rPr>
          <w:rFonts w:ascii="Times New Roman" w:hAnsi="Times New Roman" w:eastAsia="Times New Roman"/>
          <w:b/>
          <w:sz w:val="24"/>
          <w:shd w:val="clear" w:color="auto" w:fill="FFFFFF"/>
        </w:rPr>
        <w:t xml:space="preserve">. </w:t>
      </w:r>
      <w:r>
        <w:rPr>
          <w:rFonts w:ascii="Times New Roman" w:hAnsi="Times New Roman"/>
          <w:kern w:val="0"/>
          <w:sz w:val="24"/>
          <w:szCs w:val="24"/>
        </w:rPr>
        <w:t>The radar map represented mRNA expression levels of GINS1 in the original 11 types of cancers from the GEO</w:t>
      </w:r>
      <w:bookmarkStart w:id="0" w:name="OLE_LINK38"/>
      <w:bookmarkStart w:id="1" w:name="OLE_LINK37"/>
      <w:r>
        <w:rPr>
          <w:rFonts w:ascii="Times New Roman" w:hAnsi="Times New Roman"/>
          <w:kern w:val="0"/>
          <w:sz w:val="24"/>
          <w:szCs w:val="24"/>
        </w:rPr>
        <w:t xml:space="preserve"> database</w:t>
      </w:r>
      <w:bookmarkEnd w:id="0"/>
      <w:bookmarkEnd w:id="1"/>
      <w:r>
        <w:rPr>
          <w:rFonts w:ascii="Times New Roman" w:hAnsi="Times New Roman"/>
          <w:kern w:val="0"/>
          <w:sz w:val="24"/>
          <w:szCs w:val="24"/>
        </w:rPr>
        <w:t>.</w:t>
      </w:r>
    </w:p>
    <w:p>
      <w:r>
        <w:drawing>
          <wp:inline distT="0" distB="0" distL="0" distR="0">
            <wp:extent cx="5274945" cy="4660900"/>
            <wp:effectExtent l="0" t="0" r="1905" b="6350"/>
            <wp:docPr id="3" name="图片 3" descr="E:\新桥课题\COVID-19\COVID-19文章及投稿\3. 20211009-\COVID-19 figures\Figure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新桥课题\COVID-19\COVID-19文章及投稿\3. 20211009-\COVID-19 figures\Figure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hd w:val="clear" w:color="auto" w:fill="FFFFFF"/>
        </w:rPr>
        <w:t>Figure S</w:t>
      </w:r>
      <w:r>
        <w:rPr>
          <w:rFonts w:hint="eastAsia" w:ascii="Times New Roman" w:hAnsi="Times New Roman"/>
          <w:b/>
          <w:sz w:val="24"/>
          <w:shd w:val="clear" w:color="auto" w:fill="FFFFFF"/>
        </w:rPr>
        <w:t>3</w:t>
      </w:r>
      <w:r>
        <w:rPr>
          <w:rFonts w:ascii="Times New Roman" w:hAnsi="Times New Roman" w:eastAsia="Times New Roman"/>
          <w:b/>
          <w:sz w:val="24"/>
          <w:shd w:val="clear" w:color="auto" w:fill="FFFFFF"/>
        </w:rPr>
        <w:t>.</w:t>
      </w:r>
      <w:r>
        <w:rPr>
          <w:rFonts w:ascii="Times New Roman" w:hAnsi="Times New Roman"/>
          <w:kern w:val="0"/>
          <w:sz w:val="24"/>
          <w:szCs w:val="24"/>
        </w:rPr>
        <w:t>The expression analysis of GINS1 in lung cancer was conducted by the Lung Cancer Explorer Platform.</w:t>
      </w: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drawing>
          <wp:inline distT="0" distB="0" distL="0" distR="0">
            <wp:extent cx="5274945" cy="5431790"/>
            <wp:effectExtent l="0" t="0" r="1905" b="0"/>
            <wp:docPr id="4" name="图片 4" descr="E:\新桥课题\COVID-19\COVID-19文章及投稿\3. 20211009-\COVID-19 figures\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新桥课题\COVID-19\COVID-19文章及投稿\3. 20211009-\COVID-19 figures\FigureS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66" w:after="166" w:line="360" w:lineRule="auto"/>
        <w:rPr>
          <w:rFonts w:hint="eastAsia" w:ascii="Times New Roman" w:hAnsi="Times New Roman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hint="eastAsia" w:ascii="Times New Roman" w:hAnsi="Times New Roman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hint="eastAsia" w:ascii="Times New Roman" w:hAnsi="Times New Roman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hint="eastAsia" w:ascii="Times New Roman" w:hAnsi="Times New Roman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kern w:val="0"/>
          <w:sz w:val="24"/>
          <w:szCs w:val="24"/>
        </w:rPr>
      </w:pPr>
    </w:p>
    <w:p>
      <w:pPr>
        <w:widowControl/>
        <w:shd w:val="clear" w:color="auto" w:fill="FFFFFF"/>
        <w:spacing w:before="166" w:after="166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hd w:val="clear" w:color="auto" w:fill="FFFFFF"/>
        </w:rPr>
        <w:t>Figure S</w:t>
      </w:r>
      <w:r>
        <w:rPr>
          <w:rFonts w:hint="eastAsia" w:ascii="Times New Roman" w:hAnsi="Times New Roman"/>
          <w:b/>
          <w:sz w:val="24"/>
          <w:shd w:val="clear" w:color="auto" w:fill="FFFFFF"/>
        </w:rPr>
        <w:t>4</w:t>
      </w:r>
      <w:r>
        <w:rPr>
          <w:rFonts w:ascii="Times New Roman" w:hAnsi="Times New Roman" w:eastAsia="Times New Roman"/>
          <w:b/>
          <w:sz w:val="24"/>
          <w:shd w:val="clear" w:color="auto" w:fill="FFFFFF"/>
        </w:rPr>
        <w:t xml:space="preserve">. </w:t>
      </w:r>
      <w:r>
        <w:rPr>
          <w:rFonts w:ascii="Times New Roman" w:hAnsi="Times New Roman"/>
          <w:kern w:val="0"/>
          <w:sz w:val="24"/>
          <w:szCs w:val="24"/>
        </w:rPr>
        <w:t>The survival analysis of GINS1 in lung cancer was conducted by the Lung Cancer Explorer Platform.</w:t>
      </w:r>
    </w:p>
    <w:p>
      <w:r>
        <w:drawing>
          <wp:inline distT="0" distB="0" distL="0" distR="0">
            <wp:extent cx="5274945" cy="4291965"/>
            <wp:effectExtent l="0" t="0" r="1905" b="0"/>
            <wp:docPr id="5" name="图片 5" descr="E:\新桥课题\COVID-19\COVID-19文章及投稿\3. 20211009-\COVID-19 figures\Figure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新桥课题\COVID-19\COVID-19文章及投稿\3. 20211009-\COVID-19 figures\FigureS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hint="eastAsia"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hint="eastAsia"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hint="eastAsia"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hint="eastAsia"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hint="eastAsia"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hint="eastAsia"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hint="eastAsia"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hint="eastAsia"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spacing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 xml:space="preserve">able 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S</w:t>
      </w:r>
      <w:r>
        <w:rPr>
          <w:rFonts w:ascii="Times New Roman" w:hAnsi="Times New Roman" w:eastAsia="Times New Roman"/>
          <w:b/>
          <w:color w:val="000000"/>
          <w:sz w:val="24"/>
          <w:shd w:val="clear" w:color="auto" w:fill="FFFFFF"/>
        </w:rPr>
        <w:t>I</w:t>
      </w:r>
      <w:r>
        <w:rPr>
          <w:rFonts w:hint="eastAsia" w:ascii="Times New Roman" w:hAnsi="Times New Roman"/>
          <w:b/>
          <w:color w:val="000000"/>
          <w:sz w:val="24"/>
          <w:shd w:val="clear" w:color="auto" w:fill="FFFFFF"/>
        </w:rPr>
        <w:t xml:space="preserve">. </w:t>
      </w:r>
      <w:r>
        <w:rPr>
          <w:rFonts w:hint="eastAsia" w:ascii="Times New Roman" w:hAnsi="Times New Roman"/>
          <w:color w:val="000000"/>
          <w:kern w:val="0"/>
          <w:sz w:val="24"/>
          <w:szCs w:val="24"/>
        </w:rPr>
        <w:t>The c</w:t>
      </w:r>
      <w:r>
        <w:rPr>
          <w:rFonts w:ascii="Times New Roman" w:hAnsi="Times New Roman"/>
          <w:color w:val="000000"/>
          <w:kern w:val="0"/>
          <w:sz w:val="24"/>
          <w:szCs w:val="24"/>
        </w:rPr>
        <w:t>omplete biological processes</w:t>
      </w:r>
      <w:r>
        <w:rPr>
          <w:rFonts w:hint="eastAsia"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of these upregulated intersection genes in COVID-19 and cancers were annotated by GO analysis</w:t>
      </w:r>
      <w:r>
        <w:rPr>
          <w:rFonts w:hint="eastAsia" w:ascii="Times New Roman" w:hAnsi="Times New Roman"/>
          <w:kern w:val="0"/>
          <w:sz w:val="24"/>
          <w:szCs w:val="24"/>
        </w:rPr>
        <w:t>.</w:t>
      </w:r>
    </w:p>
    <w:p>
      <w:r>
        <w:drawing>
          <wp:inline distT="0" distB="0" distL="0" distR="0">
            <wp:extent cx="5274310" cy="11995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885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885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926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926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9405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885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9405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52000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926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3110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Times New Roman" w:hAnsi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 xml:space="preserve">able 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 xml:space="preserve">SⅡ. 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hint="eastAsia" w:ascii="Times New Roman" w:hAnsi="Times New Roman"/>
          <w:color w:val="000000"/>
          <w:kern w:val="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omplete pathway enrichments of these upregulated intersection genes in COVID-19 and cancers were annotated by Kyoto Encyclopedia of Genes and Genomes (KEGG) analysis. </w:t>
      </w:r>
    </w:p>
    <w:p>
      <w:r>
        <w:rPr>
          <w:rFonts w:hint="eastAsia"/>
        </w:rPr>
        <w:drawing>
          <wp:inline distT="0" distB="0" distL="0" distR="0">
            <wp:extent cx="5274310" cy="21780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9013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9367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013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013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013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0131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01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9013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013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0131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T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 xml:space="preserve">able 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SⅢ.</w:t>
      </w:r>
      <w:r>
        <w:rPr>
          <w:rFonts w:ascii="Times New Roman" w:hAnsi="Times New Roman"/>
          <w:color w:val="000000"/>
          <w:kern w:val="0"/>
          <w:sz w:val="24"/>
          <w:szCs w:val="24"/>
        </w:rPr>
        <w:t>The</w:t>
      </w:r>
      <w:r>
        <w:rPr>
          <w:rFonts w:hint="eastAsia"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potential prevention and protection compounds for cancer patients infected with COVID-19 </w:t>
      </w:r>
      <w:r>
        <w:rPr>
          <w:rFonts w:hint="eastAsia" w:ascii="Times New Roman" w:hAnsi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11 cancer types.</w:t>
      </w:r>
    </w:p>
    <w:p>
      <w:r>
        <w:drawing>
          <wp:inline distT="0" distB="0" distL="0" distR="0">
            <wp:extent cx="4319905" cy="7085965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0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4936490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2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9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81F0F"/>
    <w:multiLevelType w:val="multilevel"/>
    <w:tmpl w:val="15981F0F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yMza1NDM0Nbe0NDdR0lEKTi0uzszPAykwrQUAH9dLzSwAAAA="/>
  </w:docVars>
  <w:rsids>
    <w:rsidRoot w:val="00D75DC1"/>
    <w:rsid w:val="00066B6F"/>
    <w:rsid w:val="00070D94"/>
    <w:rsid w:val="00081C1E"/>
    <w:rsid w:val="0011270E"/>
    <w:rsid w:val="00135168"/>
    <w:rsid w:val="00167353"/>
    <w:rsid w:val="00183EE8"/>
    <w:rsid w:val="001C6D9C"/>
    <w:rsid w:val="002B3617"/>
    <w:rsid w:val="00314B48"/>
    <w:rsid w:val="0036063C"/>
    <w:rsid w:val="00364D4A"/>
    <w:rsid w:val="00393DA0"/>
    <w:rsid w:val="003A66B5"/>
    <w:rsid w:val="003C2114"/>
    <w:rsid w:val="00415137"/>
    <w:rsid w:val="004C2FA9"/>
    <w:rsid w:val="004C7A47"/>
    <w:rsid w:val="00582A24"/>
    <w:rsid w:val="0067393A"/>
    <w:rsid w:val="00737A2A"/>
    <w:rsid w:val="0079793F"/>
    <w:rsid w:val="007B250D"/>
    <w:rsid w:val="008D49EE"/>
    <w:rsid w:val="00940338"/>
    <w:rsid w:val="009419A0"/>
    <w:rsid w:val="009B22A9"/>
    <w:rsid w:val="009C540B"/>
    <w:rsid w:val="009F7A94"/>
    <w:rsid w:val="00A3150F"/>
    <w:rsid w:val="00A47338"/>
    <w:rsid w:val="00CD1AB3"/>
    <w:rsid w:val="00CD6F21"/>
    <w:rsid w:val="00D32AA1"/>
    <w:rsid w:val="00D41BD9"/>
    <w:rsid w:val="00D75DC1"/>
    <w:rsid w:val="00DC3100"/>
    <w:rsid w:val="00DC67DF"/>
    <w:rsid w:val="00E15B62"/>
    <w:rsid w:val="00E90FBF"/>
    <w:rsid w:val="00F40930"/>
    <w:rsid w:val="24F927B9"/>
    <w:rsid w:val="5627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uiPriority w:val="99"/>
    <w:rPr>
      <w:rFonts w:ascii="Calibri" w:hAnsi="Calibri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image" Target="media/image1.em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3.emf"/><Relationship Id="rId3" Type="http://schemas.openxmlformats.org/officeDocument/2006/relationships/theme" Target="theme/theme1.xml"/><Relationship Id="rId29" Type="http://schemas.openxmlformats.org/officeDocument/2006/relationships/image" Target="media/image22.emf"/><Relationship Id="rId28" Type="http://schemas.openxmlformats.org/officeDocument/2006/relationships/image" Target="media/image21.emf"/><Relationship Id="rId27" Type="http://schemas.openxmlformats.org/officeDocument/2006/relationships/image" Target="media/image20.emf"/><Relationship Id="rId26" Type="http://schemas.openxmlformats.org/officeDocument/2006/relationships/image" Target="media/image19.emf"/><Relationship Id="rId25" Type="http://schemas.openxmlformats.org/officeDocument/2006/relationships/image" Target="media/image18.emf"/><Relationship Id="rId24" Type="http://schemas.openxmlformats.org/officeDocument/2006/relationships/image" Target="media/image17.emf"/><Relationship Id="rId23" Type="http://schemas.openxmlformats.org/officeDocument/2006/relationships/image" Target="media/image16.emf"/><Relationship Id="rId22" Type="http://schemas.openxmlformats.org/officeDocument/2006/relationships/image" Target="media/image15.emf"/><Relationship Id="rId21" Type="http://schemas.openxmlformats.org/officeDocument/2006/relationships/image" Target="media/image14.emf"/><Relationship Id="rId20" Type="http://schemas.openxmlformats.org/officeDocument/2006/relationships/image" Target="media/image13.emf"/><Relationship Id="rId2" Type="http://schemas.openxmlformats.org/officeDocument/2006/relationships/settings" Target="settings.xml"/><Relationship Id="rId19" Type="http://schemas.openxmlformats.org/officeDocument/2006/relationships/image" Target="media/image12.emf"/><Relationship Id="rId18" Type="http://schemas.openxmlformats.org/officeDocument/2006/relationships/image" Target="media/image11.emf"/><Relationship Id="rId17" Type="http://schemas.openxmlformats.org/officeDocument/2006/relationships/image" Target="media/image10.emf"/><Relationship Id="rId16" Type="http://schemas.openxmlformats.org/officeDocument/2006/relationships/image" Target="media/image9.emf"/><Relationship Id="rId15" Type="http://schemas.openxmlformats.org/officeDocument/2006/relationships/image" Target="media/image8.emf"/><Relationship Id="rId14" Type="http://schemas.openxmlformats.org/officeDocument/2006/relationships/image" Target="media/image7.emf"/><Relationship Id="rId13" Type="http://schemas.openxmlformats.org/officeDocument/2006/relationships/image" Target="media/image6.emf"/><Relationship Id="rId12" Type="http://schemas.openxmlformats.org/officeDocument/2006/relationships/image" Target="media/image5.emf"/><Relationship Id="rId11" Type="http://schemas.openxmlformats.org/officeDocument/2006/relationships/image" Target="media/image4.emf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D6D2FE-8943-4185-8117-085D2A338A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17</Pages>
  <Words>386</Words>
  <Characters>2273</Characters>
  <Lines>160</Lines>
  <Paragraphs>24</Paragraphs>
  <TotalTime>0</TotalTime>
  <ScaleCrop>false</ScaleCrop>
  <LinksUpToDate>false</LinksUpToDate>
  <CharactersWithSpaces>2635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2021-10-11T08:38:00Z</dcterms:created>
  <dc:creator>wsw</dc:creator>
  <cp:lastModifiedBy>ADMIN</cp:lastModifiedBy>
  <dcterms:modified xsi:type="dcterms:W3CDTF">2022-03-28T11:24:32Z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3E64FEA52A3846DD86069C8A15AA45F8</vt:lpwstr>
  </property>
</Properties>
</file>