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89" w14:textId="77777777" w:rsidR="00750A95" w:rsidRDefault="00750A95" w:rsidP="0037034F">
      <w:pPr>
        <w:spacing w:line="276" w:lineRule="auto"/>
        <w:jc w:val="both"/>
        <w:rPr>
          <w:b/>
          <w:bCs/>
          <w:sz w:val="28"/>
          <w:szCs w:val="28"/>
        </w:rPr>
      </w:pPr>
    </w:p>
    <w:p w14:paraId="19384B80" w14:textId="615700B8" w:rsidR="0037034F" w:rsidRPr="00750A95" w:rsidRDefault="0037034F" w:rsidP="0037034F">
      <w:pPr>
        <w:spacing w:line="276" w:lineRule="auto"/>
        <w:jc w:val="both"/>
        <w:rPr>
          <w:b/>
          <w:bCs/>
          <w:sz w:val="30"/>
          <w:szCs w:val="30"/>
        </w:rPr>
      </w:pPr>
      <w:r w:rsidRPr="00750A95">
        <w:rPr>
          <w:b/>
          <w:bCs/>
          <w:sz w:val="30"/>
          <w:szCs w:val="30"/>
        </w:rPr>
        <w:t>Effects of Cannabidiol on Exercise Physiology and Bioenergetics: A Randomised Controlled Pilot Trial</w:t>
      </w:r>
    </w:p>
    <w:p w14:paraId="4C9B0A1D" w14:textId="77777777" w:rsidR="00750A95" w:rsidRPr="00750A95" w:rsidRDefault="00750A95" w:rsidP="0037034F">
      <w:pPr>
        <w:spacing w:line="276" w:lineRule="auto"/>
        <w:jc w:val="both"/>
        <w:rPr>
          <w:bCs/>
          <w:i/>
          <w:iCs/>
          <w:sz w:val="30"/>
          <w:szCs w:val="30"/>
        </w:rPr>
      </w:pPr>
    </w:p>
    <w:p w14:paraId="79AF1E74" w14:textId="06993A94" w:rsidR="00750A95" w:rsidRPr="00750A95" w:rsidRDefault="00750A95" w:rsidP="0037034F">
      <w:pPr>
        <w:spacing w:line="276" w:lineRule="auto"/>
        <w:jc w:val="both"/>
        <w:rPr>
          <w:bCs/>
          <w:i/>
          <w:iCs/>
          <w:sz w:val="30"/>
          <w:szCs w:val="30"/>
        </w:rPr>
      </w:pPr>
      <w:r w:rsidRPr="00750A95">
        <w:rPr>
          <w:bCs/>
          <w:i/>
          <w:iCs/>
          <w:sz w:val="30"/>
          <w:szCs w:val="30"/>
        </w:rPr>
        <w:t>Sports Medicine – Open</w:t>
      </w:r>
    </w:p>
    <w:p w14:paraId="2E42BF0F" w14:textId="77777777" w:rsidR="00750A95" w:rsidRPr="00750A95" w:rsidRDefault="00750A95" w:rsidP="0037034F">
      <w:pPr>
        <w:spacing w:line="276" w:lineRule="auto"/>
        <w:jc w:val="both"/>
        <w:rPr>
          <w:bCs/>
          <w:i/>
          <w:iCs/>
          <w:sz w:val="28"/>
          <w:szCs w:val="28"/>
        </w:rPr>
      </w:pPr>
    </w:p>
    <w:p w14:paraId="03EF9ACA" w14:textId="7259D726" w:rsidR="0037034F" w:rsidRPr="00F2623D" w:rsidRDefault="0037034F" w:rsidP="0037034F">
      <w:pPr>
        <w:spacing w:line="276" w:lineRule="auto"/>
        <w:jc w:val="both"/>
        <w:rPr>
          <w:bCs/>
          <w:vertAlign w:val="superscript"/>
        </w:rPr>
      </w:pPr>
      <w:r w:rsidRPr="00F2623D">
        <w:rPr>
          <w:bCs/>
        </w:rPr>
        <w:t>Ayshe Sahinovic*</w:t>
      </w:r>
      <w:r w:rsidRPr="00F2623D">
        <w:rPr>
          <w:bCs/>
          <w:vertAlign w:val="superscript"/>
        </w:rPr>
        <w:t>1,2,3</w:t>
      </w:r>
      <w:r w:rsidRPr="00F2623D">
        <w:rPr>
          <w:bCs/>
        </w:rPr>
        <w:t>, Christopher Irwin</w:t>
      </w:r>
      <w:r w:rsidRPr="00F2623D">
        <w:rPr>
          <w:bCs/>
          <w:vertAlign w:val="superscript"/>
        </w:rPr>
        <w:t>4</w:t>
      </w:r>
      <w:r w:rsidRPr="00F2623D">
        <w:rPr>
          <w:bCs/>
        </w:rPr>
        <w:t>, Peter T. Doohan</w:t>
      </w:r>
      <w:r w:rsidRPr="00F2623D">
        <w:rPr>
          <w:bCs/>
          <w:vertAlign w:val="superscript"/>
        </w:rPr>
        <w:t>1,2,3</w:t>
      </w:r>
      <w:r w:rsidRPr="00F2623D">
        <w:rPr>
          <w:bCs/>
        </w:rPr>
        <w:t>, Richard C. Kevin</w:t>
      </w:r>
      <w:r w:rsidRPr="00F2623D">
        <w:rPr>
          <w:bCs/>
          <w:vertAlign w:val="superscript"/>
        </w:rPr>
        <w:t>1,2,3</w:t>
      </w:r>
      <w:r w:rsidRPr="00F2623D">
        <w:rPr>
          <w:bCs/>
        </w:rPr>
        <w:t>, Amanda J. Cox</w:t>
      </w:r>
      <w:r w:rsidRPr="00F2623D">
        <w:rPr>
          <w:bCs/>
          <w:vertAlign w:val="superscript"/>
        </w:rPr>
        <w:t>5</w:t>
      </w:r>
      <w:r w:rsidRPr="00F2623D">
        <w:rPr>
          <w:bCs/>
        </w:rPr>
        <w:t>, Namson S. Lau</w:t>
      </w:r>
      <w:r w:rsidRPr="00F2623D">
        <w:rPr>
          <w:bCs/>
          <w:vertAlign w:val="superscript"/>
        </w:rPr>
        <w:t>6,7,8</w:t>
      </w:r>
      <w:r w:rsidRPr="00F2623D">
        <w:rPr>
          <w:bCs/>
        </w:rPr>
        <w:t>, Ben Desbrow</w:t>
      </w:r>
      <w:r w:rsidRPr="00F2623D">
        <w:rPr>
          <w:bCs/>
          <w:vertAlign w:val="superscript"/>
        </w:rPr>
        <w:t>4</w:t>
      </w:r>
      <w:r w:rsidRPr="00F2623D">
        <w:rPr>
          <w:bCs/>
        </w:rPr>
        <w:t>, Nathan A. Johnson</w:t>
      </w:r>
      <w:r w:rsidRPr="00F2623D">
        <w:rPr>
          <w:bCs/>
          <w:vertAlign w:val="superscript"/>
        </w:rPr>
        <w:t>8</w:t>
      </w:r>
      <w:r w:rsidRPr="00F2623D">
        <w:rPr>
          <w:bCs/>
        </w:rPr>
        <w:t>, Angelo Sabag</w:t>
      </w:r>
      <w:r w:rsidRPr="00F2623D">
        <w:rPr>
          <w:bCs/>
          <w:vertAlign w:val="superscript"/>
        </w:rPr>
        <w:t>9</w:t>
      </w:r>
      <w:r w:rsidRPr="00F2623D">
        <w:rPr>
          <w:bCs/>
        </w:rPr>
        <w:t>, Matthew Hislop</w:t>
      </w:r>
      <w:r w:rsidRPr="00F2623D">
        <w:rPr>
          <w:bCs/>
          <w:vertAlign w:val="superscript"/>
        </w:rPr>
        <w:t>10</w:t>
      </w:r>
      <w:r w:rsidRPr="00F2623D">
        <w:rPr>
          <w:bCs/>
        </w:rPr>
        <w:t>, Paul S. Haber</w:t>
      </w:r>
      <w:r w:rsidRPr="00F2623D">
        <w:rPr>
          <w:bCs/>
          <w:vertAlign w:val="superscript"/>
        </w:rPr>
        <w:t>8,11</w:t>
      </w:r>
      <w:r w:rsidRPr="00F2623D">
        <w:rPr>
          <w:bCs/>
        </w:rPr>
        <w:t>, Iain S. McGregor</w:t>
      </w:r>
      <w:r w:rsidRPr="00F2623D">
        <w:rPr>
          <w:bCs/>
          <w:vertAlign w:val="superscript"/>
        </w:rPr>
        <w:t>1,2,3</w:t>
      </w:r>
      <w:r w:rsidRPr="00F2623D">
        <w:rPr>
          <w:bCs/>
        </w:rPr>
        <w:t xml:space="preserve"> and Danielle McCartney</w:t>
      </w:r>
      <w:r w:rsidRPr="00F2623D">
        <w:rPr>
          <w:bCs/>
          <w:vertAlign w:val="superscript"/>
        </w:rPr>
        <w:t>1,2,3</w:t>
      </w:r>
    </w:p>
    <w:p w14:paraId="3F802632" w14:textId="3246118D" w:rsidR="00750A95" w:rsidRDefault="00750A95" w:rsidP="0037034F">
      <w:pPr>
        <w:spacing w:line="276" w:lineRule="auto"/>
        <w:jc w:val="both"/>
        <w:rPr>
          <w:b/>
          <w:bCs/>
        </w:rPr>
      </w:pPr>
    </w:p>
    <w:p w14:paraId="451C14CE" w14:textId="51A866A2" w:rsidR="00750A95" w:rsidRDefault="00750A95" w:rsidP="0037034F">
      <w:pPr>
        <w:spacing w:line="276" w:lineRule="auto"/>
        <w:jc w:val="both"/>
        <w:rPr>
          <w:b/>
          <w:bCs/>
        </w:rPr>
      </w:pPr>
    </w:p>
    <w:p w14:paraId="447639EE" w14:textId="77777777" w:rsidR="00750A95" w:rsidRPr="00750A95" w:rsidRDefault="00750A95" w:rsidP="0037034F">
      <w:pPr>
        <w:spacing w:line="276" w:lineRule="auto"/>
        <w:jc w:val="both"/>
        <w:rPr>
          <w:b/>
          <w:bCs/>
        </w:rPr>
      </w:pPr>
    </w:p>
    <w:p w14:paraId="3A2165FA" w14:textId="015F4900" w:rsidR="0037034F" w:rsidRPr="00750A95" w:rsidRDefault="0037034F" w:rsidP="0037034F">
      <w:pPr>
        <w:spacing w:line="276" w:lineRule="auto"/>
        <w:jc w:val="both"/>
        <w:rPr>
          <w:bCs/>
        </w:rPr>
      </w:pPr>
      <w:r w:rsidRPr="00750A95">
        <w:rPr>
          <w:bCs/>
          <w:vertAlign w:val="superscript"/>
        </w:rPr>
        <w:t>1</w:t>
      </w:r>
      <w:r w:rsidRPr="00750A95">
        <w:rPr>
          <w:bCs/>
        </w:rPr>
        <w:t>Lambert Initiative for Cannabinoid Therapeutics, The University of Sydney, Sydney, New South Wales, Australia</w:t>
      </w:r>
    </w:p>
    <w:p w14:paraId="2E51FDEA" w14:textId="77777777" w:rsidR="0037034F" w:rsidRPr="00750A95" w:rsidRDefault="0037034F" w:rsidP="0037034F">
      <w:pPr>
        <w:spacing w:line="276" w:lineRule="auto"/>
        <w:jc w:val="both"/>
        <w:rPr>
          <w:bCs/>
        </w:rPr>
      </w:pPr>
      <w:r w:rsidRPr="00750A95">
        <w:rPr>
          <w:bCs/>
          <w:vertAlign w:val="superscript"/>
        </w:rPr>
        <w:t>2</w:t>
      </w:r>
      <w:r w:rsidRPr="00750A95">
        <w:rPr>
          <w:bCs/>
        </w:rPr>
        <w:t>Brain and Mind Centre, The University of Sydney, Sydney, New South Wales, Australia</w:t>
      </w:r>
    </w:p>
    <w:p w14:paraId="1A86C889" w14:textId="77777777" w:rsidR="0037034F" w:rsidRPr="00750A95" w:rsidRDefault="0037034F" w:rsidP="0037034F">
      <w:pPr>
        <w:spacing w:line="276" w:lineRule="auto"/>
        <w:jc w:val="both"/>
      </w:pPr>
      <w:r w:rsidRPr="00750A95">
        <w:rPr>
          <w:vertAlign w:val="superscript"/>
        </w:rPr>
        <w:t>3</w:t>
      </w:r>
      <w:r w:rsidRPr="00750A95">
        <w:t>School of Psychology, Faculty of Science, The University of Sydney, Sydney, New South Wales, Australia</w:t>
      </w:r>
    </w:p>
    <w:p w14:paraId="3FC7F108" w14:textId="77777777" w:rsidR="0037034F" w:rsidRPr="00750A95" w:rsidRDefault="0037034F" w:rsidP="0037034F">
      <w:pPr>
        <w:spacing w:line="276" w:lineRule="auto"/>
        <w:jc w:val="both"/>
        <w:rPr>
          <w:b/>
          <w:bCs/>
        </w:rPr>
      </w:pPr>
      <w:r w:rsidRPr="00750A95">
        <w:rPr>
          <w:bCs/>
          <w:vertAlign w:val="superscript"/>
        </w:rPr>
        <w:t>4</w:t>
      </w:r>
      <w:r w:rsidRPr="00750A95">
        <w:rPr>
          <w:bCs/>
        </w:rPr>
        <w:t>School of Health Sciences and Social Work, Griffith University, Gold Coast, Australia</w:t>
      </w:r>
    </w:p>
    <w:p w14:paraId="7476A1C2" w14:textId="77777777" w:rsidR="0037034F" w:rsidRPr="00750A95" w:rsidRDefault="0037034F" w:rsidP="0037034F">
      <w:pPr>
        <w:spacing w:line="276" w:lineRule="auto"/>
        <w:jc w:val="both"/>
        <w:rPr>
          <w:b/>
          <w:bCs/>
        </w:rPr>
      </w:pPr>
      <w:r w:rsidRPr="00750A95">
        <w:rPr>
          <w:bCs/>
          <w:vertAlign w:val="superscript"/>
        </w:rPr>
        <w:t>5</w:t>
      </w:r>
      <w:r w:rsidRPr="00750A95">
        <w:rPr>
          <w:bCs/>
        </w:rPr>
        <w:t>School of Medical Science, Griffith University, Gold Coast, Australia</w:t>
      </w:r>
    </w:p>
    <w:p w14:paraId="06289839" w14:textId="77777777" w:rsidR="0037034F" w:rsidRPr="00750A95" w:rsidRDefault="0037034F" w:rsidP="0037034F">
      <w:pPr>
        <w:spacing w:line="276" w:lineRule="auto"/>
        <w:jc w:val="both"/>
        <w:rPr>
          <w:b/>
          <w:bCs/>
        </w:rPr>
      </w:pPr>
      <w:r w:rsidRPr="00750A95">
        <w:rPr>
          <w:bCs/>
          <w:vertAlign w:val="superscript"/>
        </w:rPr>
        <w:t>6</w:t>
      </w:r>
      <w:r w:rsidRPr="00750A95">
        <w:rPr>
          <w:bCs/>
        </w:rPr>
        <w:t>South West Clinical School, University of New South Wales, Sydney, Australia</w:t>
      </w:r>
    </w:p>
    <w:p w14:paraId="5E648937" w14:textId="77777777" w:rsidR="0037034F" w:rsidRPr="00750A95" w:rsidRDefault="0037034F" w:rsidP="0037034F">
      <w:pPr>
        <w:spacing w:line="276" w:lineRule="auto"/>
        <w:jc w:val="both"/>
        <w:rPr>
          <w:b/>
          <w:bCs/>
        </w:rPr>
      </w:pPr>
      <w:r w:rsidRPr="00750A95">
        <w:rPr>
          <w:bCs/>
          <w:vertAlign w:val="superscript"/>
        </w:rPr>
        <w:t>7</w:t>
      </w:r>
      <w:r w:rsidRPr="00750A95">
        <w:rPr>
          <w:bCs/>
        </w:rPr>
        <w:t>Ingham Institute of Applied Medical Research, Liverpool, Australia</w:t>
      </w:r>
    </w:p>
    <w:p w14:paraId="51F0D9E6" w14:textId="77777777" w:rsidR="0037034F" w:rsidRPr="00750A95" w:rsidRDefault="0037034F" w:rsidP="0037034F">
      <w:pPr>
        <w:spacing w:line="276" w:lineRule="auto"/>
        <w:jc w:val="both"/>
        <w:rPr>
          <w:b/>
          <w:bCs/>
        </w:rPr>
      </w:pPr>
      <w:r w:rsidRPr="00750A95">
        <w:rPr>
          <w:bCs/>
          <w:vertAlign w:val="superscript"/>
        </w:rPr>
        <w:t>8</w:t>
      </w:r>
      <w:r w:rsidRPr="00750A95">
        <w:rPr>
          <w:bCs/>
        </w:rPr>
        <w:t>Faculty of Medicine and Health, University of Sydney, Sydney, Australia</w:t>
      </w:r>
    </w:p>
    <w:p w14:paraId="1FE41B02" w14:textId="77777777" w:rsidR="0037034F" w:rsidRPr="00750A95" w:rsidRDefault="0037034F" w:rsidP="0037034F">
      <w:pPr>
        <w:spacing w:line="276" w:lineRule="auto"/>
        <w:jc w:val="both"/>
        <w:rPr>
          <w:b/>
          <w:bCs/>
        </w:rPr>
      </w:pPr>
      <w:r w:rsidRPr="00750A95">
        <w:rPr>
          <w:bCs/>
          <w:vertAlign w:val="superscript"/>
        </w:rPr>
        <w:t>9</w:t>
      </w:r>
      <w:r w:rsidRPr="00750A95">
        <w:rPr>
          <w:bCs/>
        </w:rPr>
        <w:t>NICM Health Research Institute, Western Sydney University, Sydney, Australia</w:t>
      </w:r>
    </w:p>
    <w:p w14:paraId="0CECD606" w14:textId="77777777" w:rsidR="0037034F" w:rsidRPr="00750A95" w:rsidRDefault="0037034F" w:rsidP="0037034F">
      <w:pPr>
        <w:spacing w:line="276" w:lineRule="auto"/>
        <w:jc w:val="both"/>
        <w:rPr>
          <w:b/>
          <w:bCs/>
        </w:rPr>
      </w:pPr>
      <w:r w:rsidRPr="00750A95">
        <w:rPr>
          <w:bCs/>
          <w:vertAlign w:val="superscript"/>
        </w:rPr>
        <w:t>10</w:t>
      </w:r>
      <w:r w:rsidRPr="00750A95">
        <w:rPr>
          <w:bCs/>
        </w:rPr>
        <w:t>Brisbane Sport and Exercise Medicine Specialists, Brisbane, Australia</w:t>
      </w:r>
    </w:p>
    <w:p w14:paraId="74DB63CA" w14:textId="77777777" w:rsidR="0037034F" w:rsidRPr="00750A95" w:rsidRDefault="0037034F" w:rsidP="0037034F">
      <w:pPr>
        <w:spacing w:line="276" w:lineRule="auto"/>
        <w:jc w:val="both"/>
        <w:rPr>
          <w:b/>
          <w:bCs/>
        </w:rPr>
      </w:pPr>
      <w:r w:rsidRPr="00750A95">
        <w:rPr>
          <w:bCs/>
          <w:vertAlign w:val="superscript"/>
        </w:rPr>
        <w:t>11</w:t>
      </w:r>
      <w:r w:rsidRPr="00750A95">
        <w:rPr>
          <w:bCs/>
        </w:rPr>
        <w:t>Royal Prince Alfred Hospital, Sydney, Australia</w:t>
      </w:r>
    </w:p>
    <w:p w14:paraId="369C92E7" w14:textId="77777777" w:rsidR="00750A95" w:rsidRPr="00750A95" w:rsidRDefault="00750A95" w:rsidP="0037034F">
      <w:pPr>
        <w:spacing w:line="276" w:lineRule="auto"/>
        <w:jc w:val="both"/>
        <w:rPr>
          <w:b/>
        </w:rPr>
      </w:pPr>
    </w:p>
    <w:p w14:paraId="6A63C855" w14:textId="77777777" w:rsidR="00750A95" w:rsidRDefault="00750A95" w:rsidP="0037034F">
      <w:pPr>
        <w:spacing w:line="276" w:lineRule="auto"/>
        <w:jc w:val="both"/>
        <w:rPr>
          <w:b/>
        </w:rPr>
      </w:pPr>
    </w:p>
    <w:p w14:paraId="7CAA6A10" w14:textId="2FBC6B0E" w:rsidR="0037034F" w:rsidRPr="00750A95" w:rsidRDefault="0037034F" w:rsidP="0037034F">
      <w:pPr>
        <w:spacing w:line="276" w:lineRule="auto"/>
        <w:jc w:val="both"/>
        <w:rPr>
          <w:b/>
          <w:sz w:val="26"/>
          <w:szCs w:val="26"/>
        </w:rPr>
      </w:pPr>
      <w:r w:rsidRPr="00750A95">
        <w:rPr>
          <w:b/>
          <w:sz w:val="26"/>
          <w:szCs w:val="26"/>
        </w:rPr>
        <w:t>Corresponding author:</w:t>
      </w:r>
    </w:p>
    <w:p w14:paraId="30B3F2BB" w14:textId="3F68EE72" w:rsidR="0037034F" w:rsidRPr="00750A95" w:rsidRDefault="0037034F" w:rsidP="0037034F">
      <w:pPr>
        <w:pStyle w:val="NoSpacing"/>
        <w:spacing w:line="276" w:lineRule="auto"/>
        <w:jc w:val="both"/>
        <w:rPr>
          <w:bCs/>
        </w:rPr>
      </w:pPr>
      <w:r w:rsidRPr="00750A95">
        <w:rPr>
          <w:bCs/>
        </w:rPr>
        <w:t>Ayshe Sahinovic</w:t>
      </w:r>
    </w:p>
    <w:p w14:paraId="0273C0C9" w14:textId="77777777" w:rsidR="0037034F" w:rsidRPr="00750A95" w:rsidRDefault="0037034F" w:rsidP="0037034F">
      <w:pPr>
        <w:pStyle w:val="NoSpacing"/>
        <w:spacing w:line="276" w:lineRule="auto"/>
        <w:jc w:val="both"/>
        <w:rPr>
          <w:lang w:val="en-US"/>
        </w:rPr>
      </w:pPr>
      <w:r w:rsidRPr="00750A95">
        <w:rPr>
          <w:lang w:val="en-US"/>
        </w:rPr>
        <w:t>Lambert Initiative for Cannabinoid Therapeutics</w:t>
      </w:r>
    </w:p>
    <w:p w14:paraId="2DB7921F" w14:textId="77777777" w:rsidR="0037034F" w:rsidRPr="00750A95" w:rsidRDefault="0037034F" w:rsidP="0037034F">
      <w:pPr>
        <w:pStyle w:val="NoSpacing"/>
        <w:spacing w:line="276" w:lineRule="auto"/>
        <w:jc w:val="both"/>
        <w:rPr>
          <w:shd w:val="clear" w:color="auto" w:fill="FFFFFF"/>
          <w:lang w:val="en-US"/>
        </w:rPr>
      </w:pPr>
      <w:r w:rsidRPr="00750A95">
        <w:rPr>
          <w:shd w:val="clear" w:color="auto" w:fill="FFFFFF"/>
          <w:lang w:val="en-US"/>
        </w:rPr>
        <w:t xml:space="preserve">Brain and Mind Centre, University of Sydney </w:t>
      </w:r>
    </w:p>
    <w:p w14:paraId="766D8474" w14:textId="77777777" w:rsidR="0037034F" w:rsidRPr="00750A95" w:rsidRDefault="0037034F" w:rsidP="0037034F">
      <w:pPr>
        <w:pStyle w:val="NoSpacing"/>
        <w:spacing w:line="276" w:lineRule="auto"/>
        <w:jc w:val="both"/>
        <w:rPr>
          <w:lang w:val="en-US"/>
        </w:rPr>
      </w:pPr>
      <w:r w:rsidRPr="00750A95">
        <w:rPr>
          <w:shd w:val="clear" w:color="auto" w:fill="FFFFFF"/>
          <w:lang w:val="en-US"/>
        </w:rPr>
        <w:t>Camperdown NSW, Australia 2050.</w:t>
      </w:r>
    </w:p>
    <w:p w14:paraId="627F5B23" w14:textId="77777777" w:rsidR="0037034F" w:rsidRPr="00750A95" w:rsidRDefault="0037034F" w:rsidP="0037034F">
      <w:pPr>
        <w:pStyle w:val="NoSpacing"/>
        <w:spacing w:line="276" w:lineRule="auto"/>
        <w:jc w:val="both"/>
        <w:rPr>
          <w:lang w:val="en-US"/>
        </w:rPr>
      </w:pPr>
      <w:r w:rsidRPr="00750A95">
        <w:rPr>
          <w:lang w:val="en-US"/>
        </w:rPr>
        <w:t xml:space="preserve">Email: </w:t>
      </w:r>
      <w:hyperlink r:id="rId8" w:history="1">
        <w:r w:rsidRPr="00750A95">
          <w:rPr>
            <w:rStyle w:val="Hyperlink"/>
            <w:rFonts w:eastAsiaTheme="majorEastAsia"/>
            <w:lang w:val="en-US"/>
          </w:rPr>
          <w:t>ayshe.sahinovic@sydney.edu.au</w:t>
        </w:r>
      </w:hyperlink>
    </w:p>
    <w:p w14:paraId="1F0AAA7A" w14:textId="77777777" w:rsidR="00DA221A" w:rsidRPr="00DA221A" w:rsidRDefault="00DA221A" w:rsidP="0037034F">
      <w:pPr>
        <w:spacing w:line="276" w:lineRule="auto"/>
        <w:jc w:val="both"/>
        <w:rPr>
          <w:b/>
          <w:bCs/>
          <w:sz w:val="28"/>
          <w:szCs w:val="28"/>
        </w:rPr>
      </w:pPr>
    </w:p>
    <w:p w14:paraId="349C3F05" w14:textId="77777777" w:rsidR="0066042D" w:rsidRDefault="0066042D" w:rsidP="0037034F">
      <w:pPr>
        <w:spacing w:line="276" w:lineRule="auto"/>
        <w:rPr>
          <w:b/>
          <w:color w:val="2F5496" w:themeColor="accent1" w:themeShade="BF"/>
        </w:rPr>
      </w:pPr>
    </w:p>
    <w:p w14:paraId="1274FC7D" w14:textId="703CAF61" w:rsidR="00415D16" w:rsidRPr="007F15E5" w:rsidRDefault="0066042D" w:rsidP="00BD4366">
      <w:pPr>
        <w:spacing w:line="276" w:lineRule="auto"/>
        <w:rPr>
          <w:b/>
          <w:color w:val="2F5496" w:themeColor="accent1" w:themeShade="BF"/>
          <w:sz w:val="22"/>
          <w:szCs w:val="22"/>
        </w:rPr>
      </w:pPr>
      <w:r w:rsidRPr="007F15E5">
        <w:rPr>
          <w:b/>
          <w:color w:val="2F5496" w:themeColor="accent1" w:themeShade="BF"/>
          <w:sz w:val="22"/>
          <w:szCs w:val="22"/>
        </w:rPr>
        <w:br w:type="page"/>
      </w:r>
      <w:r w:rsidR="00415D16" w:rsidRPr="007F15E5">
        <w:rPr>
          <w:b/>
          <w:color w:val="2F5496" w:themeColor="accent1" w:themeShade="BF"/>
        </w:rPr>
        <w:lastRenderedPageBreak/>
        <w:t>SUPPLEMENTA</w:t>
      </w:r>
      <w:r w:rsidR="008D23CB" w:rsidRPr="007F15E5">
        <w:rPr>
          <w:b/>
          <w:color w:val="2F5496" w:themeColor="accent1" w:themeShade="BF"/>
        </w:rPr>
        <w:t>RY</w:t>
      </w:r>
      <w:r w:rsidR="00415D16" w:rsidRPr="007F15E5">
        <w:rPr>
          <w:b/>
          <w:color w:val="2F5496" w:themeColor="accent1" w:themeShade="BF"/>
        </w:rPr>
        <w:t xml:space="preserve"> </w:t>
      </w:r>
      <w:r w:rsidR="00750A95" w:rsidRPr="007F15E5">
        <w:rPr>
          <w:b/>
          <w:color w:val="2F5496" w:themeColor="accent1" w:themeShade="BF"/>
        </w:rPr>
        <w:t>MATERIAL</w:t>
      </w:r>
      <w:r w:rsidR="00415D16" w:rsidRPr="007F15E5">
        <w:rPr>
          <w:b/>
          <w:color w:val="2F5496" w:themeColor="accent1" w:themeShade="BF"/>
        </w:rPr>
        <w:t xml:space="preserve"> </w:t>
      </w:r>
      <w:r w:rsidR="007F15E5">
        <w:rPr>
          <w:b/>
          <w:color w:val="2F5496" w:themeColor="accent1" w:themeShade="BF"/>
        </w:rPr>
        <w:t>#</w:t>
      </w:r>
      <w:r w:rsidR="00415D16" w:rsidRPr="007F15E5">
        <w:rPr>
          <w:b/>
          <w:color w:val="2F5496" w:themeColor="accent1" w:themeShade="BF"/>
        </w:rPr>
        <w:t xml:space="preserve">1: </w:t>
      </w:r>
      <w:r w:rsidR="00415D16" w:rsidRPr="007F15E5">
        <w:rPr>
          <w:bCs/>
          <w:color w:val="2F5496" w:themeColor="accent1" w:themeShade="BF"/>
        </w:rPr>
        <w:t>Participant Eligibility Criteria</w:t>
      </w:r>
    </w:p>
    <w:p w14:paraId="13744AB3" w14:textId="77777777" w:rsidR="00BD4366" w:rsidRDefault="00BD4366" w:rsidP="00415D16">
      <w:pPr>
        <w:spacing w:line="360" w:lineRule="auto"/>
        <w:rPr>
          <w:rFonts w:eastAsia="SimSun"/>
          <w:b/>
          <w:bCs/>
          <w:sz w:val="28"/>
          <w:szCs w:val="28"/>
          <w:lang w:val="en-GB" w:eastAsia="en-US"/>
        </w:rPr>
      </w:pPr>
    </w:p>
    <w:p w14:paraId="021E0DC2" w14:textId="77777777" w:rsidR="00415D16" w:rsidRPr="0077519C" w:rsidRDefault="00415D16" w:rsidP="00BD4366">
      <w:pPr>
        <w:spacing w:line="276" w:lineRule="auto"/>
        <w:rPr>
          <w:rFonts w:eastAsia="SimSun"/>
          <w:b/>
          <w:bCs/>
          <w:lang w:val="en-GB" w:eastAsia="en-US"/>
        </w:rPr>
      </w:pPr>
      <w:r w:rsidRPr="0077519C">
        <w:rPr>
          <w:rFonts w:eastAsia="SimSun"/>
          <w:b/>
          <w:bCs/>
          <w:lang w:val="en-GB" w:eastAsia="en-US"/>
        </w:rPr>
        <w:t>Inclusion Criteria</w:t>
      </w:r>
    </w:p>
    <w:p w14:paraId="560281CC" w14:textId="77777777" w:rsidR="00415D16" w:rsidRPr="0077519C" w:rsidRDefault="00415D16" w:rsidP="00BD4366">
      <w:pPr>
        <w:pStyle w:val="ListParagraph"/>
        <w:numPr>
          <w:ilvl w:val="0"/>
          <w:numId w:val="1"/>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Males ≥18 and ≤45 years of age;</w:t>
      </w:r>
    </w:p>
    <w:p w14:paraId="393A6367" w14:textId="0F469C18" w:rsidR="00415D16" w:rsidRPr="0077519C" w:rsidRDefault="00415D16" w:rsidP="00BD4366">
      <w:pPr>
        <w:pStyle w:val="ListParagraph"/>
        <w:numPr>
          <w:ilvl w:val="0"/>
          <w:numId w:val="1"/>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 xml:space="preserve">Endurance-trained </w:t>
      </w:r>
      <w:proofErr w:type="gramStart"/>
      <w:r w:rsidRPr="0077519C">
        <w:rPr>
          <w:rFonts w:ascii="Times New Roman" w:eastAsia="SimSun" w:hAnsi="Times New Roman" w:cs="Times New Roman"/>
          <w:lang w:val="en-GB"/>
        </w:rPr>
        <w:t>individuals;</w:t>
      </w:r>
      <w:proofErr w:type="gramEnd"/>
      <w:r w:rsidRPr="0077519C">
        <w:rPr>
          <w:rFonts w:ascii="Times New Roman" w:eastAsia="SimSun" w:hAnsi="Times New Roman" w:cs="Times New Roman"/>
          <w:lang w:val="en-GB"/>
        </w:rPr>
        <w:t xml:space="preserve"> </w:t>
      </w:r>
      <w:r w:rsidR="00BD4366" w:rsidRPr="0077519C">
        <w:rPr>
          <w:rFonts w:ascii="Times New Roman" w:eastAsia="SimSun" w:hAnsi="Times New Roman" w:cs="Times New Roman"/>
          <w:lang w:val="en-GB"/>
        </w:rPr>
        <w:t>i.e.,</w:t>
      </w:r>
      <w:r w:rsidRPr="0077519C">
        <w:rPr>
          <w:rFonts w:ascii="Times New Roman" w:eastAsia="SimSun" w:hAnsi="Times New Roman" w:cs="Times New Roman"/>
          <w:lang w:val="en-GB"/>
        </w:rPr>
        <w:t xml:space="preserve"> who have run an average of ≥40 km·wk</w:t>
      </w:r>
      <w:r w:rsidRPr="003D3769">
        <w:rPr>
          <w:rFonts w:ascii="Times New Roman" w:eastAsia="SimSun" w:hAnsi="Times New Roman" w:cs="Times New Roman"/>
          <w:vertAlign w:val="superscript"/>
          <w:lang w:val="en-GB"/>
        </w:rPr>
        <w:t>-1</w:t>
      </w:r>
      <w:r w:rsidRPr="0077519C">
        <w:rPr>
          <w:rFonts w:ascii="Times New Roman" w:eastAsia="SimSun" w:hAnsi="Times New Roman" w:cs="Times New Roman"/>
          <w:lang w:val="en-GB"/>
        </w:rPr>
        <w:t xml:space="preserve"> for the last month (or more) and can sustain moderate intensity running exercise for &gt;60-minutes;</w:t>
      </w:r>
      <w:r w:rsidR="00775FA0" w:rsidRPr="0077519C">
        <w:rPr>
          <w:rFonts w:ascii="Times New Roman" w:eastAsia="SimSun" w:hAnsi="Times New Roman" w:cs="Times New Roman"/>
          <w:lang w:val="en-GB"/>
        </w:rPr>
        <w:t xml:space="preserve"> </w:t>
      </w:r>
    </w:p>
    <w:p w14:paraId="10042D4E" w14:textId="77777777" w:rsidR="00415D16" w:rsidRPr="0077519C" w:rsidRDefault="00415D16" w:rsidP="00BD4366">
      <w:pPr>
        <w:pStyle w:val="ListParagraph"/>
        <w:numPr>
          <w:ilvl w:val="0"/>
          <w:numId w:val="1"/>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No reported use of cannabis or cannabinoids within the past 3 months; to be confirmed by a negative urine drug screen (UDS) at the medical screening; and</w:t>
      </w:r>
    </w:p>
    <w:p w14:paraId="4C43145B" w14:textId="6FE48F4C" w:rsidR="00415D16" w:rsidRPr="00BD4366" w:rsidRDefault="00415D16" w:rsidP="00BD4366">
      <w:pPr>
        <w:pStyle w:val="ListParagraph"/>
        <w:numPr>
          <w:ilvl w:val="0"/>
          <w:numId w:val="1"/>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Proficient in English (</w:t>
      </w:r>
      <w:r w:rsidR="00BD4366" w:rsidRPr="0077519C">
        <w:rPr>
          <w:rFonts w:ascii="Times New Roman" w:eastAsia="SimSun" w:hAnsi="Times New Roman" w:cs="Times New Roman"/>
          <w:lang w:val="en-GB"/>
        </w:rPr>
        <w:t>i.e.,</w:t>
      </w:r>
      <w:r w:rsidRPr="0077519C">
        <w:rPr>
          <w:rFonts w:ascii="Times New Roman" w:eastAsia="SimSun" w:hAnsi="Times New Roman" w:cs="Times New Roman"/>
          <w:lang w:val="en-GB"/>
        </w:rPr>
        <w:t xml:space="preserve"> must not require an English translator).</w:t>
      </w:r>
    </w:p>
    <w:p w14:paraId="2DCB88FA" w14:textId="77777777" w:rsidR="00BD4366" w:rsidRDefault="00BD4366" w:rsidP="00BD4366">
      <w:pPr>
        <w:tabs>
          <w:tab w:val="left" w:pos="2787"/>
        </w:tabs>
        <w:spacing w:line="276" w:lineRule="auto"/>
        <w:rPr>
          <w:rFonts w:eastAsia="SimSun"/>
          <w:b/>
          <w:bCs/>
          <w:lang w:val="en-GB" w:eastAsia="en-US"/>
        </w:rPr>
      </w:pPr>
    </w:p>
    <w:p w14:paraId="4470C997" w14:textId="6F626BB9" w:rsidR="00415D16" w:rsidRPr="0077519C" w:rsidRDefault="00415D16" w:rsidP="00BD4366">
      <w:pPr>
        <w:tabs>
          <w:tab w:val="left" w:pos="2787"/>
        </w:tabs>
        <w:spacing w:line="276" w:lineRule="auto"/>
        <w:rPr>
          <w:rFonts w:eastAsia="SimSun"/>
          <w:b/>
          <w:bCs/>
          <w:lang w:val="en-GB" w:eastAsia="en-US"/>
        </w:rPr>
      </w:pPr>
      <w:r w:rsidRPr="0077519C">
        <w:rPr>
          <w:rFonts w:eastAsia="SimSun"/>
          <w:b/>
          <w:bCs/>
          <w:lang w:val="en-GB" w:eastAsia="en-US"/>
        </w:rPr>
        <w:t>Exclusion Criteria</w:t>
      </w:r>
      <w:r w:rsidR="005E1F3D" w:rsidRPr="0077519C">
        <w:rPr>
          <w:rFonts w:eastAsia="SimSun"/>
          <w:b/>
          <w:bCs/>
          <w:lang w:val="en-GB" w:eastAsia="en-US"/>
        </w:rPr>
        <w:tab/>
      </w:r>
    </w:p>
    <w:p w14:paraId="35F27A3A" w14:textId="7777777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Cannabis dependence or any other drug or alcohol dependence, as per the International Statistical Classification of Diseases 10th Revision (ICD)-10 criteria or at a medical doctor’s discretion;</w:t>
      </w:r>
    </w:p>
    <w:p w14:paraId="3247CAC7" w14:textId="1BDCBA3C"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A history (self-reported) of allergic reaction (</w:t>
      </w:r>
      <w:r w:rsidR="00BD4366" w:rsidRPr="0077519C">
        <w:rPr>
          <w:rFonts w:ascii="Times New Roman" w:eastAsia="SimSun" w:hAnsi="Times New Roman" w:cs="Times New Roman"/>
          <w:lang w:val="en-GB"/>
        </w:rPr>
        <w:t>e.g.,</w:t>
      </w:r>
      <w:r w:rsidRPr="0077519C">
        <w:rPr>
          <w:rFonts w:ascii="Times New Roman" w:eastAsia="SimSun" w:hAnsi="Times New Roman" w:cs="Times New Roman"/>
          <w:lang w:val="en-GB"/>
        </w:rPr>
        <w:t xml:space="preserve"> rhinitis, urticaria, contact dermatitis, anaphylaxis) to cannabis, cannabis products or cannabinoids;</w:t>
      </w:r>
    </w:p>
    <w:p w14:paraId="073B079E" w14:textId="7777777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A history (self-reported) of a clinically significant adverse response to cannabidiol (CBD);</w:t>
      </w:r>
    </w:p>
    <w:p w14:paraId="7E9FEB45" w14:textId="7777777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A history of a major psychiatric disorder within the previous 12 months, as per the Diagnostic and Statistical Manual of Mental Disorders (DSM)-V criteria or at the medical doctor’s discretion, except, mild to moderate depression (score &lt;20 on the Beck Depression Inventory [BDI] or mild to moderate anxiety (score &lt;16 on the Beck Anxiety Inventory [BAI]</w:t>
      </w:r>
    </w:p>
    <w:p w14:paraId="5811C315" w14:textId="7777777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A history of attempted suicide or current suicide ideation as determined by a score &gt;0 on Question 9 of the Patient Health Questionnaire (PHQ)-9</w:t>
      </w:r>
    </w:p>
    <w:p w14:paraId="3C75D0C6" w14:textId="7777777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A (self-reported) history of, or current, cardiovascular, respiratory, renal, neurological, gastrointestinal, or endocrinological disorders;</w:t>
      </w:r>
    </w:p>
    <w:p w14:paraId="0ED71519" w14:textId="7777777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A major illness or injury that interrupted their usual training routine for a period of ≥3 weeks during the past 3 months;</w:t>
      </w:r>
    </w:p>
    <w:p w14:paraId="6C511966" w14:textId="7777777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Inability to refrain from consuming alcohol (24 h) and caffeine (12 h) prior to each experimental trial;</w:t>
      </w:r>
    </w:p>
    <w:p w14:paraId="7E485C88" w14:textId="7777777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Inability to refrain from using anti-inflammatory medications (24 h) prior to each experimental trial;</w:t>
      </w:r>
    </w:p>
    <w:p w14:paraId="3912BEA0" w14:textId="3C9B7F2D"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Inability to refrain from using other central nervous system active drugs (</w:t>
      </w:r>
      <w:r w:rsidR="00BD4366" w:rsidRPr="0077519C">
        <w:rPr>
          <w:rFonts w:ascii="Times New Roman" w:eastAsia="SimSun" w:hAnsi="Times New Roman" w:cs="Times New Roman"/>
          <w:lang w:val="en-GB"/>
        </w:rPr>
        <w:t>e.g.,</w:t>
      </w:r>
      <w:r w:rsidRPr="0077519C">
        <w:rPr>
          <w:rFonts w:ascii="Times New Roman" w:eastAsia="SimSun" w:hAnsi="Times New Roman" w:cs="Times New Roman"/>
          <w:lang w:val="en-GB"/>
        </w:rPr>
        <w:t xml:space="preserve"> cannabis, opioids, benzodiazepines) while participating in this project;</w:t>
      </w:r>
    </w:p>
    <w:p w14:paraId="1F27C549" w14:textId="677DF90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Use of medications that may influence CBD metabolism (</w:t>
      </w:r>
      <w:r w:rsidR="00BD4366" w:rsidRPr="0077519C">
        <w:rPr>
          <w:rFonts w:ascii="Times New Roman" w:eastAsia="SimSun" w:hAnsi="Times New Roman" w:cs="Times New Roman"/>
          <w:lang w:val="en-GB"/>
        </w:rPr>
        <w:t>e.g.,</w:t>
      </w:r>
      <w:r w:rsidRPr="0077519C">
        <w:rPr>
          <w:rFonts w:ascii="Times New Roman" w:eastAsia="SimSun" w:hAnsi="Times New Roman" w:cs="Times New Roman"/>
          <w:lang w:val="en-GB"/>
        </w:rPr>
        <w:t xml:space="preserve"> inducers or inhibitors of the CYP450 enzyme system);</w:t>
      </w:r>
    </w:p>
    <w:p w14:paraId="53C84E18" w14:textId="77777777" w:rsidR="00415D16" w:rsidRPr="0077519C" w:rsidRDefault="00415D16" w:rsidP="00BD4366">
      <w:pPr>
        <w:pStyle w:val="ListParagraph"/>
        <w:numPr>
          <w:ilvl w:val="0"/>
          <w:numId w:val="2"/>
        </w:numPr>
        <w:spacing w:line="276" w:lineRule="auto"/>
        <w:rPr>
          <w:rFonts w:ascii="Times New Roman" w:eastAsia="SimSun" w:hAnsi="Times New Roman" w:cs="Times New Roman"/>
          <w:lang w:val="en-GB"/>
        </w:rPr>
      </w:pPr>
      <w:r w:rsidRPr="0077519C">
        <w:rPr>
          <w:rFonts w:ascii="Times New Roman" w:eastAsia="SimSun" w:hAnsi="Times New Roman" w:cs="Times New Roman"/>
          <w:lang w:val="en-GB"/>
        </w:rPr>
        <w:t>Use of medications handled by transporter proteins or CYP enzymes that are inhibited by CBD, such as anticoagulants, calcium channel blockers, beta blockers, sulfonylureas and anti-convulsant; and</w:t>
      </w:r>
    </w:p>
    <w:p w14:paraId="58E0438F" w14:textId="178B1C5A" w:rsidR="00E334B7" w:rsidRPr="00BD4366" w:rsidRDefault="00415D16" w:rsidP="00F230A5">
      <w:pPr>
        <w:pStyle w:val="ListParagraph"/>
        <w:numPr>
          <w:ilvl w:val="0"/>
          <w:numId w:val="2"/>
        </w:numPr>
        <w:spacing w:line="276" w:lineRule="auto"/>
        <w:rPr>
          <w:b/>
          <w:color w:val="2F5496" w:themeColor="accent1" w:themeShade="BF"/>
          <w:sz w:val="18"/>
          <w:szCs w:val="18"/>
        </w:rPr>
      </w:pPr>
      <w:r w:rsidRPr="00BD4366">
        <w:rPr>
          <w:rFonts w:ascii="Times New Roman" w:eastAsia="SimSun" w:hAnsi="Times New Roman" w:cs="Times New Roman"/>
          <w:lang w:val="en-GB"/>
        </w:rPr>
        <w:t>Required to complete mandatory drug testing for cannabis (</w:t>
      </w:r>
      <w:r w:rsidR="00BD4366" w:rsidRPr="00BD4366">
        <w:rPr>
          <w:rFonts w:ascii="Times New Roman" w:eastAsia="SimSun" w:hAnsi="Times New Roman" w:cs="Times New Roman"/>
          <w:lang w:val="en-GB"/>
        </w:rPr>
        <w:t>e.g.,</w:t>
      </w:r>
      <w:r w:rsidRPr="00BD4366">
        <w:rPr>
          <w:rFonts w:ascii="Times New Roman" w:eastAsia="SimSun" w:hAnsi="Times New Roman" w:cs="Times New Roman"/>
          <w:lang w:val="en-GB"/>
        </w:rPr>
        <w:t xml:space="preserve"> workplace testing, antidoping in sport testing).</w:t>
      </w:r>
      <w:r w:rsidR="00E334B7" w:rsidRPr="00BD4366">
        <w:rPr>
          <w:b/>
          <w:color w:val="2F5496" w:themeColor="accent1" w:themeShade="BF"/>
          <w:sz w:val="18"/>
          <w:szCs w:val="18"/>
        </w:rPr>
        <w:br w:type="page"/>
      </w:r>
    </w:p>
    <w:p w14:paraId="7A20AC5B" w14:textId="63EC0304" w:rsidR="00547953" w:rsidRPr="007F15E5" w:rsidRDefault="00E334B7" w:rsidP="00547953">
      <w:pPr>
        <w:spacing w:line="360" w:lineRule="auto"/>
        <w:rPr>
          <w:bCs/>
          <w:color w:val="2F5496" w:themeColor="accent1" w:themeShade="BF"/>
        </w:rPr>
      </w:pPr>
      <w:r w:rsidRPr="007F15E5">
        <w:rPr>
          <w:b/>
          <w:color w:val="2F5496" w:themeColor="accent1" w:themeShade="BF"/>
        </w:rPr>
        <w:lastRenderedPageBreak/>
        <w:t xml:space="preserve">SUPPLEMENTARY </w:t>
      </w:r>
      <w:r w:rsidR="00750A95" w:rsidRPr="007F15E5">
        <w:rPr>
          <w:b/>
          <w:color w:val="2F5496" w:themeColor="accent1" w:themeShade="BF"/>
        </w:rPr>
        <w:t>MATERIAL</w:t>
      </w:r>
      <w:r w:rsidRPr="007F15E5">
        <w:rPr>
          <w:b/>
          <w:color w:val="2F5496" w:themeColor="accent1" w:themeShade="BF"/>
        </w:rPr>
        <w:t xml:space="preserve"> </w:t>
      </w:r>
      <w:r w:rsidR="007F15E5">
        <w:rPr>
          <w:b/>
          <w:color w:val="2F5496" w:themeColor="accent1" w:themeShade="BF"/>
        </w:rPr>
        <w:t>#</w:t>
      </w:r>
      <w:r w:rsidRPr="007F15E5">
        <w:rPr>
          <w:b/>
          <w:color w:val="2F5496" w:themeColor="accent1" w:themeShade="BF"/>
        </w:rPr>
        <w:t xml:space="preserve">2: </w:t>
      </w:r>
      <w:r w:rsidRPr="007F15E5">
        <w:rPr>
          <w:bCs/>
          <w:color w:val="2F5496" w:themeColor="accent1" w:themeShade="BF"/>
        </w:rPr>
        <w:t>STAI</w:t>
      </w:r>
      <w:r w:rsidR="00BD4366" w:rsidRPr="007F15E5">
        <w:rPr>
          <w:bCs/>
          <w:color w:val="2F5496" w:themeColor="accent1" w:themeShade="BF"/>
        </w:rPr>
        <w:t>-S</w:t>
      </w:r>
      <w:r w:rsidRPr="007F15E5">
        <w:rPr>
          <w:bCs/>
          <w:color w:val="2F5496" w:themeColor="accent1" w:themeShade="BF"/>
        </w:rPr>
        <w:t xml:space="preserve"> and POMS Measurements</w:t>
      </w:r>
    </w:p>
    <w:p w14:paraId="3E120517" w14:textId="77777777" w:rsidR="00547953" w:rsidRDefault="00547953" w:rsidP="00547953">
      <w:pPr>
        <w:spacing w:line="360" w:lineRule="auto"/>
        <w:rPr>
          <w:bCs/>
          <w:color w:val="2F5496" w:themeColor="accent1" w:themeShade="BF"/>
          <w:sz w:val="28"/>
          <w:szCs w:val="28"/>
        </w:rPr>
      </w:pPr>
    </w:p>
    <w:p w14:paraId="1D8B2787" w14:textId="52811BBD" w:rsidR="00547953" w:rsidRDefault="00BD4366" w:rsidP="00547953">
      <w:pPr>
        <w:spacing w:line="360" w:lineRule="auto"/>
        <w:rPr>
          <w:bCs/>
          <w:color w:val="2F5496" w:themeColor="accent1" w:themeShade="BF"/>
          <w:sz w:val="28"/>
          <w:szCs w:val="28"/>
        </w:rPr>
      </w:pPr>
      <w:r w:rsidRPr="00BD4366">
        <w:rPr>
          <w:b/>
          <w:bCs/>
        </w:rPr>
        <w:t>S</w:t>
      </w:r>
      <w:r>
        <w:rPr>
          <w:b/>
          <w:bCs/>
        </w:rPr>
        <w:t>tate-Trait Anxiety Inventory (S</w:t>
      </w:r>
      <w:r w:rsidRPr="00BD4366">
        <w:rPr>
          <w:b/>
          <w:bCs/>
        </w:rPr>
        <w:t>TAI</w:t>
      </w:r>
      <w:r>
        <w:rPr>
          <w:b/>
          <w:bCs/>
        </w:rPr>
        <w:t>-S)</w:t>
      </w:r>
      <w:r w:rsidRPr="00BD4366">
        <w:rPr>
          <w:b/>
          <w:bCs/>
        </w:rPr>
        <w:t xml:space="preserve"> Measurements</w:t>
      </w:r>
    </w:p>
    <w:p w14:paraId="39BB5FD7" w14:textId="40D3EF2B" w:rsidR="00FE4E01" w:rsidRPr="00547953" w:rsidRDefault="00E334B7" w:rsidP="00547953">
      <w:pPr>
        <w:spacing w:line="276" w:lineRule="auto"/>
        <w:rPr>
          <w:bCs/>
          <w:color w:val="2F5496" w:themeColor="accent1" w:themeShade="BF"/>
          <w:sz w:val="28"/>
          <w:szCs w:val="28"/>
        </w:rPr>
      </w:pPr>
      <w:bookmarkStart w:id="0" w:name="_Hlk93173115"/>
      <w:r w:rsidRPr="0077519C">
        <w:t>During the STAI-S, p</w:t>
      </w:r>
      <w:r w:rsidRPr="0077519C">
        <w:rPr>
          <w:color w:val="000000" w:themeColor="text1"/>
        </w:rPr>
        <w:t xml:space="preserve">articipants indicated how ‘Calm’, ‘Tense’, ‘Upset’, ‘Relaxed’, ‘Content’ and ‘Worried’ they felt on a </w:t>
      </w:r>
      <w:r w:rsidR="0020502C">
        <w:rPr>
          <w:color w:val="000000" w:themeColor="text1"/>
        </w:rPr>
        <w:t>4-point Likert scale</w:t>
      </w:r>
      <w:r w:rsidRPr="0077519C">
        <w:t>, where 1 represented “</w:t>
      </w:r>
      <w:r w:rsidRPr="0077519C">
        <w:rPr>
          <w:color w:val="000000" w:themeColor="text1"/>
        </w:rPr>
        <w:t>not at all</w:t>
      </w:r>
      <w:r w:rsidRPr="0077519C">
        <w:t>” and 4, “</w:t>
      </w:r>
      <w:r w:rsidRPr="0077519C">
        <w:rPr>
          <w:color w:val="000000" w:themeColor="text1"/>
        </w:rPr>
        <w:t>very much</w:t>
      </w:r>
      <w:r w:rsidRPr="0077519C">
        <w:t xml:space="preserve">”. After reversing the scores on positive items, the total score was summed and multiplied by ‘(20 </w:t>
      </w:r>
      <m:oMath>
        <m:r>
          <w:rPr>
            <w:rFonts w:ascii="Cambria Math" w:hAnsi="Cambria Math"/>
          </w:rPr>
          <m:t>÷</m:t>
        </m:r>
      </m:oMath>
      <w:r w:rsidRPr="0077519C">
        <w:t xml:space="preserve"> 6)’ to generate a result comparable to that obtained on the 20-item STAI</w:t>
      </w:r>
      <w:r w:rsidR="00BB7C27">
        <w:t xml:space="preserve"> [1]</w:t>
      </w:r>
      <w:r w:rsidRPr="0077519C">
        <w:t xml:space="preserve">. </w:t>
      </w:r>
      <w:r w:rsidR="0020502C">
        <w:t>Higher STAI-S scores represent a more negative emotional state.</w:t>
      </w:r>
    </w:p>
    <w:bookmarkEnd w:id="0"/>
    <w:p w14:paraId="3357309B" w14:textId="77777777" w:rsidR="00FE4E01" w:rsidRPr="0077519C" w:rsidRDefault="00FE4E01" w:rsidP="00547953">
      <w:pPr>
        <w:spacing w:line="276" w:lineRule="auto"/>
      </w:pPr>
    </w:p>
    <w:p w14:paraId="574E52C2" w14:textId="77777777" w:rsidR="00BD4366" w:rsidRPr="00BD4366" w:rsidRDefault="00BD4366" w:rsidP="00547953">
      <w:pPr>
        <w:spacing w:line="276" w:lineRule="auto"/>
        <w:rPr>
          <w:b/>
          <w:bCs/>
        </w:rPr>
      </w:pPr>
      <w:r w:rsidRPr="00BD4366">
        <w:rPr>
          <w:b/>
          <w:bCs/>
        </w:rPr>
        <w:t>Profile of Mood States (POMS) Measurements</w:t>
      </w:r>
    </w:p>
    <w:p w14:paraId="42B288B4" w14:textId="478D8AA1" w:rsidR="00666083" w:rsidRPr="00666083" w:rsidRDefault="00E334B7" w:rsidP="00547953">
      <w:pPr>
        <w:spacing w:line="276" w:lineRule="auto"/>
        <w:rPr>
          <w:rFonts w:ascii="Cordia New" w:hAnsi="Cordia New" w:cs="Cordia New"/>
        </w:rPr>
      </w:pPr>
      <w:r w:rsidRPr="0077519C">
        <w:t>The POMS consisted of 40-items loaded on seven subscales: ‘Tension’, ‘Depression’, ‘Fatigue’, ‘Confusion’, ‘Anger’, ‘Vigour’ and ‘Esteem’</w:t>
      </w:r>
      <w:r w:rsidR="0020502C">
        <w:t>. Participants rated their</w:t>
      </w:r>
      <w:r w:rsidR="00B85165">
        <w:t xml:space="preserve"> </w:t>
      </w:r>
      <w:r w:rsidR="0020502C">
        <w:t>experience of each item</w:t>
      </w:r>
      <w:r w:rsidR="00B85165">
        <w:t xml:space="preserve"> on a 5-point </w:t>
      </w:r>
      <w:r w:rsidR="0020502C">
        <w:t>Likert</w:t>
      </w:r>
      <w:r w:rsidR="00B85165">
        <w:t xml:space="preserve"> scale, where 0 represente</w:t>
      </w:r>
      <w:r w:rsidR="0020502C">
        <w:t>d</w:t>
      </w:r>
      <w:r w:rsidR="00B85165">
        <w:t xml:space="preserve"> “</w:t>
      </w:r>
      <w:r w:rsidR="0020502C">
        <w:t>n</w:t>
      </w:r>
      <w:r w:rsidR="00B85165">
        <w:t>ot at all” and 4 represented</w:t>
      </w:r>
      <w:r w:rsidR="0020502C">
        <w:t xml:space="preserve"> “extremely”.</w:t>
      </w:r>
      <w:r w:rsidR="00B85165">
        <w:t xml:space="preserve"> </w:t>
      </w:r>
      <w:r w:rsidRPr="0077519C">
        <w:t xml:space="preserve">Scores were calculated as described elsewhere </w:t>
      </w:r>
      <w:bookmarkStart w:id="1" w:name="_Hlk93104037"/>
      <w:r w:rsidRPr="00666083">
        <w:fldChar w:fldCharType="begin"/>
      </w:r>
      <w:r w:rsidRPr="00666083">
        <w:instrText xml:space="preserve"> ADDIN EN.CITE &lt;EndNote&gt;&lt;Cite&gt;&lt;Author&gt;Grove&lt;/Author&gt;&lt;Year&gt;1992&lt;/Year&gt;&lt;RecNum&gt;860&lt;/RecNum&gt;&lt;DisplayText&gt;[1]&lt;/DisplayText&gt;&lt;record&gt;&lt;rec-number&gt;860&lt;/rec-number&gt;&lt;foreign-keys&gt;&lt;key app="EN" db-id="vfrezvswndxpd8etp5x5zx98vdvsrtfvsazw" timestamp="1603590157"&gt;860&lt;/key&gt;&lt;/foreign-keys&gt;&lt;ref-type name="Journal Article"&gt;17&lt;/ref-type&gt;&lt;contributors&gt;&lt;authors&gt;&lt;author&gt;Grove, J. R.&lt;/author&gt;&lt;author&gt;Prapavessis, H.&lt;/author&gt;&lt;/authors&gt;&lt;/contributors&gt;&lt;titles&gt;&lt;title&gt;Preliminary Evidence for the Reliability and Validity of an Abbreviated Profile of Mood States&lt;/title&gt;&lt;secondary-title&gt;International Journal of Sport Psychology&lt;/secondary-title&gt;&lt;alt-title&gt;Int J Sport Psychol&lt;/alt-title&gt;&lt;/titles&gt;&lt;periodical&gt;&lt;full-title&gt;International Journal of Sport Psychology&lt;/full-title&gt;&lt;/periodical&gt;&lt;pages&gt;93-109&lt;/pages&gt;&lt;volume&gt;23&lt;/volume&gt;&lt;number&gt;2&lt;/number&gt;&lt;keywords&gt;&lt;keyword&gt;competition&lt;/keyword&gt;&lt;keyword&gt;emotion&lt;/keyword&gt;&lt;keyword&gt;esteem-related affect&lt;/keyword&gt;&lt;keyword&gt;mood&lt;/keyword&gt;&lt;keyword&gt;exercise&lt;/keyword&gt;&lt;keyword&gt;emotion&lt;/keyword&gt;&lt;keyword&gt;enhancement&lt;/keyword&gt;&lt;keyword&gt;runners&lt;/keyword&gt;&lt;keyword&gt;sport&lt;/keyword&gt;&lt;/keywords&gt;&lt;dates&gt;&lt;year&gt;1992&lt;/year&gt;&lt;pub-dates&gt;&lt;date&gt;Apr-Jun&lt;/date&gt;&lt;/pub-dates&gt;&lt;/dates&gt;&lt;isbn&gt;0047-0767&lt;/isbn&gt;&lt;accession-num&gt;WOS:A1992JP57600001&lt;/accession-num&gt;&lt;urls&gt;&lt;related-urls&gt;&lt;url&gt;&amp;lt;Go to ISI&amp;gt;://WOS:A1992JP57600001&lt;/url&gt;&lt;/related-urls&gt;&lt;/urls&gt;&lt;language&gt;English&lt;/language&gt;&lt;/record&gt;&lt;/Cite&gt;&lt;/EndNote&gt;</w:instrText>
      </w:r>
      <w:r w:rsidRPr="00666083">
        <w:fldChar w:fldCharType="separate"/>
      </w:r>
      <w:r w:rsidRPr="00666083">
        <w:t>[</w:t>
      </w:r>
      <w:r w:rsidR="00BB7C27">
        <w:t>2</w:t>
      </w:r>
      <w:r w:rsidRPr="00666083">
        <w:t>]</w:t>
      </w:r>
      <w:r w:rsidRPr="00666083">
        <w:fldChar w:fldCharType="end"/>
      </w:r>
      <w:bookmarkEnd w:id="1"/>
      <w:r w:rsidRPr="00666083">
        <w:t>.</w:t>
      </w:r>
      <w:r w:rsidR="00666083" w:rsidRPr="00666083">
        <w:t xml:space="preserve"> </w:t>
      </w:r>
      <w:r w:rsidR="00666083" w:rsidRPr="00666083">
        <w:rPr>
          <w:rFonts w:hint="cs"/>
        </w:rPr>
        <w:t>Total mood disturbance (TMD) was calculated by subtracting the sum of positive emotional states (</w:t>
      </w:r>
      <w:r w:rsidR="00B85165">
        <w:t>V</w:t>
      </w:r>
      <w:r w:rsidR="00666083" w:rsidRPr="00666083">
        <w:rPr>
          <w:rFonts w:hint="cs"/>
        </w:rPr>
        <w:t xml:space="preserve">igour and </w:t>
      </w:r>
      <w:r w:rsidR="00B85165">
        <w:t>E</w:t>
      </w:r>
      <w:r w:rsidR="00666083" w:rsidRPr="00666083">
        <w:rPr>
          <w:rFonts w:hint="cs"/>
        </w:rPr>
        <w:t>steem) from negative states (</w:t>
      </w:r>
      <w:r w:rsidR="00B85165">
        <w:t>T</w:t>
      </w:r>
      <w:r w:rsidR="00666083" w:rsidRPr="00666083">
        <w:rPr>
          <w:rFonts w:hint="cs"/>
        </w:rPr>
        <w:t xml:space="preserve">ension, </w:t>
      </w:r>
      <w:r w:rsidR="00B85165">
        <w:t>D</w:t>
      </w:r>
      <w:r w:rsidR="00666083" w:rsidRPr="00666083">
        <w:rPr>
          <w:rFonts w:hint="cs"/>
        </w:rPr>
        <w:t xml:space="preserve">epression, </w:t>
      </w:r>
      <w:r w:rsidR="00B85165">
        <w:t>F</w:t>
      </w:r>
      <w:r w:rsidR="00666083" w:rsidRPr="00666083">
        <w:rPr>
          <w:rFonts w:hint="cs"/>
        </w:rPr>
        <w:t xml:space="preserve">atigue, </w:t>
      </w:r>
      <w:r w:rsidR="00B85165">
        <w:t>C</w:t>
      </w:r>
      <w:r w:rsidR="00666083" w:rsidRPr="00666083">
        <w:rPr>
          <w:rFonts w:hint="cs"/>
        </w:rPr>
        <w:t xml:space="preserve">onfusion and </w:t>
      </w:r>
      <w:r w:rsidR="00B85165">
        <w:t>A</w:t>
      </w:r>
      <w:r w:rsidR="00666083" w:rsidRPr="00666083">
        <w:rPr>
          <w:rFonts w:hint="cs"/>
        </w:rPr>
        <w:t>nger) and adding 100</w:t>
      </w:r>
      <w:r w:rsidR="00666083">
        <w:t xml:space="preserve"> </w:t>
      </w:r>
      <w:r w:rsidR="00666083" w:rsidRPr="00666083">
        <w:fldChar w:fldCharType="begin"/>
      </w:r>
      <w:r w:rsidR="00666083" w:rsidRPr="00666083">
        <w:instrText xml:space="preserve"> ADDIN EN.CITE &lt;EndNote&gt;&lt;Cite&gt;&lt;Author&gt;Grove&lt;/Author&gt;&lt;Year&gt;1992&lt;/Year&gt;&lt;RecNum&gt;860&lt;/RecNum&gt;&lt;DisplayText&gt;[1]&lt;/DisplayText&gt;&lt;record&gt;&lt;rec-number&gt;860&lt;/rec-number&gt;&lt;foreign-keys&gt;&lt;key app="EN" db-id="vfrezvswndxpd8etp5x5zx98vdvsrtfvsazw" timestamp="1603590157"&gt;860&lt;/key&gt;&lt;/foreign-keys&gt;&lt;ref-type name="Journal Article"&gt;17&lt;/ref-type&gt;&lt;contributors&gt;&lt;authors&gt;&lt;author&gt;Grove, J. R.&lt;/author&gt;&lt;author&gt;Prapavessis, H.&lt;/author&gt;&lt;/authors&gt;&lt;/contributors&gt;&lt;titles&gt;&lt;title&gt;Preliminary Evidence for the Reliability and Validity of an Abbreviated Profile of Mood States&lt;/title&gt;&lt;secondary-title&gt;International Journal of Sport Psychology&lt;/secondary-title&gt;&lt;alt-title&gt;Int J Sport Psychol&lt;/alt-title&gt;&lt;/titles&gt;&lt;periodical&gt;&lt;full-title&gt;International Journal of Sport Psychology&lt;/full-title&gt;&lt;/periodical&gt;&lt;pages&gt;93-109&lt;/pages&gt;&lt;volume&gt;23&lt;/volume&gt;&lt;number&gt;2&lt;/number&gt;&lt;keywords&gt;&lt;keyword&gt;competition&lt;/keyword&gt;&lt;keyword&gt;emotion&lt;/keyword&gt;&lt;keyword&gt;esteem-related affect&lt;/keyword&gt;&lt;keyword&gt;mood&lt;/keyword&gt;&lt;keyword&gt;exercise&lt;/keyword&gt;&lt;keyword&gt;emotion&lt;/keyword&gt;&lt;keyword&gt;enhancement&lt;/keyword&gt;&lt;keyword&gt;runners&lt;/keyword&gt;&lt;keyword&gt;sport&lt;/keyword&gt;&lt;/keywords&gt;&lt;dates&gt;&lt;year&gt;1992&lt;/year&gt;&lt;pub-dates&gt;&lt;date&gt;Apr-Jun&lt;/date&gt;&lt;/pub-dates&gt;&lt;/dates&gt;&lt;isbn&gt;0047-0767&lt;/isbn&gt;&lt;accession-num&gt;WOS:A1992JP57600001&lt;/accession-num&gt;&lt;urls&gt;&lt;related-urls&gt;&lt;url&gt;&amp;lt;Go to ISI&amp;gt;://WOS:A1992JP57600001&lt;/url&gt;&lt;/related-urls&gt;&lt;/urls&gt;&lt;language&gt;English&lt;/language&gt;&lt;/record&gt;&lt;/Cite&gt;&lt;/EndNote&gt;</w:instrText>
      </w:r>
      <w:r w:rsidR="00666083" w:rsidRPr="00666083">
        <w:fldChar w:fldCharType="separate"/>
      </w:r>
      <w:r w:rsidR="00666083" w:rsidRPr="00666083">
        <w:t>[</w:t>
      </w:r>
      <w:r w:rsidR="00BB7C27">
        <w:t>2</w:t>
      </w:r>
      <w:r w:rsidR="00666083" w:rsidRPr="00666083">
        <w:t>]</w:t>
      </w:r>
      <w:r w:rsidR="00666083" w:rsidRPr="00666083">
        <w:fldChar w:fldCharType="end"/>
      </w:r>
      <w:r w:rsidR="00666083" w:rsidRPr="00666083">
        <w:rPr>
          <w:rFonts w:hint="cs"/>
        </w:rPr>
        <w:t>.</w:t>
      </w:r>
      <w:r w:rsidR="00666083">
        <w:t xml:space="preserve"> Thus, </w:t>
      </w:r>
      <w:bookmarkStart w:id="2" w:name="_Hlk93104138"/>
      <w:r w:rsidR="00666083">
        <w:t xml:space="preserve">higher </w:t>
      </w:r>
      <w:r w:rsidR="00B85165">
        <w:t xml:space="preserve">TMD </w:t>
      </w:r>
      <w:r w:rsidR="00666083">
        <w:t>scores represent a more negative emotional state (i.e., greater mood disturbance).</w:t>
      </w:r>
      <w:bookmarkEnd w:id="2"/>
    </w:p>
    <w:p w14:paraId="7FF36704" w14:textId="563336A8" w:rsidR="00E334B7" w:rsidRPr="0077519C" w:rsidRDefault="00E334B7" w:rsidP="00547953">
      <w:pPr>
        <w:spacing w:line="276" w:lineRule="auto"/>
        <w:rPr>
          <w:color w:val="000000" w:themeColor="text1"/>
        </w:rPr>
      </w:pPr>
    </w:p>
    <w:p w14:paraId="37C41092" w14:textId="77777777" w:rsidR="00E334B7" w:rsidRDefault="00E334B7" w:rsidP="00547953">
      <w:pPr>
        <w:spacing w:line="276" w:lineRule="auto"/>
        <w:rPr>
          <w:color w:val="000000" w:themeColor="text1"/>
        </w:rPr>
      </w:pPr>
    </w:p>
    <w:p w14:paraId="572BEA18" w14:textId="77777777" w:rsidR="00BB7C27" w:rsidRPr="003173B3" w:rsidRDefault="00E334B7" w:rsidP="00547953">
      <w:pPr>
        <w:pStyle w:val="EndNoteBibliography"/>
        <w:spacing w:line="276" w:lineRule="auto"/>
        <w:ind w:left="720" w:hanging="720"/>
        <w:rPr>
          <w:rFonts w:ascii="Times New Roman" w:hAnsi="Times New Roman" w:cs="Times New Roman"/>
          <w:noProof/>
        </w:rPr>
      </w:pPr>
      <w:r w:rsidRPr="003173B3">
        <w:rPr>
          <w:rFonts w:ascii="Times New Roman" w:hAnsi="Times New Roman" w:cs="Times New Roman"/>
        </w:rPr>
        <w:fldChar w:fldCharType="begin"/>
      </w:r>
      <w:r w:rsidRPr="003173B3">
        <w:rPr>
          <w:rFonts w:ascii="Times New Roman" w:hAnsi="Times New Roman" w:cs="Times New Roman"/>
        </w:rPr>
        <w:instrText xml:space="preserve"> ADDIN EN.REFLIST </w:instrText>
      </w:r>
      <w:r w:rsidRPr="003173B3">
        <w:rPr>
          <w:rFonts w:ascii="Times New Roman" w:hAnsi="Times New Roman" w:cs="Times New Roman"/>
        </w:rPr>
        <w:fldChar w:fldCharType="separate"/>
      </w:r>
      <w:r w:rsidRPr="003173B3">
        <w:rPr>
          <w:rFonts w:ascii="Times New Roman" w:hAnsi="Times New Roman" w:cs="Times New Roman"/>
          <w:noProof/>
        </w:rPr>
        <w:t>1.</w:t>
      </w:r>
      <w:r w:rsidRPr="003173B3">
        <w:rPr>
          <w:rFonts w:ascii="Times New Roman" w:hAnsi="Times New Roman" w:cs="Times New Roman"/>
          <w:noProof/>
        </w:rPr>
        <w:tab/>
      </w:r>
      <w:r w:rsidR="00BB7C27" w:rsidRPr="003173B3">
        <w:rPr>
          <w:rFonts w:ascii="Times New Roman" w:hAnsi="Times New Roman" w:cs="Times New Roman"/>
          <w:bCs/>
          <w:noProof/>
        </w:rPr>
        <w:t>Marteau TM, and Bekker H.</w:t>
      </w:r>
      <w:r w:rsidR="00BB7C27" w:rsidRPr="003173B3">
        <w:rPr>
          <w:rFonts w:ascii="Times New Roman" w:hAnsi="Times New Roman" w:cs="Times New Roman"/>
          <w:noProof/>
        </w:rPr>
        <w:t xml:space="preserve"> The development of a six-item short-form of the state scale of the Spielberger State-Trait Anxiety Inventory (STAI). </w:t>
      </w:r>
      <w:r w:rsidR="00BB7C27" w:rsidRPr="003173B3">
        <w:rPr>
          <w:rFonts w:ascii="Times New Roman" w:hAnsi="Times New Roman" w:cs="Times New Roman"/>
          <w:i/>
          <w:noProof/>
        </w:rPr>
        <w:t xml:space="preserve">Br J Clin Psychol </w:t>
      </w:r>
      <w:r w:rsidR="00BB7C27" w:rsidRPr="003173B3">
        <w:rPr>
          <w:rFonts w:ascii="Times New Roman" w:hAnsi="Times New Roman" w:cs="Times New Roman"/>
          <w:noProof/>
        </w:rPr>
        <w:t>31: 301-306, 1992.</w:t>
      </w:r>
    </w:p>
    <w:p w14:paraId="77BC7E49" w14:textId="61B6D9F8" w:rsidR="00E334B7" w:rsidRPr="003173B3" w:rsidRDefault="00BB7C27" w:rsidP="00547953">
      <w:pPr>
        <w:pStyle w:val="EndNoteBibliography"/>
        <w:spacing w:line="276" w:lineRule="auto"/>
        <w:ind w:left="720" w:hanging="720"/>
        <w:rPr>
          <w:rFonts w:ascii="Times New Roman" w:hAnsi="Times New Roman" w:cs="Times New Roman"/>
          <w:noProof/>
        </w:rPr>
      </w:pPr>
      <w:r w:rsidRPr="003173B3">
        <w:rPr>
          <w:rFonts w:ascii="Times New Roman" w:hAnsi="Times New Roman" w:cs="Times New Roman"/>
          <w:noProof/>
        </w:rPr>
        <w:t xml:space="preserve">2. </w:t>
      </w:r>
      <w:r w:rsidRPr="003173B3">
        <w:rPr>
          <w:rFonts w:ascii="Times New Roman" w:hAnsi="Times New Roman" w:cs="Times New Roman"/>
          <w:noProof/>
        </w:rPr>
        <w:tab/>
      </w:r>
      <w:r w:rsidR="00E334B7" w:rsidRPr="003173B3">
        <w:rPr>
          <w:rFonts w:ascii="Times New Roman" w:hAnsi="Times New Roman" w:cs="Times New Roman"/>
          <w:noProof/>
        </w:rPr>
        <w:t xml:space="preserve">Grove, J.R. and H. Prapavessis, </w:t>
      </w:r>
      <w:r w:rsidR="00E334B7" w:rsidRPr="003173B3">
        <w:rPr>
          <w:rFonts w:ascii="Times New Roman" w:hAnsi="Times New Roman" w:cs="Times New Roman"/>
          <w:i/>
          <w:noProof/>
        </w:rPr>
        <w:t>Preliminary Evidence for the Reliability and Validity of an Abbreviated Profile of Mood States.</w:t>
      </w:r>
      <w:r w:rsidR="00E334B7" w:rsidRPr="003173B3">
        <w:rPr>
          <w:rFonts w:ascii="Times New Roman" w:hAnsi="Times New Roman" w:cs="Times New Roman"/>
          <w:noProof/>
        </w:rPr>
        <w:t xml:space="preserve"> International Journal of Sport Psychology, 1992. </w:t>
      </w:r>
      <w:r w:rsidR="00E334B7" w:rsidRPr="003173B3">
        <w:rPr>
          <w:rFonts w:ascii="Times New Roman" w:hAnsi="Times New Roman" w:cs="Times New Roman"/>
          <w:b/>
          <w:noProof/>
        </w:rPr>
        <w:t>23</w:t>
      </w:r>
      <w:r w:rsidR="00E334B7" w:rsidRPr="003173B3">
        <w:rPr>
          <w:rFonts w:ascii="Times New Roman" w:hAnsi="Times New Roman" w:cs="Times New Roman"/>
          <w:noProof/>
        </w:rPr>
        <w:t>(2): p. 93-109.</w:t>
      </w:r>
    </w:p>
    <w:p w14:paraId="57E1C831" w14:textId="6791EE39" w:rsidR="00E334B7" w:rsidRDefault="00E334B7" w:rsidP="00547953">
      <w:pPr>
        <w:spacing w:line="276" w:lineRule="auto"/>
      </w:pPr>
      <w:r w:rsidRPr="003173B3">
        <w:fldChar w:fldCharType="end"/>
      </w:r>
    </w:p>
    <w:p w14:paraId="231BDF17" w14:textId="6C19535B" w:rsidR="00547953" w:rsidRPr="007F15E5" w:rsidRDefault="00E334B7" w:rsidP="00E334B7">
      <w:r w:rsidRPr="007F15E5">
        <w:br w:type="page"/>
      </w:r>
      <w:r w:rsidRPr="007F15E5">
        <w:rPr>
          <w:b/>
          <w:color w:val="2F5496" w:themeColor="accent1" w:themeShade="BF"/>
        </w:rPr>
        <w:lastRenderedPageBreak/>
        <w:t xml:space="preserve">SUPPLEMENTARY </w:t>
      </w:r>
      <w:r w:rsidR="00750A95" w:rsidRPr="007F15E5">
        <w:rPr>
          <w:b/>
          <w:color w:val="2F5496" w:themeColor="accent1" w:themeShade="BF"/>
        </w:rPr>
        <w:t>MATERIAL</w:t>
      </w:r>
      <w:r w:rsidRPr="007F15E5">
        <w:rPr>
          <w:b/>
          <w:color w:val="2F5496" w:themeColor="accent1" w:themeShade="BF"/>
        </w:rPr>
        <w:t xml:space="preserve"> </w:t>
      </w:r>
      <w:r w:rsidR="007F15E5" w:rsidRPr="007F15E5">
        <w:rPr>
          <w:b/>
          <w:color w:val="2F5496" w:themeColor="accent1" w:themeShade="BF"/>
        </w:rPr>
        <w:t>#</w:t>
      </w:r>
      <w:r w:rsidRPr="007F15E5">
        <w:rPr>
          <w:b/>
          <w:color w:val="2F5496" w:themeColor="accent1" w:themeShade="BF"/>
        </w:rPr>
        <w:t xml:space="preserve">3: </w:t>
      </w:r>
      <w:r w:rsidR="00BD4366" w:rsidRPr="007F15E5">
        <w:rPr>
          <w:bCs/>
          <w:color w:val="2F5496" w:themeColor="accent1" w:themeShade="BF"/>
        </w:rPr>
        <w:t>Plasma</w:t>
      </w:r>
      <w:r w:rsidR="00BD4366" w:rsidRPr="007F15E5">
        <w:rPr>
          <w:b/>
          <w:color w:val="2F5496" w:themeColor="accent1" w:themeShade="BF"/>
        </w:rPr>
        <w:t xml:space="preserve"> </w:t>
      </w:r>
      <w:r w:rsidRPr="007F15E5">
        <w:rPr>
          <w:bCs/>
          <w:color w:val="2F5496" w:themeColor="accent1" w:themeShade="BF"/>
        </w:rPr>
        <w:t xml:space="preserve">Anandamide Analysis </w:t>
      </w:r>
    </w:p>
    <w:p w14:paraId="55FB61B7" w14:textId="77777777" w:rsidR="00547953" w:rsidRPr="00547953" w:rsidRDefault="00547953" w:rsidP="00E334B7">
      <w:pPr>
        <w:rPr>
          <w:sz w:val="28"/>
          <w:szCs w:val="28"/>
        </w:rPr>
      </w:pPr>
    </w:p>
    <w:p w14:paraId="08987E47" w14:textId="6371C1D4" w:rsidR="00E334B7" w:rsidRPr="0077519C" w:rsidRDefault="00E334B7" w:rsidP="00547953">
      <w:pPr>
        <w:spacing w:line="276" w:lineRule="auto"/>
        <w:rPr>
          <w:b/>
          <w:bCs/>
        </w:rPr>
      </w:pPr>
      <w:r w:rsidRPr="0077519C">
        <w:rPr>
          <w:b/>
          <w:bCs/>
        </w:rPr>
        <w:t>Sample Preparation for Anandamide (AEA) Analysis</w:t>
      </w:r>
    </w:p>
    <w:p w14:paraId="5D313039" w14:textId="6DF08EBB" w:rsidR="00E334B7" w:rsidRPr="0077519C" w:rsidRDefault="00E334B7" w:rsidP="00547953">
      <w:pPr>
        <w:spacing w:line="276" w:lineRule="auto"/>
      </w:pPr>
      <w:r w:rsidRPr="0077519C">
        <w:t xml:space="preserve">Frozen plasma samples were thawed at room temperature and placed on ice as they finished thawing. Aliquots of 200μL were transferred to 1.5 mL capacity polypropylene centrifuge </w:t>
      </w:r>
      <w:r w:rsidR="003173B3" w:rsidRPr="0077519C">
        <w:t>tubes and</w:t>
      </w:r>
      <w:r w:rsidRPr="0077519C">
        <w:t xml:space="preserve"> spiked with 5μL of an internal standard solution (containing </w:t>
      </w:r>
      <w:r w:rsidR="003173B3" w:rsidRPr="0077519C">
        <w:t>arachidonoyl</w:t>
      </w:r>
      <w:r w:rsidRPr="0077519C">
        <w:t xml:space="preserve"> ethanolamide-d4 (250 ng/mL). Similar to validated methods described by Gurke et al.</w:t>
      </w:r>
      <w:r w:rsidRPr="0077519C">
        <w:fldChar w:fldCharType="begin">
          <w:fldData xml:space="preserve">PEVuZE5vdGU+PENpdGU+PEF1dGhvcj5HdXJrZTwvQXV0aG9yPjxZZWFyPjIwMTk8L1llYXI+PFJl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</w:fldData>
        </w:fldChar>
      </w:r>
      <w:r w:rsidRPr="0077519C">
        <w:instrText xml:space="preserve"> ADDIN EN.CITE </w:instrText>
      </w:r>
      <w:r w:rsidRPr="0077519C">
        <w:fldChar w:fldCharType="begin">
          <w:fldData xml:space="preserve">PEVuZE5vdGU+PENpdGU+PEF1dGhvcj5HdXJrZTwvQXV0aG9yPjxZZWFyPjIwMTk8L1llYXI+PFJl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</w:fldData>
        </w:fldChar>
      </w:r>
      <w:r w:rsidRPr="0077519C">
        <w:instrText xml:space="preserve"> ADDIN EN.CITE.DATA </w:instrText>
      </w:r>
      <w:r w:rsidRPr="0077519C">
        <w:fldChar w:fldCharType="end"/>
      </w:r>
      <w:r w:rsidRPr="0077519C">
        <w:fldChar w:fldCharType="separate"/>
      </w:r>
      <w:r w:rsidRPr="0077519C">
        <w:rPr>
          <w:noProof/>
        </w:rPr>
        <w:t>(1)</w:t>
      </w:r>
      <w:r w:rsidRPr="0077519C">
        <w:fldChar w:fldCharType="end"/>
      </w:r>
      <w:r w:rsidRPr="0077519C">
        <w:t xml:space="preserve">, AEA was isolated via a </w:t>
      </w:r>
      <w:r w:rsidR="003173B3" w:rsidRPr="0077519C">
        <w:t>two-phase</w:t>
      </w:r>
      <w:r w:rsidRPr="0077519C">
        <w:t xml:space="preserve"> liquid-liquid extraction where 400μL </w:t>
      </w:r>
      <w:proofErr w:type="spellStart"/>
      <w:proofErr w:type="gramStart"/>
      <w:r w:rsidRPr="0077519C">
        <w:t>ethylacetate:hexane</w:t>
      </w:r>
      <w:proofErr w:type="spellEnd"/>
      <w:proofErr w:type="gramEnd"/>
      <w:r w:rsidRPr="0077519C">
        <w:t xml:space="preserve"> (9:1) was added to each spiked plasma sample. Samples were then vortexed for 20 mins and centrifuged at 18,000×g for 20 mins at 4°C. The resulting organic supernatant was transferred to a new glass culture tube and dried to completeness under nitrogen gas. Samples were reconstituted in 17.5μL of 0.1% formic acid and 32.5μL of methanol for immediate analysis (see below). Calibrator and quality control samples were prepared in 200μL phosphate buffered saline spiked to known analyte concentrations and prepared in tandem with experimental samples as described above. Samples remained on ice throughout the preparation. </w:t>
      </w:r>
    </w:p>
    <w:p w14:paraId="4313F105" w14:textId="77777777" w:rsidR="00E334B7" w:rsidRPr="0077519C" w:rsidRDefault="00E334B7" w:rsidP="00547953">
      <w:pPr>
        <w:spacing w:line="276" w:lineRule="auto"/>
      </w:pPr>
    </w:p>
    <w:p w14:paraId="254AF940" w14:textId="1E25C140" w:rsidR="00E334B7" w:rsidRPr="0077519C" w:rsidRDefault="00E334B7" w:rsidP="00547953">
      <w:pPr>
        <w:spacing w:line="276" w:lineRule="auto"/>
        <w:rPr>
          <w:b/>
          <w:bCs/>
        </w:rPr>
      </w:pPr>
      <w:r w:rsidRPr="0077519C">
        <w:rPr>
          <w:b/>
          <w:bCs/>
        </w:rPr>
        <w:t>Sample Analysis</w:t>
      </w:r>
    </w:p>
    <w:p w14:paraId="4848CF76" w14:textId="584ADD0F" w:rsidR="00E334B7" w:rsidRDefault="00E334B7" w:rsidP="00547953">
      <w:pPr>
        <w:spacing w:line="276" w:lineRule="auto"/>
      </w:pPr>
      <w:r w:rsidRPr="0077519C">
        <w:t xml:space="preserve">AEA was analysed by ultra-high performance liquid chromatography/ mass spectrometry (UHPLC-MS/MS) using a Shimadzu LC-30AD UHPLC system (Kyoto, Japan) coupled to a Shimadzu 8040 triple quadrupole mass spectrometer. Samples were separated on a Waters ACQUITY UPLC CSH C18 analytical column (100 × 2.1 mm, 1.7μm  particle size) (Milford, MA, USA) equipped with a Waters ACQUITY UPLC BEH C18 guard column (5 × 2.1 mm, 1.7μm particle size), using gradient elution and an injection volume of 20μL. Mobile phases 0.1% formic acid in water (A) and methanol (B) were delivered at a flow rate of 0.3 L/min as follows: mobile phase B was first held at 65% for 0.5 mins, then increased from 65% to 82% over 0.1 mins, held at 82% for 11.4 mins, then increased from 82% to 100% over 0.1 mins, held at 100% for 1 min then decreased back to 65% over 0.1 mins and equilibrated at 65% for 2 mins. The MS device was operated in multiple reaction monitoring (MRM) mode using electrospray ionization in positive mode (ESI+), with a capillary voltage of 4.5 kV, a source temperature of 450°C, and a </w:t>
      </w:r>
      <w:proofErr w:type="spellStart"/>
      <w:r w:rsidRPr="0077519C">
        <w:t>desolvation</w:t>
      </w:r>
      <w:proofErr w:type="spellEnd"/>
      <w:r w:rsidRPr="0077519C">
        <w:t xml:space="preserve"> temperature of 100°C and a column temperature of 40°C. </w:t>
      </w:r>
      <w:r w:rsidR="003173B3" w:rsidRPr="0077519C">
        <w:t>Nebulising</w:t>
      </w:r>
      <w:r w:rsidRPr="0077519C">
        <w:t xml:space="preserve"> gas and drying gas flow rates were 3 L/min and 15L/min, respectively. Mass transitions and collision energies were optimised for each analyte and internal standard individually, using dwell times of 50 or 100ms (Table S</w:t>
      </w:r>
      <w:r w:rsidR="003173B3">
        <w:t>1</w:t>
      </w:r>
      <w:r w:rsidRPr="0077519C">
        <w:t>). Chromatographic separation was also optimised for the analyte set and lower limit of quantification (LLOQ) values were determined (Table S</w:t>
      </w:r>
      <w:r w:rsidR="003173B3">
        <w:t>1</w:t>
      </w:r>
      <w:r w:rsidRPr="0077519C">
        <w:t>).</w:t>
      </w:r>
    </w:p>
    <w:p w14:paraId="749B2C8A" w14:textId="0008A7F1" w:rsidR="00354837" w:rsidRDefault="00354837" w:rsidP="00E334B7">
      <w:pPr>
        <w:spacing w:line="276" w:lineRule="auto"/>
      </w:pPr>
    </w:p>
    <w:p w14:paraId="671F7B20" w14:textId="3DC36BC5" w:rsidR="00354837" w:rsidRDefault="00354837" w:rsidP="00E334B7">
      <w:pPr>
        <w:spacing w:line="276" w:lineRule="auto"/>
      </w:pPr>
    </w:p>
    <w:p w14:paraId="0D0A3053" w14:textId="5AEC85C4" w:rsidR="00354837" w:rsidRDefault="00354837" w:rsidP="00E334B7">
      <w:pPr>
        <w:spacing w:line="276" w:lineRule="auto"/>
      </w:pPr>
    </w:p>
    <w:p w14:paraId="3ED49116" w14:textId="7BCECD82" w:rsidR="00354837" w:rsidRDefault="00354837" w:rsidP="00E334B7">
      <w:pPr>
        <w:spacing w:line="276" w:lineRule="auto"/>
      </w:pPr>
    </w:p>
    <w:p w14:paraId="47AEF03C" w14:textId="1D42F8F4" w:rsidR="00354837" w:rsidRDefault="00354837" w:rsidP="00E334B7">
      <w:pPr>
        <w:spacing w:line="276" w:lineRule="auto"/>
      </w:pPr>
    </w:p>
    <w:p w14:paraId="2D55633C" w14:textId="3FCCD049" w:rsidR="00354837" w:rsidRDefault="00354837" w:rsidP="00E334B7">
      <w:pPr>
        <w:spacing w:line="276" w:lineRule="auto"/>
      </w:pPr>
    </w:p>
    <w:p w14:paraId="2F5F520B" w14:textId="76DB3B72" w:rsidR="00354837" w:rsidRDefault="00354837" w:rsidP="00E334B7">
      <w:pPr>
        <w:spacing w:line="276" w:lineRule="auto"/>
      </w:pPr>
    </w:p>
    <w:p w14:paraId="5384813E" w14:textId="1D5F190B" w:rsidR="00354837" w:rsidRDefault="00354837" w:rsidP="00E334B7">
      <w:pPr>
        <w:spacing w:line="276" w:lineRule="auto"/>
      </w:pPr>
    </w:p>
    <w:p w14:paraId="64507597" w14:textId="0D1A876F" w:rsidR="00354837" w:rsidRPr="00354837" w:rsidRDefault="00354837" w:rsidP="00E334B7">
      <w:pPr>
        <w:spacing w:line="276" w:lineRule="auto"/>
        <w:rPr>
          <w:b/>
          <w:bCs/>
        </w:rPr>
      </w:pPr>
      <w:r w:rsidRPr="00354837">
        <w:rPr>
          <w:b/>
          <w:bCs/>
        </w:rPr>
        <w:lastRenderedPageBreak/>
        <w:t>Table S1.</w:t>
      </w:r>
      <w:r>
        <w:rPr>
          <w:b/>
          <w:bCs/>
        </w:rPr>
        <w:t xml:space="preserve"> </w:t>
      </w:r>
      <w:r w:rsidRPr="00354837">
        <w:t>Mass spectrometric parameters for AEA analysis</w:t>
      </w:r>
    </w:p>
    <w:p w14:paraId="0B0DC22E" w14:textId="77777777" w:rsidR="00547953" w:rsidRDefault="00547953" w:rsidP="00354837">
      <w:pPr>
        <w:rPr>
          <w:rFonts w:ascii="Arial" w:hAnsi="Arial" w:cs="Arial"/>
          <w:sz w:val="16"/>
          <w:szCs w:val="16"/>
        </w:rPr>
      </w:pPr>
    </w:p>
    <w:p w14:paraId="011BD54C" w14:textId="41483B0A" w:rsidR="00354837" w:rsidRDefault="00354837" w:rsidP="00354837">
      <w:pPr>
        <w:rPr>
          <w:rFonts w:ascii="Arial" w:hAnsi="Arial" w:cs="Arial"/>
          <w:sz w:val="16"/>
          <w:szCs w:val="16"/>
        </w:rPr>
      </w:pPr>
      <w:r>
        <w:rPr>
          <w:rFonts w:ascii="Arial" w:hAnsi="Arial" w:cs="Arial"/>
          <w:sz w:val="16"/>
          <w:szCs w:val="16"/>
        </w:rPr>
        <w:t>LLOQ: lower limit of quantification, *: Quantifier transition</w:t>
      </w:r>
    </w:p>
    <w:p w14:paraId="2FF2EA7E" w14:textId="151AAF3B" w:rsidR="00354837" w:rsidRDefault="00354837" w:rsidP="00E334B7">
      <w:pPr>
        <w:spacing w:line="276" w:lineRule="auto"/>
      </w:pPr>
    </w:p>
    <w:tbl>
      <w:tblPr>
        <w:tblStyle w:val="TableGrid"/>
        <w:tblpPr w:leftFromText="180" w:rightFromText="180" w:vertAnchor="page" w:horzAnchor="margin" w:tblpY="2017"/>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1321"/>
        <w:gridCol w:w="1587"/>
        <w:gridCol w:w="822"/>
        <w:gridCol w:w="358"/>
        <w:gridCol w:w="947"/>
        <w:gridCol w:w="992"/>
        <w:gridCol w:w="1134"/>
        <w:gridCol w:w="850"/>
      </w:tblGrid>
      <w:tr w:rsidR="00547953" w:rsidRPr="00B51330" w14:paraId="1ADAA2CE" w14:textId="77777777" w:rsidTr="00547953">
        <w:trPr>
          <w:trHeight w:val="433"/>
        </w:trPr>
        <w:tc>
          <w:tcPr>
            <w:tcW w:w="1417" w:type="dxa"/>
            <w:tcBorders>
              <w:top w:val="single" w:sz="12" w:space="0" w:color="auto"/>
              <w:bottom w:val="single" w:sz="4" w:space="0" w:color="auto"/>
            </w:tcBorders>
            <w:shd w:val="clear" w:color="auto" w:fill="D9D9D9" w:themeFill="background1" w:themeFillShade="D9"/>
            <w:vAlign w:val="center"/>
          </w:tcPr>
          <w:p w14:paraId="66AFA2F2" w14:textId="77777777" w:rsidR="00354837" w:rsidRPr="00547953" w:rsidRDefault="00354837" w:rsidP="00354837">
            <w:pPr>
              <w:jc w:val="center"/>
              <w:rPr>
                <w:rFonts w:ascii="Arial" w:hAnsi="Arial" w:cs="Arial"/>
                <w:b/>
                <w:bCs/>
                <w:sz w:val="18"/>
                <w:szCs w:val="18"/>
              </w:rPr>
            </w:pPr>
            <w:r w:rsidRPr="00547953">
              <w:rPr>
                <w:rFonts w:ascii="Arial" w:hAnsi="Arial" w:cs="Arial"/>
                <w:b/>
                <w:bCs/>
                <w:sz w:val="18"/>
                <w:szCs w:val="18"/>
              </w:rPr>
              <w:t>Analyte</w:t>
            </w:r>
          </w:p>
        </w:tc>
        <w:tc>
          <w:tcPr>
            <w:tcW w:w="1321" w:type="dxa"/>
            <w:tcBorders>
              <w:top w:val="single" w:sz="12" w:space="0" w:color="auto"/>
              <w:bottom w:val="single" w:sz="4" w:space="0" w:color="auto"/>
            </w:tcBorders>
            <w:shd w:val="clear" w:color="auto" w:fill="D9D9D9" w:themeFill="background1" w:themeFillShade="D9"/>
            <w:vAlign w:val="center"/>
          </w:tcPr>
          <w:p w14:paraId="7B0B07B6" w14:textId="77777777" w:rsidR="00354837" w:rsidRPr="00547953" w:rsidRDefault="00354837" w:rsidP="00354837">
            <w:pPr>
              <w:jc w:val="center"/>
              <w:rPr>
                <w:rFonts w:ascii="Arial" w:hAnsi="Arial" w:cs="Arial"/>
                <w:b/>
                <w:bCs/>
                <w:sz w:val="18"/>
                <w:szCs w:val="18"/>
              </w:rPr>
            </w:pPr>
            <w:r w:rsidRPr="00547953">
              <w:rPr>
                <w:rFonts w:ascii="Arial" w:hAnsi="Arial" w:cs="Arial"/>
                <w:b/>
                <w:bCs/>
                <w:sz w:val="18"/>
                <w:szCs w:val="18"/>
              </w:rPr>
              <w:t>Abbreviation</w:t>
            </w:r>
          </w:p>
        </w:tc>
        <w:tc>
          <w:tcPr>
            <w:tcW w:w="1587" w:type="dxa"/>
            <w:tcBorders>
              <w:top w:val="single" w:sz="12" w:space="0" w:color="auto"/>
              <w:bottom w:val="single" w:sz="4" w:space="0" w:color="auto"/>
            </w:tcBorders>
            <w:shd w:val="clear" w:color="auto" w:fill="D9D9D9" w:themeFill="background1" w:themeFillShade="D9"/>
            <w:vAlign w:val="center"/>
          </w:tcPr>
          <w:p w14:paraId="7133BD3C" w14:textId="77777777" w:rsidR="00354837" w:rsidRPr="00547953" w:rsidRDefault="00354837" w:rsidP="00354837">
            <w:pPr>
              <w:jc w:val="center"/>
              <w:rPr>
                <w:rFonts w:ascii="Arial" w:hAnsi="Arial" w:cs="Arial"/>
                <w:b/>
                <w:bCs/>
                <w:sz w:val="18"/>
                <w:szCs w:val="18"/>
              </w:rPr>
            </w:pPr>
            <w:r w:rsidRPr="00547953">
              <w:rPr>
                <w:rFonts w:ascii="Arial" w:hAnsi="Arial" w:cs="Arial"/>
                <w:b/>
                <w:bCs/>
                <w:sz w:val="18"/>
                <w:szCs w:val="18"/>
              </w:rPr>
              <w:t>Molecular Weight (mol·g</w:t>
            </w:r>
            <w:r w:rsidRPr="00547953">
              <w:rPr>
                <w:rFonts w:ascii="Arial" w:hAnsi="Arial" w:cs="Arial"/>
                <w:b/>
                <w:bCs/>
                <w:sz w:val="18"/>
                <w:szCs w:val="18"/>
                <w:vertAlign w:val="superscript"/>
              </w:rPr>
              <w:t>-1</w:t>
            </w:r>
            <w:r w:rsidRPr="00547953">
              <w:rPr>
                <w:rFonts w:ascii="Arial" w:hAnsi="Arial" w:cs="Arial"/>
                <w:b/>
                <w:bCs/>
                <w:sz w:val="18"/>
                <w:szCs w:val="18"/>
              </w:rPr>
              <w:t>)</w:t>
            </w:r>
          </w:p>
        </w:tc>
        <w:tc>
          <w:tcPr>
            <w:tcW w:w="2127" w:type="dxa"/>
            <w:gridSpan w:val="3"/>
            <w:tcBorders>
              <w:top w:val="single" w:sz="12" w:space="0" w:color="auto"/>
              <w:bottom w:val="single" w:sz="4" w:space="0" w:color="auto"/>
            </w:tcBorders>
            <w:shd w:val="clear" w:color="auto" w:fill="D9D9D9" w:themeFill="background1" w:themeFillShade="D9"/>
            <w:vAlign w:val="center"/>
          </w:tcPr>
          <w:p w14:paraId="68EFAB31" w14:textId="77777777" w:rsidR="00354837" w:rsidRPr="00547953" w:rsidRDefault="00354837" w:rsidP="00354837">
            <w:pPr>
              <w:jc w:val="center"/>
              <w:rPr>
                <w:rFonts w:ascii="Arial" w:hAnsi="Arial" w:cs="Arial"/>
                <w:b/>
                <w:bCs/>
                <w:sz w:val="18"/>
                <w:szCs w:val="18"/>
              </w:rPr>
            </w:pPr>
            <w:r w:rsidRPr="00547953">
              <w:rPr>
                <w:rFonts w:ascii="Arial" w:hAnsi="Arial" w:cs="Arial"/>
                <w:b/>
                <w:bCs/>
                <w:sz w:val="18"/>
                <w:szCs w:val="18"/>
              </w:rPr>
              <w:t>Mass Transitions</w:t>
            </w:r>
          </w:p>
          <w:p w14:paraId="4D877581" w14:textId="77777777" w:rsidR="00354837" w:rsidRPr="00547953" w:rsidRDefault="00354837" w:rsidP="00354837">
            <w:pPr>
              <w:jc w:val="center"/>
              <w:rPr>
                <w:rFonts w:ascii="Arial" w:hAnsi="Arial" w:cs="Arial"/>
                <w:b/>
                <w:bCs/>
                <w:sz w:val="18"/>
                <w:szCs w:val="18"/>
              </w:rPr>
            </w:pPr>
            <w:r w:rsidRPr="00547953">
              <w:rPr>
                <w:rFonts w:ascii="Arial" w:hAnsi="Arial" w:cs="Arial"/>
                <w:b/>
                <w:bCs/>
                <w:sz w:val="18"/>
                <w:szCs w:val="18"/>
              </w:rPr>
              <w:t>(m/z)</w:t>
            </w:r>
          </w:p>
        </w:tc>
        <w:tc>
          <w:tcPr>
            <w:tcW w:w="992" w:type="dxa"/>
            <w:tcBorders>
              <w:top w:val="single" w:sz="12" w:space="0" w:color="auto"/>
              <w:bottom w:val="single" w:sz="4" w:space="0" w:color="auto"/>
            </w:tcBorders>
            <w:shd w:val="clear" w:color="auto" w:fill="D9D9D9" w:themeFill="background1" w:themeFillShade="D9"/>
            <w:vAlign w:val="center"/>
          </w:tcPr>
          <w:p w14:paraId="60B3B59F" w14:textId="77777777" w:rsidR="00354837" w:rsidRPr="00547953" w:rsidRDefault="00354837" w:rsidP="00354837">
            <w:pPr>
              <w:jc w:val="center"/>
              <w:rPr>
                <w:rFonts w:ascii="Arial" w:hAnsi="Arial" w:cs="Arial"/>
                <w:b/>
                <w:bCs/>
                <w:sz w:val="18"/>
                <w:szCs w:val="18"/>
              </w:rPr>
            </w:pPr>
            <w:r w:rsidRPr="00547953">
              <w:rPr>
                <w:rFonts w:ascii="Arial" w:hAnsi="Arial" w:cs="Arial"/>
                <w:b/>
                <w:bCs/>
                <w:sz w:val="18"/>
                <w:szCs w:val="18"/>
              </w:rPr>
              <w:t>Collision Energy (eV)</w:t>
            </w:r>
          </w:p>
        </w:tc>
        <w:tc>
          <w:tcPr>
            <w:tcW w:w="1134" w:type="dxa"/>
            <w:tcBorders>
              <w:top w:val="single" w:sz="12" w:space="0" w:color="auto"/>
              <w:bottom w:val="single" w:sz="4" w:space="0" w:color="auto"/>
            </w:tcBorders>
            <w:shd w:val="clear" w:color="auto" w:fill="D9D9D9" w:themeFill="background1" w:themeFillShade="D9"/>
            <w:vAlign w:val="center"/>
          </w:tcPr>
          <w:p w14:paraId="694B73D8" w14:textId="77777777" w:rsidR="00354837" w:rsidRPr="00547953" w:rsidRDefault="00354837" w:rsidP="00354837">
            <w:pPr>
              <w:jc w:val="center"/>
              <w:rPr>
                <w:rFonts w:ascii="Arial" w:hAnsi="Arial" w:cs="Arial"/>
                <w:b/>
                <w:bCs/>
                <w:sz w:val="18"/>
                <w:szCs w:val="18"/>
              </w:rPr>
            </w:pPr>
            <w:r w:rsidRPr="00547953">
              <w:rPr>
                <w:rFonts w:ascii="Arial" w:hAnsi="Arial" w:cs="Arial"/>
                <w:b/>
                <w:bCs/>
                <w:sz w:val="18"/>
                <w:szCs w:val="18"/>
              </w:rPr>
              <w:t>Retention time</w:t>
            </w:r>
          </w:p>
          <w:p w14:paraId="0EA81291" w14:textId="77777777" w:rsidR="00354837" w:rsidRPr="00547953" w:rsidRDefault="00354837" w:rsidP="00354837">
            <w:pPr>
              <w:jc w:val="center"/>
              <w:rPr>
                <w:rFonts w:ascii="Arial" w:hAnsi="Arial" w:cs="Arial"/>
                <w:b/>
                <w:bCs/>
                <w:sz w:val="18"/>
                <w:szCs w:val="18"/>
              </w:rPr>
            </w:pPr>
            <w:r w:rsidRPr="00547953">
              <w:rPr>
                <w:rFonts w:ascii="Arial" w:hAnsi="Arial" w:cs="Arial"/>
                <w:b/>
                <w:bCs/>
                <w:sz w:val="18"/>
                <w:szCs w:val="18"/>
              </w:rPr>
              <w:t>(mins)</w:t>
            </w:r>
          </w:p>
        </w:tc>
        <w:tc>
          <w:tcPr>
            <w:tcW w:w="850" w:type="dxa"/>
            <w:tcBorders>
              <w:top w:val="single" w:sz="12" w:space="0" w:color="auto"/>
              <w:bottom w:val="single" w:sz="4" w:space="0" w:color="auto"/>
            </w:tcBorders>
            <w:shd w:val="clear" w:color="auto" w:fill="D9D9D9" w:themeFill="background1" w:themeFillShade="D9"/>
            <w:vAlign w:val="center"/>
          </w:tcPr>
          <w:p w14:paraId="60DD0A22" w14:textId="77777777" w:rsidR="00354837" w:rsidRPr="00547953" w:rsidRDefault="00354837" w:rsidP="00354837">
            <w:pPr>
              <w:jc w:val="center"/>
              <w:rPr>
                <w:rFonts w:ascii="Arial" w:hAnsi="Arial" w:cs="Arial"/>
                <w:b/>
                <w:bCs/>
                <w:sz w:val="18"/>
                <w:szCs w:val="18"/>
              </w:rPr>
            </w:pPr>
            <w:r w:rsidRPr="00547953">
              <w:rPr>
                <w:rFonts w:ascii="Arial" w:hAnsi="Arial" w:cs="Arial"/>
                <w:b/>
                <w:bCs/>
                <w:sz w:val="18"/>
                <w:szCs w:val="18"/>
              </w:rPr>
              <w:t>LLOQ (ng/mL)</w:t>
            </w:r>
          </w:p>
        </w:tc>
      </w:tr>
      <w:tr w:rsidR="00547953" w:rsidRPr="00B51330" w14:paraId="3B296222" w14:textId="77777777" w:rsidTr="00547953">
        <w:trPr>
          <w:trHeight w:val="67"/>
        </w:trPr>
        <w:tc>
          <w:tcPr>
            <w:tcW w:w="1417" w:type="dxa"/>
            <w:vMerge w:val="restart"/>
            <w:tcBorders>
              <w:top w:val="dotted" w:sz="4" w:space="0" w:color="auto"/>
            </w:tcBorders>
            <w:vAlign w:val="center"/>
          </w:tcPr>
          <w:p w14:paraId="50A47441" w14:textId="38B05502" w:rsidR="00354837" w:rsidRPr="00547953" w:rsidRDefault="00354837" w:rsidP="00354837">
            <w:pPr>
              <w:rPr>
                <w:rFonts w:ascii="Arial" w:hAnsi="Arial" w:cs="Arial"/>
                <w:sz w:val="18"/>
                <w:szCs w:val="18"/>
              </w:rPr>
            </w:pPr>
            <w:r w:rsidRPr="00547953">
              <w:rPr>
                <w:rFonts w:ascii="Arial" w:hAnsi="Arial" w:cs="Arial"/>
                <w:sz w:val="18"/>
                <w:szCs w:val="18"/>
              </w:rPr>
              <w:t xml:space="preserve">Arachidonoyl ethanolamine </w:t>
            </w:r>
          </w:p>
        </w:tc>
        <w:tc>
          <w:tcPr>
            <w:tcW w:w="1321" w:type="dxa"/>
            <w:vMerge w:val="restart"/>
            <w:tcBorders>
              <w:top w:val="dotted" w:sz="4" w:space="0" w:color="auto"/>
            </w:tcBorders>
            <w:vAlign w:val="center"/>
          </w:tcPr>
          <w:p w14:paraId="500CBD06" w14:textId="77777777" w:rsidR="00354837" w:rsidRPr="00547953" w:rsidRDefault="00354837" w:rsidP="00354837">
            <w:pPr>
              <w:jc w:val="center"/>
              <w:rPr>
                <w:rFonts w:ascii="Arial" w:hAnsi="Arial" w:cs="Arial"/>
                <w:i/>
                <w:iCs/>
                <w:sz w:val="18"/>
                <w:szCs w:val="18"/>
              </w:rPr>
            </w:pPr>
            <w:r w:rsidRPr="00547953">
              <w:rPr>
                <w:rFonts w:ascii="Arial" w:hAnsi="Arial" w:cs="Arial"/>
                <w:i/>
                <w:iCs/>
                <w:sz w:val="18"/>
                <w:szCs w:val="18"/>
              </w:rPr>
              <w:t>AEA</w:t>
            </w:r>
          </w:p>
        </w:tc>
        <w:tc>
          <w:tcPr>
            <w:tcW w:w="1587" w:type="dxa"/>
            <w:vMerge w:val="restart"/>
            <w:tcBorders>
              <w:top w:val="dotted" w:sz="4" w:space="0" w:color="auto"/>
            </w:tcBorders>
            <w:vAlign w:val="center"/>
          </w:tcPr>
          <w:p w14:paraId="13BC801A"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347.5</w:t>
            </w:r>
          </w:p>
        </w:tc>
        <w:tc>
          <w:tcPr>
            <w:tcW w:w="822" w:type="dxa"/>
            <w:tcBorders>
              <w:top w:val="dotted" w:sz="4" w:space="0" w:color="auto"/>
            </w:tcBorders>
            <w:vAlign w:val="center"/>
          </w:tcPr>
          <w:p w14:paraId="418B0EA8" w14:textId="77777777" w:rsidR="00354837" w:rsidRPr="00547953" w:rsidRDefault="00354837" w:rsidP="00354837">
            <w:pPr>
              <w:jc w:val="right"/>
              <w:rPr>
                <w:rFonts w:ascii="Arial" w:hAnsi="Arial" w:cs="Arial"/>
                <w:sz w:val="18"/>
                <w:szCs w:val="18"/>
              </w:rPr>
            </w:pPr>
            <w:r w:rsidRPr="00547953">
              <w:rPr>
                <w:rFonts w:ascii="Arial" w:hAnsi="Arial" w:cs="Arial"/>
                <w:sz w:val="18"/>
                <w:szCs w:val="18"/>
              </w:rPr>
              <w:t>348.35</w:t>
            </w:r>
          </w:p>
        </w:tc>
        <w:tc>
          <w:tcPr>
            <w:tcW w:w="358" w:type="dxa"/>
            <w:tcBorders>
              <w:top w:val="dotted" w:sz="4" w:space="0" w:color="auto"/>
            </w:tcBorders>
            <w:vAlign w:val="center"/>
          </w:tcPr>
          <w:p w14:paraId="0EBE1921" w14:textId="77777777" w:rsidR="00354837" w:rsidRPr="00547953" w:rsidRDefault="00354837" w:rsidP="00354837">
            <w:pPr>
              <w:jc w:val="center"/>
              <w:rPr>
                <w:rFonts w:ascii="Arial" w:hAnsi="Arial" w:cs="Arial"/>
                <w:sz w:val="18"/>
                <w:szCs w:val="18"/>
              </w:rPr>
            </w:pPr>
            <w:r w:rsidRPr="00547953">
              <w:rPr>
                <w:rFonts w:ascii="Arial" w:hAnsi="Arial" w:cs="Arial"/>
                <w:color w:val="202124"/>
                <w:sz w:val="18"/>
                <w:szCs w:val="18"/>
                <w:shd w:val="clear" w:color="auto" w:fill="FFFFFF"/>
              </w:rPr>
              <w:t>→</w:t>
            </w:r>
          </w:p>
        </w:tc>
        <w:tc>
          <w:tcPr>
            <w:tcW w:w="947" w:type="dxa"/>
            <w:tcBorders>
              <w:top w:val="dotted" w:sz="4" w:space="0" w:color="auto"/>
            </w:tcBorders>
            <w:vAlign w:val="center"/>
          </w:tcPr>
          <w:p w14:paraId="2DD6AF27" w14:textId="77777777" w:rsidR="00354837" w:rsidRPr="00547953" w:rsidRDefault="00354837" w:rsidP="00354837">
            <w:pPr>
              <w:rPr>
                <w:rFonts w:ascii="Arial" w:hAnsi="Arial" w:cs="Arial"/>
                <w:sz w:val="18"/>
                <w:szCs w:val="18"/>
              </w:rPr>
            </w:pPr>
            <w:r w:rsidRPr="00547953">
              <w:rPr>
                <w:rFonts w:ascii="Arial" w:hAnsi="Arial" w:cs="Arial"/>
                <w:sz w:val="18"/>
                <w:szCs w:val="18"/>
              </w:rPr>
              <w:t>62.15*</w:t>
            </w:r>
          </w:p>
        </w:tc>
        <w:tc>
          <w:tcPr>
            <w:tcW w:w="992" w:type="dxa"/>
            <w:tcBorders>
              <w:top w:val="dotted" w:sz="4" w:space="0" w:color="auto"/>
            </w:tcBorders>
          </w:tcPr>
          <w:p w14:paraId="200A2C6F"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-14</w:t>
            </w:r>
          </w:p>
        </w:tc>
        <w:tc>
          <w:tcPr>
            <w:tcW w:w="1134" w:type="dxa"/>
            <w:vMerge w:val="restart"/>
            <w:tcBorders>
              <w:top w:val="dotted" w:sz="4" w:space="0" w:color="auto"/>
            </w:tcBorders>
            <w:vAlign w:val="center"/>
          </w:tcPr>
          <w:p w14:paraId="415759D1"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6.55</w:t>
            </w:r>
          </w:p>
        </w:tc>
        <w:tc>
          <w:tcPr>
            <w:tcW w:w="850" w:type="dxa"/>
            <w:vMerge w:val="restart"/>
            <w:tcBorders>
              <w:top w:val="dotted" w:sz="4" w:space="0" w:color="auto"/>
            </w:tcBorders>
            <w:vAlign w:val="center"/>
          </w:tcPr>
          <w:p w14:paraId="4F1D894E"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0.05</w:t>
            </w:r>
          </w:p>
        </w:tc>
      </w:tr>
      <w:tr w:rsidR="00547953" w:rsidRPr="00B51330" w14:paraId="423371D9" w14:textId="77777777" w:rsidTr="00547953">
        <w:trPr>
          <w:trHeight w:val="224"/>
        </w:trPr>
        <w:tc>
          <w:tcPr>
            <w:tcW w:w="1417" w:type="dxa"/>
            <w:vMerge/>
            <w:tcBorders>
              <w:bottom w:val="dotted" w:sz="4" w:space="0" w:color="auto"/>
            </w:tcBorders>
            <w:vAlign w:val="center"/>
          </w:tcPr>
          <w:p w14:paraId="3DA6824D" w14:textId="77777777" w:rsidR="00354837" w:rsidRPr="00547953" w:rsidRDefault="00354837" w:rsidP="00354837">
            <w:pPr>
              <w:rPr>
                <w:rFonts w:ascii="Arial" w:hAnsi="Arial" w:cs="Arial"/>
                <w:sz w:val="18"/>
                <w:szCs w:val="18"/>
              </w:rPr>
            </w:pPr>
          </w:p>
        </w:tc>
        <w:tc>
          <w:tcPr>
            <w:tcW w:w="1321" w:type="dxa"/>
            <w:vMerge/>
            <w:tcBorders>
              <w:bottom w:val="dotted" w:sz="4" w:space="0" w:color="auto"/>
            </w:tcBorders>
            <w:vAlign w:val="center"/>
          </w:tcPr>
          <w:p w14:paraId="37E1968B" w14:textId="77777777" w:rsidR="00354837" w:rsidRPr="00547953" w:rsidRDefault="00354837" w:rsidP="00354837">
            <w:pPr>
              <w:jc w:val="center"/>
              <w:rPr>
                <w:rFonts w:ascii="Arial" w:hAnsi="Arial" w:cs="Arial"/>
                <w:i/>
                <w:iCs/>
                <w:sz w:val="18"/>
                <w:szCs w:val="18"/>
              </w:rPr>
            </w:pPr>
          </w:p>
        </w:tc>
        <w:tc>
          <w:tcPr>
            <w:tcW w:w="1587" w:type="dxa"/>
            <w:vMerge/>
            <w:tcBorders>
              <w:bottom w:val="dotted" w:sz="4" w:space="0" w:color="auto"/>
            </w:tcBorders>
            <w:vAlign w:val="center"/>
          </w:tcPr>
          <w:p w14:paraId="645932C7" w14:textId="77777777" w:rsidR="00354837" w:rsidRPr="00547953" w:rsidRDefault="00354837" w:rsidP="00354837">
            <w:pPr>
              <w:jc w:val="center"/>
              <w:rPr>
                <w:rFonts w:ascii="Arial" w:hAnsi="Arial" w:cs="Arial"/>
                <w:sz w:val="18"/>
                <w:szCs w:val="18"/>
              </w:rPr>
            </w:pPr>
          </w:p>
        </w:tc>
        <w:tc>
          <w:tcPr>
            <w:tcW w:w="822" w:type="dxa"/>
            <w:tcBorders>
              <w:bottom w:val="dotted" w:sz="4" w:space="0" w:color="auto"/>
            </w:tcBorders>
            <w:vAlign w:val="center"/>
          </w:tcPr>
          <w:p w14:paraId="4CFDE5CB" w14:textId="77777777" w:rsidR="00354837" w:rsidRPr="00547953" w:rsidRDefault="00354837" w:rsidP="00354837">
            <w:pPr>
              <w:jc w:val="right"/>
              <w:rPr>
                <w:rFonts w:ascii="Arial" w:hAnsi="Arial" w:cs="Arial"/>
                <w:sz w:val="18"/>
                <w:szCs w:val="18"/>
              </w:rPr>
            </w:pPr>
            <w:r w:rsidRPr="00547953">
              <w:rPr>
                <w:rFonts w:ascii="Arial" w:hAnsi="Arial" w:cs="Arial"/>
                <w:sz w:val="18"/>
                <w:szCs w:val="18"/>
              </w:rPr>
              <w:t>348.35</w:t>
            </w:r>
          </w:p>
        </w:tc>
        <w:tc>
          <w:tcPr>
            <w:tcW w:w="358" w:type="dxa"/>
            <w:tcBorders>
              <w:bottom w:val="dotted" w:sz="4" w:space="0" w:color="auto"/>
            </w:tcBorders>
            <w:vAlign w:val="center"/>
          </w:tcPr>
          <w:p w14:paraId="43656CFF" w14:textId="77777777" w:rsidR="00354837" w:rsidRPr="00547953" w:rsidRDefault="00354837" w:rsidP="00354837">
            <w:pPr>
              <w:jc w:val="center"/>
              <w:rPr>
                <w:rFonts w:ascii="Arial" w:hAnsi="Arial" w:cs="Arial"/>
                <w:sz w:val="18"/>
                <w:szCs w:val="18"/>
              </w:rPr>
            </w:pPr>
            <w:r w:rsidRPr="00547953">
              <w:rPr>
                <w:rFonts w:ascii="Arial" w:hAnsi="Arial" w:cs="Arial"/>
                <w:color w:val="202124"/>
                <w:sz w:val="18"/>
                <w:szCs w:val="18"/>
                <w:shd w:val="clear" w:color="auto" w:fill="FFFFFF"/>
              </w:rPr>
              <w:t>→</w:t>
            </w:r>
          </w:p>
        </w:tc>
        <w:tc>
          <w:tcPr>
            <w:tcW w:w="947" w:type="dxa"/>
            <w:tcBorders>
              <w:bottom w:val="dotted" w:sz="4" w:space="0" w:color="auto"/>
            </w:tcBorders>
            <w:vAlign w:val="center"/>
          </w:tcPr>
          <w:p w14:paraId="25133AB8" w14:textId="77777777" w:rsidR="00354837" w:rsidRPr="00547953" w:rsidRDefault="00354837" w:rsidP="00354837">
            <w:pPr>
              <w:rPr>
                <w:rFonts w:ascii="Arial" w:hAnsi="Arial" w:cs="Arial"/>
                <w:sz w:val="18"/>
                <w:szCs w:val="18"/>
              </w:rPr>
            </w:pPr>
            <w:r w:rsidRPr="00547953">
              <w:rPr>
                <w:rFonts w:ascii="Arial" w:hAnsi="Arial" w:cs="Arial"/>
                <w:sz w:val="18"/>
                <w:szCs w:val="18"/>
              </w:rPr>
              <w:t>91.15</w:t>
            </w:r>
          </w:p>
        </w:tc>
        <w:tc>
          <w:tcPr>
            <w:tcW w:w="992" w:type="dxa"/>
            <w:tcBorders>
              <w:bottom w:val="dotted" w:sz="4" w:space="0" w:color="auto"/>
            </w:tcBorders>
          </w:tcPr>
          <w:p w14:paraId="6DC074A4"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-47</w:t>
            </w:r>
          </w:p>
        </w:tc>
        <w:tc>
          <w:tcPr>
            <w:tcW w:w="1134" w:type="dxa"/>
            <w:vMerge/>
            <w:tcBorders>
              <w:bottom w:val="dotted" w:sz="4" w:space="0" w:color="auto"/>
            </w:tcBorders>
            <w:vAlign w:val="center"/>
          </w:tcPr>
          <w:p w14:paraId="0B47A294" w14:textId="77777777" w:rsidR="00354837" w:rsidRPr="00547953" w:rsidRDefault="00354837" w:rsidP="00354837">
            <w:pPr>
              <w:jc w:val="center"/>
              <w:rPr>
                <w:rFonts w:ascii="Arial" w:hAnsi="Arial" w:cs="Arial"/>
                <w:sz w:val="18"/>
                <w:szCs w:val="18"/>
              </w:rPr>
            </w:pPr>
          </w:p>
        </w:tc>
        <w:tc>
          <w:tcPr>
            <w:tcW w:w="850" w:type="dxa"/>
            <w:vMerge/>
            <w:tcBorders>
              <w:bottom w:val="dotted" w:sz="4" w:space="0" w:color="auto"/>
            </w:tcBorders>
            <w:vAlign w:val="center"/>
          </w:tcPr>
          <w:p w14:paraId="5634C9ED" w14:textId="77777777" w:rsidR="00354837" w:rsidRPr="00547953" w:rsidRDefault="00354837" w:rsidP="00354837">
            <w:pPr>
              <w:jc w:val="center"/>
              <w:rPr>
                <w:rFonts w:ascii="Arial" w:hAnsi="Arial" w:cs="Arial"/>
                <w:sz w:val="18"/>
                <w:szCs w:val="18"/>
              </w:rPr>
            </w:pPr>
          </w:p>
        </w:tc>
      </w:tr>
      <w:tr w:rsidR="00547953" w:rsidRPr="00B51330" w14:paraId="0D1F9FA7" w14:textId="77777777" w:rsidTr="00547953">
        <w:trPr>
          <w:trHeight w:val="209"/>
        </w:trPr>
        <w:tc>
          <w:tcPr>
            <w:tcW w:w="1417" w:type="dxa"/>
            <w:tcBorders>
              <w:top w:val="dotted" w:sz="4" w:space="0" w:color="auto"/>
            </w:tcBorders>
            <w:vAlign w:val="center"/>
          </w:tcPr>
          <w:p w14:paraId="4AA36920" w14:textId="77777777" w:rsidR="00354837" w:rsidRPr="00547953" w:rsidRDefault="00354837" w:rsidP="00354837">
            <w:pPr>
              <w:rPr>
                <w:rFonts w:ascii="Arial" w:hAnsi="Arial" w:cs="Arial"/>
                <w:sz w:val="18"/>
                <w:szCs w:val="18"/>
              </w:rPr>
            </w:pPr>
            <w:r w:rsidRPr="00547953">
              <w:rPr>
                <w:rFonts w:ascii="Arial" w:hAnsi="Arial" w:cs="Arial"/>
                <w:sz w:val="18"/>
                <w:szCs w:val="18"/>
              </w:rPr>
              <w:t>Arachidonoyl ethanolamide-d</w:t>
            </w:r>
            <w:r w:rsidRPr="00547953">
              <w:rPr>
                <w:rFonts w:ascii="Arial" w:hAnsi="Arial" w:cs="Arial"/>
                <w:sz w:val="18"/>
                <w:szCs w:val="18"/>
                <w:vertAlign w:val="subscript"/>
              </w:rPr>
              <w:t>4</w:t>
            </w:r>
          </w:p>
        </w:tc>
        <w:tc>
          <w:tcPr>
            <w:tcW w:w="1321" w:type="dxa"/>
            <w:tcBorders>
              <w:top w:val="dotted" w:sz="4" w:space="0" w:color="auto"/>
            </w:tcBorders>
            <w:vAlign w:val="center"/>
          </w:tcPr>
          <w:p w14:paraId="7A04BB8D" w14:textId="77777777" w:rsidR="00354837" w:rsidRPr="00547953" w:rsidRDefault="00354837" w:rsidP="00354837">
            <w:pPr>
              <w:jc w:val="center"/>
              <w:rPr>
                <w:rFonts w:ascii="Arial" w:hAnsi="Arial" w:cs="Arial"/>
                <w:i/>
                <w:iCs/>
                <w:sz w:val="18"/>
                <w:szCs w:val="18"/>
              </w:rPr>
            </w:pPr>
            <w:r w:rsidRPr="00547953">
              <w:rPr>
                <w:rFonts w:ascii="Arial" w:hAnsi="Arial" w:cs="Arial"/>
                <w:i/>
                <w:iCs/>
                <w:sz w:val="18"/>
                <w:szCs w:val="18"/>
              </w:rPr>
              <w:t>d</w:t>
            </w:r>
            <w:r w:rsidRPr="00547953">
              <w:rPr>
                <w:rFonts w:ascii="Arial" w:hAnsi="Arial" w:cs="Arial"/>
                <w:i/>
                <w:iCs/>
                <w:sz w:val="18"/>
                <w:szCs w:val="18"/>
                <w:vertAlign w:val="subscript"/>
              </w:rPr>
              <w:t>4</w:t>
            </w:r>
            <w:r w:rsidRPr="00547953">
              <w:rPr>
                <w:rFonts w:ascii="Arial" w:hAnsi="Arial" w:cs="Arial"/>
                <w:i/>
                <w:iCs/>
                <w:sz w:val="18"/>
                <w:szCs w:val="18"/>
              </w:rPr>
              <w:t>-AEA</w:t>
            </w:r>
          </w:p>
        </w:tc>
        <w:tc>
          <w:tcPr>
            <w:tcW w:w="1587" w:type="dxa"/>
            <w:tcBorders>
              <w:top w:val="dotted" w:sz="4" w:space="0" w:color="auto"/>
            </w:tcBorders>
            <w:vAlign w:val="center"/>
          </w:tcPr>
          <w:p w14:paraId="229C02A4"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351.6</w:t>
            </w:r>
          </w:p>
        </w:tc>
        <w:tc>
          <w:tcPr>
            <w:tcW w:w="822" w:type="dxa"/>
            <w:tcBorders>
              <w:top w:val="dotted" w:sz="4" w:space="0" w:color="auto"/>
            </w:tcBorders>
            <w:vAlign w:val="center"/>
          </w:tcPr>
          <w:p w14:paraId="561E0F24" w14:textId="77777777" w:rsidR="00354837" w:rsidRPr="00547953" w:rsidRDefault="00354837" w:rsidP="00354837">
            <w:pPr>
              <w:jc w:val="right"/>
              <w:rPr>
                <w:rFonts w:ascii="Arial" w:hAnsi="Arial" w:cs="Arial"/>
                <w:sz w:val="18"/>
                <w:szCs w:val="18"/>
              </w:rPr>
            </w:pPr>
            <w:r w:rsidRPr="00547953">
              <w:rPr>
                <w:rFonts w:ascii="Arial" w:hAnsi="Arial" w:cs="Arial"/>
                <w:sz w:val="18"/>
                <w:szCs w:val="18"/>
              </w:rPr>
              <w:t>352.35</w:t>
            </w:r>
          </w:p>
        </w:tc>
        <w:tc>
          <w:tcPr>
            <w:tcW w:w="358" w:type="dxa"/>
            <w:tcBorders>
              <w:top w:val="dotted" w:sz="4" w:space="0" w:color="auto"/>
            </w:tcBorders>
            <w:vAlign w:val="center"/>
          </w:tcPr>
          <w:p w14:paraId="5A37AF71" w14:textId="77777777" w:rsidR="00354837" w:rsidRPr="00547953" w:rsidRDefault="00354837" w:rsidP="00354837">
            <w:pPr>
              <w:jc w:val="center"/>
              <w:rPr>
                <w:rFonts w:ascii="Arial" w:hAnsi="Arial" w:cs="Arial"/>
                <w:sz w:val="18"/>
                <w:szCs w:val="18"/>
              </w:rPr>
            </w:pPr>
            <w:r w:rsidRPr="00547953">
              <w:rPr>
                <w:rFonts w:ascii="Arial" w:hAnsi="Arial" w:cs="Arial"/>
                <w:color w:val="202124"/>
                <w:sz w:val="18"/>
                <w:szCs w:val="18"/>
                <w:shd w:val="clear" w:color="auto" w:fill="FFFFFF"/>
              </w:rPr>
              <w:t>→</w:t>
            </w:r>
          </w:p>
        </w:tc>
        <w:tc>
          <w:tcPr>
            <w:tcW w:w="947" w:type="dxa"/>
            <w:tcBorders>
              <w:top w:val="dotted" w:sz="4" w:space="0" w:color="auto"/>
            </w:tcBorders>
            <w:vAlign w:val="center"/>
          </w:tcPr>
          <w:p w14:paraId="25527A50" w14:textId="77777777" w:rsidR="00354837" w:rsidRPr="00547953" w:rsidRDefault="00354837" w:rsidP="00354837">
            <w:pPr>
              <w:rPr>
                <w:rFonts w:ascii="Arial" w:hAnsi="Arial" w:cs="Arial"/>
                <w:sz w:val="18"/>
                <w:szCs w:val="18"/>
              </w:rPr>
            </w:pPr>
            <w:r w:rsidRPr="00547953">
              <w:rPr>
                <w:rFonts w:ascii="Arial" w:hAnsi="Arial" w:cs="Arial"/>
                <w:sz w:val="18"/>
                <w:szCs w:val="18"/>
              </w:rPr>
              <w:t>66.25*</w:t>
            </w:r>
          </w:p>
        </w:tc>
        <w:tc>
          <w:tcPr>
            <w:tcW w:w="992" w:type="dxa"/>
            <w:tcBorders>
              <w:top w:val="dotted" w:sz="4" w:space="0" w:color="auto"/>
            </w:tcBorders>
          </w:tcPr>
          <w:p w14:paraId="682B16FE"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-14</w:t>
            </w:r>
          </w:p>
        </w:tc>
        <w:tc>
          <w:tcPr>
            <w:tcW w:w="1134" w:type="dxa"/>
            <w:tcBorders>
              <w:top w:val="dotted" w:sz="4" w:space="0" w:color="auto"/>
            </w:tcBorders>
            <w:vAlign w:val="center"/>
          </w:tcPr>
          <w:p w14:paraId="581DF67F"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6.53</w:t>
            </w:r>
          </w:p>
        </w:tc>
        <w:tc>
          <w:tcPr>
            <w:tcW w:w="850" w:type="dxa"/>
            <w:tcBorders>
              <w:top w:val="dotted" w:sz="4" w:space="0" w:color="auto"/>
            </w:tcBorders>
            <w:vAlign w:val="center"/>
          </w:tcPr>
          <w:p w14:paraId="10865961"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w:t>
            </w:r>
          </w:p>
        </w:tc>
      </w:tr>
      <w:tr w:rsidR="00547953" w:rsidRPr="00B51330" w14:paraId="06DD6F0B" w14:textId="77777777" w:rsidTr="00547953">
        <w:trPr>
          <w:trHeight w:val="224"/>
        </w:trPr>
        <w:tc>
          <w:tcPr>
            <w:tcW w:w="1417" w:type="dxa"/>
            <w:tcBorders>
              <w:bottom w:val="dotted" w:sz="4" w:space="0" w:color="auto"/>
            </w:tcBorders>
            <w:vAlign w:val="center"/>
          </w:tcPr>
          <w:p w14:paraId="113C931A" w14:textId="77777777" w:rsidR="00354837" w:rsidRPr="00547953" w:rsidRDefault="00354837" w:rsidP="00354837">
            <w:pPr>
              <w:jc w:val="right"/>
              <w:rPr>
                <w:rFonts w:ascii="Arial" w:hAnsi="Arial" w:cs="Arial"/>
                <w:sz w:val="18"/>
                <w:szCs w:val="18"/>
              </w:rPr>
            </w:pPr>
          </w:p>
        </w:tc>
        <w:tc>
          <w:tcPr>
            <w:tcW w:w="1321" w:type="dxa"/>
            <w:tcBorders>
              <w:bottom w:val="dotted" w:sz="4" w:space="0" w:color="auto"/>
            </w:tcBorders>
            <w:vAlign w:val="center"/>
          </w:tcPr>
          <w:p w14:paraId="5BE40038" w14:textId="77777777" w:rsidR="00354837" w:rsidRPr="00547953" w:rsidRDefault="00354837" w:rsidP="00354837">
            <w:pPr>
              <w:jc w:val="center"/>
              <w:rPr>
                <w:rFonts w:ascii="Arial" w:hAnsi="Arial" w:cs="Arial"/>
                <w:i/>
                <w:iCs/>
                <w:sz w:val="18"/>
                <w:szCs w:val="18"/>
              </w:rPr>
            </w:pPr>
          </w:p>
        </w:tc>
        <w:tc>
          <w:tcPr>
            <w:tcW w:w="1587" w:type="dxa"/>
            <w:tcBorders>
              <w:bottom w:val="dotted" w:sz="4" w:space="0" w:color="auto"/>
            </w:tcBorders>
            <w:vAlign w:val="center"/>
          </w:tcPr>
          <w:p w14:paraId="54E951E3" w14:textId="77777777" w:rsidR="00354837" w:rsidRPr="00547953" w:rsidRDefault="00354837" w:rsidP="00354837">
            <w:pPr>
              <w:jc w:val="center"/>
              <w:rPr>
                <w:rFonts w:ascii="Arial" w:hAnsi="Arial" w:cs="Arial"/>
                <w:sz w:val="18"/>
                <w:szCs w:val="18"/>
              </w:rPr>
            </w:pPr>
          </w:p>
        </w:tc>
        <w:tc>
          <w:tcPr>
            <w:tcW w:w="822" w:type="dxa"/>
            <w:tcBorders>
              <w:bottom w:val="dotted" w:sz="4" w:space="0" w:color="auto"/>
            </w:tcBorders>
            <w:vAlign w:val="center"/>
          </w:tcPr>
          <w:p w14:paraId="15F760BC" w14:textId="77777777" w:rsidR="00354837" w:rsidRPr="00547953" w:rsidRDefault="00354837" w:rsidP="00354837">
            <w:pPr>
              <w:jc w:val="right"/>
              <w:rPr>
                <w:rFonts w:ascii="Arial" w:hAnsi="Arial" w:cs="Arial"/>
                <w:sz w:val="18"/>
                <w:szCs w:val="18"/>
              </w:rPr>
            </w:pPr>
            <w:r w:rsidRPr="00547953">
              <w:rPr>
                <w:rFonts w:ascii="Arial" w:hAnsi="Arial" w:cs="Arial"/>
                <w:sz w:val="18"/>
                <w:szCs w:val="18"/>
              </w:rPr>
              <w:t>352.35</w:t>
            </w:r>
          </w:p>
        </w:tc>
        <w:tc>
          <w:tcPr>
            <w:tcW w:w="358" w:type="dxa"/>
            <w:tcBorders>
              <w:bottom w:val="dotted" w:sz="4" w:space="0" w:color="auto"/>
            </w:tcBorders>
            <w:vAlign w:val="center"/>
          </w:tcPr>
          <w:p w14:paraId="4E46DC05" w14:textId="77777777" w:rsidR="00354837" w:rsidRPr="00547953" w:rsidRDefault="00354837" w:rsidP="00354837">
            <w:pPr>
              <w:jc w:val="center"/>
              <w:rPr>
                <w:rFonts w:ascii="Arial" w:hAnsi="Arial" w:cs="Arial"/>
                <w:sz w:val="18"/>
                <w:szCs w:val="18"/>
              </w:rPr>
            </w:pPr>
            <w:r w:rsidRPr="00547953">
              <w:rPr>
                <w:rFonts w:ascii="Arial" w:hAnsi="Arial" w:cs="Arial"/>
                <w:color w:val="202124"/>
                <w:sz w:val="18"/>
                <w:szCs w:val="18"/>
                <w:shd w:val="clear" w:color="auto" w:fill="FFFFFF"/>
              </w:rPr>
              <w:t>→</w:t>
            </w:r>
          </w:p>
        </w:tc>
        <w:tc>
          <w:tcPr>
            <w:tcW w:w="947" w:type="dxa"/>
            <w:tcBorders>
              <w:bottom w:val="dotted" w:sz="4" w:space="0" w:color="auto"/>
            </w:tcBorders>
            <w:vAlign w:val="center"/>
          </w:tcPr>
          <w:p w14:paraId="0F738FD9" w14:textId="77777777" w:rsidR="00354837" w:rsidRPr="00547953" w:rsidRDefault="00354837" w:rsidP="00354837">
            <w:pPr>
              <w:rPr>
                <w:rFonts w:ascii="Arial" w:hAnsi="Arial" w:cs="Arial"/>
                <w:sz w:val="18"/>
                <w:szCs w:val="18"/>
              </w:rPr>
            </w:pPr>
            <w:r w:rsidRPr="00547953">
              <w:rPr>
                <w:rFonts w:ascii="Arial" w:hAnsi="Arial" w:cs="Arial"/>
                <w:sz w:val="18"/>
                <w:szCs w:val="18"/>
              </w:rPr>
              <w:t>91.15</w:t>
            </w:r>
          </w:p>
        </w:tc>
        <w:tc>
          <w:tcPr>
            <w:tcW w:w="992" w:type="dxa"/>
            <w:tcBorders>
              <w:bottom w:val="dotted" w:sz="4" w:space="0" w:color="auto"/>
            </w:tcBorders>
          </w:tcPr>
          <w:p w14:paraId="5F623E1D"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-47</w:t>
            </w:r>
          </w:p>
        </w:tc>
        <w:tc>
          <w:tcPr>
            <w:tcW w:w="1134" w:type="dxa"/>
            <w:tcBorders>
              <w:bottom w:val="dotted" w:sz="4" w:space="0" w:color="auto"/>
            </w:tcBorders>
            <w:vAlign w:val="center"/>
          </w:tcPr>
          <w:p w14:paraId="56F5C6E9" w14:textId="77777777" w:rsidR="00354837" w:rsidRPr="00547953" w:rsidRDefault="00354837" w:rsidP="00354837">
            <w:pPr>
              <w:jc w:val="center"/>
              <w:rPr>
                <w:rFonts w:ascii="Arial" w:hAnsi="Arial" w:cs="Arial"/>
                <w:sz w:val="18"/>
                <w:szCs w:val="18"/>
              </w:rPr>
            </w:pPr>
          </w:p>
        </w:tc>
        <w:tc>
          <w:tcPr>
            <w:tcW w:w="850" w:type="dxa"/>
            <w:tcBorders>
              <w:bottom w:val="dotted" w:sz="4" w:space="0" w:color="auto"/>
            </w:tcBorders>
            <w:vAlign w:val="center"/>
          </w:tcPr>
          <w:p w14:paraId="2DDCB376" w14:textId="77777777" w:rsidR="00354837" w:rsidRPr="00547953" w:rsidRDefault="00354837" w:rsidP="00354837">
            <w:pPr>
              <w:jc w:val="center"/>
              <w:rPr>
                <w:rFonts w:ascii="Arial" w:hAnsi="Arial" w:cs="Arial"/>
                <w:sz w:val="18"/>
                <w:szCs w:val="18"/>
              </w:rPr>
            </w:pPr>
          </w:p>
        </w:tc>
      </w:tr>
      <w:tr w:rsidR="00547953" w:rsidRPr="00B51330" w14:paraId="3B002152" w14:textId="77777777" w:rsidTr="00547953">
        <w:trPr>
          <w:trHeight w:val="376"/>
        </w:trPr>
        <w:tc>
          <w:tcPr>
            <w:tcW w:w="1417" w:type="dxa"/>
            <w:tcBorders>
              <w:bottom w:val="single" w:sz="12" w:space="0" w:color="auto"/>
            </w:tcBorders>
          </w:tcPr>
          <w:p w14:paraId="77F99CCF" w14:textId="77777777" w:rsidR="00354837" w:rsidRPr="00547953" w:rsidRDefault="00354837" w:rsidP="00354837">
            <w:pPr>
              <w:jc w:val="right"/>
              <w:rPr>
                <w:rFonts w:ascii="Arial" w:hAnsi="Arial" w:cs="Arial"/>
                <w:sz w:val="18"/>
                <w:szCs w:val="18"/>
              </w:rPr>
            </w:pPr>
          </w:p>
        </w:tc>
        <w:tc>
          <w:tcPr>
            <w:tcW w:w="1321" w:type="dxa"/>
            <w:tcBorders>
              <w:bottom w:val="single" w:sz="12" w:space="0" w:color="auto"/>
            </w:tcBorders>
          </w:tcPr>
          <w:p w14:paraId="3E01AAA9" w14:textId="77777777" w:rsidR="00354837" w:rsidRPr="00547953" w:rsidRDefault="00354837" w:rsidP="00354837">
            <w:pPr>
              <w:jc w:val="center"/>
              <w:rPr>
                <w:rFonts w:ascii="Arial" w:hAnsi="Arial" w:cs="Arial"/>
                <w:sz w:val="18"/>
                <w:szCs w:val="18"/>
              </w:rPr>
            </w:pPr>
          </w:p>
        </w:tc>
        <w:tc>
          <w:tcPr>
            <w:tcW w:w="1587" w:type="dxa"/>
            <w:tcBorders>
              <w:bottom w:val="single" w:sz="12" w:space="0" w:color="auto"/>
            </w:tcBorders>
          </w:tcPr>
          <w:p w14:paraId="60FCD9CD" w14:textId="77777777" w:rsidR="00354837" w:rsidRPr="00547953" w:rsidRDefault="00354837" w:rsidP="00354837">
            <w:pPr>
              <w:jc w:val="center"/>
              <w:rPr>
                <w:rFonts w:ascii="Arial" w:hAnsi="Arial" w:cs="Arial"/>
                <w:sz w:val="18"/>
                <w:szCs w:val="18"/>
              </w:rPr>
            </w:pPr>
          </w:p>
        </w:tc>
        <w:tc>
          <w:tcPr>
            <w:tcW w:w="822" w:type="dxa"/>
            <w:tcBorders>
              <w:bottom w:val="single" w:sz="12" w:space="0" w:color="auto"/>
            </w:tcBorders>
            <w:vAlign w:val="center"/>
          </w:tcPr>
          <w:p w14:paraId="5F3C8774" w14:textId="77777777" w:rsidR="00354837" w:rsidRPr="00547953" w:rsidRDefault="00354837" w:rsidP="00354837">
            <w:pPr>
              <w:jc w:val="right"/>
              <w:rPr>
                <w:rFonts w:ascii="Arial" w:hAnsi="Arial" w:cs="Arial"/>
                <w:sz w:val="18"/>
                <w:szCs w:val="18"/>
              </w:rPr>
            </w:pPr>
            <w:r w:rsidRPr="00547953">
              <w:rPr>
                <w:rFonts w:ascii="Arial" w:hAnsi="Arial" w:cs="Arial"/>
                <w:sz w:val="18"/>
                <w:szCs w:val="18"/>
              </w:rPr>
              <w:t>313.30</w:t>
            </w:r>
          </w:p>
        </w:tc>
        <w:tc>
          <w:tcPr>
            <w:tcW w:w="358" w:type="dxa"/>
            <w:tcBorders>
              <w:bottom w:val="single" w:sz="12" w:space="0" w:color="auto"/>
            </w:tcBorders>
            <w:vAlign w:val="center"/>
          </w:tcPr>
          <w:p w14:paraId="30256241" w14:textId="77777777" w:rsidR="00354837" w:rsidRPr="00547953" w:rsidRDefault="00354837" w:rsidP="00354837">
            <w:pPr>
              <w:jc w:val="center"/>
              <w:rPr>
                <w:rFonts w:ascii="Arial" w:hAnsi="Arial" w:cs="Arial"/>
                <w:sz w:val="18"/>
                <w:szCs w:val="18"/>
              </w:rPr>
            </w:pPr>
            <w:r w:rsidRPr="00547953">
              <w:rPr>
                <w:rFonts w:ascii="Arial" w:hAnsi="Arial" w:cs="Arial"/>
                <w:color w:val="202124"/>
                <w:sz w:val="18"/>
                <w:szCs w:val="18"/>
                <w:shd w:val="clear" w:color="auto" w:fill="FFFFFF"/>
              </w:rPr>
              <w:t>→</w:t>
            </w:r>
          </w:p>
        </w:tc>
        <w:tc>
          <w:tcPr>
            <w:tcW w:w="947" w:type="dxa"/>
            <w:tcBorders>
              <w:bottom w:val="single" w:sz="12" w:space="0" w:color="auto"/>
            </w:tcBorders>
            <w:vAlign w:val="center"/>
          </w:tcPr>
          <w:p w14:paraId="25372DC8" w14:textId="77777777" w:rsidR="00354837" w:rsidRPr="00547953" w:rsidRDefault="00354837" w:rsidP="00354837">
            <w:pPr>
              <w:rPr>
                <w:rFonts w:ascii="Arial" w:hAnsi="Arial" w:cs="Arial"/>
                <w:sz w:val="18"/>
                <w:szCs w:val="18"/>
              </w:rPr>
            </w:pPr>
            <w:r w:rsidRPr="00547953">
              <w:rPr>
                <w:rFonts w:ascii="Arial" w:hAnsi="Arial" w:cs="Arial"/>
                <w:sz w:val="18"/>
                <w:szCs w:val="18"/>
              </w:rPr>
              <w:t>70.20</w:t>
            </w:r>
          </w:p>
        </w:tc>
        <w:tc>
          <w:tcPr>
            <w:tcW w:w="992" w:type="dxa"/>
            <w:tcBorders>
              <w:bottom w:val="single" w:sz="12" w:space="0" w:color="auto"/>
            </w:tcBorders>
          </w:tcPr>
          <w:p w14:paraId="50E42726" w14:textId="77777777" w:rsidR="00354837" w:rsidRPr="00547953" w:rsidRDefault="00354837" w:rsidP="00354837">
            <w:pPr>
              <w:jc w:val="center"/>
              <w:rPr>
                <w:rFonts w:ascii="Arial" w:hAnsi="Arial" w:cs="Arial"/>
                <w:sz w:val="18"/>
                <w:szCs w:val="18"/>
              </w:rPr>
            </w:pPr>
            <w:r w:rsidRPr="00547953">
              <w:rPr>
                <w:rFonts w:ascii="Arial" w:hAnsi="Arial" w:cs="Arial"/>
                <w:sz w:val="18"/>
                <w:szCs w:val="18"/>
              </w:rPr>
              <w:t>-35</w:t>
            </w:r>
          </w:p>
        </w:tc>
        <w:tc>
          <w:tcPr>
            <w:tcW w:w="1134" w:type="dxa"/>
            <w:tcBorders>
              <w:bottom w:val="single" w:sz="12" w:space="0" w:color="auto"/>
            </w:tcBorders>
          </w:tcPr>
          <w:p w14:paraId="5BBEC04F" w14:textId="77777777" w:rsidR="00354837" w:rsidRPr="00547953" w:rsidRDefault="00354837" w:rsidP="00354837">
            <w:pPr>
              <w:rPr>
                <w:rFonts w:ascii="Arial" w:hAnsi="Arial" w:cs="Arial"/>
                <w:sz w:val="18"/>
                <w:szCs w:val="18"/>
              </w:rPr>
            </w:pPr>
          </w:p>
        </w:tc>
        <w:tc>
          <w:tcPr>
            <w:tcW w:w="850" w:type="dxa"/>
            <w:tcBorders>
              <w:bottom w:val="single" w:sz="12" w:space="0" w:color="auto"/>
            </w:tcBorders>
          </w:tcPr>
          <w:p w14:paraId="3FE478EE" w14:textId="77777777" w:rsidR="00354837" w:rsidRPr="00547953" w:rsidRDefault="00354837" w:rsidP="00354837">
            <w:pPr>
              <w:rPr>
                <w:rFonts w:ascii="Arial" w:hAnsi="Arial" w:cs="Arial"/>
                <w:sz w:val="18"/>
                <w:szCs w:val="18"/>
              </w:rPr>
            </w:pPr>
          </w:p>
        </w:tc>
      </w:tr>
    </w:tbl>
    <w:p w14:paraId="02515BC5" w14:textId="063A52E9" w:rsidR="00354837" w:rsidRDefault="00354837" w:rsidP="00E334B7">
      <w:pPr>
        <w:rPr>
          <w:rFonts w:ascii="Arial" w:hAnsi="Arial" w:cs="Arial"/>
          <w:sz w:val="16"/>
          <w:szCs w:val="16"/>
        </w:rPr>
      </w:pPr>
    </w:p>
    <w:p w14:paraId="068B6CEC" w14:textId="2DDE4DA7" w:rsidR="00354837" w:rsidRDefault="00354837" w:rsidP="00E334B7">
      <w:pPr>
        <w:rPr>
          <w:rFonts w:ascii="Arial" w:hAnsi="Arial" w:cs="Arial"/>
          <w:sz w:val="16"/>
          <w:szCs w:val="16"/>
        </w:rPr>
      </w:pPr>
    </w:p>
    <w:p w14:paraId="65D62D68" w14:textId="77777777" w:rsidR="00354837" w:rsidRDefault="00354837" w:rsidP="00E334B7">
      <w:pPr>
        <w:rPr>
          <w:b/>
          <w:bCs/>
        </w:rPr>
      </w:pPr>
    </w:p>
    <w:p w14:paraId="4455C588" w14:textId="173EF8A9" w:rsidR="00354837" w:rsidRPr="00354837" w:rsidRDefault="00354837" w:rsidP="00E334B7">
      <w:pPr>
        <w:rPr>
          <w:b/>
          <w:bCs/>
        </w:rPr>
      </w:pPr>
      <w:r w:rsidRPr="00354837">
        <w:rPr>
          <w:b/>
          <w:bCs/>
        </w:rPr>
        <w:t>Reference</w:t>
      </w:r>
    </w:p>
    <w:p w14:paraId="1114A009" w14:textId="77777777" w:rsidR="00E334B7" w:rsidRPr="00354837" w:rsidRDefault="00E334B7" w:rsidP="00E334B7">
      <w:pPr>
        <w:rPr>
          <w:b/>
          <w:bCs/>
        </w:rPr>
      </w:pPr>
    </w:p>
    <w:p w14:paraId="5F4C3A02" w14:textId="77777777" w:rsidR="00E334B7" w:rsidRPr="003173B3" w:rsidRDefault="00E334B7" w:rsidP="00E334B7">
      <w:pPr>
        <w:pStyle w:val="EndNoteBibliography"/>
        <w:rPr>
          <w:rFonts w:ascii="Times New Roman" w:hAnsi="Times New Roman" w:cs="Times New Roman"/>
          <w:noProof/>
        </w:rPr>
      </w:pPr>
      <w:r w:rsidRPr="003173B3">
        <w:rPr>
          <w:rFonts w:ascii="Times New Roman" w:hAnsi="Times New Roman" w:cs="Times New Roman"/>
        </w:rPr>
        <w:fldChar w:fldCharType="begin"/>
      </w:r>
      <w:r w:rsidRPr="003173B3">
        <w:rPr>
          <w:rFonts w:ascii="Times New Roman" w:hAnsi="Times New Roman" w:cs="Times New Roman"/>
        </w:rPr>
        <w:instrText xml:space="preserve"> ADDIN EN.REFLIST </w:instrText>
      </w:r>
      <w:r w:rsidRPr="003173B3">
        <w:rPr>
          <w:rFonts w:ascii="Times New Roman" w:hAnsi="Times New Roman" w:cs="Times New Roman"/>
        </w:rPr>
        <w:fldChar w:fldCharType="separate"/>
      </w:r>
      <w:r w:rsidRPr="003173B3">
        <w:rPr>
          <w:rFonts w:ascii="Times New Roman" w:hAnsi="Times New Roman" w:cs="Times New Roman"/>
          <w:noProof/>
        </w:rPr>
        <w:t>1.</w:t>
      </w:r>
      <w:r w:rsidRPr="003173B3">
        <w:rPr>
          <w:rFonts w:ascii="Times New Roman" w:hAnsi="Times New Roman" w:cs="Times New Roman"/>
          <w:noProof/>
        </w:rPr>
        <w:tab/>
      </w:r>
      <w:r w:rsidRPr="003173B3">
        <w:rPr>
          <w:rFonts w:ascii="Times New Roman" w:hAnsi="Times New Roman" w:cs="Times New Roman"/>
          <w:bCs/>
          <w:noProof/>
        </w:rPr>
        <w:t>Gurke R, Thomas D, Schreiber Y, Schäfer SMG, Fleck SC, Geisslinger G, and Ferreirós N</w:t>
      </w:r>
      <w:r w:rsidRPr="003173B3">
        <w:rPr>
          <w:rFonts w:ascii="Times New Roman" w:hAnsi="Times New Roman" w:cs="Times New Roman"/>
          <w:noProof/>
        </w:rPr>
        <w:t xml:space="preserve">. Determination of endocannabinoids and endocannabinoid-like substances in human K3EDTA plasma - LC-MS/MS method validation and pre-analytical characteristics. </w:t>
      </w:r>
      <w:r w:rsidRPr="003173B3">
        <w:rPr>
          <w:rFonts w:ascii="Times New Roman" w:hAnsi="Times New Roman" w:cs="Times New Roman"/>
          <w:i/>
          <w:noProof/>
        </w:rPr>
        <w:t xml:space="preserve">Talanta </w:t>
      </w:r>
      <w:r w:rsidRPr="003173B3">
        <w:rPr>
          <w:rFonts w:ascii="Times New Roman" w:hAnsi="Times New Roman" w:cs="Times New Roman"/>
          <w:noProof/>
        </w:rPr>
        <w:t>204: 386-394, 2019.</w:t>
      </w:r>
    </w:p>
    <w:p w14:paraId="296733B4" w14:textId="77777777" w:rsidR="005C0EC6" w:rsidRDefault="00E334B7">
      <w:pPr>
        <w:rPr>
          <w:b/>
          <w:color w:val="2F5496" w:themeColor="accent1" w:themeShade="BF"/>
        </w:rPr>
      </w:pPr>
      <w:r w:rsidRPr="003173B3">
        <w:fldChar w:fldCharType="end"/>
      </w:r>
    </w:p>
    <w:p w14:paraId="551780BB" w14:textId="60488A4F" w:rsidR="00750A95" w:rsidRPr="00194736" w:rsidRDefault="00354837">
      <w:r>
        <w:rPr>
          <w:b/>
          <w:color w:val="2F5496" w:themeColor="accent1" w:themeShade="BF"/>
        </w:rPr>
        <w:t xml:space="preserve"> </w:t>
      </w:r>
      <w:r w:rsidR="00750A95">
        <w:rPr>
          <w:b/>
          <w:color w:val="2F5496" w:themeColor="accent1" w:themeShade="BF"/>
        </w:rPr>
        <w:br w:type="page"/>
      </w:r>
    </w:p>
    <w:p w14:paraId="6B32723C" w14:textId="17864A92" w:rsidR="00E334B7" w:rsidRPr="007F15E5" w:rsidRDefault="00E334B7" w:rsidP="003173B3">
      <w:pPr>
        <w:spacing w:line="360" w:lineRule="auto"/>
        <w:rPr>
          <w:bCs/>
          <w:color w:val="2F5496" w:themeColor="accent1" w:themeShade="BF"/>
        </w:rPr>
      </w:pPr>
      <w:r w:rsidRPr="007F15E5">
        <w:rPr>
          <w:b/>
          <w:color w:val="2F5496" w:themeColor="accent1" w:themeShade="BF"/>
        </w:rPr>
        <w:lastRenderedPageBreak/>
        <w:t xml:space="preserve">SUPPLEMENTARY </w:t>
      </w:r>
      <w:r w:rsidR="007F15E5" w:rsidRPr="007F15E5">
        <w:rPr>
          <w:b/>
          <w:color w:val="2F5496" w:themeColor="accent1" w:themeShade="BF"/>
        </w:rPr>
        <w:t>MATERIAL #</w:t>
      </w:r>
      <w:r w:rsidRPr="007F15E5">
        <w:rPr>
          <w:b/>
          <w:color w:val="2F5496" w:themeColor="accent1" w:themeShade="BF"/>
        </w:rPr>
        <w:t xml:space="preserve">4: </w:t>
      </w:r>
      <w:r w:rsidRPr="007F15E5">
        <w:rPr>
          <w:bCs/>
          <w:color w:val="2F5496" w:themeColor="accent1" w:themeShade="BF"/>
        </w:rPr>
        <w:t xml:space="preserve">Serum Biomarker Analysis </w:t>
      </w:r>
    </w:p>
    <w:p w14:paraId="0955599E" w14:textId="71526688" w:rsidR="00E334B7" w:rsidRPr="005C0EC6" w:rsidRDefault="00E334B7" w:rsidP="00547953">
      <w:pPr>
        <w:pStyle w:val="NoSpacing"/>
        <w:spacing w:line="276" w:lineRule="auto"/>
      </w:pPr>
      <w:r w:rsidRPr="005C0EC6">
        <w:t>Stored serum samples were analysed to determine  circulating interleukin (IL)-1</w:t>
      </w:r>
      <w:r w:rsidRPr="005C0EC6">
        <w:sym w:font="Symbol" w:char="F062"/>
      </w:r>
      <w:r w:rsidRPr="005C0EC6">
        <w:t xml:space="preserve"> (HSLB00D; </w:t>
      </w:r>
      <w:proofErr w:type="spellStart"/>
      <w:r w:rsidRPr="005C0EC6">
        <w:t>RnD</w:t>
      </w:r>
      <w:proofErr w:type="spellEnd"/>
      <w:r w:rsidRPr="005C0EC6">
        <w:t xml:space="preserve"> Systems, Minneapolis, USA), IL-6 (HS600C; </w:t>
      </w:r>
      <w:proofErr w:type="spellStart"/>
      <w:r w:rsidRPr="005C0EC6">
        <w:t>RnD</w:t>
      </w:r>
      <w:proofErr w:type="spellEnd"/>
      <w:r w:rsidRPr="005C0EC6">
        <w:t xml:space="preserve"> Systems, Minneapolis, USA), Tumour necrosis factor </w:t>
      </w:r>
      <w:r w:rsidRPr="005C0EC6">
        <w:sym w:font="Symbol" w:char="F061"/>
      </w:r>
      <w:r w:rsidRPr="005C0EC6">
        <w:t xml:space="preserve"> (TNF</w:t>
      </w:r>
      <w:r w:rsidRPr="005C0EC6">
        <w:sym w:font="Symbol" w:char="F061"/>
      </w:r>
      <w:r w:rsidRPr="005C0EC6">
        <w:t xml:space="preserve">; DY210-05; </w:t>
      </w:r>
      <w:proofErr w:type="spellStart"/>
      <w:r w:rsidRPr="005C0EC6">
        <w:t>RnD</w:t>
      </w:r>
      <w:proofErr w:type="spellEnd"/>
      <w:r w:rsidRPr="005C0EC6">
        <w:t xml:space="preserve"> Systems, Minneapolis, USA), Myoglobin (ab108652, Abcam, Cambridge, UK), Creatine Kinase (ab264617, Abcam, Cambridge, UK) and Claudin-3 (NBP2-75328; Novus Biologicals, Centennial, USA) concentrations using commercially available enzyme-linked immunosorbent assay (ELISA) kits. Circulating lipopolysaccharide (LPS) was determined using the limulus amebocyte lysate (LAL) chromogenic endpoint assay (HIT302; </w:t>
      </w:r>
      <w:proofErr w:type="spellStart"/>
      <w:r w:rsidRPr="005C0EC6">
        <w:t>Hycult</w:t>
      </w:r>
      <w:proofErr w:type="spellEnd"/>
      <w:r w:rsidRPr="005C0EC6">
        <w:t xml:space="preserve"> Biotech, </w:t>
      </w:r>
      <w:proofErr w:type="spellStart"/>
      <w:r w:rsidRPr="005C0EC6">
        <w:t>Uden</w:t>
      </w:r>
      <w:proofErr w:type="spellEnd"/>
      <w:r w:rsidRPr="005C0EC6">
        <w:t>, The Netherlands). All assays were completed in accordance with the manufacturers’ instructions. All samples were analysed in duplicate, with the exception of IL-1</w:t>
      </w:r>
      <w:r w:rsidRPr="005C0EC6">
        <w:sym w:font="Symbol" w:char="F062"/>
      </w:r>
      <w:r w:rsidRPr="005C0EC6">
        <w:t xml:space="preserve"> where low detected concentrations required samples to be re-analysed using the remaining assay plate; replicates were not possible to ensure all samples could be included for analysis. For each assay, all samples from a single participant were included on one assay plate to negate any inter-assay effects. The mean intra-assay coefficient of variation for sample replicates was for: IL-6 6.2%; TNF</w:t>
      </w:r>
      <w:r w:rsidRPr="005C0EC6">
        <w:sym w:font="Symbol" w:char="F061"/>
      </w:r>
      <w:r w:rsidRPr="005C0EC6">
        <w:t xml:space="preserve"> 4.3%; Myoglobin 6.1%; CK 6.7%; Claudin-3 9.5%; and LPS 3.6%. Inter-assay coefficient of variation was for: IL-6 7.0%; TNF</w:t>
      </w:r>
      <w:r w:rsidRPr="005C0EC6">
        <w:sym w:font="Symbol" w:char="F061"/>
      </w:r>
      <w:r w:rsidRPr="005C0EC6">
        <w:t xml:space="preserve"> 10.1%; Myoglobin 6.5%; CK 1.5%; Claudin-3 2.0%; and LPS 6.3%.</w:t>
      </w:r>
    </w:p>
    <w:p w14:paraId="5A94676B" w14:textId="77777777" w:rsidR="00E334B7" w:rsidRPr="00194736" w:rsidRDefault="00E334B7" w:rsidP="00547953">
      <w:pPr>
        <w:pStyle w:val="NoSpacing"/>
        <w:spacing w:line="276" w:lineRule="auto"/>
        <w:rPr>
          <w:b/>
          <w:bCs/>
          <w:sz w:val="20"/>
          <w:szCs w:val="20"/>
          <w:lang w:eastAsia="en-US"/>
        </w:rPr>
      </w:pPr>
    </w:p>
    <w:p w14:paraId="723628FC" w14:textId="3ED45EF6" w:rsidR="00E334B7" w:rsidRPr="00194736" w:rsidRDefault="00E334B7" w:rsidP="00547953">
      <w:pPr>
        <w:spacing w:line="276" w:lineRule="auto"/>
        <w:rPr>
          <w:b/>
          <w:color w:val="2F5496" w:themeColor="accent1" w:themeShade="BF"/>
          <w:sz w:val="20"/>
          <w:szCs w:val="20"/>
        </w:rPr>
      </w:pPr>
    </w:p>
    <w:p w14:paraId="22CF34D3" w14:textId="77777777" w:rsidR="00E334B7" w:rsidRPr="00194736" w:rsidRDefault="00E334B7" w:rsidP="00E334B7">
      <w:pPr>
        <w:spacing w:line="360" w:lineRule="auto"/>
        <w:rPr>
          <w:b/>
          <w:color w:val="2F5496" w:themeColor="accent1" w:themeShade="BF"/>
          <w:sz w:val="20"/>
          <w:szCs w:val="20"/>
        </w:rPr>
      </w:pPr>
    </w:p>
    <w:p w14:paraId="022A3E13" w14:textId="77777777" w:rsidR="00E334B7" w:rsidRPr="00194736" w:rsidRDefault="00E334B7" w:rsidP="00E334B7">
      <w:pPr>
        <w:spacing w:line="360" w:lineRule="auto"/>
        <w:rPr>
          <w:bCs/>
          <w:color w:val="2F5496" w:themeColor="accent1" w:themeShade="BF"/>
          <w:sz w:val="20"/>
          <w:szCs w:val="20"/>
        </w:rPr>
      </w:pPr>
    </w:p>
    <w:p w14:paraId="08E4094F" w14:textId="77777777" w:rsidR="00E334B7" w:rsidRDefault="00E334B7" w:rsidP="00E334B7">
      <w:pPr>
        <w:pStyle w:val="NoSpacing"/>
        <w:spacing w:line="480" w:lineRule="auto"/>
        <w:jc w:val="both"/>
      </w:pPr>
    </w:p>
    <w:p w14:paraId="29637526" w14:textId="1AFCE6CF" w:rsidR="003B3400" w:rsidRDefault="003B3400">
      <w:pPr>
        <w:rPr>
          <w:b/>
          <w:color w:val="2F5496" w:themeColor="accent1" w:themeShade="BF"/>
          <w:sz w:val="18"/>
          <w:szCs w:val="18"/>
        </w:rPr>
      </w:pPr>
      <w:r>
        <w:rPr>
          <w:b/>
          <w:color w:val="2F5496" w:themeColor="accent1" w:themeShade="BF"/>
          <w:sz w:val="18"/>
          <w:szCs w:val="18"/>
        </w:rPr>
        <w:br w:type="page"/>
      </w:r>
    </w:p>
    <w:p w14:paraId="77A30D6C" w14:textId="77777777" w:rsidR="003B3400" w:rsidRPr="00002EA6" w:rsidRDefault="003B3400" w:rsidP="003B3400">
      <w:r w:rsidRPr="009C571D">
        <w:rPr>
          <w:b/>
          <w:color w:val="2F5496" w:themeColor="accent1" w:themeShade="BF"/>
        </w:rPr>
        <w:lastRenderedPageBreak/>
        <w:t xml:space="preserve">SUPPLEMENTARY </w:t>
      </w:r>
      <w:r>
        <w:rPr>
          <w:b/>
          <w:color w:val="2F5496" w:themeColor="accent1" w:themeShade="BF"/>
        </w:rPr>
        <w:t>MATERIAL</w:t>
      </w:r>
      <w:r w:rsidRPr="009C571D">
        <w:rPr>
          <w:b/>
          <w:color w:val="2F5496" w:themeColor="accent1" w:themeShade="BF"/>
        </w:rPr>
        <w:t xml:space="preserve"> #</w:t>
      </w:r>
      <w:r>
        <w:rPr>
          <w:b/>
          <w:color w:val="2F5496" w:themeColor="accent1" w:themeShade="BF"/>
        </w:rPr>
        <w:t>5</w:t>
      </w:r>
      <w:r w:rsidRPr="009C571D">
        <w:rPr>
          <w:b/>
          <w:color w:val="2F5496" w:themeColor="accent1" w:themeShade="BF"/>
        </w:rPr>
        <w:t>:</w:t>
      </w:r>
      <w:r w:rsidRPr="009C571D">
        <w:rPr>
          <w:bCs/>
          <w:color w:val="2F5496" w:themeColor="accent1" w:themeShade="BF"/>
        </w:rPr>
        <w:t xml:space="preserve"> Serum Biomarker Concentrations</w:t>
      </w:r>
    </w:p>
    <w:p w14:paraId="4AD47381" w14:textId="5062D462" w:rsidR="003B3400" w:rsidRDefault="00F872CF" w:rsidP="00714C23">
      <w:pPr>
        <w:spacing w:line="360" w:lineRule="auto"/>
        <w:rPr>
          <w:b/>
          <w:color w:val="2F5496" w:themeColor="accent1" w:themeShade="BF"/>
          <w:sz w:val="18"/>
          <w:szCs w:val="18"/>
        </w:rPr>
      </w:pPr>
      <w:r>
        <w:rPr>
          <w:noProof/>
        </w:rPr>
        <w:object w:dxaOrig="10786" w:dyaOrig="16200" w14:anchorId="18687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98pt;height:598pt;mso-width-percent:0;mso-height-percent:0;mso-width-percent:0;mso-height-percent:0" o:ole="">
            <v:imagedata r:id="rId9" o:title=""/>
          </v:shape>
          <o:OLEObject Type="Embed" ProgID="Prism9.Document" ShapeID="_x0000_i1029" DrawAspect="Content" ObjectID="_1703868245" r:id="rId10"/>
        </w:object>
      </w:r>
    </w:p>
    <w:p w14:paraId="5360031D" w14:textId="77777777" w:rsidR="003B3400" w:rsidRDefault="003B3400" w:rsidP="003B3400">
      <w:pPr>
        <w:rPr>
          <w:sz w:val="18"/>
          <w:szCs w:val="18"/>
        </w:rPr>
      </w:pPr>
    </w:p>
    <w:p w14:paraId="151A65A2" w14:textId="5C2C4CEB" w:rsidR="003B3400" w:rsidRDefault="003B3400" w:rsidP="007527AA">
      <w:pPr>
        <w:pStyle w:val="NoSpacing"/>
      </w:pPr>
      <w:r w:rsidRPr="00232D80">
        <w:rPr>
          <w:b/>
          <w:bCs/>
          <w:sz w:val="18"/>
          <w:szCs w:val="18"/>
          <w:lang w:eastAsia="en-US"/>
        </w:rPr>
        <w:t>Figure S</w:t>
      </w:r>
      <w:r>
        <w:rPr>
          <w:b/>
          <w:bCs/>
          <w:sz w:val="18"/>
          <w:szCs w:val="18"/>
          <w:lang w:eastAsia="en-US"/>
        </w:rPr>
        <w:t>1</w:t>
      </w:r>
      <w:r>
        <w:rPr>
          <w:sz w:val="21"/>
          <w:szCs w:val="21"/>
          <w:lang w:eastAsia="en-US"/>
        </w:rPr>
        <w:t xml:space="preserve">. </w:t>
      </w:r>
      <w:r w:rsidRPr="002D3A5A">
        <w:rPr>
          <w:sz w:val="18"/>
          <w:szCs w:val="18"/>
          <w:lang w:eastAsia="en-US"/>
        </w:rPr>
        <w:t xml:space="preserve">Serum biomarkers measured at </w:t>
      </w:r>
      <w:r w:rsidRPr="00C720D6">
        <w:rPr>
          <w:bCs/>
          <w:sz w:val="18"/>
          <w:szCs w:val="18"/>
        </w:rPr>
        <w:t>Baseline, Pre- and Post-RUN 1, Post-RUN 2, and 1-hour Post-RUN 2</w:t>
      </w:r>
      <w:r>
        <w:rPr>
          <w:bCs/>
          <w:sz w:val="18"/>
          <w:szCs w:val="18"/>
        </w:rPr>
        <w:t>.</w:t>
      </w:r>
      <w:r>
        <w:rPr>
          <w:sz w:val="18"/>
          <w:szCs w:val="18"/>
          <w:lang w:eastAsia="en-US"/>
        </w:rPr>
        <w:t xml:space="preserve"> </w:t>
      </w:r>
      <w:r w:rsidRPr="004F3758">
        <w:rPr>
          <w:b/>
          <w:bCs/>
          <w:sz w:val="18"/>
          <w:szCs w:val="18"/>
          <w:lang w:eastAsia="en-US"/>
        </w:rPr>
        <w:t>A</w:t>
      </w:r>
      <w:r>
        <w:rPr>
          <w:b/>
          <w:bCs/>
          <w:sz w:val="18"/>
          <w:szCs w:val="18"/>
          <w:lang w:eastAsia="en-US"/>
        </w:rPr>
        <w:t>.</w:t>
      </w:r>
      <w:r>
        <w:rPr>
          <w:sz w:val="18"/>
          <w:szCs w:val="18"/>
          <w:lang w:eastAsia="en-US"/>
        </w:rPr>
        <w:t xml:space="preserve"> Tumour Necrosis Facto</w:t>
      </w:r>
      <w:r w:rsidRPr="00D92BAF">
        <w:rPr>
          <w:sz w:val="18"/>
          <w:szCs w:val="18"/>
          <w:lang w:eastAsia="en-US"/>
        </w:rPr>
        <w:t xml:space="preserve">r- α </w:t>
      </w:r>
      <w:r>
        <w:rPr>
          <w:sz w:val="18"/>
          <w:szCs w:val="18"/>
          <w:lang w:eastAsia="en-US"/>
        </w:rPr>
        <w:t>(</w:t>
      </w:r>
      <w:r w:rsidRPr="002D3A5A">
        <w:rPr>
          <w:sz w:val="18"/>
          <w:szCs w:val="18"/>
          <w:lang w:eastAsia="en-US"/>
        </w:rPr>
        <w:t>TNF- α)</w:t>
      </w:r>
      <w:r w:rsidR="00FE4E01">
        <w:rPr>
          <w:sz w:val="18"/>
          <w:szCs w:val="18"/>
          <w:lang w:eastAsia="en-US"/>
        </w:rPr>
        <w:t xml:space="preserve"> </w:t>
      </w:r>
      <w:r w:rsidRPr="00D92BAF">
        <w:rPr>
          <w:sz w:val="18"/>
          <w:szCs w:val="18"/>
          <w:lang w:eastAsia="en-US"/>
        </w:rPr>
        <w:t>(expressed as %</w:t>
      </w:r>
      <w:r w:rsidRPr="00D92BAF">
        <w:rPr>
          <w:sz w:val="15"/>
          <w:szCs w:val="15"/>
          <w:lang w:eastAsia="en-US"/>
        </w:rPr>
        <w:t xml:space="preserve"> </w:t>
      </w:r>
      <w:r>
        <w:rPr>
          <w:sz w:val="18"/>
          <w:szCs w:val="18"/>
          <w:lang w:eastAsia="en-US"/>
        </w:rPr>
        <w:t xml:space="preserve">change relative to baseline); </w:t>
      </w:r>
      <w:r>
        <w:rPr>
          <w:b/>
          <w:bCs/>
          <w:sz w:val="18"/>
          <w:szCs w:val="18"/>
          <w:lang w:eastAsia="en-US"/>
        </w:rPr>
        <w:t xml:space="preserve">B. </w:t>
      </w:r>
      <w:r>
        <w:rPr>
          <w:sz w:val="18"/>
          <w:szCs w:val="18"/>
          <w:lang w:eastAsia="en-US"/>
        </w:rPr>
        <w:t xml:space="preserve">Interleukin-1ß </w:t>
      </w:r>
      <w:r w:rsidRPr="002D3A5A">
        <w:rPr>
          <w:sz w:val="18"/>
          <w:szCs w:val="18"/>
          <w:lang w:eastAsia="en-US"/>
        </w:rPr>
        <w:t>(IL-1ß)</w:t>
      </w:r>
      <w:r>
        <w:rPr>
          <w:sz w:val="18"/>
          <w:szCs w:val="18"/>
          <w:lang w:eastAsia="en-US"/>
        </w:rPr>
        <w:t xml:space="preserve">; </w:t>
      </w:r>
      <w:r>
        <w:rPr>
          <w:b/>
          <w:bCs/>
          <w:sz w:val="18"/>
          <w:szCs w:val="18"/>
          <w:lang w:eastAsia="en-US"/>
        </w:rPr>
        <w:t xml:space="preserve">C. </w:t>
      </w:r>
      <w:r w:rsidRPr="004F3758">
        <w:rPr>
          <w:sz w:val="18"/>
          <w:szCs w:val="18"/>
          <w:lang w:eastAsia="en-US"/>
        </w:rPr>
        <w:t>Interleukin-</w:t>
      </w:r>
      <w:r w:rsidRPr="002D3A5A">
        <w:rPr>
          <w:sz w:val="18"/>
          <w:szCs w:val="18"/>
          <w:lang w:eastAsia="en-US"/>
        </w:rPr>
        <w:t>6 (IL-6);</w:t>
      </w:r>
      <w:r>
        <w:rPr>
          <w:sz w:val="18"/>
          <w:szCs w:val="18"/>
          <w:lang w:eastAsia="en-US"/>
        </w:rPr>
        <w:t xml:space="preserve"> </w:t>
      </w:r>
      <w:r>
        <w:rPr>
          <w:b/>
          <w:bCs/>
          <w:sz w:val="18"/>
          <w:szCs w:val="18"/>
          <w:lang w:eastAsia="en-US"/>
        </w:rPr>
        <w:t xml:space="preserve">D. </w:t>
      </w:r>
      <w:r>
        <w:rPr>
          <w:sz w:val="18"/>
          <w:szCs w:val="18"/>
          <w:lang w:eastAsia="en-US"/>
        </w:rPr>
        <w:t xml:space="preserve">Myoglobin; </w:t>
      </w:r>
      <w:r w:rsidRPr="006E4969">
        <w:rPr>
          <w:b/>
          <w:bCs/>
          <w:sz w:val="18"/>
          <w:szCs w:val="18"/>
          <w:lang w:eastAsia="en-US"/>
        </w:rPr>
        <w:t>E.</w:t>
      </w:r>
      <w:r>
        <w:rPr>
          <w:b/>
          <w:bCs/>
          <w:sz w:val="18"/>
          <w:szCs w:val="18"/>
          <w:lang w:eastAsia="en-US"/>
        </w:rPr>
        <w:t xml:space="preserve"> </w:t>
      </w:r>
      <w:r>
        <w:rPr>
          <w:sz w:val="18"/>
          <w:szCs w:val="18"/>
          <w:lang w:eastAsia="en-US"/>
        </w:rPr>
        <w:t xml:space="preserve">Creatine Kinase </w:t>
      </w:r>
      <w:r w:rsidRPr="002D3A5A">
        <w:rPr>
          <w:sz w:val="18"/>
          <w:szCs w:val="18"/>
          <w:lang w:eastAsia="en-US"/>
        </w:rPr>
        <w:t>(CK)</w:t>
      </w:r>
      <w:r>
        <w:rPr>
          <w:sz w:val="18"/>
          <w:szCs w:val="18"/>
          <w:lang w:eastAsia="en-US"/>
        </w:rPr>
        <w:t xml:space="preserve">; </w:t>
      </w:r>
      <w:r w:rsidRPr="00D92BAF">
        <w:rPr>
          <w:b/>
          <w:bCs/>
          <w:sz w:val="18"/>
          <w:szCs w:val="18"/>
          <w:lang w:eastAsia="en-US"/>
        </w:rPr>
        <w:t>F</w:t>
      </w:r>
      <w:r>
        <w:rPr>
          <w:b/>
          <w:bCs/>
          <w:sz w:val="18"/>
          <w:szCs w:val="18"/>
          <w:lang w:eastAsia="en-US"/>
        </w:rPr>
        <w:t xml:space="preserve">. </w:t>
      </w:r>
      <w:r>
        <w:rPr>
          <w:sz w:val="18"/>
          <w:szCs w:val="18"/>
          <w:lang w:eastAsia="en-US"/>
        </w:rPr>
        <w:t xml:space="preserve">Liposaccharide </w:t>
      </w:r>
      <w:r w:rsidRPr="002D3A5A">
        <w:rPr>
          <w:sz w:val="18"/>
          <w:szCs w:val="18"/>
          <w:lang w:eastAsia="en-US"/>
        </w:rPr>
        <w:t>(LPS)</w:t>
      </w:r>
      <w:r>
        <w:rPr>
          <w:sz w:val="18"/>
          <w:szCs w:val="18"/>
          <w:lang w:eastAsia="en-US"/>
        </w:rPr>
        <w:t xml:space="preserve">; </w:t>
      </w:r>
      <w:r>
        <w:rPr>
          <w:b/>
          <w:bCs/>
          <w:sz w:val="18"/>
          <w:szCs w:val="18"/>
          <w:lang w:eastAsia="en-US"/>
        </w:rPr>
        <w:t xml:space="preserve">G. </w:t>
      </w:r>
      <w:r>
        <w:rPr>
          <w:sz w:val="18"/>
          <w:szCs w:val="18"/>
          <w:lang w:eastAsia="en-US"/>
        </w:rPr>
        <w:t xml:space="preserve">Claudin 3. </w:t>
      </w:r>
      <w:r w:rsidRPr="00EE3795">
        <w:rPr>
          <w:sz w:val="18"/>
          <w:szCs w:val="18"/>
          <w:lang w:eastAsia="en-US"/>
        </w:rPr>
        <w:t xml:space="preserve">Analyses were conducted using a </w:t>
      </w:r>
      <w:r w:rsidRPr="00EE3795">
        <w:rPr>
          <w:bCs/>
          <w:sz w:val="18"/>
          <w:szCs w:val="18"/>
          <w:lang w:eastAsia="en-US"/>
        </w:rPr>
        <w:t xml:space="preserve">2 (Treatment) x 3 (Time) </w:t>
      </w:r>
      <w:r w:rsidRPr="00EE3795">
        <w:rPr>
          <w:sz w:val="18"/>
          <w:szCs w:val="18"/>
          <w:lang w:eastAsia="en-US"/>
        </w:rPr>
        <w:t>repeated-measures ANOVA and post hoc</w:t>
      </w:r>
      <w:r w:rsidRPr="00EE3795">
        <w:rPr>
          <w:i/>
          <w:iCs/>
          <w:sz w:val="18"/>
          <w:szCs w:val="18"/>
          <w:lang w:eastAsia="en-US"/>
        </w:rPr>
        <w:t xml:space="preserve"> </w:t>
      </w:r>
      <w:r w:rsidRPr="00EE3795">
        <w:rPr>
          <w:sz w:val="18"/>
          <w:szCs w:val="18"/>
          <w:lang w:eastAsia="en-US"/>
        </w:rPr>
        <w:t xml:space="preserve">comparisons were performed with paired </w:t>
      </w:r>
      <w:r w:rsidRPr="00EE3795">
        <w:rPr>
          <w:i/>
          <w:iCs/>
          <w:sz w:val="18"/>
          <w:szCs w:val="18"/>
          <w:lang w:eastAsia="en-US"/>
        </w:rPr>
        <w:t>t</w:t>
      </w:r>
      <w:r w:rsidRPr="00EE3795">
        <w:rPr>
          <w:sz w:val="18"/>
          <w:szCs w:val="18"/>
          <w:lang w:eastAsia="en-US"/>
        </w:rPr>
        <w:t>-tests</w:t>
      </w:r>
      <w:r>
        <w:rPr>
          <w:sz w:val="18"/>
          <w:szCs w:val="18"/>
          <w:lang w:eastAsia="en-US"/>
        </w:rPr>
        <w:t>.</w:t>
      </w:r>
      <w:r w:rsidRPr="00EE3795">
        <w:rPr>
          <w:sz w:val="18"/>
          <w:szCs w:val="18"/>
          <w:lang w:eastAsia="en-US"/>
        </w:rPr>
        <w:t xml:space="preserve"> Values are mean ± SEM for placebo (</w:t>
      </w:r>
      <w:r>
        <w:rPr>
          <w:sz w:val="18"/>
          <w:szCs w:val="18"/>
          <w:lang w:eastAsia="en-US"/>
        </w:rPr>
        <w:t xml:space="preserve">white squares) </w:t>
      </w:r>
      <w:r w:rsidRPr="00EE3795">
        <w:rPr>
          <w:sz w:val="18"/>
          <w:szCs w:val="18"/>
          <w:lang w:eastAsia="en-US"/>
        </w:rPr>
        <w:t>and CBD (</w:t>
      </w:r>
      <w:r>
        <w:rPr>
          <w:sz w:val="18"/>
          <w:szCs w:val="18"/>
          <w:lang w:eastAsia="en-US"/>
        </w:rPr>
        <w:t>green</w:t>
      </w:r>
      <w:r w:rsidRPr="00EE3795">
        <w:rPr>
          <w:sz w:val="18"/>
          <w:szCs w:val="18"/>
          <w:lang w:eastAsia="en-US"/>
        </w:rPr>
        <w:t xml:space="preserve"> circles)</w:t>
      </w:r>
      <w:r w:rsidRPr="00B52088">
        <w:rPr>
          <w:sz w:val="18"/>
          <w:szCs w:val="18"/>
          <w:lang w:eastAsia="en-US"/>
        </w:rPr>
        <w:t xml:space="preserve"> </w:t>
      </w:r>
      <w:r>
        <w:rPr>
          <w:sz w:val="18"/>
          <w:szCs w:val="18"/>
          <w:lang w:eastAsia="en-US"/>
        </w:rPr>
        <w:t>(</w:t>
      </w:r>
      <w:r>
        <w:rPr>
          <w:i/>
          <w:iCs/>
          <w:sz w:val="18"/>
          <w:szCs w:val="18"/>
          <w:lang w:eastAsia="en-US"/>
        </w:rPr>
        <w:t xml:space="preserve">n </w:t>
      </w:r>
      <w:r>
        <w:rPr>
          <w:sz w:val="18"/>
          <w:szCs w:val="18"/>
          <w:lang w:eastAsia="en-US"/>
        </w:rPr>
        <w:t xml:space="preserve">= 9). </w:t>
      </w:r>
      <w:r w:rsidRPr="00EE3795">
        <w:rPr>
          <w:sz w:val="18"/>
          <w:szCs w:val="18"/>
          <w:lang w:eastAsia="en-US"/>
        </w:rPr>
        <w:t xml:space="preserve">a, Differs from </w:t>
      </w:r>
      <w:r>
        <w:rPr>
          <w:sz w:val="18"/>
          <w:szCs w:val="18"/>
          <w:lang w:eastAsia="en-US"/>
        </w:rPr>
        <w:t>Baseline</w:t>
      </w:r>
      <w:r w:rsidRPr="00EE3795">
        <w:rPr>
          <w:sz w:val="18"/>
          <w:szCs w:val="18"/>
          <w:lang w:eastAsia="en-US"/>
        </w:rPr>
        <w:t xml:space="preserve"> (</w:t>
      </w:r>
      <w:r w:rsidRPr="00EE3795">
        <w:rPr>
          <w:i/>
          <w:iCs/>
          <w:sz w:val="18"/>
          <w:szCs w:val="18"/>
          <w:lang w:eastAsia="en-US"/>
        </w:rPr>
        <w:t>p</w:t>
      </w:r>
      <w:r w:rsidRPr="00EE3795">
        <w:rPr>
          <w:sz w:val="18"/>
          <w:szCs w:val="18"/>
          <w:lang w:eastAsia="en-US"/>
        </w:rPr>
        <w:t xml:space="preserve">&lt;0.05); b, Differs from </w:t>
      </w:r>
      <w:r>
        <w:rPr>
          <w:sz w:val="18"/>
          <w:szCs w:val="18"/>
          <w:lang w:eastAsia="en-US"/>
        </w:rPr>
        <w:t>RUN 1</w:t>
      </w:r>
      <w:r w:rsidRPr="00EE3795">
        <w:rPr>
          <w:sz w:val="18"/>
          <w:szCs w:val="18"/>
          <w:lang w:eastAsia="en-US"/>
        </w:rPr>
        <w:t xml:space="preserve"> (p&lt;0.05).</w:t>
      </w:r>
    </w:p>
    <w:p w14:paraId="30B9BC6A" w14:textId="114B327E" w:rsidR="003B3400" w:rsidRDefault="003B3400" w:rsidP="003B3400">
      <w:pPr>
        <w:rPr>
          <w:bCs/>
          <w:color w:val="2F5496" w:themeColor="accent1" w:themeShade="BF"/>
        </w:rPr>
      </w:pPr>
      <w:r>
        <w:br w:type="page"/>
      </w:r>
      <w:r w:rsidRPr="000275D7">
        <w:rPr>
          <w:b/>
          <w:color w:val="2F5496" w:themeColor="accent1" w:themeShade="BF"/>
        </w:rPr>
        <w:lastRenderedPageBreak/>
        <w:t xml:space="preserve">SUPPLEMENTARY </w:t>
      </w:r>
      <w:r>
        <w:rPr>
          <w:b/>
          <w:color w:val="2F5496" w:themeColor="accent1" w:themeShade="BF"/>
        </w:rPr>
        <w:t>MATERIAL</w:t>
      </w:r>
      <w:r w:rsidRPr="000275D7">
        <w:rPr>
          <w:b/>
          <w:color w:val="2F5496" w:themeColor="accent1" w:themeShade="BF"/>
        </w:rPr>
        <w:t xml:space="preserve"> </w:t>
      </w:r>
      <w:r>
        <w:rPr>
          <w:b/>
          <w:color w:val="2F5496" w:themeColor="accent1" w:themeShade="BF"/>
        </w:rPr>
        <w:t>#6</w:t>
      </w:r>
      <w:r w:rsidRPr="000275D7">
        <w:rPr>
          <w:b/>
          <w:color w:val="2F5496" w:themeColor="accent1" w:themeShade="BF"/>
        </w:rPr>
        <w:t>:</w:t>
      </w:r>
      <w:r w:rsidRPr="000275D7">
        <w:rPr>
          <w:bCs/>
          <w:color w:val="2F5496" w:themeColor="accent1" w:themeShade="BF"/>
        </w:rPr>
        <w:t xml:space="preserve"> Gastrointestinal (GI) Comfort Visual Analogue Scales (VAS) Ratings</w:t>
      </w:r>
    </w:p>
    <w:p w14:paraId="0CDCC71F" w14:textId="77777777" w:rsidR="0059571E" w:rsidRDefault="0059571E" w:rsidP="003B3400">
      <w:pPr>
        <w:rPr>
          <w:bCs/>
          <w:color w:val="2F5496" w:themeColor="accent1" w:themeShade="BF"/>
          <w:sz w:val="18"/>
          <w:szCs w:val="18"/>
        </w:rPr>
      </w:pPr>
    </w:p>
    <w:p w14:paraId="607DE9B3" w14:textId="542872FF" w:rsidR="003B3400" w:rsidRDefault="00F872CF" w:rsidP="003B3400">
      <w:pPr>
        <w:spacing w:line="360" w:lineRule="auto"/>
        <w:rPr>
          <w:bCs/>
          <w:color w:val="2F5496" w:themeColor="accent1" w:themeShade="BF"/>
          <w:sz w:val="18"/>
          <w:szCs w:val="18"/>
        </w:rPr>
      </w:pPr>
      <w:r>
        <w:rPr>
          <w:noProof/>
        </w:rPr>
        <w:object w:dxaOrig="10850" w:dyaOrig="15262" w14:anchorId="16F01FC4">
          <v:shape id="_x0000_i1028" type="#_x0000_t75" alt="" style="width:438pt;height:607pt;mso-width-percent:0;mso-height-percent:0;mso-width-percent:0;mso-height-percent:0" o:ole="">
            <v:imagedata r:id="rId11" o:title="" croptop="1057f"/>
          </v:shape>
          <o:OLEObject Type="Embed" ProgID="Prism9.Document" ShapeID="_x0000_i1028" DrawAspect="Content" ObjectID="_1703868246" r:id="rId12"/>
        </w:object>
      </w:r>
    </w:p>
    <w:p w14:paraId="7797CA67" w14:textId="77777777" w:rsidR="003B3400" w:rsidRPr="00EE3795" w:rsidRDefault="003B3400" w:rsidP="003B3400">
      <w:pPr>
        <w:pStyle w:val="NoSpacing"/>
        <w:rPr>
          <w:sz w:val="18"/>
          <w:szCs w:val="18"/>
          <w:lang w:eastAsia="en-US"/>
        </w:rPr>
      </w:pPr>
      <w:r w:rsidRPr="00C720D6">
        <w:rPr>
          <w:b/>
          <w:sz w:val="18"/>
          <w:szCs w:val="18"/>
        </w:rPr>
        <w:t xml:space="preserve">Figure </w:t>
      </w:r>
      <w:r>
        <w:rPr>
          <w:b/>
          <w:sz w:val="18"/>
          <w:szCs w:val="18"/>
        </w:rPr>
        <w:t>S2</w:t>
      </w:r>
      <w:r w:rsidRPr="00C720D6">
        <w:rPr>
          <w:b/>
          <w:sz w:val="18"/>
          <w:szCs w:val="18"/>
        </w:rPr>
        <w:t>:</w:t>
      </w:r>
      <w:r w:rsidRPr="00C720D6">
        <w:rPr>
          <w:bCs/>
          <w:sz w:val="18"/>
          <w:szCs w:val="18"/>
        </w:rPr>
        <w:t xml:space="preserve"> Gastrointestinal comfort as measured using 100 mm visual analog scales (VASs) at Baseline, Pre- and Post-RUN 1, Post-RUN 2, and 1-hour Post-RUN 2</w:t>
      </w:r>
      <w:r>
        <w:rPr>
          <w:bCs/>
          <w:sz w:val="18"/>
          <w:szCs w:val="18"/>
        </w:rPr>
        <w:t>.</w:t>
      </w:r>
      <w:r w:rsidRPr="00C720D6">
        <w:rPr>
          <w:bCs/>
          <w:sz w:val="18"/>
          <w:szCs w:val="18"/>
        </w:rPr>
        <w:t xml:space="preserve"> </w:t>
      </w:r>
      <w:r w:rsidRPr="00C720D6">
        <w:rPr>
          <w:b/>
          <w:sz w:val="18"/>
          <w:szCs w:val="18"/>
        </w:rPr>
        <w:t>A.</w:t>
      </w:r>
      <w:r w:rsidRPr="00C720D6">
        <w:rPr>
          <w:bCs/>
          <w:sz w:val="18"/>
          <w:szCs w:val="18"/>
        </w:rPr>
        <w:t xml:space="preserve"> Abdominal Pain</w:t>
      </w:r>
      <w:r>
        <w:rPr>
          <w:bCs/>
          <w:sz w:val="18"/>
          <w:szCs w:val="18"/>
        </w:rPr>
        <w:t>;</w:t>
      </w:r>
      <w:r w:rsidRPr="00C720D6">
        <w:rPr>
          <w:bCs/>
          <w:sz w:val="18"/>
          <w:szCs w:val="18"/>
        </w:rPr>
        <w:t xml:space="preserve"> </w:t>
      </w:r>
      <w:r w:rsidRPr="00C720D6">
        <w:rPr>
          <w:b/>
          <w:sz w:val="18"/>
          <w:szCs w:val="18"/>
        </w:rPr>
        <w:t>B.</w:t>
      </w:r>
      <w:r w:rsidRPr="00C720D6">
        <w:rPr>
          <w:bCs/>
          <w:sz w:val="18"/>
          <w:szCs w:val="18"/>
        </w:rPr>
        <w:t xml:space="preserve"> Nausea</w:t>
      </w:r>
      <w:r>
        <w:rPr>
          <w:bCs/>
          <w:sz w:val="18"/>
          <w:szCs w:val="18"/>
        </w:rPr>
        <w:t>;</w:t>
      </w:r>
      <w:r w:rsidRPr="00C720D6">
        <w:rPr>
          <w:bCs/>
          <w:sz w:val="18"/>
          <w:szCs w:val="18"/>
        </w:rPr>
        <w:t xml:space="preserve"> </w:t>
      </w:r>
      <w:r w:rsidRPr="00C720D6">
        <w:rPr>
          <w:b/>
          <w:sz w:val="18"/>
          <w:szCs w:val="18"/>
        </w:rPr>
        <w:t>C.</w:t>
      </w:r>
      <w:r w:rsidRPr="00C720D6">
        <w:rPr>
          <w:bCs/>
          <w:sz w:val="18"/>
          <w:szCs w:val="18"/>
        </w:rPr>
        <w:t xml:space="preserve"> Heartburn</w:t>
      </w:r>
      <w:r>
        <w:rPr>
          <w:bCs/>
          <w:sz w:val="18"/>
          <w:szCs w:val="18"/>
        </w:rPr>
        <w:t>;</w:t>
      </w:r>
      <w:r w:rsidRPr="00C720D6">
        <w:rPr>
          <w:bCs/>
          <w:sz w:val="18"/>
          <w:szCs w:val="18"/>
        </w:rPr>
        <w:t xml:space="preserve"> </w:t>
      </w:r>
      <w:r w:rsidRPr="00C720D6">
        <w:rPr>
          <w:b/>
          <w:sz w:val="18"/>
          <w:szCs w:val="18"/>
        </w:rPr>
        <w:t>D.</w:t>
      </w:r>
      <w:r w:rsidRPr="00C720D6">
        <w:rPr>
          <w:bCs/>
          <w:sz w:val="18"/>
          <w:szCs w:val="18"/>
        </w:rPr>
        <w:t xml:space="preserve"> Regurgitation</w:t>
      </w:r>
      <w:r>
        <w:rPr>
          <w:bCs/>
          <w:sz w:val="18"/>
          <w:szCs w:val="18"/>
        </w:rPr>
        <w:t>;</w:t>
      </w:r>
      <w:r w:rsidRPr="00C720D6">
        <w:rPr>
          <w:bCs/>
          <w:sz w:val="18"/>
          <w:szCs w:val="18"/>
        </w:rPr>
        <w:t xml:space="preserve"> </w:t>
      </w:r>
      <w:r w:rsidRPr="00C720D6">
        <w:rPr>
          <w:b/>
          <w:sz w:val="18"/>
          <w:szCs w:val="18"/>
        </w:rPr>
        <w:t>E.</w:t>
      </w:r>
      <w:r w:rsidRPr="00C720D6">
        <w:rPr>
          <w:bCs/>
          <w:sz w:val="18"/>
          <w:szCs w:val="18"/>
        </w:rPr>
        <w:t xml:space="preserve"> Belching</w:t>
      </w:r>
      <w:r>
        <w:rPr>
          <w:bCs/>
          <w:sz w:val="18"/>
          <w:szCs w:val="18"/>
        </w:rPr>
        <w:t>;</w:t>
      </w:r>
      <w:r w:rsidRPr="00C720D6">
        <w:rPr>
          <w:bCs/>
          <w:sz w:val="18"/>
          <w:szCs w:val="18"/>
        </w:rPr>
        <w:t xml:space="preserve"> </w:t>
      </w:r>
      <w:r w:rsidRPr="00C720D6">
        <w:rPr>
          <w:b/>
          <w:sz w:val="18"/>
          <w:szCs w:val="18"/>
        </w:rPr>
        <w:t>F.</w:t>
      </w:r>
      <w:r w:rsidRPr="00C720D6">
        <w:rPr>
          <w:bCs/>
          <w:sz w:val="18"/>
          <w:szCs w:val="18"/>
        </w:rPr>
        <w:t xml:space="preserve"> Bloating and </w:t>
      </w:r>
      <w:r w:rsidRPr="00C720D6">
        <w:rPr>
          <w:b/>
          <w:sz w:val="18"/>
          <w:szCs w:val="18"/>
        </w:rPr>
        <w:t xml:space="preserve">G. </w:t>
      </w:r>
      <w:r w:rsidRPr="00C720D6">
        <w:rPr>
          <w:bCs/>
          <w:sz w:val="18"/>
          <w:szCs w:val="18"/>
        </w:rPr>
        <w:t>Flatulence. 0 mm represents “not at all” and 100 mm, “extremely”.</w:t>
      </w:r>
      <w:r>
        <w:rPr>
          <w:bCs/>
          <w:sz w:val="18"/>
          <w:szCs w:val="18"/>
        </w:rPr>
        <w:t xml:space="preserve"> Values are Median </w:t>
      </w:r>
      <w:r w:rsidRPr="00C5245A">
        <w:rPr>
          <w:sz w:val="18"/>
          <w:szCs w:val="18"/>
          <w:lang w:eastAsia="en-US"/>
        </w:rPr>
        <w:t xml:space="preserve">± </w:t>
      </w:r>
      <w:r>
        <w:rPr>
          <w:bCs/>
          <w:sz w:val="18"/>
          <w:szCs w:val="18"/>
        </w:rPr>
        <w:t xml:space="preserve">Interquartile Range for </w:t>
      </w:r>
      <w:r w:rsidRPr="00EE3795">
        <w:rPr>
          <w:sz w:val="18"/>
          <w:szCs w:val="18"/>
          <w:lang w:eastAsia="en-US"/>
        </w:rPr>
        <w:t>placebo (</w:t>
      </w:r>
      <w:r>
        <w:rPr>
          <w:sz w:val="18"/>
          <w:szCs w:val="18"/>
          <w:lang w:eastAsia="en-US"/>
        </w:rPr>
        <w:t xml:space="preserve">white squares) </w:t>
      </w:r>
      <w:r w:rsidRPr="00EE3795">
        <w:rPr>
          <w:sz w:val="18"/>
          <w:szCs w:val="18"/>
          <w:lang w:eastAsia="en-US"/>
        </w:rPr>
        <w:t>and CBD (</w:t>
      </w:r>
      <w:r>
        <w:rPr>
          <w:sz w:val="18"/>
          <w:szCs w:val="18"/>
          <w:lang w:eastAsia="en-US"/>
        </w:rPr>
        <w:t>green</w:t>
      </w:r>
      <w:r w:rsidRPr="00EE3795">
        <w:rPr>
          <w:sz w:val="18"/>
          <w:szCs w:val="18"/>
          <w:lang w:eastAsia="en-US"/>
        </w:rPr>
        <w:t xml:space="preserve"> circles)</w:t>
      </w:r>
      <w:r>
        <w:rPr>
          <w:sz w:val="18"/>
          <w:szCs w:val="18"/>
          <w:lang w:eastAsia="en-US"/>
        </w:rPr>
        <w:t xml:space="preserve"> (</w:t>
      </w:r>
      <w:r>
        <w:rPr>
          <w:i/>
          <w:iCs/>
          <w:sz w:val="18"/>
          <w:szCs w:val="18"/>
          <w:lang w:eastAsia="en-US"/>
        </w:rPr>
        <w:t xml:space="preserve">n </w:t>
      </w:r>
      <w:r>
        <w:rPr>
          <w:sz w:val="18"/>
          <w:szCs w:val="18"/>
          <w:lang w:eastAsia="en-US"/>
        </w:rPr>
        <w:t>= 9).</w:t>
      </w:r>
    </w:p>
    <w:p w14:paraId="153CD884" w14:textId="77777777" w:rsidR="003B3400" w:rsidRPr="00B47BD8" w:rsidRDefault="003B3400" w:rsidP="003B3400">
      <w:pPr>
        <w:spacing w:line="360" w:lineRule="auto"/>
        <w:rPr>
          <w:bCs/>
          <w:color w:val="2F5496" w:themeColor="accent1" w:themeShade="BF"/>
          <w:sz w:val="18"/>
          <w:szCs w:val="18"/>
        </w:rPr>
      </w:pPr>
    </w:p>
    <w:p w14:paraId="5A4B069C" w14:textId="06880585" w:rsidR="003B3400" w:rsidRDefault="003B3400" w:rsidP="003B3400">
      <w:pPr>
        <w:rPr>
          <w:bCs/>
          <w:color w:val="2F5496" w:themeColor="accent1" w:themeShade="BF"/>
        </w:rPr>
      </w:pPr>
      <w:r w:rsidRPr="00113267">
        <w:rPr>
          <w:b/>
          <w:color w:val="2F5496" w:themeColor="accent1" w:themeShade="BF"/>
        </w:rPr>
        <w:t xml:space="preserve">SUPPLEMENTARY </w:t>
      </w:r>
      <w:r>
        <w:rPr>
          <w:b/>
          <w:color w:val="2F5496" w:themeColor="accent1" w:themeShade="BF"/>
        </w:rPr>
        <w:t>MATERIAL</w:t>
      </w:r>
      <w:r w:rsidRPr="00113267">
        <w:rPr>
          <w:b/>
          <w:color w:val="2F5496" w:themeColor="accent1" w:themeShade="BF"/>
        </w:rPr>
        <w:t xml:space="preserve"> </w:t>
      </w:r>
      <w:r>
        <w:rPr>
          <w:b/>
          <w:color w:val="2F5496" w:themeColor="accent1" w:themeShade="BF"/>
        </w:rPr>
        <w:t>#7</w:t>
      </w:r>
      <w:r w:rsidR="00F942C8">
        <w:rPr>
          <w:b/>
          <w:color w:val="2F5496" w:themeColor="accent1" w:themeShade="BF"/>
        </w:rPr>
        <w:t>a</w:t>
      </w:r>
      <w:r w:rsidRPr="00113267">
        <w:rPr>
          <w:b/>
          <w:color w:val="2F5496" w:themeColor="accent1" w:themeShade="BF"/>
        </w:rPr>
        <w:t>:</w:t>
      </w:r>
      <w:r w:rsidRPr="00113267">
        <w:rPr>
          <w:bCs/>
          <w:color w:val="2F5496" w:themeColor="accent1" w:themeShade="BF"/>
        </w:rPr>
        <w:t xml:space="preserve"> State Trait Anxiety Inventory (STAI) </w:t>
      </w:r>
      <w:r w:rsidR="00E75691">
        <w:rPr>
          <w:bCs/>
          <w:color w:val="2F5496" w:themeColor="accent1" w:themeShade="BF"/>
        </w:rPr>
        <w:t>score</w:t>
      </w:r>
      <w:r w:rsidRPr="00113267">
        <w:rPr>
          <w:bCs/>
          <w:color w:val="2F5496" w:themeColor="accent1" w:themeShade="BF"/>
        </w:rPr>
        <w:t xml:space="preserve"> and Profile of Mood States (POMS) Total Mood Disturbance (TMD) </w:t>
      </w:r>
    </w:p>
    <w:p w14:paraId="0B497387" w14:textId="77777777" w:rsidR="003B3400" w:rsidRDefault="003B3400" w:rsidP="003B3400">
      <w:pPr>
        <w:rPr>
          <w:bCs/>
          <w:color w:val="2F5496" w:themeColor="accent1" w:themeShade="BF"/>
        </w:rPr>
      </w:pPr>
    </w:p>
    <w:p w14:paraId="1BE1C841" w14:textId="77777777" w:rsidR="003B3400" w:rsidRDefault="003B3400" w:rsidP="003B3400">
      <w:pPr>
        <w:rPr>
          <w:bCs/>
          <w:color w:val="2F5496" w:themeColor="accent1" w:themeShade="BF"/>
        </w:rPr>
      </w:pPr>
    </w:p>
    <w:p w14:paraId="3FCC20A8" w14:textId="0B3DAAD8" w:rsidR="003B3400" w:rsidRDefault="00F872CF" w:rsidP="003B3400">
      <w:pPr>
        <w:rPr>
          <w:bCs/>
          <w:color w:val="2F5496" w:themeColor="accent1" w:themeShade="BF"/>
        </w:rPr>
      </w:pPr>
      <w:r>
        <w:rPr>
          <w:noProof/>
        </w:rPr>
        <w:object w:dxaOrig="16769" w:dyaOrig="5287" w14:anchorId="7B119098">
          <v:shape id="_x0000_i1027" type="#_x0000_t75" alt="" style="width:451pt;height:142pt;mso-width-percent:0;mso-height-percent:0;mso-width-percent:0;mso-height-percent:0" o:ole="">
            <v:imagedata r:id="rId13" o:title=""/>
          </v:shape>
          <o:OLEObject Type="Embed" ProgID="Prism9.Document" ShapeID="_x0000_i1027" DrawAspect="Content" ObjectID="_1703868247" r:id="rId14"/>
        </w:object>
      </w:r>
    </w:p>
    <w:p w14:paraId="17D45588" w14:textId="57CFD405" w:rsidR="003B3400" w:rsidRDefault="003B3400" w:rsidP="003B3400">
      <w:pPr>
        <w:spacing w:line="360" w:lineRule="auto"/>
        <w:rPr>
          <w:bCs/>
          <w:color w:val="2F5496" w:themeColor="accent1" w:themeShade="BF"/>
          <w:sz w:val="18"/>
          <w:szCs w:val="18"/>
        </w:rPr>
      </w:pPr>
    </w:p>
    <w:p w14:paraId="47E203BE" w14:textId="77777777" w:rsidR="003B3400" w:rsidRDefault="003B3400" w:rsidP="003B3400">
      <w:pPr>
        <w:spacing w:line="360" w:lineRule="auto"/>
        <w:rPr>
          <w:bCs/>
          <w:color w:val="2F5496" w:themeColor="accent1" w:themeShade="BF"/>
          <w:sz w:val="18"/>
          <w:szCs w:val="18"/>
        </w:rPr>
      </w:pPr>
    </w:p>
    <w:p w14:paraId="44B678D9" w14:textId="59221D7C" w:rsidR="003B3400" w:rsidRPr="00334AE2" w:rsidRDefault="003B3400" w:rsidP="003B3400">
      <w:pPr>
        <w:pStyle w:val="NoSpacing"/>
        <w:rPr>
          <w:bCs/>
          <w:sz w:val="18"/>
          <w:szCs w:val="18"/>
        </w:rPr>
      </w:pPr>
      <w:r w:rsidRPr="005836F8">
        <w:rPr>
          <w:b/>
          <w:sz w:val="18"/>
          <w:szCs w:val="18"/>
        </w:rPr>
        <w:t xml:space="preserve">Figure </w:t>
      </w:r>
      <w:r>
        <w:rPr>
          <w:b/>
          <w:sz w:val="18"/>
          <w:szCs w:val="18"/>
        </w:rPr>
        <w:t>S3</w:t>
      </w:r>
      <w:r w:rsidRPr="005836F8">
        <w:rPr>
          <w:b/>
          <w:sz w:val="18"/>
          <w:szCs w:val="18"/>
        </w:rPr>
        <w:t>: A</w:t>
      </w:r>
      <w:r>
        <w:rPr>
          <w:bCs/>
          <w:sz w:val="18"/>
          <w:szCs w:val="18"/>
        </w:rPr>
        <w:t>.</w:t>
      </w:r>
      <w:r w:rsidRPr="005836F8">
        <w:rPr>
          <w:bCs/>
          <w:sz w:val="18"/>
          <w:szCs w:val="18"/>
        </w:rPr>
        <w:t xml:space="preserve"> State Trait Anxiety Inventory (STAI</w:t>
      </w:r>
      <w:r>
        <w:rPr>
          <w:bCs/>
          <w:sz w:val="18"/>
          <w:szCs w:val="18"/>
        </w:rPr>
        <w:t>-S</w:t>
      </w:r>
      <w:r w:rsidRPr="005836F8">
        <w:rPr>
          <w:bCs/>
          <w:sz w:val="18"/>
          <w:szCs w:val="18"/>
        </w:rPr>
        <w:t xml:space="preserve">) </w:t>
      </w:r>
      <w:r w:rsidR="00E75691">
        <w:rPr>
          <w:bCs/>
          <w:sz w:val="18"/>
          <w:szCs w:val="18"/>
        </w:rPr>
        <w:t>score</w:t>
      </w:r>
      <w:r w:rsidRPr="005836F8">
        <w:rPr>
          <w:bCs/>
          <w:sz w:val="18"/>
          <w:szCs w:val="18"/>
        </w:rPr>
        <w:t xml:space="preserve"> and </w:t>
      </w:r>
      <w:r w:rsidRPr="005836F8">
        <w:rPr>
          <w:b/>
          <w:sz w:val="18"/>
          <w:szCs w:val="18"/>
        </w:rPr>
        <w:t>B</w:t>
      </w:r>
      <w:r>
        <w:rPr>
          <w:b/>
          <w:sz w:val="18"/>
          <w:szCs w:val="18"/>
        </w:rPr>
        <w:t>.</w:t>
      </w:r>
      <w:r w:rsidRPr="005836F8">
        <w:rPr>
          <w:b/>
          <w:sz w:val="18"/>
          <w:szCs w:val="18"/>
        </w:rPr>
        <w:t xml:space="preserve"> </w:t>
      </w:r>
      <w:r w:rsidR="00E75691" w:rsidRPr="00E75691">
        <w:rPr>
          <w:bCs/>
          <w:sz w:val="18"/>
          <w:szCs w:val="18"/>
        </w:rPr>
        <w:t>Profile of Mood States (POMS)</w:t>
      </w:r>
      <w:r w:rsidR="00E75691">
        <w:rPr>
          <w:b/>
          <w:sz w:val="18"/>
          <w:szCs w:val="18"/>
        </w:rPr>
        <w:t xml:space="preserve"> </w:t>
      </w:r>
      <w:r w:rsidRPr="005836F8">
        <w:rPr>
          <w:bCs/>
          <w:sz w:val="18"/>
          <w:szCs w:val="18"/>
        </w:rPr>
        <w:t xml:space="preserve">Total Mood Disturbance </w:t>
      </w:r>
      <w:r w:rsidR="00E75691">
        <w:rPr>
          <w:bCs/>
          <w:sz w:val="18"/>
          <w:szCs w:val="18"/>
        </w:rPr>
        <w:t xml:space="preserve">(TMD) </w:t>
      </w:r>
      <w:r>
        <w:rPr>
          <w:bCs/>
          <w:sz w:val="18"/>
          <w:szCs w:val="18"/>
        </w:rPr>
        <w:t xml:space="preserve">as measured at </w:t>
      </w:r>
      <w:r w:rsidRPr="00C720D6">
        <w:rPr>
          <w:bCs/>
          <w:sz w:val="18"/>
          <w:szCs w:val="18"/>
        </w:rPr>
        <w:t>Baseline, Pre- and Post-RUN 1, Post-RUN 2, and 1-hour Post-RUN 2</w:t>
      </w:r>
      <w:r>
        <w:rPr>
          <w:bCs/>
          <w:sz w:val="18"/>
          <w:szCs w:val="18"/>
        </w:rPr>
        <w:t>.</w:t>
      </w:r>
      <w:r w:rsidR="00E75691">
        <w:rPr>
          <w:bCs/>
          <w:sz w:val="18"/>
          <w:szCs w:val="18"/>
        </w:rPr>
        <w:t xml:space="preserve"> The STAI-S score was calculated by taking participants ratings of</w:t>
      </w:r>
      <w:r w:rsidR="00E75691" w:rsidRPr="00E75691">
        <w:rPr>
          <w:bCs/>
          <w:sz w:val="18"/>
          <w:szCs w:val="18"/>
        </w:rPr>
        <w:t xml:space="preserve"> how ‘Calm’, ‘Tense’, ‘Upset’, ‘Relaxed’, ‘Content’ and ‘Worried’ they felt on a 4-point Likert scale, where 1 represented “not at all” and 4, “very much”. After reversing the scores on positive items, the total score was summed and multiplied by ‘(20 </w:t>
      </w:r>
      <m:oMath>
        <m:r>
          <w:rPr>
            <w:rFonts w:ascii="Cambria Math" w:hAnsi="Cambria Math"/>
            <w:sz w:val="18"/>
            <w:szCs w:val="18"/>
          </w:rPr>
          <m:t>÷</m:t>
        </m:r>
      </m:oMath>
      <w:r w:rsidR="00E75691" w:rsidRPr="00E75691">
        <w:rPr>
          <w:bCs/>
          <w:sz w:val="18"/>
          <w:szCs w:val="18"/>
        </w:rPr>
        <w:t xml:space="preserve"> 6)’ to generate a result comparable to that obtained on the 20-item STAI. Higher STAI-S scores represent a more negative emotional state.</w:t>
      </w:r>
      <w:r w:rsidR="00E75691" w:rsidRPr="00334AE2">
        <w:rPr>
          <w:bCs/>
          <w:sz w:val="18"/>
          <w:szCs w:val="18"/>
        </w:rPr>
        <w:t xml:space="preserve"> Total</w:t>
      </w:r>
      <w:r w:rsidRPr="00334AE2">
        <w:rPr>
          <w:bCs/>
          <w:sz w:val="18"/>
          <w:szCs w:val="18"/>
        </w:rPr>
        <w:t xml:space="preserve"> mood disturbance (TMD) was calculated by</w:t>
      </w:r>
    </w:p>
    <w:p w14:paraId="2746FB18" w14:textId="60CC5CAB" w:rsidR="003B3400" w:rsidRDefault="003B3400" w:rsidP="003B3400">
      <w:pPr>
        <w:pStyle w:val="NoSpacing"/>
        <w:rPr>
          <w:b/>
          <w:color w:val="2F5496" w:themeColor="accent1" w:themeShade="BF"/>
          <w:sz w:val="18"/>
          <w:szCs w:val="18"/>
        </w:rPr>
      </w:pPr>
      <w:r w:rsidRPr="00334AE2">
        <w:rPr>
          <w:bCs/>
          <w:sz w:val="18"/>
          <w:szCs w:val="18"/>
        </w:rPr>
        <w:t>subtracting the sum of positive emotional states</w:t>
      </w:r>
      <w:r w:rsidR="00E75691">
        <w:rPr>
          <w:bCs/>
          <w:sz w:val="18"/>
          <w:szCs w:val="18"/>
        </w:rPr>
        <w:t xml:space="preserve"> rated on the POMS subscales</w:t>
      </w:r>
      <w:r w:rsidRPr="00334AE2">
        <w:rPr>
          <w:bCs/>
          <w:sz w:val="18"/>
          <w:szCs w:val="18"/>
        </w:rPr>
        <w:t xml:space="preserve"> (vigour and esteem) from negative states</w:t>
      </w:r>
      <w:r>
        <w:rPr>
          <w:bCs/>
          <w:sz w:val="18"/>
          <w:szCs w:val="18"/>
        </w:rPr>
        <w:t xml:space="preserve"> </w:t>
      </w:r>
      <w:r w:rsidRPr="00334AE2">
        <w:rPr>
          <w:bCs/>
          <w:sz w:val="18"/>
          <w:szCs w:val="18"/>
        </w:rPr>
        <w:t>(tension, depression, fatigue, confusion and anger</w:t>
      </w:r>
      <w:r w:rsidR="00E75691">
        <w:rPr>
          <w:bCs/>
          <w:sz w:val="18"/>
          <w:szCs w:val="18"/>
        </w:rPr>
        <w:t xml:space="preserve">) </w:t>
      </w:r>
      <w:r w:rsidRPr="00334AE2">
        <w:rPr>
          <w:bCs/>
          <w:sz w:val="18"/>
          <w:szCs w:val="18"/>
        </w:rPr>
        <w:t>and adding 100</w:t>
      </w:r>
      <w:r>
        <w:rPr>
          <w:bCs/>
          <w:sz w:val="18"/>
          <w:szCs w:val="18"/>
        </w:rPr>
        <w:t xml:space="preserve">. </w:t>
      </w:r>
      <w:r w:rsidR="00666083">
        <w:rPr>
          <w:bCs/>
          <w:sz w:val="18"/>
          <w:szCs w:val="18"/>
        </w:rPr>
        <w:t>H</w:t>
      </w:r>
      <w:r w:rsidR="00666083" w:rsidRPr="00666083">
        <w:rPr>
          <w:bCs/>
          <w:sz w:val="18"/>
          <w:szCs w:val="18"/>
        </w:rPr>
        <w:t xml:space="preserve">igher </w:t>
      </w:r>
      <w:r w:rsidR="00573662">
        <w:rPr>
          <w:bCs/>
          <w:sz w:val="18"/>
          <w:szCs w:val="18"/>
        </w:rPr>
        <w:t xml:space="preserve">TMD </w:t>
      </w:r>
      <w:r w:rsidR="00666083" w:rsidRPr="00666083">
        <w:rPr>
          <w:bCs/>
          <w:sz w:val="18"/>
          <w:szCs w:val="18"/>
        </w:rPr>
        <w:t>scores represent a more negative emotional state (i.e., greater mood disturbance).</w:t>
      </w:r>
      <w:r w:rsidRPr="00C5245A">
        <w:rPr>
          <w:sz w:val="18"/>
          <w:szCs w:val="18"/>
          <w:lang w:eastAsia="en-US"/>
        </w:rPr>
        <w:t xml:space="preserve">Values are mean ± SEM for </w:t>
      </w:r>
      <w:r w:rsidRPr="00EE3795">
        <w:rPr>
          <w:sz w:val="18"/>
          <w:szCs w:val="18"/>
          <w:lang w:eastAsia="en-US"/>
        </w:rPr>
        <w:t>placebo (</w:t>
      </w:r>
      <w:r>
        <w:rPr>
          <w:sz w:val="18"/>
          <w:szCs w:val="18"/>
          <w:lang w:eastAsia="en-US"/>
        </w:rPr>
        <w:t xml:space="preserve">white squares) </w:t>
      </w:r>
      <w:r w:rsidRPr="00EE3795">
        <w:rPr>
          <w:sz w:val="18"/>
          <w:szCs w:val="18"/>
          <w:lang w:eastAsia="en-US"/>
        </w:rPr>
        <w:t>and CBD (</w:t>
      </w:r>
      <w:r>
        <w:rPr>
          <w:sz w:val="18"/>
          <w:szCs w:val="18"/>
          <w:lang w:eastAsia="en-US"/>
        </w:rPr>
        <w:t>green</w:t>
      </w:r>
      <w:r w:rsidRPr="00EE3795">
        <w:rPr>
          <w:sz w:val="18"/>
          <w:szCs w:val="18"/>
          <w:lang w:eastAsia="en-US"/>
        </w:rPr>
        <w:t xml:space="preserve"> circles)</w:t>
      </w:r>
      <w:r>
        <w:rPr>
          <w:sz w:val="18"/>
          <w:szCs w:val="18"/>
          <w:lang w:eastAsia="en-US"/>
        </w:rPr>
        <w:t xml:space="preserve"> (</w:t>
      </w:r>
      <w:r>
        <w:rPr>
          <w:i/>
          <w:iCs/>
          <w:sz w:val="18"/>
          <w:szCs w:val="18"/>
          <w:lang w:eastAsia="en-US"/>
        </w:rPr>
        <w:t xml:space="preserve">n </w:t>
      </w:r>
      <w:r>
        <w:rPr>
          <w:sz w:val="18"/>
          <w:szCs w:val="18"/>
          <w:lang w:eastAsia="en-US"/>
        </w:rPr>
        <w:t>= 9).</w:t>
      </w:r>
    </w:p>
    <w:p w14:paraId="691B8E86" w14:textId="77777777" w:rsidR="003B3400" w:rsidRPr="009D7A77" w:rsidRDefault="003B3400" w:rsidP="003B3400">
      <w:pPr>
        <w:rPr>
          <w:bCs/>
          <w:color w:val="2F5496" w:themeColor="accent1" w:themeShade="BF"/>
          <w:sz w:val="18"/>
          <w:szCs w:val="18"/>
        </w:rPr>
      </w:pPr>
      <w:r w:rsidRPr="009D7A77">
        <w:rPr>
          <w:bCs/>
          <w:color w:val="2F5496" w:themeColor="accent1" w:themeShade="BF"/>
          <w:sz w:val="18"/>
          <w:szCs w:val="18"/>
        </w:rPr>
        <w:br w:type="page"/>
      </w:r>
    </w:p>
    <w:p w14:paraId="76CA8603" w14:textId="6C08E60F" w:rsidR="00F942C8" w:rsidRDefault="00F942C8" w:rsidP="00F942C8">
      <w:pPr>
        <w:rPr>
          <w:bCs/>
          <w:color w:val="2F5496" w:themeColor="accent1" w:themeShade="BF"/>
        </w:rPr>
      </w:pPr>
      <w:r w:rsidRPr="00113267">
        <w:rPr>
          <w:b/>
          <w:color w:val="2F5496" w:themeColor="accent1" w:themeShade="BF"/>
        </w:rPr>
        <w:lastRenderedPageBreak/>
        <w:t xml:space="preserve">SUPPLEMENTARY </w:t>
      </w:r>
      <w:r>
        <w:rPr>
          <w:b/>
          <w:color w:val="2F5496" w:themeColor="accent1" w:themeShade="BF"/>
        </w:rPr>
        <w:t>MATERIAL</w:t>
      </w:r>
      <w:r w:rsidRPr="00113267">
        <w:rPr>
          <w:b/>
          <w:color w:val="2F5496" w:themeColor="accent1" w:themeShade="BF"/>
        </w:rPr>
        <w:t xml:space="preserve"> </w:t>
      </w:r>
      <w:r>
        <w:rPr>
          <w:b/>
          <w:color w:val="2F5496" w:themeColor="accent1" w:themeShade="BF"/>
        </w:rPr>
        <w:t>#7b</w:t>
      </w:r>
      <w:r w:rsidRPr="00113267">
        <w:rPr>
          <w:b/>
          <w:color w:val="2F5496" w:themeColor="accent1" w:themeShade="BF"/>
        </w:rPr>
        <w:t>:</w:t>
      </w:r>
      <w:r w:rsidRPr="00113267">
        <w:rPr>
          <w:bCs/>
          <w:color w:val="2F5496" w:themeColor="accent1" w:themeShade="BF"/>
        </w:rPr>
        <w:t xml:space="preserve"> Profile of Mood States (POMS) </w:t>
      </w:r>
      <w:r>
        <w:rPr>
          <w:bCs/>
          <w:color w:val="2F5496" w:themeColor="accent1" w:themeShade="BF"/>
        </w:rPr>
        <w:t>ratings</w:t>
      </w:r>
      <w:r w:rsidRPr="00113267">
        <w:rPr>
          <w:bCs/>
          <w:color w:val="2F5496" w:themeColor="accent1" w:themeShade="BF"/>
        </w:rPr>
        <w:t xml:space="preserve"> </w:t>
      </w:r>
    </w:p>
    <w:p w14:paraId="61379D78" w14:textId="77777777" w:rsidR="003B3400" w:rsidRDefault="003B3400" w:rsidP="003B3400">
      <w:pPr>
        <w:spacing w:line="360" w:lineRule="auto"/>
        <w:rPr>
          <w:b/>
          <w:color w:val="2F5496" w:themeColor="accent1" w:themeShade="BF"/>
          <w:sz w:val="18"/>
          <w:szCs w:val="18"/>
        </w:rPr>
      </w:pPr>
    </w:p>
    <w:p w14:paraId="2D44465A" w14:textId="63C38DAC" w:rsidR="007527AA" w:rsidRDefault="00F872CF" w:rsidP="003B3400">
      <w:r>
        <w:rPr>
          <w:noProof/>
        </w:rPr>
        <w:object w:dxaOrig="10752" w:dyaOrig="15432" w14:anchorId="6651CF43">
          <v:shape id="_x0000_i1026" type="#_x0000_t75" alt="" style="width:424pt;height:600pt;mso-width-percent:0;mso-height-percent:0;mso-width-percent:0;mso-height-percent:0" o:ole="">
            <v:imagedata r:id="rId15" o:title="" cropbottom="886f"/>
          </v:shape>
          <o:OLEObject Type="Embed" ProgID="Prism9.Document" ShapeID="_x0000_i1026" DrawAspect="Content" ObjectID="_1703868248" r:id="rId16"/>
        </w:object>
      </w:r>
    </w:p>
    <w:p w14:paraId="111487E5" w14:textId="77777777" w:rsidR="003B3400" w:rsidRPr="004B2A79" w:rsidRDefault="003B3400" w:rsidP="003B3400"/>
    <w:p w14:paraId="5BAE0DB8" w14:textId="4E9F87F2" w:rsidR="003B3400" w:rsidRPr="00EE3795" w:rsidRDefault="003B3400" w:rsidP="003B3400">
      <w:pPr>
        <w:pStyle w:val="NoSpacing"/>
        <w:rPr>
          <w:sz w:val="18"/>
          <w:szCs w:val="18"/>
          <w:lang w:eastAsia="en-US"/>
        </w:rPr>
      </w:pPr>
      <w:r w:rsidRPr="001345B4">
        <w:rPr>
          <w:b/>
          <w:bCs/>
          <w:noProof/>
          <w:sz w:val="18"/>
          <w:szCs w:val="18"/>
        </w:rPr>
        <w:t xml:space="preserve">Figure </w:t>
      </w:r>
      <w:r>
        <w:rPr>
          <w:b/>
          <w:bCs/>
          <w:noProof/>
          <w:sz w:val="18"/>
          <w:szCs w:val="18"/>
        </w:rPr>
        <w:t>S4</w:t>
      </w:r>
      <w:r w:rsidRPr="001345B4">
        <w:rPr>
          <w:b/>
          <w:bCs/>
          <w:noProof/>
          <w:sz w:val="18"/>
          <w:szCs w:val="18"/>
        </w:rPr>
        <w:t>.</w:t>
      </w:r>
      <w:r w:rsidRPr="001345B4">
        <w:rPr>
          <w:noProof/>
          <w:sz w:val="18"/>
          <w:szCs w:val="18"/>
        </w:rPr>
        <w:t xml:space="preserve"> Profile of Mood States (POMS) subs</w:t>
      </w:r>
      <w:r>
        <w:rPr>
          <w:noProof/>
          <w:sz w:val="18"/>
          <w:szCs w:val="18"/>
        </w:rPr>
        <w:t>cale ratings</w:t>
      </w:r>
      <w:r w:rsidRPr="001345B4">
        <w:rPr>
          <w:noProof/>
          <w:sz w:val="18"/>
          <w:szCs w:val="18"/>
        </w:rPr>
        <w:t xml:space="preserve"> as measured</w:t>
      </w:r>
      <w:r w:rsidRPr="001345B4">
        <w:rPr>
          <w:noProof/>
          <w:sz w:val="11"/>
          <w:szCs w:val="11"/>
        </w:rPr>
        <w:t xml:space="preserve"> </w:t>
      </w:r>
      <w:r w:rsidRPr="001345B4">
        <w:rPr>
          <w:noProof/>
          <w:sz w:val="18"/>
          <w:szCs w:val="18"/>
        </w:rPr>
        <w:t xml:space="preserve">at </w:t>
      </w:r>
      <w:r w:rsidRPr="00C720D6">
        <w:rPr>
          <w:bCs/>
          <w:sz w:val="18"/>
          <w:szCs w:val="18"/>
        </w:rPr>
        <w:t>Baseline, Pre- and Post-RUN 1, Post-RUN 2, and 1-hour Post-RUN 2</w:t>
      </w:r>
      <w:r>
        <w:rPr>
          <w:bCs/>
          <w:sz w:val="18"/>
          <w:szCs w:val="18"/>
        </w:rPr>
        <w:t xml:space="preserve">. </w:t>
      </w:r>
      <w:r w:rsidR="00547953">
        <w:rPr>
          <w:bCs/>
          <w:sz w:val="18"/>
          <w:szCs w:val="18"/>
        </w:rPr>
        <w:t xml:space="preserve">The </w:t>
      </w:r>
      <w:r w:rsidR="00573662">
        <w:rPr>
          <w:bCs/>
          <w:sz w:val="18"/>
          <w:szCs w:val="18"/>
        </w:rPr>
        <w:t>POMS</w:t>
      </w:r>
      <w:r w:rsidR="00547953">
        <w:rPr>
          <w:bCs/>
          <w:sz w:val="18"/>
          <w:szCs w:val="18"/>
        </w:rPr>
        <w:t xml:space="preserve"> consisted of 40-items which were rated on a 5-point Likert scale w</w:t>
      </w:r>
      <w:r w:rsidR="00573662">
        <w:rPr>
          <w:bCs/>
          <w:sz w:val="18"/>
          <w:szCs w:val="18"/>
        </w:rPr>
        <w:t xml:space="preserve">here 0 represented ‘not at all’ and 5 represented ‘extremely’ and grouped into the following subscales: </w:t>
      </w:r>
      <w:r w:rsidRPr="001345B4">
        <w:rPr>
          <w:b/>
          <w:sz w:val="18"/>
          <w:szCs w:val="18"/>
        </w:rPr>
        <w:t>A</w:t>
      </w:r>
      <w:r>
        <w:rPr>
          <w:b/>
          <w:sz w:val="18"/>
          <w:szCs w:val="18"/>
        </w:rPr>
        <w:t xml:space="preserve">. </w:t>
      </w:r>
      <w:r w:rsidRPr="001345B4">
        <w:rPr>
          <w:bCs/>
          <w:sz w:val="18"/>
          <w:szCs w:val="18"/>
        </w:rPr>
        <w:t xml:space="preserve">Tension </w:t>
      </w:r>
      <w:r>
        <w:rPr>
          <w:bCs/>
          <w:sz w:val="18"/>
          <w:szCs w:val="18"/>
        </w:rPr>
        <w:t xml:space="preserve">ratings; </w:t>
      </w:r>
      <w:r w:rsidRPr="001345B4">
        <w:rPr>
          <w:b/>
          <w:sz w:val="18"/>
          <w:szCs w:val="18"/>
        </w:rPr>
        <w:t>B</w:t>
      </w:r>
      <w:r>
        <w:rPr>
          <w:b/>
          <w:sz w:val="18"/>
          <w:szCs w:val="18"/>
        </w:rPr>
        <w:t>.</w:t>
      </w:r>
      <w:r w:rsidRPr="001345B4">
        <w:rPr>
          <w:bCs/>
          <w:sz w:val="18"/>
          <w:szCs w:val="18"/>
        </w:rPr>
        <w:t xml:space="preserve"> Depression ratings</w:t>
      </w:r>
      <w:r>
        <w:rPr>
          <w:bCs/>
          <w:sz w:val="18"/>
          <w:szCs w:val="18"/>
        </w:rPr>
        <w:t xml:space="preserve">; </w:t>
      </w:r>
      <w:r w:rsidRPr="001345B4">
        <w:rPr>
          <w:b/>
          <w:sz w:val="18"/>
          <w:szCs w:val="18"/>
        </w:rPr>
        <w:t>C</w:t>
      </w:r>
      <w:r>
        <w:rPr>
          <w:b/>
          <w:sz w:val="18"/>
          <w:szCs w:val="18"/>
        </w:rPr>
        <w:t xml:space="preserve">. </w:t>
      </w:r>
      <w:r>
        <w:rPr>
          <w:bCs/>
          <w:sz w:val="18"/>
          <w:szCs w:val="18"/>
        </w:rPr>
        <w:t xml:space="preserve">Anger ratings; </w:t>
      </w:r>
      <w:r w:rsidRPr="001345B4">
        <w:rPr>
          <w:b/>
          <w:sz w:val="18"/>
          <w:szCs w:val="18"/>
        </w:rPr>
        <w:t>D</w:t>
      </w:r>
      <w:r>
        <w:rPr>
          <w:b/>
          <w:sz w:val="18"/>
          <w:szCs w:val="18"/>
        </w:rPr>
        <w:t xml:space="preserve">. </w:t>
      </w:r>
      <w:r>
        <w:rPr>
          <w:bCs/>
          <w:sz w:val="18"/>
          <w:szCs w:val="18"/>
        </w:rPr>
        <w:t xml:space="preserve">Vigour ratings; </w:t>
      </w:r>
      <w:r w:rsidRPr="001345B4">
        <w:rPr>
          <w:b/>
          <w:sz w:val="18"/>
          <w:szCs w:val="18"/>
        </w:rPr>
        <w:t>E</w:t>
      </w:r>
      <w:r>
        <w:rPr>
          <w:b/>
          <w:sz w:val="18"/>
          <w:szCs w:val="18"/>
        </w:rPr>
        <w:t xml:space="preserve">. </w:t>
      </w:r>
      <w:r>
        <w:rPr>
          <w:bCs/>
          <w:sz w:val="18"/>
          <w:szCs w:val="18"/>
        </w:rPr>
        <w:t xml:space="preserve">Fatigue ratings; </w:t>
      </w:r>
      <w:r w:rsidRPr="001345B4">
        <w:rPr>
          <w:b/>
          <w:sz w:val="18"/>
          <w:szCs w:val="18"/>
        </w:rPr>
        <w:t>F.</w:t>
      </w:r>
      <w:r>
        <w:rPr>
          <w:b/>
          <w:sz w:val="18"/>
          <w:szCs w:val="18"/>
        </w:rPr>
        <w:t xml:space="preserve"> </w:t>
      </w:r>
      <w:r>
        <w:rPr>
          <w:bCs/>
          <w:sz w:val="18"/>
          <w:szCs w:val="18"/>
        </w:rPr>
        <w:t xml:space="preserve">Confusion ratings; </w:t>
      </w:r>
      <w:r>
        <w:rPr>
          <w:b/>
          <w:sz w:val="18"/>
          <w:szCs w:val="18"/>
        </w:rPr>
        <w:t xml:space="preserve">G. </w:t>
      </w:r>
      <w:r>
        <w:rPr>
          <w:bCs/>
          <w:sz w:val="18"/>
          <w:szCs w:val="18"/>
        </w:rPr>
        <w:t>Esteem ratings.</w:t>
      </w:r>
      <w:r w:rsidRPr="00C5245A">
        <w:rPr>
          <w:bCs/>
          <w:sz w:val="18"/>
          <w:szCs w:val="18"/>
        </w:rPr>
        <w:t xml:space="preserve"> </w:t>
      </w:r>
      <w:r w:rsidRPr="00C5245A">
        <w:rPr>
          <w:sz w:val="18"/>
          <w:szCs w:val="18"/>
          <w:lang w:eastAsia="en-US"/>
        </w:rPr>
        <w:t xml:space="preserve">Values are mean ± SEM for </w:t>
      </w:r>
      <w:r w:rsidRPr="00EE3795">
        <w:rPr>
          <w:sz w:val="18"/>
          <w:szCs w:val="18"/>
          <w:lang w:eastAsia="en-US"/>
        </w:rPr>
        <w:t>placebo (</w:t>
      </w:r>
      <w:r>
        <w:rPr>
          <w:sz w:val="18"/>
          <w:szCs w:val="18"/>
          <w:lang w:eastAsia="en-US"/>
        </w:rPr>
        <w:t xml:space="preserve">white squares) </w:t>
      </w:r>
      <w:r w:rsidRPr="00EE3795">
        <w:rPr>
          <w:sz w:val="18"/>
          <w:szCs w:val="18"/>
          <w:lang w:eastAsia="en-US"/>
        </w:rPr>
        <w:t>and CBD (</w:t>
      </w:r>
      <w:r>
        <w:rPr>
          <w:sz w:val="18"/>
          <w:szCs w:val="18"/>
          <w:lang w:eastAsia="en-US"/>
        </w:rPr>
        <w:t>green</w:t>
      </w:r>
      <w:r w:rsidRPr="00EE3795">
        <w:rPr>
          <w:sz w:val="18"/>
          <w:szCs w:val="18"/>
          <w:lang w:eastAsia="en-US"/>
        </w:rPr>
        <w:t xml:space="preserve"> circles)</w:t>
      </w:r>
      <w:r>
        <w:rPr>
          <w:sz w:val="18"/>
          <w:szCs w:val="18"/>
          <w:lang w:eastAsia="en-US"/>
        </w:rPr>
        <w:t xml:space="preserve"> (</w:t>
      </w:r>
      <w:r>
        <w:rPr>
          <w:i/>
          <w:iCs/>
          <w:sz w:val="18"/>
          <w:szCs w:val="18"/>
          <w:lang w:eastAsia="en-US"/>
        </w:rPr>
        <w:t xml:space="preserve">n </w:t>
      </w:r>
      <w:r>
        <w:rPr>
          <w:sz w:val="18"/>
          <w:szCs w:val="18"/>
          <w:lang w:eastAsia="en-US"/>
        </w:rPr>
        <w:t>= 9).</w:t>
      </w:r>
    </w:p>
    <w:p w14:paraId="21BE9060" w14:textId="71133427" w:rsidR="003B3400" w:rsidRPr="00E528B2" w:rsidRDefault="003B3400" w:rsidP="00E528B2">
      <w:r>
        <w:br w:type="page"/>
      </w:r>
      <w:r w:rsidRPr="00324923">
        <w:rPr>
          <w:b/>
          <w:color w:val="2F5496" w:themeColor="accent1" w:themeShade="BF"/>
        </w:rPr>
        <w:lastRenderedPageBreak/>
        <w:t>SUPPLEMENTA</w:t>
      </w:r>
      <w:r>
        <w:rPr>
          <w:b/>
          <w:color w:val="2F5496" w:themeColor="accent1" w:themeShade="BF"/>
        </w:rPr>
        <w:t>RY</w:t>
      </w:r>
      <w:r w:rsidRPr="00324923">
        <w:rPr>
          <w:b/>
          <w:color w:val="2F5496" w:themeColor="accent1" w:themeShade="BF"/>
        </w:rPr>
        <w:t xml:space="preserve"> </w:t>
      </w:r>
      <w:r>
        <w:rPr>
          <w:b/>
          <w:color w:val="2F5496" w:themeColor="accent1" w:themeShade="BF"/>
        </w:rPr>
        <w:t>MATERIAL</w:t>
      </w:r>
      <w:r w:rsidRPr="00324923">
        <w:rPr>
          <w:b/>
          <w:color w:val="2F5496" w:themeColor="accent1" w:themeShade="BF"/>
        </w:rPr>
        <w:t xml:space="preserve"> #</w:t>
      </w:r>
      <w:r>
        <w:rPr>
          <w:b/>
          <w:color w:val="2F5496" w:themeColor="accent1" w:themeShade="BF"/>
        </w:rPr>
        <w:t>8</w:t>
      </w:r>
      <w:r w:rsidRPr="00324923">
        <w:rPr>
          <w:b/>
          <w:color w:val="2F5496" w:themeColor="accent1" w:themeShade="BF"/>
        </w:rPr>
        <w:t>:</w:t>
      </w:r>
      <w:r w:rsidRPr="00324923">
        <w:rPr>
          <w:bCs/>
          <w:color w:val="2F5496" w:themeColor="accent1" w:themeShade="BF"/>
        </w:rPr>
        <w:t xml:space="preserve"> Seated Systolic and Diastolic Blood Pressure</w:t>
      </w:r>
    </w:p>
    <w:p w14:paraId="26B57E8E" w14:textId="77777777" w:rsidR="003B3400" w:rsidRDefault="003B3400" w:rsidP="003B3400">
      <w:pPr>
        <w:spacing w:line="360" w:lineRule="auto"/>
        <w:rPr>
          <w:b/>
          <w:color w:val="2F5496" w:themeColor="accent1" w:themeShade="BF"/>
          <w:sz w:val="18"/>
          <w:szCs w:val="18"/>
        </w:rPr>
      </w:pPr>
    </w:p>
    <w:p w14:paraId="1BC4D299" w14:textId="77777777" w:rsidR="003B3400" w:rsidRDefault="003B3400" w:rsidP="003B3400">
      <w:pPr>
        <w:spacing w:line="360" w:lineRule="auto"/>
        <w:rPr>
          <w:b/>
          <w:color w:val="2F5496" w:themeColor="accent1" w:themeShade="BF"/>
          <w:sz w:val="18"/>
          <w:szCs w:val="18"/>
        </w:rPr>
      </w:pPr>
    </w:p>
    <w:p w14:paraId="15D07D82" w14:textId="77777777" w:rsidR="0010243E" w:rsidRDefault="0010243E" w:rsidP="003B3400">
      <w:pPr>
        <w:pStyle w:val="NoSpacing"/>
      </w:pPr>
    </w:p>
    <w:p w14:paraId="68CFF638" w14:textId="119B81D5" w:rsidR="003B3400" w:rsidRDefault="00F872CF" w:rsidP="003B3400">
      <w:pPr>
        <w:pStyle w:val="NoSpacing"/>
      </w:pPr>
      <w:r>
        <w:rPr>
          <w:noProof/>
        </w:rPr>
        <w:object w:dxaOrig="15945" w:dyaOrig="6043" w14:anchorId="247D2ADD">
          <v:shape id="_x0000_i1025" type="#_x0000_t75" alt="" style="width:451pt;height:171pt;mso-width-percent:0;mso-height-percent:0;mso-width-percent:0;mso-height-percent:0" o:ole="">
            <v:imagedata r:id="rId17" o:title=""/>
          </v:shape>
          <o:OLEObject Type="Embed" ProgID="Prism9.Document" ShapeID="_x0000_i1025" DrawAspect="Content" ObjectID="_1703868249" r:id="rId18"/>
        </w:object>
      </w:r>
    </w:p>
    <w:p w14:paraId="485F786B" w14:textId="77777777" w:rsidR="0010243E" w:rsidRPr="00EE3795" w:rsidRDefault="0010243E" w:rsidP="003B3400">
      <w:pPr>
        <w:pStyle w:val="NoSpacing"/>
        <w:rPr>
          <w:b/>
          <w:bCs/>
          <w:sz w:val="16"/>
          <w:szCs w:val="16"/>
          <w:lang w:eastAsia="en-US"/>
        </w:rPr>
      </w:pPr>
    </w:p>
    <w:p w14:paraId="0B68946C" w14:textId="77777777" w:rsidR="0010243E" w:rsidRDefault="0010243E" w:rsidP="003B3400">
      <w:pPr>
        <w:pStyle w:val="NoSpacing"/>
        <w:rPr>
          <w:b/>
          <w:bCs/>
          <w:sz w:val="18"/>
          <w:szCs w:val="18"/>
          <w:lang w:eastAsia="en-US"/>
        </w:rPr>
      </w:pPr>
    </w:p>
    <w:p w14:paraId="0D25BCDB" w14:textId="7A6B8F62" w:rsidR="003B3400" w:rsidRPr="00EE3795" w:rsidRDefault="003B3400" w:rsidP="003B3400">
      <w:pPr>
        <w:pStyle w:val="NoSpacing"/>
        <w:rPr>
          <w:sz w:val="18"/>
          <w:szCs w:val="18"/>
          <w:lang w:eastAsia="en-US"/>
        </w:rPr>
      </w:pPr>
      <w:r w:rsidRPr="00EE3795">
        <w:rPr>
          <w:b/>
          <w:bCs/>
          <w:sz w:val="18"/>
          <w:szCs w:val="18"/>
          <w:lang w:eastAsia="en-US"/>
        </w:rPr>
        <w:t xml:space="preserve">Figure </w:t>
      </w:r>
      <w:r>
        <w:rPr>
          <w:b/>
          <w:bCs/>
          <w:sz w:val="18"/>
          <w:szCs w:val="18"/>
          <w:lang w:eastAsia="en-US"/>
        </w:rPr>
        <w:t>S5</w:t>
      </w:r>
      <w:r w:rsidRPr="00EE3795">
        <w:rPr>
          <w:b/>
          <w:bCs/>
          <w:sz w:val="18"/>
          <w:szCs w:val="18"/>
          <w:lang w:eastAsia="en-US"/>
        </w:rPr>
        <w:t>.</w:t>
      </w:r>
      <w:r w:rsidRPr="00EE3795">
        <w:rPr>
          <w:sz w:val="18"/>
          <w:szCs w:val="18"/>
          <w:lang w:eastAsia="en-US"/>
        </w:rPr>
        <w:t xml:space="preserve"> </w:t>
      </w:r>
      <w:r w:rsidRPr="00160BEF">
        <w:rPr>
          <w:b/>
          <w:bCs/>
          <w:sz w:val="18"/>
          <w:szCs w:val="18"/>
          <w:lang w:eastAsia="en-US"/>
        </w:rPr>
        <w:t>A</w:t>
      </w:r>
      <w:r>
        <w:rPr>
          <w:b/>
          <w:bCs/>
          <w:sz w:val="18"/>
          <w:szCs w:val="18"/>
          <w:lang w:eastAsia="en-US"/>
        </w:rPr>
        <w:t xml:space="preserve">. </w:t>
      </w:r>
      <w:r w:rsidRPr="00EE3795">
        <w:rPr>
          <w:sz w:val="18"/>
          <w:szCs w:val="18"/>
          <w:lang w:eastAsia="en-US"/>
        </w:rPr>
        <w:t xml:space="preserve">Systolic and </w:t>
      </w:r>
      <w:r w:rsidRPr="00160BEF">
        <w:rPr>
          <w:b/>
          <w:bCs/>
          <w:sz w:val="18"/>
          <w:szCs w:val="18"/>
          <w:lang w:eastAsia="en-US"/>
        </w:rPr>
        <w:t>B</w:t>
      </w:r>
      <w:r>
        <w:rPr>
          <w:b/>
          <w:bCs/>
          <w:sz w:val="18"/>
          <w:szCs w:val="18"/>
          <w:lang w:eastAsia="en-US"/>
        </w:rPr>
        <w:t>.</w:t>
      </w:r>
      <w:r w:rsidRPr="00160BEF">
        <w:rPr>
          <w:b/>
          <w:bCs/>
          <w:sz w:val="18"/>
          <w:szCs w:val="18"/>
          <w:lang w:eastAsia="en-US"/>
        </w:rPr>
        <w:t xml:space="preserve"> </w:t>
      </w:r>
      <w:r w:rsidRPr="00EE3795">
        <w:rPr>
          <w:sz w:val="18"/>
          <w:szCs w:val="18"/>
          <w:lang w:eastAsia="en-US"/>
        </w:rPr>
        <w:t xml:space="preserve">diastolic blood pressure (BP) measured at </w:t>
      </w:r>
      <w:r>
        <w:rPr>
          <w:sz w:val="18"/>
          <w:szCs w:val="18"/>
          <w:lang w:val="en-GB" w:eastAsia="en-US"/>
        </w:rPr>
        <w:t xml:space="preserve">Baseline, Pre- RUN 1, Post-RUN 1 and Post-RUN 2. </w:t>
      </w:r>
      <w:r w:rsidRPr="00EE3795">
        <w:rPr>
          <w:sz w:val="18"/>
          <w:szCs w:val="18"/>
          <w:lang w:eastAsia="en-US"/>
        </w:rPr>
        <w:t>Values are mean ± SEM for placebo (</w:t>
      </w:r>
      <w:r>
        <w:rPr>
          <w:sz w:val="18"/>
          <w:szCs w:val="18"/>
          <w:lang w:eastAsia="en-US"/>
        </w:rPr>
        <w:t xml:space="preserve">white squares) </w:t>
      </w:r>
      <w:r w:rsidRPr="00EE3795">
        <w:rPr>
          <w:sz w:val="18"/>
          <w:szCs w:val="18"/>
          <w:lang w:eastAsia="en-US"/>
        </w:rPr>
        <w:t>and CBD (</w:t>
      </w:r>
      <w:r>
        <w:rPr>
          <w:sz w:val="18"/>
          <w:szCs w:val="18"/>
          <w:lang w:eastAsia="en-US"/>
        </w:rPr>
        <w:t>green</w:t>
      </w:r>
      <w:r w:rsidRPr="00EE3795">
        <w:rPr>
          <w:sz w:val="18"/>
          <w:szCs w:val="18"/>
          <w:lang w:eastAsia="en-US"/>
        </w:rPr>
        <w:t xml:space="preserve"> circles)</w:t>
      </w:r>
      <w:r w:rsidRPr="00B52088">
        <w:rPr>
          <w:sz w:val="18"/>
          <w:szCs w:val="18"/>
          <w:lang w:eastAsia="en-US"/>
        </w:rPr>
        <w:t xml:space="preserve"> </w:t>
      </w:r>
      <w:r>
        <w:rPr>
          <w:sz w:val="18"/>
          <w:szCs w:val="18"/>
          <w:lang w:eastAsia="en-US"/>
        </w:rPr>
        <w:t>(</w:t>
      </w:r>
      <w:r>
        <w:rPr>
          <w:i/>
          <w:iCs/>
          <w:sz w:val="18"/>
          <w:szCs w:val="18"/>
          <w:lang w:eastAsia="en-US"/>
        </w:rPr>
        <w:t xml:space="preserve">n </w:t>
      </w:r>
      <w:r>
        <w:rPr>
          <w:sz w:val="18"/>
          <w:szCs w:val="18"/>
          <w:lang w:eastAsia="en-US"/>
        </w:rPr>
        <w:t>= 9).</w:t>
      </w:r>
    </w:p>
    <w:p w14:paraId="732F4626" w14:textId="77777777" w:rsidR="00415D16" w:rsidRDefault="00415D16" w:rsidP="00E334B7">
      <w:pPr>
        <w:rPr>
          <w:b/>
          <w:color w:val="2F5496" w:themeColor="accent1" w:themeShade="BF"/>
          <w:sz w:val="18"/>
          <w:szCs w:val="18"/>
        </w:rPr>
      </w:pPr>
    </w:p>
    <w:sectPr w:rsidR="00415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79CA" w14:textId="77777777" w:rsidR="00F872CF" w:rsidRDefault="00F872CF" w:rsidP="003173B3">
      <w:r>
        <w:separator/>
      </w:r>
    </w:p>
  </w:endnote>
  <w:endnote w:type="continuationSeparator" w:id="0">
    <w:p w14:paraId="2F486654" w14:textId="77777777" w:rsidR="00F872CF" w:rsidRDefault="00F872CF" w:rsidP="0031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4A66" w14:textId="77777777" w:rsidR="00F872CF" w:rsidRDefault="00F872CF" w:rsidP="003173B3">
      <w:r>
        <w:separator/>
      </w:r>
    </w:p>
  </w:footnote>
  <w:footnote w:type="continuationSeparator" w:id="0">
    <w:p w14:paraId="6B536F8C" w14:textId="77777777" w:rsidR="00F872CF" w:rsidRDefault="00F872CF" w:rsidP="00317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213F2"/>
    <w:multiLevelType w:val="hybridMultilevel"/>
    <w:tmpl w:val="7BC474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3D0BD1"/>
    <w:multiLevelType w:val="hybridMultilevel"/>
    <w:tmpl w:val="E7347C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16"/>
    <w:rsid w:val="00002EA6"/>
    <w:rsid w:val="00046540"/>
    <w:rsid w:val="0005568A"/>
    <w:rsid w:val="00101664"/>
    <w:rsid w:val="0010243E"/>
    <w:rsid w:val="00105B06"/>
    <w:rsid w:val="001345B4"/>
    <w:rsid w:val="00137FA2"/>
    <w:rsid w:val="001878D6"/>
    <w:rsid w:val="00194736"/>
    <w:rsid w:val="001C2389"/>
    <w:rsid w:val="001D4128"/>
    <w:rsid w:val="001E3584"/>
    <w:rsid w:val="001F12FF"/>
    <w:rsid w:val="002007FE"/>
    <w:rsid w:val="0020502C"/>
    <w:rsid w:val="00232D80"/>
    <w:rsid w:val="00256D09"/>
    <w:rsid w:val="0028745B"/>
    <w:rsid w:val="002A2FE5"/>
    <w:rsid w:val="002A7887"/>
    <w:rsid w:val="002D3A5A"/>
    <w:rsid w:val="003173B3"/>
    <w:rsid w:val="003250C4"/>
    <w:rsid w:val="00334AE2"/>
    <w:rsid w:val="00354837"/>
    <w:rsid w:val="0037034F"/>
    <w:rsid w:val="00382A21"/>
    <w:rsid w:val="003B3400"/>
    <w:rsid w:val="003D3769"/>
    <w:rsid w:val="003E7518"/>
    <w:rsid w:val="00415D16"/>
    <w:rsid w:val="00452C7A"/>
    <w:rsid w:val="00455FCF"/>
    <w:rsid w:val="00463C3B"/>
    <w:rsid w:val="004723E1"/>
    <w:rsid w:val="004767F2"/>
    <w:rsid w:val="0047726E"/>
    <w:rsid w:val="004966A0"/>
    <w:rsid w:val="004B2A79"/>
    <w:rsid w:val="004B43F6"/>
    <w:rsid w:val="004F0E41"/>
    <w:rsid w:val="00547953"/>
    <w:rsid w:val="00573662"/>
    <w:rsid w:val="00575D10"/>
    <w:rsid w:val="005836F8"/>
    <w:rsid w:val="005922C9"/>
    <w:rsid w:val="0059571E"/>
    <w:rsid w:val="005C0EC6"/>
    <w:rsid w:val="005E1F3D"/>
    <w:rsid w:val="0064547B"/>
    <w:rsid w:val="00656536"/>
    <w:rsid w:val="0066042D"/>
    <w:rsid w:val="00666083"/>
    <w:rsid w:val="00673302"/>
    <w:rsid w:val="006921F7"/>
    <w:rsid w:val="006B5979"/>
    <w:rsid w:val="006D083D"/>
    <w:rsid w:val="006E4969"/>
    <w:rsid w:val="006E6924"/>
    <w:rsid w:val="006E7BC0"/>
    <w:rsid w:val="00714C23"/>
    <w:rsid w:val="0073429B"/>
    <w:rsid w:val="00750A95"/>
    <w:rsid w:val="00750CCB"/>
    <w:rsid w:val="007527AA"/>
    <w:rsid w:val="0075328B"/>
    <w:rsid w:val="0077519C"/>
    <w:rsid w:val="00775FA0"/>
    <w:rsid w:val="00776E7F"/>
    <w:rsid w:val="007863AA"/>
    <w:rsid w:val="00792E8F"/>
    <w:rsid w:val="007F15E5"/>
    <w:rsid w:val="00814666"/>
    <w:rsid w:val="00825146"/>
    <w:rsid w:val="00831E7D"/>
    <w:rsid w:val="00845028"/>
    <w:rsid w:val="008716B4"/>
    <w:rsid w:val="008762E3"/>
    <w:rsid w:val="00880065"/>
    <w:rsid w:val="00885DF0"/>
    <w:rsid w:val="008D23CB"/>
    <w:rsid w:val="00913BF1"/>
    <w:rsid w:val="0092176C"/>
    <w:rsid w:val="00946A67"/>
    <w:rsid w:val="00957B43"/>
    <w:rsid w:val="009606C4"/>
    <w:rsid w:val="00995845"/>
    <w:rsid w:val="009C35C9"/>
    <w:rsid w:val="009D6A77"/>
    <w:rsid w:val="009D7A77"/>
    <w:rsid w:val="009E16EF"/>
    <w:rsid w:val="009E2694"/>
    <w:rsid w:val="009F6E7C"/>
    <w:rsid w:val="00A06FCE"/>
    <w:rsid w:val="00A5372C"/>
    <w:rsid w:val="00A75E4E"/>
    <w:rsid w:val="00AF41D0"/>
    <w:rsid w:val="00B06617"/>
    <w:rsid w:val="00B16A14"/>
    <w:rsid w:val="00B47BD8"/>
    <w:rsid w:val="00B52088"/>
    <w:rsid w:val="00B545A1"/>
    <w:rsid w:val="00B85165"/>
    <w:rsid w:val="00B85D04"/>
    <w:rsid w:val="00BA5460"/>
    <w:rsid w:val="00BB7C27"/>
    <w:rsid w:val="00BD4366"/>
    <w:rsid w:val="00C03359"/>
    <w:rsid w:val="00C06322"/>
    <w:rsid w:val="00C4070C"/>
    <w:rsid w:val="00C5245A"/>
    <w:rsid w:val="00C720D6"/>
    <w:rsid w:val="00C90ED1"/>
    <w:rsid w:val="00CC57E1"/>
    <w:rsid w:val="00CD6C5D"/>
    <w:rsid w:val="00D01C19"/>
    <w:rsid w:val="00D02D1C"/>
    <w:rsid w:val="00D8360F"/>
    <w:rsid w:val="00D942E8"/>
    <w:rsid w:val="00D97641"/>
    <w:rsid w:val="00DA221A"/>
    <w:rsid w:val="00DB6766"/>
    <w:rsid w:val="00E03495"/>
    <w:rsid w:val="00E0439E"/>
    <w:rsid w:val="00E203F9"/>
    <w:rsid w:val="00E334B7"/>
    <w:rsid w:val="00E42B6D"/>
    <w:rsid w:val="00E528B2"/>
    <w:rsid w:val="00E61AD8"/>
    <w:rsid w:val="00E649EE"/>
    <w:rsid w:val="00E75691"/>
    <w:rsid w:val="00E85A4C"/>
    <w:rsid w:val="00EA0037"/>
    <w:rsid w:val="00EC3518"/>
    <w:rsid w:val="00EF10C6"/>
    <w:rsid w:val="00F10634"/>
    <w:rsid w:val="00F872CF"/>
    <w:rsid w:val="00F942C8"/>
    <w:rsid w:val="00F958D9"/>
    <w:rsid w:val="00FA5198"/>
    <w:rsid w:val="00FE4E01"/>
    <w:rsid w:val="00FE73D4"/>
    <w:rsid w:val="00FF3A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F439"/>
  <w15:chartTrackingRefBased/>
  <w15:docId w15:val="{F91F64E3-87A3-F641-BC45-4B9A9A8F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hesis"/>
    <w:qFormat/>
    <w:rsid w:val="00415D1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D16"/>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415D16"/>
    <w:rPr>
      <w:sz w:val="16"/>
      <w:szCs w:val="16"/>
    </w:rPr>
  </w:style>
  <w:style w:type="paragraph" w:styleId="CommentText">
    <w:name w:val="annotation text"/>
    <w:basedOn w:val="Normal"/>
    <w:link w:val="CommentTextChar"/>
    <w:uiPriority w:val="99"/>
    <w:unhideWhenUsed/>
    <w:rsid w:val="00415D16"/>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415D16"/>
    <w:rPr>
      <w:sz w:val="20"/>
      <w:szCs w:val="20"/>
    </w:rPr>
  </w:style>
  <w:style w:type="table" w:styleId="TableGrid">
    <w:name w:val="Table Grid"/>
    <w:basedOn w:val="TableNormal"/>
    <w:uiPriority w:val="39"/>
    <w:rsid w:val="00415D16"/>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15D16"/>
    <w:rPr>
      <w:rFonts w:ascii="Times New Roman" w:eastAsia="Times New Roman" w:hAnsi="Times New Roman" w:cs="Times New Roman"/>
      <w:lang w:eastAsia="en-GB"/>
    </w:rPr>
  </w:style>
  <w:style w:type="character" w:customStyle="1" w:styleId="NoSpacingChar">
    <w:name w:val="No Spacing Char"/>
    <w:basedOn w:val="DefaultParagraphFont"/>
    <w:link w:val="NoSpacing"/>
    <w:uiPriority w:val="1"/>
    <w:rsid w:val="00415D16"/>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B16A14"/>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B16A14"/>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DA221A"/>
    <w:rPr>
      <w:color w:val="0000FF"/>
      <w:u w:val="single"/>
    </w:rPr>
  </w:style>
  <w:style w:type="paragraph" w:customStyle="1" w:styleId="EndNoteBibliography">
    <w:name w:val="EndNote Bibliography"/>
    <w:basedOn w:val="Normal"/>
    <w:link w:val="EndNoteBibliographyChar"/>
    <w:rsid w:val="00E334B7"/>
    <w:rPr>
      <w:rFonts w:ascii="Calibri" w:eastAsiaTheme="minorHAnsi" w:hAnsi="Calibri" w:cs="Calibri"/>
      <w:lang w:val="en-US" w:eastAsia="en-US"/>
    </w:rPr>
  </w:style>
  <w:style w:type="character" w:customStyle="1" w:styleId="EndNoteBibliographyChar">
    <w:name w:val="EndNote Bibliography Char"/>
    <w:basedOn w:val="DefaultParagraphFont"/>
    <w:link w:val="EndNoteBibliography"/>
    <w:rsid w:val="00E334B7"/>
    <w:rPr>
      <w:rFonts w:ascii="Calibri" w:hAnsi="Calibri" w:cs="Calibri"/>
      <w:lang w:val="en-US"/>
    </w:rPr>
  </w:style>
  <w:style w:type="paragraph" w:styleId="Revision">
    <w:name w:val="Revision"/>
    <w:hidden/>
    <w:uiPriority w:val="99"/>
    <w:semiHidden/>
    <w:rsid w:val="00FE4E01"/>
    <w:rPr>
      <w:rFonts w:ascii="Times New Roman" w:eastAsia="Times New Roman" w:hAnsi="Times New Roman" w:cs="Times New Roman"/>
      <w:lang w:eastAsia="en-GB"/>
    </w:rPr>
  </w:style>
  <w:style w:type="paragraph" w:styleId="Header">
    <w:name w:val="header"/>
    <w:basedOn w:val="Normal"/>
    <w:link w:val="HeaderChar"/>
    <w:uiPriority w:val="99"/>
    <w:unhideWhenUsed/>
    <w:rsid w:val="003173B3"/>
    <w:pPr>
      <w:tabs>
        <w:tab w:val="center" w:pos="4513"/>
        <w:tab w:val="right" w:pos="9026"/>
      </w:tabs>
    </w:pPr>
  </w:style>
  <w:style w:type="character" w:customStyle="1" w:styleId="HeaderChar">
    <w:name w:val="Header Char"/>
    <w:basedOn w:val="DefaultParagraphFont"/>
    <w:link w:val="Header"/>
    <w:uiPriority w:val="99"/>
    <w:rsid w:val="003173B3"/>
    <w:rPr>
      <w:rFonts w:ascii="Times New Roman" w:eastAsia="Times New Roman" w:hAnsi="Times New Roman" w:cs="Times New Roman"/>
      <w:lang w:eastAsia="en-GB"/>
    </w:rPr>
  </w:style>
  <w:style w:type="paragraph" w:styleId="Footer">
    <w:name w:val="footer"/>
    <w:basedOn w:val="Normal"/>
    <w:link w:val="FooterChar"/>
    <w:uiPriority w:val="99"/>
    <w:unhideWhenUsed/>
    <w:rsid w:val="003173B3"/>
    <w:pPr>
      <w:tabs>
        <w:tab w:val="center" w:pos="4513"/>
        <w:tab w:val="right" w:pos="9026"/>
      </w:tabs>
    </w:pPr>
  </w:style>
  <w:style w:type="character" w:customStyle="1" w:styleId="FooterChar">
    <w:name w:val="Footer Char"/>
    <w:basedOn w:val="DefaultParagraphFont"/>
    <w:link w:val="Footer"/>
    <w:uiPriority w:val="99"/>
    <w:rsid w:val="003173B3"/>
    <w:rPr>
      <w:rFonts w:ascii="Times New Roman" w:eastAsia="Times New Roman" w:hAnsi="Times New Roman" w:cs="Times New Roman"/>
      <w:lang w:eastAsia="en-GB"/>
    </w:rPr>
  </w:style>
  <w:style w:type="paragraph" w:styleId="Caption">
    <w:name w:val="caption"/>
    <w:basedOn w:val="Normal"/>
    <w:next w:val="Normal"/>
    <w:uiPriority w:val="35"/>
    <w:unhideWhenUsed/>
    <w:qFormat/>
    <w:rsid w:val="0035483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497065">
      <w:bodyDiv w:val="1"/>
      <w:marLeft w:val="0"/>
      <w:marRight w:val="0"/>
      <w:marTop w:val="0"/>
      <w:marBottom w:val="0"/>
      <w:divBdr>
        <w:top w:val="none" w:sz="0" w:space="0" w:color="auto"/>
        <w:left w:val="none" w:sz="0" w:space="0" w:color="auto"/>
        <w:bottom w:val="none" w:sz="0" w:space="0" w:color="auto"/>
        <w:right w:val="none" w:sz="0" w:space="0" w:color="auto"/>
      </w:divBdr>
    </w:div>
    <w:div w:id="18392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she.sahinovic@sydney.edu.au" TargetMode="Externa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F7E73-A6EF-475F-A88D-BE732625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1310</TotalTime>
  <Pages>11</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Ayshe Sahinovic</dc:creator>
  <cp:keywords/>
  <dc:description/>
  <cp:lastModifiedBy>Ayshe Sahinovic</cp:lastModifiedBy>
  <cp:revision>16</cp:revision>
  <dcterms:created xsi:type="dcterms:W3CDTF">2022-01-14T12:22:00Z</dcterms:created>
  <dcterms:modified xsi:type="dcterms:W3CDTF">2022-01-16T18:57:00Z</dcterms:modified>
</cp:coreProperties>
</file>