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20A7" w14:textId="22BFCC35" w:rsidR="002C598A" w:rsidRPr="00B76FB4" w:rsidRDefault="00B913FD" w:rsidP="00391C30">
      <w:pPr>
        <w:spacing w:after="120"/>
        <w:rPr>
          <w:rFonts w:ascii="Times New Roman" w:hAnsi="Times New Roman" w:cs="Times New Roman"/>
          <w:sz w:val="24"/>
        </w:rPr>
      </w:pPr>
      <w:r w:rsidRPr="00B76FB4">
        <w:rPr>
          <w:noProof/>
        </w:rPr>
        <w:drawing>
          <wp:inline distT="0" distB="0" distL="0" distR="0" wp14:anchorId="5FA17F41" wp14:editId="7E7AE4F8">
            <wp:extent cx="5399999" cy="383582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99999" cy="3835828"/>
                    </a:xfrm>
                    <a:prstGeom prst="rect">
                      <a:avLst/>
                    </a:prstGeom>
                    <a:noFill/>
                    <a:ln>
                      <a:noFill/>
                    </a:ln>
                  </pic:spPr>
                </pic:pic>
              </a:graphicData>
            </a:graphic>
          </wp:inline>
        </w:drawing>
      </w:r>
    </w:p>
    <w:p w14:paraId="252B5288" w14:textId="3A63788A" w:rsidR="00534E56" w:rsidRPr="00B76FB4" w:rsidRDefault="005B0F13" w:rsidP="002C598A">
      <w:pPr>
        <w:spacing w:after="240"/>
        <w:rPr>
          <w:rFonts w:ascii="Times New Roman" w:hAnsi="Times New Roman" w:cs="Times New Roman"/>
          <w:b/>
          <w:bCs/>
          <w:sz w:val="24"/>
        </w:rPr>
      </w:pPr>
      <w:r w:rsidRPr="00B76FB4">
        <w:rPr>
          <w:rFonts w:ascii="Times New Roman" w:hAnsi="Times New Roman" w:cs="Times New Roman"/>
          <w:b/>
          <w:bCs/>
          <w:sz w:val="24"/>
        </w:rPr>
        <w:t xml:space="preserve">Supplementary Figure 1. </w:t>
      </w:r>
      <w:r w:rsidR="0049490F" w:rsidRPr="00B76FB4">
        <w:rPr>
          <w:rFonts w:ascii="Times New Roman" w:hAnsi="Times New Roman" w:cs="Times New Roman"/>
          <w:b/>
          <w:bCs/>
          <w:sz w:val="24"/>
        </w:rPr>
        <w:t>Cerebrospinal fluid (</w:t>
      </w:r>
      <w:r w:rsidRPr="00B76FB4">
        <w:rPr>
          <w:rFonts w:ascii="Times New Roman" w:hAnsi="Times New Roman" w:cs="Times New Roman"/>
          <w:b/>
          <w:bCs/>
          <w:sz w:val="24"/>
        </w:rPr>
        <w:t>CSF</w:t>
      </w:r>
      <w:r w:rsidR="0049490F" w:rsidRPr="00B76FB4">
        <w:rPr>
          <w:rFonts w:ascii="Times New Roman" w:hAnsi="Times New Roman" w:cs="Times New Roman"/>
          <w:b/>
          <w:bCs/>
          <w:sz w:val="24"/>
        </w:rPr>
        <w:t>)</w:t>
      </w:r>
      <w:r w:rsidRPr="00B76FB4">
        <w:rPr>
          <w:rFonts w:ascii="Times New Roman" w:hAnsi="Times New Roman" w:cs="Times New Roman"/>
          <w:b/>
          <w:bCs/>
          <w:sz w:val="24"/>
        </w:rPr>
        <w:t xml:space="preserve"> </w:t>
      </w:r>
      <w:r w:rsidR="0049490F" w:rsidRPr="00B76FB4">
        <w:rPr>
          <w:rFonts w:ascii="Times New Roman" w:hAnsi="Times New Roman" w:cs="Times New Roman"/>
          <w:b/>
          <w:bCs/>
          <w:sz w:val="24"/>
        </w:rPr>
        <w:t>Alzheimer’s disease (</w:t>
      </w:r>
      <w:r w:rsidRPr="00B76FB4">
        <w:rPr>
          <w:rFonts w:ascii="Times New Roman" w:hAnsi="Times New Roman" w:cs="Times New Roman"/>
          <w:b/>
          <w:bCs/>
          <w:sz w:val="24"/>
        </w:rPr>
        <w:t>AD</w:t>
      </w:r>
      <w:r w:rsidR="0049490F" w:rsidRPr="00B76FB4">
        <w:rPr>
          <w:rFonts w:ascii="Times New Roman" w:hAnsi="Times New Roman" w:cs="Times New Roman"/>
          <w:b/>
          <w:bCs/>
          <w:sz w:val="24"/>
        </w:rPr>
        <w:t>)</w:t>
      </w:r>
      <w:r w:rsidRPr="00B76FB4">
        <w:rPr>
          <w:rFonts w:ascii="Times New Roman" w:hAnsi="Times New Roman" w:cs="Times New Roman"/>
          <w:b/>
          <w:bCs/>
          <w:sz w:val="24"/>
        </w:rPr>
        <w:t xml:space="preserve"> </w:t>
      </w:r>
      <w:r w:rsidR="00706366" w:rsidRPr="00B76FB4">
        <w:rPr>
          <w:rFonts w:ascii="Times New Roman" w:hAnsi="Times New Roman" w:cs="Times New Roman" w:hint="eastAsia"/>
          <w:b/>
          <w:bCs/>
          <w:sz w:val="24"/>
        </w:rPr>
        <w:t>B</w:t>
      </w:r>
      <w:r w:rsidRPr="00B76FB4">
        <w:rPr>
          <w:rFonts w:ascii="Times New Roman" w:hAnsi="Times New Roman" w:cs="Times New Roman"/>
          <w:b/>
          <w:bCs/>
          <w:sz w:val="24"/>
        </w:rPr>
        <w:t>iomarkers by Neuropathologic Diagnoses</w:t>
      </w:r>
    </w:p>
    <w:p w14:paraId="6833FD76" w14:textId="3EC5CB1B" w:rsidR="001108DE" w:rsidRPr="00B76FB4" w:rsidRDefault="005B0F13" w:rsidP="002C598A">
      <w:pPr>
        <w:spacing w:after="240"/>
        <w:rPr>
          <w:rFonts w:ascii="Times New Roman" w:hAnsi="Times New Roman" w:cs="Times New Roman"/>
          <w:sz w:val="24"/>
        </w:rPr>
      </w:pPr>
      <w:r w:rsidRPr="00B76FB4">
        <w:rPr>
          <w:rFonts w:ascii="Times New Roman" w:hAnsi="Times New Roman" w:cs="Times New Roman"/>
          <w:sz w:val="24"/>
        </w:rPr>
        <w:t>CSF Aβ42, p-tau181, and t-tau were significantly altered in patients with</w:t>
      </w:r>
      <w:r w:rsidR="0049490F" w:rsidRPr="00B76FB4">
        <w:rPr>
          <w:rFonts w:ascii="Times New Roman" w:hAnsi="Times New Roman" w:cs="Times New Roman"/>
          <w:sz w:val="24"/>
        </w:rPr>
        <w:t xml:space="preserve"> a</w:t>
      </w:r>
      <w:r w:rsidRPr="00B76FB4">
        <w:rPr>
          <w:rFonts w:ascii="Times New Roman" w:hAnsi="Times New Roman" w:cs="Times New Roman"/>
          <w:sz w:val="24"/>
        </w:rPr>
        <w:t xml:space="preserve"> postmortem diagnosis of AD compared to other diseases. </w:t>
      </w:r>
    </w:p>
    <w:p w14:paraId="70DF7E81" w14:textId="77777777" w:rsidR="00FB36D9" w:rsidRPr="00B76FB4" w:rsidRDefault="001108DE">
      <w:pPr>
        <w:widowControl/>
        <w:jc w:val="left"/>
        <w:rPr>
          <w:rFonts w:ascii="Times New Roman" w:hAnsi="Times New Roman" w:cs="Times New Roman"/>
          <w:sz w:val="24"/>
        </w:rPr>
      </w:pPr>
      <w:r w:rsidRPr="00B76FB4">
        <w:rPr>
          <w:rFonts w:ascii="Times New Roman" w:hAnsi="Times New Roman" w:cs="Times New Roman"/>
          <w:sz w:val="24"/>
        </w:rPr>
        <w:br w:type="page"/>
      </w:r>
      <w:r w:rsidR="00FB36D9" w:rsidRPr="00B76FB4">
        <w:rPr>
          <w:noProof/>
        </w:rPr>
        <w:lastRenderedPageBreak/>
        <w:drawing>
          <wp:inline distT="0" distB="0" distL="0" distR="0" wp14:anchorId="7CCE724F" wp14:editId="03BDE478">
            <wp:extent cx="3600000" cy="4317460"/>
            <wp:effectExtent l="0" t="0" r="635" b="6985"/>
            <wp:docPr id="1222222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4317460"/>
                    </a:xfrm>
                    <a:prstGeom prst="rect">
                      <a:avLst/>
                    </a:prstGeom>
                    <a:noFill/>
                    <a:ln>
                      <a:noFill/>
                    </a:ln>
                  </pic:spPr>
                </pic:pic>
              </a:graphicData>
            </a:graphic>
          </wp:inline>
        </w:drawing>
      </w:r>
    </w:p>
    <w:p w14:paraId="4010FEAD" w14:textId="77777777" w:rsidR="00930585" w:rsidRPr="00B76FB4" w:rsidRDefault="00930585">
      <w:pPr>
        <w:widowControl/>
        <w:jc w:val="left"/>
        <w:rPr>
          <w:rFonts w:ascii="Times New Roman" w:hAnsi="Times New Roman" w:cs="Times New Roman"/>
          <w:sz w:val="24"/>
        </w:rPr>
      </w:pPr>
    </w:p>
    <w:p w14:paraId="04FD9820" w14:textId="25C9DCDF" w:rsidR="00FB36D9" w:rsidRPr="00B76FB4" w:rsidRDefault="00FB36D9" w:rsidP="00FB36D9">
      <w:pPr>
        <w:spacing w:after="240"/>
        <w:rPr>
          <w:rFonts w:ascii="Times New Roman" w:hAnsi="Times New Roman" w:cs="Times New Roman"/>
          <w:b/>
          <w:bCs/>
          <w:sz w:val="24"/>
        </w:rPr>
      </w:pPr>
      <w:r w:rsidRPr="00B76FB4">
        <w:rPr>
          <w:rFonts w:ascii="Times New Roman" w:hAnsi="Times New Roman" w:cs="Times New Roman"/>
          <w:b/>
          <w:bCs/>
          <w:sz w:val="24"/>
        </w:rPr>
        <w:t>Supplementary Figure 2. Heatmap Distribution of AD Neuropathologic Changes</w:t>
      </w:r>
    </w:p>
    <w:p w14:paraId="63674F19" w14:textId="4C2B2BE8" w:rsidR="00FB36D9" w:rsidRPr="00B76FB4" w:rsidRDefault="00FB36D9" w:rsidP="00FB36D9">
      <w:pPr>
        <w:spacing w:after="240"/>
        <w:rPr>
          <w:rFonts w:ascii="Times New Roman" w:hAnsi="Times New Roman" w:cs="Times New Roman"/>
          <w:sz w:val="24"/>
        </w:rPr>
      </w:pPr>
      <w:r w:rsidRPr="00B76FB4">
        <w:rPr>
          <w:rFonts w:ascii="Times New Roman" w:hAnsi="Times New Roman" w:cs="Times New Roman"/>
          <w:sz w:val="24"/>
        </w:rPr>
        <w:t xml:space="preserve">While Braak NFT stages Ⅰ and Ⅱ (transentorhinal stages) were </w:t>
      </w:r>
      <w:r w:rsidR="0075033F" w:rsidRPr="00B76FB4">
        <w:rPr>
          <w:rFonts w:ascii="Times New Roman" w:hAnsi="Times New Roman" w:cs="Times New Roman"/>
          <w:sz w:val="24"/>
        </w:rPr>
        <w:t xml:space="preserve">commonly </w:t>
      </w:r>
      <w:r w:rsidRPr="00B76FB4">
        <w:rPr>
          <w:rFonts w:ascii="Times New Roman" w:hAnsi="Times New Roman" w:cs="Times New Roman"/>
          <w:sz w:val="24"/>
        </w:rPr>
        <w:t>observed and stage Ⅲ was occasionally observed with no or low amyloid pathology in this older adult cohort, Braak NFT stages Ⅳ, Ⅴ, and Ⅵ were exclusively observed with advanced amyloid pathology.</w:t>
      </w:r>
    </w:p>
    <w:p w14:paraId="210EFA93" w14:textId="151BB7CF" w:rsidR="00FB36D9" w:rsidRPr="00B76FB4" w:rsidRDefault="00FB36D9" w:rsidP="00FB36D9">
      <w:pPr>
        <w:spacing w:after="240"/>
        <w:rPr>
          <w:rFonts w:ascii="Times New Roman" w:hAnsi="Times New Roman" w:cs="Times New Roman"/>
          <w:sz w:val="24"/>
        </w:rPr>
      </w:pPr>
      <w:r w:rsidRPr="00B76FB4">
        <w:rPr>
          <w:rFonts w:ascii="Times New Roman" w:hAnsi="Times New Roman" w:cs="Times New Roman"/>
          <w:sz w:val="24"/>
        </w:rPr>
        <w:t>Abbreviations: AD, Alzheimer’s disease; CERAD, Consortium to Establish a Registry for Alzheimer’s Disease; NFT, neurofibrillary tangle</w:t>
      </w:r>
    </w:p>
    <w:p w14:paraId="619647D2" w14:textId="77777777" w:rsidR="00FB36D9" w:rsidRPr="00B76FB4" w:rsidRDefault="00FB36D9">
      <w:pPr>
        <w:widowControl/>
        <w:jc w:val="left"/>
        <w:rPr>
          <w:rFonts w:ascii="Times New Roman" w:hAnsi="Times New Roman" w:cs="Times New Roman"/>
          <w:sz w:val="24"/>
        </w:rPr>
      </w:pPr>
    </w:p>
    <w:p w14:paraId="33C3AC88" w14:textId="49050B7B" w:rsidR="00FB36D9" w:rsidRPr="00B76FB4" w:rsidRDefault="00FB36D9">
      <w:pPr>
        <w:widowControl/>
        <w:jc w:val="left"/>
        <w:rPr>
          <w:rFonts w:ascii="Times New Roman" w:hAnsi="Times New Roman" w:cs="Times New Roman"/>
          <w:sz w:val="24"/>
        </w:rPr>
      </w:pPr>
      <w:r w:rsidRPr="00B76FB4">
        <w:rPr>
          <w:rFonts w:ascii="Times New Roman" w:hAnsi="Times New Roman" w:cs="Times New Roman"/>
          <w:sz w:val="24"/>
        </w:rPr>
        <w:br w:type="page"/>
      </w:r>
    </w:p>
    <w:p w14:paraId="375444AD" w14:textId="77777777" w:rsidR="001108DE" w:rsidRPr="00B76FB4" w:rsidRDefault="001108DE">
      <w:pPr>
        <w:widowControl/>
        <w:jc w:val="left"/>
        <w:rPr>
          <w:rFonts w:ascii="Times New Roman" w:hAnsi="Times New Roman" w:cs="Times New Roman"/>
          <w:sz w:val="24"/>
        </w:rPr>
      </w:pPr>
    </w:p>
    <w:p w14:paraId="50D319F0" w14:textId="03462815" w:rsidR="005B0F13" w:rsidRPr="00B76FB4" w:rsidRDefault="001108DE" w:rsidP="002C598A">
      <w:pPr>
        <w:spacing w:after="240"/>
        <w:rPr>
          <w:rFonts w:ascii="Times New Roman" w:hAnsi="Times New Roman" w:cs="Times New Roman"/>
          <w:sz w:val="24"/>
        </w:rPr>
      </w:pPr>
      <w:r w:rsidRPr="00B76FB4">
        <w:rPr>
          <w:noProof/>
        </w:rPr>
        <w:drawing>
          <wp:inline distT="0" distB="0" distL="0" distR="0" wp14:anchorId="736108E4" wp14:editId="345931F7">
            <wp:extent cx="4679949" cy="3900692"/>
            <wp:effectExtent l="0" t="0" r="6985" b="5080"/>
            <wp:docPr id="442410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10493" name="図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79949" cy="3900692"/>
                    </a:xfrm>
                    <a:prstGeom prst="rect">
                      <a:avLst/>
                    </a:prstGeom>
                    <a:noFill/>
                    <a:ln>
                      <a:noFill/>
                    </a:ln>
                  </pic:spPr>
                </pic:pic>
              </a:graphicData>
            </a:graphic>
          </wp:inline>
        </w:drawing>
      </w:r>
    </w:p>
    <w:p w14:paraId="117430A4" w14:textId="6A83E070" w:rsidR="001108DE" w:rsidRPr="00B76FB4" w:rsidRDefault="001108DE" w:rsidP="001108DE">
      <w:pPr>
        <w:spacing w:after="240"/>
        <w:rPr>
          <w:rFonts w:ascii="Times New Roman" w:hAnsi="Times New Roman" w:cs="Times New Roman"/>
          <w:b/>
          <w:bCs/>
          <w:sz w:val="24"/>
        </w:rPr>
      </w:pPr>
      <w:r w:rsidRPr="00B76FB4">
        <w:rPr>
          <w:rFonts w:ascii="Times New Roman" w:hAnsi="Times New Roman" w:cs="Times New Roman"/>
          <w:b/>
          <w:bCs/>
          <w:sz w:val="24"/>
        </w:rPr>
        <w:t xml:space="preserve">Supplementary Figure </w:t>
      </w:r>
      <w:r w:rsidR="00FB36D9" w:rsidRPr="00B76FB4">
        <w:rPr>
          <w:rFonts w:ascii="Times New Roman" w:hAnsi="Times New Roman" w:cs="Times New Roman"/>
          <w:b/>
          <w:bCs/>
          <w:sz w:val="24"/>
        </w:rPr>
        <w:t>3</w:t>
      </w:r>
      <w:r w:rsidRPr="00B76FB4">
        <w:rPr>
          <w:rFonts w:ascii="Times New Roman" w:hAnsi="Times New Roman" w:cs="Times New Roman"/>
          <w:b/>
          <w:bCs/>
          <w:sz w:val="24"/>
        </w:rPr>
        <w:t xml:space="preserve">. The </w:t>
      </w:r>
      <w:r w:rsidR="00706366" w:rsidRPr="00B76FB4">
        <w:rPr>
          <w:rFonts w:ascii="Times New Roman" w:hAnsi="Times New Roman" w:cs="Times New Roman"/>
          <w:b/>
          <w:bCs/>
          <w:sz w:val="24"/>
        </w:rPr>
        <w:t>P</w:t>
      </w:r>
      <w:r w:rsidRPr="00B76FB4">
        <w:rPr>
          <w:rFonts w:ascii="Times New Roman" w:hAnsi="Times New Roman" w:cs="Times New Roman"/>
          <w:b/>
          <w:bCs/>
          <w:sz w:val="24"/>
        </w:rPr>
        <w:t xml:space="preserve">roportion of </w:t>
      </w:r>
      <w:r w:rsidR="00706366" w:rsidRPr="00B76FB4">
        <w:rPr>
          <w:rFonts w:ascii="Times New Roman" w:hAnsi="Times New Roman" w:cs="Times New Roman"/>
          <w:b/>
          <w:bCs/>
          <w:sz w:val="24"/>
        </w:rPr>
        <w:t>D</w:t>
      </w:r>
      <w:r w:rsidRPr="00B76FB4">
        <w:rPr>
          <w:rFonts w:ascii="Times New Roman" w:hAnsi="Times New Roman" w:cs="Times New Roman"/>
          <w:b/>
          <w:bCs/>
          <w:sz w:val="24"/>
        </w:rPr>
        <w:t xml:space="preserve">ecreased CSF Aβ42 </w:t>
      </w:r>
      <w:r w:rsidR="00706366" w:rsidRPr="00B76FB4">
        <w:rPr>
          <w:rFonts w:ascii="Times New Roman" w:hAnsi="Times New Roman" w:cs="Times New Roman"/>
          <w:b/>
          <w:bCs/>
          <w:sz w:val="24"/>
        </w:rPr>
        <w:t>G</w:t>
      </w:r>
      <w:r w:rsidRPr="00B76FB4">
        <w:rPr>
          <w:rFonts w:ascii="Times New Roman" w:hAnsi="Times New Roman" w:cs="Times New Roman"/>
          <w:b/>
          <w:bCs/>
          <w:sz w:val="24"/>
        </w:rPr>
        <w:t xml:space="preserve">rouped by </w:t>
      </w:r>
      <w:r w:rsidR="00706366" w:rsidRPr="00B76FB4">
        <w:rPr>
          <w:rFonts w:ascii="Times New Roman" w:hAnsi="Times New Roman" w:cs="Times New Roman"/>
          <w:b/>
          <w:bCs/>
          <w:sz w:val="24"/>
        </w:rPr>
        <w:t>P</w:t>
      </w:r>
      <w:r w:rsidRPr="00B76FB4">
        <w:rPr>
          <w:rFonts w:ascii="Times New Roman" w:hAnsi="Times New Roman" w:cs="Times New Roman"/>
          <w:b/>
          <w:bCs/>
          <w:sz w:val="24"/>
        </w:rPr>
        <w:t xml:space="preserve">ostmortem </w:t>
      </w:r>
      <w:r w:rsidR="00706366" w:rsidRPr="00B76FB4">
        <w:rPr>
          <w:rFonts w:ascii="Times New Roman" w:hAnsi="Times New Roman" w:cs="Times New Roman"/>
          <w:b/>
          <w:bCs/>
          <w:sz w:val="24"/>
        </w:rPr>
        <w:t>A</w:t>
      </w:r>
      <w:r w:rsidRPr="00B76FB4">
        <w:rPr>
          <w:rFonts w:ascii="Times New Roman" w:hAnsi="Times New Roman" w:cs="Times New Roman"/>
          <w:b/>
          <w:bCs/>
          <w:sz w:val="24"/>
        </w:rPr>
        <w:t xml:space="preserve">myloid </w:t>
      </w:r>
      <w:r w:rsidR="00706366" w:rsidRPr="00B76FB4">
        <w:rPr>
          <w:rFonts w:ascii="Times New Roman" w:hAnsi="Times New Roman" w:cs="Times New Roman"/>
          <w:b/>
          <w:bCs/>
          <w:sz w:val="24"/>
        </w:rPr>
        <w:t>P</w:t>
      </w:r>
      <w:r w:rsidRPr="00B76FB4">
        <w:rPr>
          <w:rFonts w:ascii="Times New Roman" w:hAnsi="Times New Roman" w:cs="Times New Roman"/>
          <w:b/>
          <w:bCs/>
          <w:sz w:val="24"/>
        </w:rPr>
        <w:t xml:space="preserve">athologic </w:t>
      </w:r>
      <w:r w:rsidR="00706366" w:rsidRPr="00B76FB4">
        <w:rPr>
          <w:rFonts w:ascii="Times New Roman" w:hAnsi="Times New Roman" w:cs="Times New Roman"/>
          <w:b/>
          <w:bCs/>
          <w:sz w:val="24"/>
        </w:rPr>
        <w:t>S</w:t>
      </w:r>
      <w:r w:rsidRPr="00B76FB4">
        <w:rPr>
          <w:rFonts w:ascii="Times New Roman" w:hAnsi="Times New Roman" w:cs="Times New Roman"/>
          <w:b/>
          <w:bCs/>
          <w:sz w:val="24"/>
        </w:rPr>
        <w:t>cores</w:t>
      </w:r>
    </w:p>
    <w:p w14:paraId="65A8A2A3" w14:textId="7D175D2D" w:rsidR="001108DE" w:rsidRPr="00B76FB4" w:rsidRDefault="001108DE" w:rsidP="002C598A">
      <w:pPr>
        <w:spacing w:after="240"/>
        <w:rPr>
          <w:rFonts w:ascii="Times New Roman" w:hAnsi="Times New Roman" w:cs="Times New Roman"/>
          <w:sz w:val="24"/>
        </w:rPr>
      </w:pPr>
      <w:r w:rsidRPr="00B76FB4">
        <w:rPr>
          <w:rFonts w:ascii="Times New Roman" w:hAnsi="Times New Roman" w:cs="Times New Roman"/>
          <w:sz w:val="24"/>
        </w:rPr>
        <w:t xml:space="preserve">While the percentages of patients with decreased CSF Aβ42 were also higher in high postmortem Thal phase (A) and CERAD score (B), </w:t>
      </w:r>
      <w:r w:rsidR="005E48FD" w:rsidRPr="00B76FB4">
        <w:rPr>
          <w:rFonts w:ascii="Times New Roman" w:hAnsi="Times New Roman" w:cs="Times New Roman"/>
          <w:sz w:val="24"/>
        </w:rPr>
        <w:t xml:space="preserve">a </w:t>
      </w:r>
      <w:r w:rsidR="0075033F" w:rsidRPr="00B76FB4">
        <w:rPr>
          <w:rFonts w:ascii="Times New Roman" w:hAnsi="Times New Roman" w:cs="Times New Roman"/>
          <w:sz w:val="24"/>
        </w:rPr>
        <w:t xml:space="preserve">substantial </w:t>
      </w:r>
      <w:r w:rsidRPr="00B76FB4">
        <w:rPr>
          <w:rFonts w:ascii="Times New Roman" w:hAnsi="Times New Roman" w:cs="Times New Roman"/>
          <w:sz w:val="24"/>
        </w:rPr>
        <w:t xml:space="preserve">proportion of patients with low amyloid pathologic scores also </w:t>
      </w:r>
      <w:r w:rsidR="0075033F" w:rsidRPr="00B76FB4">
        <w:rPr>
          <w:rFonts w:ascii="Times New Roman" w:hAnsi="Times New Roman" w:cs="Times New Roman"/>
          <w:sz w:val="24"/>
        </w:rPr>
        <w:t xml:space="preserve">had </w:t>
      </w:r>
      <w:r w:rsidRPr="00B76FB4">
        <w:rPr>
          <w:rFonts w:ascii="Times New Roman" w:hAnsi="Times New Roman" w:cs="Times New Roman"/>
          <w:sz w:val="24"/>
        </w:rPr>
        <w:t xml:space="preserve">decreased CSF Aβ42 below the cut-off including 44% of patients with Thal phase 0 (A) and 42% with </w:t>
      </w:r>
      <w:r w:rsidR="0075033F" w:rsidRPr="00B76FB4">
        <w:rPr>
          <w:rFonts w:ascii="Times New Roman" w:hAnsi="Times New Roman" w:cs="Times New Roman"/>
          <w:sz w:val="24"/>
        </w:rPr>
        <w:t>”</w:t>
      </w:r>
      <w:r w:rsidRPr="00B76FB4">
        <w:rPr>
          <w:rFonts w:ascii="Times New Roman" w:hAnsi="Times New Roman" w:cs="Times New Roman"/>
          <w:sz w:val="24"/>
        </w:rPr>
        <w:t>none</w:t>
      </w:r>
      <w:r w:rsidR="0075033F" w:rsidRPr="00B76FB4">
        <w:rPr>
          <w:rFonts w:ascii="Times New Roman" w:hAnsi="Times New Roman" w:cs="Times New Roman"/>
          <w:sz w:val="24"/>
        </w:rPr>
        <w:t>”</w:t>
      </w:r>
      <w:r w:rsidRPr="00B76FB4">
        <w:rPr>
          <w:rFonts w:ascii="Times New Roman" w:hAnsi="Times New Roman" w:cs="Times New Roman"/>
          <w:sz w:val="24"/>
        </w:rPr>
        <w:t xml:space="preserve"> neuritic plaques on CERAD (B).</w:t>
      </w:r>
    </w:p>
    <w:p w14:paraId="67982B48" w14:textId="77777777" w:rsidR="001108DE" w:rsidRPr="00B76FB4" w:rsidRDefault="001108DE">
      <w:pPr>
        <w:widowControl/>
        <w:jc w:val="left"/>
        <w:rPr>
          <w:rFonts w:ascii="Times New Roman" w:hAnsi="Times New Roman" w:cs="Times New Roman"/>
          <w:sz w:val="24"/>
        </w:rPr>
      </w:pPr>
      <w:r w:rsidRPr="00B76FB4">
        <w:rPr>
          <w:rFonts w:ascii="Times New Roman" w:hAnsi="Times New Roman" w:cs="Times New Roman"/>
          <w:sz w:val="24"/>
        </w:rPr>
        <w:br w:type="page"/>
      </w:r>
    </w:p>
    <w:p w14:paraId="52E17C2C" w14:textId="190FCABD" w:rsidR="001108DE" w:rsidRPr="00B76FB4" w:rsidRDefault="00DE72C3" w:rsidP="002C598A">
      <w:pPr>
        <w:spacing w:after="240"/>
        <w:rPr>
          <w:rFonts w:ascii="Times New Roman" w:hAnsi="Times New Roman" w:cs="Times New Roman"/>
          <w:sz w:val="24"/>
        </w:rPr>
      </w:pPr>
      <w:r w:rsidRPr="00B76FB4">
        <w:rPr>
          <w:noProof/>
        </w:rPr>
        <w:lastRenderedPageBreak/>
        <w:drawing>
          <wp:inline distT="0" distB="0" distL="0" distR="0" wp14:anchorId="7C8AF6BF" wp14:editId="0811FC68">
            <wp:extent cx="4320000" cy="3061800"/>
            <wp:effectExtent l="0" t="0" r="4445" b="5715"/>
            <wp:docPr id="4450139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3944" name="図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20000" cy="3061800"/>
                    </a:xfrm>
                    <a:prstGeom prst="rect">
                      <a:avLst/>
                    </a:prstGeom>
                    <a:noFill/>
                    <a:ln>
                      <a:noFill/>
                    </a:ln>
                  </pic:spPr>
                </pic:pic>
              </a:graphicData>
            </a:graphic>
          </wp:inline>
        </w:drawing>
      </w:r>
    </w:p>
    <w:p w14:paraId="5A25145C" w14:textId="045E9125" w:rsidR="00DE72C3" w:rsidRPr="00B76FB4" w:rsidRDefault="00DE72C3" w:rsidP="00DE72C3">
      <w:pPr>
        <w:spacing w:after="240"/>
        <w:rPr>
          <w:rFonts w:ascii="Times New Roman" w:hAnsi="Times New Roman" w:cs="Times New Roman"/>
          <w:b/>
          <w:bCs/>
          <w:sz w:val="24"/>
        </w:rPr>
      </w:pPr>
      <w:r w:rsidRPr="00B76FB4">
        <w:rPr>
          <w:rFonts w:ascii="Times New Roman" w:hAnsi="Times New Roman" w:cs="Times New Roman"/>
          <w:b/>
          <w:bCs/>
          <w:sz w:val="24"/>
        </w:rPr>
        <w:t xml:space="preserve">Supplementary Figure </w:t>
      </w:r>
      <w:r w:rsidR="00FB36D9" w:rsidRPr="00B76FB4">
        <w:rPr>
          <w:rFonts w:ascii="Times New Roman" w:hAnsi="Times New Roman" w:cs="Times New Roman"/>
          <w:b/>
          <w:bCs/>
          <w:sz w:val="24"/>
        </w:rPr>
        <w:t>4</w:t>
      </w:r>
      <w:r w:rsidRPr="00B76FB4">
        <w:rPr>
          <w:rFonts w:ascii="Times New Roman" w:hAnsi="Times New Roman" w:cs="Times New Roman"/>
          <w:b/>
          <w:bCs/>
          <w:sz w:val="24"/>
        </w:rPr>
        <w:t xml:space="preserve">. </w:t>
      </w:r>
      <w:r w:rsidR="00C03E5A" w:rsidRPr="00B76FB4">
        <w:rPr>
          <w:rFonts w:ascii="Times New Roman" w:hAnsi="Times New Roman" w:cs="Times New Roman"/>
          <w:b/>
          <w:bCs/>
          <w:sz w:val="24"/>
        </w:rPr>
        <w:t>P</w:t>
      </w:r>
      <w:r w:rsidRPr="00B76FB4">
        <w:rPr>
          <w:rFonts w:ascii="Times New Roman" w:hAnsi="Times New Roman" w:cs="Times New Roman"/>
          <w:b/>
          <w:bCs/>
          <w:sz w:val="24"/>
        </w:rPr>
        <w:t xml:space="preserve">roportion of </w:t>
      </w:r>
      <w:r w:rsidR="00C03E5A" w:rsidRPr="00B76FB4">
        <w:rPr>
          <w:rFonts w:ascii="Times New Roman" w:hAnsi="Times New Roman" w:cs="Times New Roman"/>
          <w:b/>
          <w:bCs/>
          <w:sz w:val="24"/>
        </w:rPr>
        <w:t>P</w:t>
      </w:r>
      <w:r w:rsidRPr="00B76FB4">
        <w:rPr>
          <w:rFonts w:ascii="Times New Roman" w:hAnsi="Times New Roman" w:cs="Times New Roman"/>
          <w:b/>
          <w:bCs/>
          <w:sz w:val="24"/>
        </w:rPr>
        <w:t>athologic</w:t>
      </w:r>
      <w:r w:rsidR="0075033F" w:rsidRPr="00B76FB4">
        <w:rPr>
          <w:rFonts w:ascii="Times New Roman" w:hAnsi="Times New Roman" w:cs="Times New Roman"/>
          <w:b/>
          <w:bCs/>
          <w:sz w:val="24"/>
        </w:rPr>
        <w:t>al</w:t>
      </w:r>
      <w:r w:rsidRPr="00B76FB4">
        <w:rPr>
          <w:rFonts w:ascii="Times New Roman" w:hAnsi="Times New Roman" w:cs="Times New Roman"/>
          <w:b/>
          <w:bCs/>
          <w:sz w:val="24"/>
        </w:rPr>
        <w:t xml:space="preserve"> </w:t>
      </w:r>
      <w:r w:rsidR="00C03E5A" w:rsidRPr="00B76FB4">
        <w:rPr>
          <w:rFonts w:ascii="Times New Roman" w:hAnsi="Times New Roman" w:cs="Times New Roman"/>
          <w:b/>
          <w:bCs/>
          <w:sz w:val="24"/>
        </w:rPr>
        <w:t>D</w:t>
      </w:r>
      <w:r w:rsidRPr="00B76FB4">
        <w:rPr>
          <w:rFonts w:ascii="Times New Roman" w:hAnsi="Times New Roman" w:cs="Times New Roman"/>
          <w:b/>
          <w:bCs/>
          <w:sz w:val="24"/>
        </w:rPr>
        <w:t>iagnos</w:t>
      </w:r>
      <w:r w:rsidR="008A2C95" w:rsidRPr="00B76FB4">
        <w:rPr>
          <w:rFonts w:ascii="Times New Roman" w:hAnsi="Times New Roman" w:cs="Times New Roman"/>
          <w:b/>
          <w:bCs/>
          <w:sz w:val="24"/>
        </w:rPr>
        <w:t>es</w:t>
      </w:r>
      <w:r w:rsidRPr="00B76FB4">
        <w:rPr>
          <w:rFonts w:ascii="Times New Roman" w:hAnsi="Times New Roman" w:cs="Times New Roman"/>
          <w:b/>
          <w:bCs/>
          <w:sz w:val="24"/>
        </w:rPr>
        <w:t xml:space="preserve"> in </w:t>
      </w:r>
      <w:r w:rsidR="00C03E5A" w:rsidRPr="00B76FB4">
        <w:rPr>
          <w:rFonts w:ascii="Times New Roman" w:hAnsi="Times New Roman" w:cs="Times New Roman"/>
          <w:b/>
          <w:bCs/>
          <w:sz w:val="24"/>
        </w:rPr>
        <w:t>P</w:t>
      </w:r>
      <w:r w:rsidRPr="00B76FB4">
        <w:rPr>
          <w:rFonts w:ascii="Times New Roman" w:hAnsi="Times New Roman" w:cs="Times New Roman"/>
          <w:b/>
          <w:bCs/>
          <w:sz w:val="24"/>
        </w:rPr>
        <w:t xml:space="preserve">atients with </w:t>
      </w:r>
      <w:r w:rsidR="00C03E5A" w:rsidRPr="00B76FB4">
        <w:rPr>
          <w:rFonts w:ascii="Times New Roman" w:hAnsi="Times New Roman" w:cs="Times New Roman"/>
          <w:b/>
          <w:bCs/>
          <w:sz w:val="24"/>
        </w:rPr>
        <w:t>D</w:t>
      </w:r>
      <w:r w:rsidRPr="00B76FB4">
        <w:rPr>
          <w:rFonts w:ascii="Times New Roman" w:hAnsi="Times New Roman" w:cs="Times New Roman"/>
          <w:b/>
          <w:bCs/>
          <w:sz w:val="24"/>
        </w:rPr>
        <w:t xml:space="preserve">ecreased Aβ42 and </w:t>
      </w:r>
      <w:r w:rsidR="0075033F" w:rsidRPr="00B76FB4">
        <w:rPr>
          <w:rFonts w:ascii="Times New Roman" w:hAnsi="Times New Roman" w:cs="Times New Roman"/>
          <w:b/>
          <w:bCs/>
          <w:sz w:val="24"/>
        </w:rPr>
        <w:t>“</w:t>
      </w:r>
      <w:r w:rsidR="00C03E5A" w:rsidRPr="00B76FB4">
        <w:rPr>
          <w:rFonts w:ascii="Times New Roman" w:hAnsi="Times New Roman" w:cs="Times New Roman"/>
          <w:b/>
          <w:bCs/>
          <w:sz w:val="24"/>
        </w:rPr>
        <w:t>N</w:t>
      </w:r>
      <w:r w:rsidR="008A2C95" w:rsidRPr="00B76FB4">
        <w:rPr>
          <w:rFonts w:ascii="Times New Roman" w:hAnsi="Times New Roman" w:cs="Times New Roman"/>
          <w:b/>
          <w:bCs/>
          <w:sz w:val="24"/>
        </w:rPr>
        <w:t>o</w:t>
      </w:r>
      <w:r w:rsidR="0075033F" w:rsidRPr="00B76FB4">
        <w:rPr>
          <w:rFonts w:ascii="Times New Roman" w:hAnsi="Times New Roman" w:cs="Times New Roman"/>
          <w:b/>
          <w:bCs/>
          <w:sz w:val="24"/>
        </w:rPr>
        <w:t>ne”</w:t>
      </w:r>
      <w:r w:rsidR="008A2C95" w:rsidRPr="00B76FB4">
        <w:rPr>
          <w:rFonts w:ascii="Times New Roman" w:hAnsi="Times New Roman" w:cs="Times New Roman"/>
          <w:b/>
          <w:bCs/>
          <w:sz w:val="24"/>
        </w:rPr>
        <w:t xml:space="preserve"> </w:t>
      </w:r>
      <w:r w:rsidR="00C03E5A" w:rsidRPr="00B76FB4">
        <w:rPr>
          <w:rFonts w:ascii="Times New Roman" w:hAnsi="Times New Roman" w:cs="Times New Roman"/>
          <w:b/>
          <w:bCs/>
          <w:sz w:val="24"/>
        </w:rPr>
        <w:t>N</w:t>
      </w:r>
      <w:r w:rsidR="008A2C95" w:rsidRPr="00B76FB4">
        <w:rPr>
          <w:rFonts w:ascii="Times New Roman" w:hAnsi="Times New Roman" w:cs="Times New Roman"/>
          <w:b/>
          <w:bCs/>
          <w:sz w:val="24"/>
        </w:rPr>
        <w:t xml:space="preserve">euritic </w:t>
      </w:r>
      <w:r w:rsidR="00C03E5A" w:rsidRPr="00B76FB4">
        <w:rPr>
          <w:rFonts w:ascii="Times New Roman" w:hAnsi="Times New Roman" w:cs="Times New Roman"/>
          <w:b/>
          <w:bCs/>
          <w:sz w:val="24"/>
        </w:rPr>
        <w:t>P</w:t>
      </w:r>
      <w:r w:rsidR="008A2C95" w:rsidRPr="00B76FB4">
        <w:rPr>
          <w:rFonts w:ascii="Times New Roman" w:hAnsi="Times New Roman" w:cs="Times New Roman"/>
          <w:b/>
          <w:bCs/>
          <w:sz w:val="24"/>
        </w:rPr>
        <w:t xml:space="preserve">laque on </w:t>
      </w:r>
      <w:r w:rsidRPr="00B76FB4">
        <w:rPr>
          <w:rFonts w:ascii="Times New Roman" w:hAnsi="Times New Roman" w:cs="Times New Roman"/>
          <w:b/>
          <w:bCs/>
          <w:sz w:val="24"/>
        </w:rPr>
        <w:t xml:space="preserve">CERAD </w:t>
      </w:r>
      <w:r w:rsidR="00C03E5A" w:rsidRPr="00B76FB4">
        <w:rPr>
          <w:rFonts w:ascii="Times New Roman" w:hAnsi="Times New Roman" w:cs="Times New Roman"/>
          <w:b/>
          <w:bCs/>
          <w:sz w:val="24"/>
        </w:rPr>
        <w:t>S</w:t>
      </w:r>
      <w:r w:rsidRPr="00B76FB4">
        <w:rPr>
          <w:rFonts w:ascii="Times New Roman" w:hAnsi="Times New Roman" w:cs="Times New Roman"/>
          <w:b/>
          <w:bCs/>
          <w:sz w:val="24"/>
        </w:rPr>
        <w:t>core</w:t>
      </w:r>
    </w:p>
    <w:p w14:paraId="5B8B05AE" w14:textId="0039BE1F" w:rsidR="00DE72C3" w:rsidRPr="00B76FB4" w:rsidRDefault="007B5268" w:rsidP="007B5268">
      <w:pPr>
        <w:rPr>
          <w:rFonts w:ascii="Times New Roman" w:hAnsi="Times New Roman" w:cs="Times New Roman"/>
          <w:sz w:val="24"/>
        </w:rPr>
      </w:pPr>
      <w:r w:rsidRPr="00B76FB4">
        <w:rPr>
          <w:rFonts w:ascii="Times New Roman" w:hAnsi="Times New Roman" w:cs="Times New Roman"/>
          <w:sz w:val="24"/>
        </w:rPr>
        <w:t xml:space="preserve">While patients with </w:t>
      </w:r>
      <w:r w:rsidR="0075033F" w:rsidRPr="00B76FB4">
        <w:rPr>
          <w:rFonts w:ascii="Times New Roman" w:hAnsi="Times New Roman" w:cs="Times New Roman"/>
          <w:sz w:val="24"/>
        </w:rPr>
        <w:t xml:space="preserve">a </w:t>
      </w:r>
      <w:r w:rsidRPr="00B76FB4">
        <w:rPr>
          <w:rFonts w:ascii="Times New Roman" w:hAnsi="Times New Roman" w:cs="Times New Roman"/>
          <w:sz w:val="24"/>
        </w:rPr>
        <w:t xml:space="preserve">pathological diagnosis of primary tauopathy </w:t>
      </w:r>
      <w:r w:rsidR="0075033F" w:rsidRPr="00B76FB4">
        <w:rPr>
          <w:rFonts w:ascii="Times New Roman" w:hAnsi="Times New Roman" w:cs="Times New Roman"/>
          <w:sz w:val="24"/>
        </w:rPr>
        <w:t xml:space="preserve">represented </w:t>
      </w:r>
      <w:r w:rsidRPr="00B76FB4">
        <w:rPr>
          <w:rFonts w:ascii="Times New Roman" w:hAnsi="Times New Roman" w:cs="Times New Roman"/>
          <w:sz w:val="24"/>
        </w:rPr>
        <w:t xml:space="preserve">23.6% of the total cohort, primary tauopathy </w:t>
      </w:r>
      <w:r w:rsidR="0075033F" w:rsidRPr="00B76FB4">
        <w:rPr>
          <w:rFonts w:ascii="Times New Roman" w:hAnsi="Times New Roman" w:cs="Times New Roman"/>
          <w:sz w:val="24"/>
        </w:rPr>
        <w:t>accounted for</w:t>
      </w:r>
      <w:r w:rsidR="005E48FD" w:rsidRPr="00B76FB4">
        <w:rPr>
          <w:rFonts w:ascii="Times New Roman" w:hAnsi="Times New Roman" w:cs="Times New Roman"/>
          <w:sz w:val="24"/>
        </w:rPr>
        <w:t xml:space="preserve"> </w:t>
      </w:r>
      <w:r w:rsidRPr="00B76FB4">
        <w:rPr>
          <w:rFonts w:ascii="Times New Roman" w:hAnsi="Times New Roman" w:cs="Times New Roman"/>
          <w:sz w:val="24"/>
        </w:rPr>
        <w:t xml:space="preserve">40.9% and was the most </w:t>
      </w:r>
      <w:r w:rsidR="0075033F" w:rsidRPr="00B76FB4">
        <w:rPr>
          <w:rFonts w:ascii="Times New Roman" w:hAnsi="Times New Roman" w:cs="Times New Roman"/>
          <w:sz w:val="24"/>
        </w:rPr>
        <w:t xml:space="preserve">common </w:t>
      </w:r>
      <w:r w:rsidRPr="00B76FB4">
        <w:rPr>
          <w:rFonts w:ascii="Times New Roman" w:hAnsi="Times New Roman" w:cs="Times New Roman"/>
          <w:sz w:val="24"/>
        </w:rPr>
        <w:t>diagnostic group with decreased CSF Aβ42 and no neuritic plaques on CERAD at autopsy. Five patients with PSP and 3 patients with CBD were included. Diagnosi</w:t>
      </w:r>
      <w:r w:rsidR="0075033F" w:rsidRPr="00B76FB4">
        <w:rPr>
          <w:rFonts w:ascii="Times New Roman" w:hAnsi="Times New Roman" w:cs="Times New Roman"/>
          <w:sz w:val="24"/>
        </w:rPr>
        <w:t>e</w:t>
      </w:r>
      <w:r w:rsidRPr="00B76FB4">
        <w:rPr>
          <w:rFonts w:ascii="Times New Roman" w:hAnsi="Times New Roman" w:cs="Times New Roman"/>
          <w:sz w:val="24"/>
        </w:rPr>
        <w:t xml:space="preserve">s in patients with </w:t>
      </w:r>
      <w:r w:rsidR="005E48FD" w:rsidRPr="00B76FB4">
        <w:rPr>
          <w:rFonts w:ascii="Times New Roman" w:hAnsi="Times New Roman" w:cs="Times New Roman"/>
          <w:sz w:val="24"/>
        </w:rPr>
        <w:t>“</w:t>
      </w:r>
      <w:r w:rsidR="0075033F" w:rsidRPr="00B76FB4">
        <w:rPr>
          <w:rFonts w:ascii="Times New Roman" w:hAnsi="Times New Roman" w:cs="Times New Roman"/>
          <w:sz w:val="24"/>
        </w:rPr>
        <w:t>O</w:t>
      </w:r>
      <w:r w:rsidRPr="00B76FB4">
        <w:rPr>
          <w:rFonts w:ascii="Times New Roman" w:hAnsi="Times New Roman" w:cs="Times New Roman"/>
          <w:sz w:val="24"/>
        </w:rPr>
        <w:t>ther</w:t>
      </w:r>
      <w:r w:rsidR="005E48FD" w:rsidRPr="00B76FB4">
        <w:rPr>
          <w:rFonts w:ascii="Times New Roman" w:hAnsi="Times New Roman" w:cs="Times New Roman"/>
          <w:sz w:val="24"/>
        </w:rPr>
        <w:t>”</w:t>
      </w:r>
      <w:r w:rsidRPr="00B76FB4">
        <w:rPr>
          <w:rFonts w:ascii="Times New Roman" w:hAnsi="Times New Roman" w:cs="Times New Roman"/>
          <w:sz w:val="24"/>
        </w:rPr>
        <w:t xml:space="preserve"> included meningitis, cerebritis, and intravascular lymphoma.</w:t>
      </w:r>
    </w:p>
    <w:p w14:paraId="17F9830C" w14:textId="5B778392" w:rsidR="00CF2CCD" w:rsidRPr="00B76FB4" w:rsidRDefault="007B5268" w:rsidP="007B5268">
      <w:pPr>
        <w:rPr>
          <w:rFonts w:ascii="Times New Roman" w:hAnsi="Times New Roman" w:cs="Times New Roman"/>
          <w:sz w:val="24"/>
        </w:rPr>
      </w:pPr>
      <w:r w:rsidRPr="00B76FB4">
        <w:rPr>
          <w:rFonts w:ascii="Times New Roman" w:hAnsi="Times New Roman" w:cs="Times New Roman"/>
          <w:sz w:val="24"/>
        </w:rPr>
        <w:t>AD:</w:t>
      </w:r>
      <w:r w:rsidR="0049026D" w:rsidRPr="00B76FB4">
        <w:rPr>
          <w:rFonts w:ascii="Times New Roman" w:hAnsi="Times New Roman" w:cs="Times New Roman"/>
          <w:sz w:val="24"/>
        </w:rPr>
        <w:t xml:space="preserve"> </w:t>
      </w:r>
      <w:r w:rsidRPr="00B76FB4">
        <w:rPr>
          <w:rFonts w:ascii="Times New Roman" w:hAnsi="Times New Roman" w:cs="Times New Roman"/>
          <w:sz w:val="24"/>
        </w:rPr>
        <w:t>Alzheimer’s disease, PSP: progressive supranuclear palsy, CBD: corticobasal degeneration, PiD: Pick's disease, DG: dementia with grains, AGD: argyrophilic grain disease, CVD: cerebrovascular disease, MSA: multiple system atrophy, SCD: spinocerebellar degeneration, CJD: Creutzfeldt-Jakob disease</w:t>
      </w:r>
    </w:p>
    <w:p w14:paraId="13F818C6" w14:textId="77777777" w:rsidR="00CF2CCD" w:rsidRPr="00B76FB4" w:rsidRDefault="00CF2CCD">
      <w:pPr>
        <w:widowControl/>
        <w:jc w:val="left"/>
        <w:rPr>
          <w:rFonts w:ascii="Times New Roman" w:hAnsi="Times New Roman" w:cs="Times New Roman"/>
          <w:sz w:val="24"/>
        </w:rPr>
      </w:pPr>
      <w:r w:rsidRPr="00B76FB4">
        <w:rPr>
          <w:rFonts w:ascii="Times New Roman" w:hAnsi="Times New Roman" w:cs="Times New Roman"/>
          <w:sz w:val="24"/>
        </w:rPr>
        <w:br w:type="page"/>
      </w:r>
    </w:p>
    <w:p w14:paraId="2904C9B4" w14:textId="7025DE5D" w:rsidR="00DE72C3" w:rsidRPr="00B76FB4" w:rsidRDefault="00CF2CCD" w:rsidP="007B5268">
      <w:pPr>
        <w:rPr>
          <w:rFonts w:ascii="Times New Roman" w:hAnsi="Times New Roman" w:cs="Times New Roman"/>
          <w:sz w:val="24"/>
        </w:rPr>
      </w:pPr>
      <w:r w:rsidRPr="00B76FB4">
        <w:rPr>
          <w:noProof/>
        </w:rPr>
        <w:lastRenderedPageBreak/>
        <w:drawing>
          <wp:inline distT="0" distB="0" distL="0" distR="0" wp14:anchorId="3CC49F57" wp14:editId="125B2841">
            <wp:extent cx="5730395" cy="3125469"/>
            <wp:effectExtent l="0" t="0" r="3810" b="0"/>
            <wp:docPr id="690278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8890"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0395" cy="3125469"/>
                    </a:xfrm>
                    <a:prstGeom prst="rect">
                      <a:avLst/>
                    </a:prstGeom>
                    <a:noFill/>
                    <a:ln>
                      <a:noFill/>
                    </a:ln>
                  </pic:spPr>
                </pic:pic>
              </a:graphicData>
            </a:graphic>
          </wp:inline>
        </w:drawing>
      </w:r>
    </w:p>
    <w:p w14:paraId="54D8FAB5" w14:textId="6394F97C" w:rsidR="00CF2CCD" w:rsidRPr="00B76FB4" w:rsidRDefault="00CF2CCD" w:rsidP="00CF2CCD">
      <w:pPr>
        <w:spacing w:after="240"/>
        <w:rPr>
          <w:rFonts w:ascii="Times New Roman" w:hAnsi="Times New Roman" w:cs="Times New Roman"/>
          <w:b/>
          <w:bCs/>
          <w:sz w:val="24"/>
        </w:rPr>
      </w:pPr>
      <w:bookmarkStart w:id="0" w:name="_Hlk160373430"/>
      <w:r w:rsidRPr="00B76FB4">
        <w:rPr>
          <w:rFonts w:ascii="Times New Roman" w:hAnsi="Times New Roman" w:cs="Times New Roman"/>
          <w:b/>
          <w:bCs/>
          <w:sz w:val="24"/>
        </w:rPr>
        <w:t xml:space="preserve">Supplementary Figure </w:t>
      </w:r>
      <w:r w:rsidR="00FB36D9" w:rsidRPr="00B76FB4">
        <w:rPr>
          <w:rFonts w:ascii="Times New Roman" w:hAnsi="Times New Roman" w:cs="Times New Roman"/>
          <w:b/>
          <w:bCs/>
          <w:sz w:val="24"/>
        </w:rPr>
        <w:t>5</w:t>
      </w:r>
      <w:r w:rsidRPr="00B76FB4">
        <w:rPr>
          <w:rFonts w:ascii="Times New Roman" w:hAnsi="Times New Roman" w:cs="Times New Roman"/>
          <w:b/>
          <w:bCs/>
          <w:sz w:val="24"/>
        </w:rPr>
        <w:t xml:space="preserve">. CSF Aβ42 in </w:t>
      </w:r>
      <w:r w:rsidR="00635062" w:rsidRPr="00B76FB4">
        <w:rPr>
          <w:rFonts w:ascii="Times New Roman" w:hAnsi="Times New Roman" w:cs="Times New Roman"/>
          <w:b/>
          <w:bCs/>
          <w:sz w:val="24"/>
        </w:rPr>
        <w:t>C</w:t>
      </w:r>
      <w:r w:rsidRPr="00B76FB4">
        <w:rPr>
          <w:rFonts w:ascii="Times New Roman" w:hAnsi="Times New Roman" w:cs="Times New Roman"/>
          <w:b/>
          <w:bCs/>
          <w:sz w:val="24"/>
        </w:rPr>
        <w:t>ontrol, AD, DLB/PDD, and PSP/CBD</w:t>
      </w:r>
    </w:p>
    <w:p w14:paraId="50D0EB41" w14:textId="423F6089" w:rsidR="00CF2CCD" w:rsidRPr="00B76FB4" w:rsidRDefault="00CF2CCD" w:rsidP="00CF2CCD">
      <w:pPr>
        <w:rPr>
          <w:rFonts w:ascii="Times New Roman" w:hAnsi="Times New Roman" w:cs="Times New Roman"/>
          <w:sz w:val="24"/>
        </w:rPr>
      </w:pPr>
      <w:r w:rsidRPr="00B76FB4">
        <w:rPr>
          <w:rFonts w:ascii="Times New Roman" w:hAnsi="Times New Roman" w:cs="Times New Roman" w:hint="eastAsia"/>
          <w:sz w:val="24"/>
        </w:rPr>
        <w:t>(A) B</w:t>
      </w:r>
      <w:r w:rsidRPr="00B76FB4">
        <w:rPr>
          <w:rFonts w:ascii="Times New Roman" w:hAnsi="Times New Roman" w:cs="Times New Roman"/>
          <w:sz w:val="24"/>
        </w:rPr>
        <w:t>aseline characteristics of patients with AD, DLB/PDD, and PSP/CBD and age-matched</w:t>
      </w:r>
      <w:r w:rsidR="0049026D" w:rsidRPr="00B76FB4">
        <w:rPr>
          <w:rFonts w:ascii="Times New Roman" w:hAnsi="Times New Roman" w:cs="Times New Roman"/>
          <w:sz w:val="24"/>
        </w:rPr>
        <w:t xml:space="preserve"> </w:t>
      </w:r>
      <w:r w:rsidRPr="00B76FB4">
        <w:rPr>
          <w:rFonts w:ascii="Times New Roman" w:hAnsi="Times New Roman" w:cs="Times New Roman"/>
          <w:sz w:val="24"/>
        </w:rPr>
        <w:t>control</w:t>
      </w:r>
      <w:r w:rsidR="0075033F" w:rsidRPr="00B76FB4">
        <w:rPr>
          <w:rFonts w:ascii="Times New Roman" w:hAnsi="Times New Roman" w:cs="Times New Roman"/>
          <w:sz w:val="24"/>
        </w:rPr>
        <w:t>s</w:t>
      </w:r>
      <w:r w:rsidRPr="00B76FB4">
        <w:rPr>
          <w:rFonts w:ascii="Times New Roman" w:hAnsi="Times New Roman" w:cs="Times New Roman"/>
          <w:sz w:val="24"/>
        </w:rPr>
        <w:t xml:space="preserve"> without significant brain pathology. (B) </w:t>
      </w:r>
      <w:r w:rsidRPr="00B76FB4">
        <w:rPr>
          <w:rFonts w:ascii="Times New Roman" w:hAnsi="Times New Roman" w:cs="Times New Roman" w:hint="eastAsia"/>
          <w:sz w:val="24"/>
        </w:rPr>
        <w:t>C</w:t>
      </w:r>
      <w:r w:rsidRPr="00B76FB4">
        <w:rPr>
          <w:rFonts w:ascii="Times New Roman" w:hAnsi="Times New Roman" w:cs="Times New Roman"/>
          <w:sz w:val="24"/>
        </w:rPr>
        <w:t xml:space="preserve">SF Aβ42 was significantly lower in AD and PSP/CBD and tended to be lower in DLB/PDD compared to control. </w:t>
      </w:r>
      <w:bookmarkStart w:id="1" w:name="_Hlk160691306"/>
      <w:r w:rsidR="003855AD" w:rsidRPr="00B76FB4">
        <w:rPr>
          <w:rFonts w:ascii="Times New Roman" w:hAnsi="Times New Roman" w:cs="Times New Roman"/>
          <w:sz w:val="24"/>
        </w:rPr>
        <w:t xml:space="preserve">Nine patients (42.9%) with DLB/PDD and 15 (68.2%) patients with PSP/CBD </w:t>
      </w:r>
      <w:r w:rsidR="0075033F" w:rsidRPr="00B76FB4">
        <w:rPr>
          <w:rFonts w:ascii="Times New Roman" w:hAnsi="Times New Roman" w:cs="Times New Roman"/>
          <w:sz w:val="24"/>
        </w:rPr>
        <w:t xml:space="preserve">had </w:t>
      </w:r>
      <w:r w:rsidR="003855AD" w:rsidRPr="00B76FB4">
        <w:rPr>
          <w:rFonts w:ascii="Times New Roman" w:hAnsi="Times New Roman" w:cs="Times New Roman"/>
          <w:sz w:val="24"/>
        </w:rPr>
        <w:t>CSF Aβ42 values below the cut-off.</w:t>
      </w:r>
      <w:bookmarkEnd w:id="1"/>
      <w:r w:rsidR="003855AD" w:rsidRPr="00B76FB4">
        <w:rPr>
          <w:rFonts w:ascii="Times New Roman" w:hAnsi="Times New Roman" w:cs="Times New Roman"/>
          <w:sz w:val="24"/>
        </w:rPr>
        <w:t xml:space="preserve"> </w:t>
      </w:r>
    </w:p>
    <w:bookmarkEnd w:id="0"/>
    <w:p w14:paraId="505B3AB2" w14:textId="5D917AE6" w:rsidR="00F3553F" w:rsidRPr="00B76FB4" w:rsidRDefault="00CF2CCD" w:rsidP="00CF2CCD">
      <w:pPr>
        <w:rPr>
          <w:rFonts w:ascii="Times New Roman" w:hAnsi="Times New Roman" w:cs="Times New Roman"/>
          <w:sz w:val="24"/>
        </w:rPr>
      </w:pPr>
      <w:r w:rsidRPr="00B76FB4">
        <w:rPr>
          <w:rFonts w:ascii="Times New Roman" w:hAnsi="Times New Roman" w:cs="Times New Roman"/>
          <w:sz w:val="24"/>
        </w:rPr>
        <w:t>AD:</w:t>
      </w:r>
      <w:r w:rsidR="0049026D" w:rsidRPr="00B76FB4">
        <w:rPr>
          <w:rFonts w:ascii="Times New Roman" w:hAnsi="Times New Roman" w:cs="Times New Roman"/>
          <w:sz w:val="24"/>
        </w:rPr>
        <w:t xml:space="preserve"> </w:t>
      </w:r>
      <w:r w:rsidRPr="00B76FB4">
        <w:rPr>
          <w:rFonts w:ascii="Times New Roman" w:hAnsi="Times New Roman" w:cs="Times New Roman"/>
          <w:sz w:val="24"/>
        </w:rPr>
        <w:t>Alzheimer’s disease, DLB: dementia with Lewy bodies, PDD: Parkinson’s disease with dementia, PSP: progressive supranuclear palsy, CBD: corticobasal degeneration</w:t>
      </w:r>
    </w:p>
    <w:p w14:paraId="2482501B" w14:textId="77777777" w:rsidR="005F16F9" w:rsidRPr="00B76FB4" w:rsidRDefault="00F3553F">
      <w:pPr>
        <w:widowControl/>
        <w:jc w:val="left"/>
        <w:rPr>
          <w:rFonts w:ascii="Times New Roman" w:hAnsi="Times New Roman" w:cs="Times New Roman"/>
          <w:sz w:val="24"/>
        </w:rPr>
      </w:pPr>
      <w:r w:rsidRPr="00B76FB4">
        <w:rPr>
          <w:rFonts w:ascii="Times New Roman" w:hAnsi="Times New Roman" w:cs="Times New Roman"/>
          <w:sz w:val="24"/>
        </w:rPr>
        <w:br w:type="page"/>
      </w:r>
    </w:p>
    <w:p w14:paraId="42308DBE" w14:textId="7053FF75" w:rsidR="005F16F9" w:rsidRPr="00B76FB4" w:rsidRDefault="000B6739" w:rsidP="005F16F9">
      <w:pPr>
        <w:spacing w:after="240"/>
        <w:rPr>
          <w:rFonts w:ascii="Times New Roman" w:hAnsi="Times New Roman" w:cs="Times New Roman"/>
          <w:b/>
          <w:bCs/>
          <w:sz w:val="24"/>
        </w:rPr>
      </w:pPr>
      <w:r w:rsidRPr="00B76FB4">
        <w:rPr>
          <w:noProof/>
        </w:rPr>
        <w:lastRenderedPageBreak/>
        <w:drawing>
          <wp:inline distT="0" distB="0" distL="0" distR="0" wp14:anchorId="35930D48" wp14:editId="32364134">
            <wp:extent cx="4677548" cy="2806133"/>
            <wp:effectExtent l="0" t="0" r="8890" b="0"/>
            <wp:docPr id="1331617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17110" name="図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77548" cy="2806133"/>
                    </a:xfrm>
                    <a:prstGeom prst="rect">
                      <a:avLst/>
                    </a:prstGeom>
                    <a:noFill/>
                    <a:ln>
                      <a:noFill/>
                    </a:ln>
                  </pic:spPr>
                </pic:pic>
              </a:graphicData>
            </a:graphic>
          </wp:inline>
        </w:drawing>
      </w:r>
    </w:p>
    <w:p w14:paraId="11EE69F5" w14:textId="409FA37A" w:rsidR="005F16F9" w:rsidRPr="00B76FB4" w:rsidRDefault="005F16F9" w:rsidP="005F16F9">
      <w:pPr>
        <w:spacing w:after="240"/>
        <w:rPr>
          <w:rFonts w:ascii="Times New Roman" w:hAnsi="Times New Roman" w:cs="Times New Roman"/>
          <w:b/>
          <w:bCs/>
          <w:sz w:val="24"/>
        </w:rPr>
      </w:pPr>
      <w:r w:rsidRPr="00B76FB4">
        <w:rPr>
          <w:rFonts w:ascii="Times New Roman" w:hAnsi="Times New Roman" w:cs="Times New Roman"/>
          <w:b/>
          <w:bCs/>
          <w:sz w:val="24"/>
        </w:rPr>
        <w:t xml:space="preserve">Supplementary Figure 6. CSF Aβ42 </w:t>
      </w:r>
      <w:r w:rsidR="0075033F" w:rsidRPr="00B76FB4">
        <w:rPr>
          <w:rFonts w:ascii="Times New Roman" w:hAnsi="Times New Roman" w:cs="Times New Roman"/>
          <w:b/>
          <w:bCs/>
          <w:sz w:val="24"/>
        </w:rPr>
        <w:t>by</w:t>
      </w:r>
      <w:r w:rsidRPr="00B76FB4">
        <w:rPr>
          <w:rFonts w:ascii="Times New Roman" w:hAnsi="Times New Roman" w:cs="Times New Roman"/>
          <w:b/>
          <w:bCs/>
          <w:sz w:val="24"/>
        </w:rPr>
        <w:t xml:space="preserve"> </w:t>
      </w:r>
      <w:r w:rsidR="000B6739" w:rsidRPr="00B76FB4">
        <w:rPr>
          <w:rFonts w:ascii="Times New Roman" w:hAnsi="Times New Roman" w:cs="Times New Roman"/>
          <w:b/>
          <w:bCs/>
          <w:sz w:val="24"/>
        </w:rPr>
        <w:t xml:space="preserve">BBAR </w:t>
      </w:r>
      <w:r w:rsidRPr="00B76FB4">
        <w:rPr>
          <w:rFonts w:ascii="Times New Roman" w:hAnsi="Times New Roman" w:cs="Times New Roman"/>
          <w:b/>
          <w:bCs/>
          <w:sz w:val="24"/>
        </w:rPr>
        <w:t>Lewy body stage</w:t>
      </w:r>
    </w:p>
    <w:p w14:paraId="0009C59B" w14:textId="66EAE84B" w:rsidR="005F16F9" w:rsidRPr="00B76FB4" w:rsidRDefault="000B6739">
      <w:pPr>
        <w:widowControl/>
        <w:jc w:val="left"/>
        <w:rPr>
          <w:rFonts w:ascii="Times New Roman" w:hAnsi="Times New Roman" w:cs="Times New Roman"/>
          <w:sz w:val="24"/>
        </w:rPr>
      </w:pPr>
      <w:r w:rsidRPr="00B76FB4">
        <w:rPr>
          <w:rFonts w:ascii="Times New Roman" w:hAnsi="Times New Roman" w:cs="Times New Roman"/>
          <w:sz w:val="24"/>
        </w:rPr>
        <w:t xml:space="preserve">CSF Aβ42 levels compared between patients grouped by Brain Bank for Aging Research (BBAR) Lewy body (LB) stage at autopsy. (A) </w:t>
      </w:r>
      <w:r w:rsidR="008905C7" w:rsidRPr="00B76FB4">
        <w:rPr>
          <w:rFonts w:ascii="Times New Roman" w:hAnsi="Times New Roman" w:cs="Times New Roman"/>
          <w:sz w:val="24"/>
        </w:rPr>
        <w:t xml:space="preserve">Analysis </w:t>
      </w:r>
      <w:r w:rsidR="0075033F" w:rsidRPr="00B76FB4">
        <w:rPr>
          <w:rFonts w:ascii="Times New Roman" w:hAnsi="Times New Roman" w:cs="Times New Roman"/>
          <w:sz w:val="24"/>
        </w:rPr>
        <w:t xml:space="preserve">of </w:t>
      </w:r>
      <w:r w:rsidR="008905C7" w:rsidRPr="00B76FB4">
        <w:rPr>
          <w:rFonts w:ascii="Times New Roman" w:hAnsi="Times New Roman" w:cs="Times New Roman"/>
          <w:sz w:val="24"/>
        </w:rPr>
        <w:t xml:space="preserve">all patients (n = 127). Although one-way ANOVA </w:t>
      </w:r>
      <w:r w:rsidR="00930585" w:rsidRPr="00B76FB4">
        <w:rPr>
          <w:rFonts w:ascii="Times New Roman" w:hAnsi="Times New Roman" w:cs="Times New Roman"/>
          <w:sz w:val="24"/>
        </w:rPr>
        <w:t xml:space="preserve">was </w:t>
      </w:r>
      <w:r w:rsidR="008905C7" w:rsidRPr="00B76FB4">
        <w:rPr>
          <w:rFonts w:ascii="Times New Roman" w:hAnsi="Times New Roman" w:cs="Times New Roman"/>
          <w:sz w:val="24"/>
        </w:rPr>
        <w:t xml:space="preserve">significant, post-hoc comparison showed no significant difference </w:t>
      </w:r>
      <w:r w:rsidR="00930585" w:rsidRPr="00B76FB4">
        <w:rPr>
          <w:rFonts w:ascii="Times New Roman" w:hAnsi="Times New Roman" w:cs="Times New Roman"/>
          <w:sz w:val="24"/>
        </w:rPr>
        <w:t xml:space="preserve">between groups </w:t>
      </w:r>
      <w:r w:rsidR="008905C7" w:rsidRPr="00B76FB4">
        <w:rPr>
          <w:rFonts w:ascii="Times New Roman" w:hAnsi="Times New Roman" w:cs="Times New Roman"/>
          <w:sz w:val="24"/>
        </w:rPr>
        <w:t>and the trend was not consisten</w:t>
      </w:r>
      <w:r w:rsidR="007C166B" w:rsidRPr="00B76FB4">
        <w:rPr>
          <w:rFonts w:ascii="Times New Roman" w:hAnsi="Times New Roman" w:cs="Times New Roman"/>
          <w:sz w:val="24"/>
        </w:rPr>
        <w:t>t</w:t>
      </w:r>
      <w:r w:rsidR="008905C7" w:rsidRPr="00B76FB4">
        <w:rPr>
          <w:rFonts w:ascii="Times New Roman" w:hAnsi="Times New Roman" w:cs="Times New Roman"/>
          <w:sz w:val="24"/>
        </w:rPr>
        <w:t xml:space="preserve"> with increasing LB pathol</w:t>
      </w:r>
      <w:r w:rsidR="007C166B" w:rsidRPr="00B76FB4">
        <w:rPr>
          <w:rFonts w:ascii="Times New Roman" w:hAnsi="Times New Roman" w:cs="Times New Roman"/>
          <w:sz w:val="24"/>
        </w:rPr>
        <w:t>o</w:t>
      </w:r>
      <w:r w:rsidR="008905C7" w:rsidRPr="00B76FB4">
        <w:rPr>
          <w:rFonts w:ascii="Times New Roman" w:hAnsi="Times New Roman" w:cs="Times New Roman"/>
          <w:sz w:val="24"/>
        </w:rPr>
        <w:t xml:space="preserve">gy. (B) Analysis </w:t>
      </w:r>
      <w:r w:rsidR="007C166B" w:rsidRPr="00B76FB4">
        <w:rPr>
          <w:rFonts w:ascii="Times New Roman" w:hAnsi="Times New Roman" w:cs="Times New Roman"/>
          <w:sz w:val="24"/>
        </w:rPr>
        <w:t>limit</w:t>
      </w:r>
      <w:r w:rsidR="0075033F" w:rsidRPr="00B76FB4">
        <w:rPr>
          <w:rFonts w:ascii="Times New Roman" w:hAnsi="Times New Roman" w:cs="Times New Roman"/>
          <w:sz w:val="24"/>
        </w:rPr>
        <w:t>ed to</w:t>
      </w:r>
      <w:r w:rsidR="007C166B" w:rsidRPr="00B76FB4">
        <w:rPr>
          <w:rFonts w:ascii="Times New Roman" w:hAnsi="Times New Roman" w:cs="Times New Roman"/>
          <w:sz w:val="24"/>
        </w:rPr>
        <w:t xml:space="preserve"> </w:t>
      </w:r>
      <w:r w:rsidR="008905C7" w:rsidRPr="00B76FB4">
        <w:rPr>
          <w:rFonts w:ascii="Times New Roman" w:hAnsi="Times New Roman" w:cs="Times New Roman"/>
          <w:sz w:val="24"/>
        </w:rPr>
        <w:t>patients with none or sparce CERAD (n =</w:t>
      </w:r>
      <w:r w:rsidR="00930585" w:rsidRPr="00B76FB4">
        <w:rPr>
          <w:rFonts w:ascii="Times New Roman" w:hAnsi="Times New Roman" w:cs="Times New Roman"/>
          <w:sz w:val="24"/>
        </w:rPr>
        <w:t xml:space="preserve"> 69</w:t>
      </w:r>
      <w:r w:rsidR="008905C7" w:rsidRPr="00B76FB4">
        <w:rPr>
          <w:rFonts w:ascii="Times New Roman" w:hAnsi="Times New Roman" w:cs="Times New Roman"/>
          <w:sz w:val="24"/>
        </w:rPr>
        <w:t>)</w:t>
      </w:r>
      <w:r w:rsidR="00930585" w:rsidRPr="00B76FB4">
        <w:rPr>
          <w:rFonts w:ascii="Times New Roman" w:hAnsi="Times New Roman" w:cs="Times New Roman"/>
          <w:sz w:val="24"/>
        </w:rPr>
        <w:t>.</w:t>
      </w:r>
      <w:r w:rsidR="007C166B" w:rsidRPr="00B76FB4">
        <w:rPr>
          <w:rFonts w:ascii="Times New Roman" w:hAnsi="Times New Roman" w:cs="Times New Roman"/>
          <w:sz w:val="24"/>
        </w:rPr>
        <w:t xml:space="preserve"> No difference between groups</w:t>
      </w:r>
      <w:r w:rsidR="0075033F" w:rsidRPr="00B76FB4">
        <w:rPr>
          <w:rFonts w:ascii="Times New Roman" w:hAnsi="Times New Roman" w:cs="Times New Roman"/>
          <w:sz w:val="24"/>
        </w:rPr>
        <w:t xml:space="preserve"> was observed</w:t>
      </w:r>
      <w:r w:rsidR="007C166B" w:rsidRPr="00B76FB4">
        <w:rPr>
          <w:rFonts w:ascii="Times New Roman" w:hAnsi="Times New Roman" w:cs="Times New Roman"/>
          <w:sz w:val="24"/>
        </w:rPr>
        <w:t xml:space="preserve">. </w:t>
      </w:r>
    </w:p>
    <w:p w14:paraId="3124A8A4" w14:textId="3647EADC" w:rsidR="005F16F9" w:rsidRPr="00B76FB4" w:rsidRDefault="005F16F9">
      <w:pPr>
        <w:widowControl/>
        <w:jc w:val="left"/>
        <w:rPr>
          <w:rFonts w:ascii="Times New Roman" w:hAnsi="Times New Roman" w:cs="Times New Roman"/>
          <w:sz w:val="24"/>
        </w:rPr>
      </w:pPr>
      <w:r w:rsidRPr="00B76FB4">
        <w:rPr>
          <w:rFonts w:ascii="Times New Roman" w:hAnsi="Times New Roman" w:cs="Times New Roman"/>
          <w:sz w:val="24"/>
        </w:rPr>
        <w:br w:type="page"/>
      </w:r>
    </w:p>
    <w:p w14:paraId="2315FC78" w14:textId="11D1DAA7" w:rsidR="00767C76" w:rsidRPr="00B76FB4" w:rsidRDefault="00767C76" w:rsidP="00F3553F">
      <w:pPr>
        <w:spacing w:after="240"/>
        <w:rPr>
          <w:rFonts w:ascii="Times New Roman" w:hAnsi="Times New Roman" w:cs="Times New Roman"/>
          <w:b/>
          <w:bCs/>
          <w:sz w:val="24"/>
        </w:rPr>
      </w:pPr>
      <w:r w:rsidRPr="00B76FB4">
        <w:rPr>
          <w:noProof/>
        </w:rPr>
        <w:lastRenderedPageBreak/>
        <w:drawing>
          <wp:inline distT="0" distB="0" distL="0" distR="0" wp14:anchorId="3C26F549" wp14:editId="2F130DC5">
            <wp:extent cx="5731510" cy="2722880"/>
            <wp:effectExtent l="0" t="0" r="2540" b="1270"/>
            <wp:docPr id="1452207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22880"/>
                    </a:xfrm>
                    <a:prstGeom prst="rect">
                      <a:avLst/>
                    </a:prstGeom>
                    <a:noFill/>
                    <a:ln>
                      <a:noFill/>
                    </a:ln>
                  </pic:spPr>
                </pic:pic>
              </a:graphicData>
            </a:graphic>
          </wp:inline>
        </w:drawing>
      </w:r>
    </w:p>
    <w:p w14:paraId="7E3A8F8E" w14:textId="77777777" w:rsidR="00767C76" w:rsidRPr="00B76FB4" w:rsidRDefault="00767C76" w:rsidP="00767C76">
      <w:pPr>
        <w:spacing w:after="240"/>
        <w:rPr>
          <w:rFonts w:ascii="Times New Roman" w:hAnsi="Times New Roman" w:cs="Times New Roman"/>
          <w:b/>
          <w:bCs/>
          <w:sz w:val="24"/>
        </w:rPr>
      </w:pPr>
      <w:bookmarkStart w:id="2" w:name="_Hlk160691798"/>
      <w:r w:rsidRPr="00B76FB4">
        <w:rPr>
          <w:rFonts w:ascii="Times New Roman" w:hAnsi="Times New Roman" w:cs="Times New Roman"/>
          <w:b/>
          <w:bCs/>
          <w:sz w:val="24"/>
        </w:rPr>
        <w:t>Supplementary Figure 7. Representative findings in a patient with CBD</w:t>
      </w:r>
    </w:p>
    <w:p w14:paraId="1EA52E50" w14:textId="3747659E" w:rsidR="00F3553F" w:rsidRPr="00767C76" w:rsidRDefault="00767C76" w:rsidP="00767C76">
      <w:pPr>
        <w:rPr>
          <w:rFonts w:ascii="Times New Roman" w:hAnsi="Times New Roman" w:cs="Times New Roman"/>
          <w:sz w:val="24"/>
        </w:rPr>
      </w:pPr>
      <w:r w:rsidRPr="00B76FB4">
        <w:rPr>
          <w:rFonts w:ascii="Times New Roman" w:hAnsi="Times New Roman" w:cs="Times New Roman"/>
          <w:sz w:val="24"/>
        </w:rPr>
        <w:t xml:space="preserve">A 76-year-old woman presented with a 4-year history of frontal cognitive decline and parkinsonism. CSF Aβ42 measured by Innotest ELISA was 393 pg/mL, </w:t>
      </w:r>
      <w:r w:rsidRPr="00B76FB4">
        <w:rPr>
          <w:rFonts w:ascii="Times New Roman" w:hAnsi="Times New Roman" w:cs="Times New Roman" w:hint="eastAsia"/>
          <w:sz w:val="24"/>
        </w:rPr>
        <w:t xml:space="preserve">which was </w:t>
      </w:r>
      <w:r w:rsidRPr="00B76FB4">
        <w:rPr>
          <w:rFonts w:ascii="Times New Roman" w:hAnsi="Times New Roman" w:cs="Times New Roman"/>
          <w:sz w:val="24"/>
        </w:rPr>
        <w:t>below the cut-off (500 pg/mL). However, CSF Aβ42/Aβ40 ratio measured by Lumipulse assay</w:t>
      </w:r>
      <w:r w:rsidRPr="00B76FB4">
        <w:rPr>
          <w:rFonts w:ascii="Times New Roman" w:hAnsi="Times New Roman" w:cs="Times New Roman" w:hint="eastAsia"/>
          <w:sz w:val="24"/>
        </w:rPr>
        <w:t>s</w:t>
      </w:r>
      <w:r w:rsidRPr="00B76FB4">
        <w:rPr>
          <w:rFonts w:ascii="Times New Roman" w:hAnsi="Times New Roman" w:cs="Times New Roman"/>
          <w:sz w:val="24"/>
        </w:rPr>
        <w:t xml:space="preserve"> using the LUMIPULSE system (FUJIREBIO INC., Tokyo, Japan) was 0.077 (Aβ42 392 pg/mL, Aβ40 5117 pg/mL), which was above the cut-off value of 0.067. CSF p-tau181 (26.7 pg/mL) and t-tau (202 pg/mL) measured by ELISA were both within the normal range. The patient was unable to eat and did not want alternative nutrition such as tube feeding, and died one month later. The autopsy was performed at a postmortem interval of 17 h 40 min. Macroscopic image of the brain. The brain weighed 974 g. Convexity atrophy was observed in the bilateral frontal and left parietal lobes (A). Anti-Aβ immunostaining (mouse monoclonal, clone 12B2; IBL, Japan; 1:50) showed only few diffuse plaques limited to the neocortex and transentorhinal cortex (B: parietal cortex, C: entorhynal cortex) with no neuritic plaques (Thal phase 2, CERAD none). Amyloid angiopathy was confined to few small vessel walls in the neocortex, cerebellum</w:t>
      </w:r>
      <w:r w:rsidR="00AB115F" w:rsidRPr="00B76FB4">
        <w:rPr>
          <w:rFonts w:ascii="Times New Roman" w:hAnsi="Times New Roman" w:cs="Times New Roman" w:hint="eastAsia"/>
          <w:sz w:val="24"/>
        </w:rPr>
        <w:t>,</w:t>
      </w:r>
      <w:r w:rsidRPr="00B76FB4">
        <w:rPr>
          <w:rFonts w:ascii="Times New Roman" w:hAnsi="Times New Roman" w:cs="Times New Roman"/>
          <w:sz w:val="24"/>
        </w:rPr>
        <w:t xml:space="preserve"> and hippocampus (D). Gallyas</w:t>
      </w:r>
      <w:r w:rsidRPr="00B76FB4">
        <w:rPr>
          <w:rFonts w:ascii="Times New Roman" w:hAnsi="Times New Roman" w:cs="Times New Roman" w:hint="eastAsia"/>
          <w:sz w:val="24"/>
        </w:rPr>
        <w:t xml:space="preserve"> </w:t>
      </w:r>
      <w:r w:rsidRPr="00B76FB4">
        <w:rPr>
          <w:rFonts w:ascii="Times New Roman" w:hAnsi="Times New Roman" w:cs="Times New Roman"/>
          <w:sz w:val="24"/>
        </w:rPr>
        <w:t xml:space="preserve">stain showed flame-shaped neurofibrillary tangles limited to the entorhynal gyrus and transentorhynal gyrus (Braak NFT stage (rt./lt.) (Ⅱ/Ⅱ) (E). Astrocytic plaques were observed with anti phosphorylated tau immunostaining (mouse monoclonal, clone AT8; Innogenetics, Ghent, Belgium; 1:1000) (F) and Gallyas stain (G). Ballooned neuron was observed which were positive for 4-repeat tau (mouse monoclonal, clone RD4; Upstate, Lake Placid, NY, USA 1:200) (H) but not for 3-repeat tau (mouse monoclonal, clone RD3; Upstate, Lake Placid, NY, USA 1:8000) (I). These findings were consistent with the neuropathological diagnosis of corticobasal degeneration (CBD). </w:t>
      </w:r>
      <w:r w:rsidRPr="00B76FB4">
        <w:rPr>
          <w:rFonts w:ascii="Times New Roman" w:hAnsi="Times New Roman" w:cs="Times New Roman"/>
          <w:sz w:val="24"/>
        </w:rPr>
        <w:br/>
        <w:t>Scale bars: 2cm: (A),100µm: (B, C)</w:t>
      </w:r>
      <w:r w:rsidRPr="00B76FB4">
        <w:rPr>
          <w:rFonts w:ascii="Times New Roman" w:hAnsi="Times New Roman" w:cs="Times New Roman" w:hint="eastAsia"/>
          <w:sz w:val="24"/>
        </w:rPr>
        <w:t xml:space="preserve">, </w:t>
      </w:r>
      <w:r w:rsidRPr="00B76FB4">
        <w:rPr>
          <w:rFonts w:ascii="Times New Roman" w:hAnsi="Times New Roman" w:cs="Times New Roman"/>
          <w:sz w:val="24"/>
        </w:rPr>
        <w:t>250µm</w:t>
      </w:r>
      <w:r w:rsidRPr="00B76FB4">
        <w:rPr>
          <w:rFonts w:ascii="Times New Roman" w:hAnsi="Times New Roman" w:cs="Times New Roman" w:hint="eastAsia"/>
          <w:sz w:val="24"/>
        </w:rPr>
        <w:t xml:space="preserve"> </w:t>
      </w:r>
      <w:r w:rsidRPr="00B76FB4">
        <w:rPr>
          <w:rFonts w:ascii="Times New Roman" w:hAnsi="Times New Roman" w:cs="Times New Roman"/>
          <w:sz w:val="24"/>
        </w:rPr>
        <w:t>(25µm: inset): (D, E), 25µm: (F, G)</w:t>
      </w:r>
      <w:r w:rsidRPr="00B76FB4">
        <w:rPr>
          <w:rFonts w:ascii="Times New Roman" w:hAnsi="Times New Roman" w:cs="Times New Roman" w:hint="eastAsia"/>
          <w:sz w:val="24"/>
        </w:rPr>
        <w:t xml:space="preserve">, </w:t>
      </w:r>
      <w:r w:rsidRPr="00B76FB4">
        <w:rPr>
          <w:rFonts w:ascii="Times New Roman" w:hAnsi="Times New Roman" w:cs="Times New Roman"/>
          <w:sz w:val="24"/>
        </w:rPr>
        <w:t>20µm: (H, I)</w:t>
      </w:r>
      <w:r w:rsidR="00F3553F" w:rsidRPr="00B76FB4">
        <w:rPr>
          <w:rFonts w:eastAsia="游明朝"/>
        </w:rPr>
        <w:fldChar w:fldCharType="begin"/>
      </w:r>
      <w:r w:rsidR="00F3553F" w:rsidRPr="00B76FB4">
        <w:instrText xml:space="preserve"> ADDIN EN.REFLIST </w:instrText>
      </w:r>
      <w:r w:rsidR="00000000" w:rsidRPr="00B76FB4">
        <w:rPr>
          <w:rFonts w:eastAsia="游明朝"/>
        </w:rPr>
        <w:fldChar w:fldCharType="separate"/>
      </w:r>
      <w:r w:rsidR="00F3553F" w:rsidRPr="00B76FB4">
        <w:rPr>
          <w:rFonts w:ascii="Times New Roman" w:hAnsi="Times New Roman" w:cs="Times New Roman"/>
          <w:sz w:val="24"/>
        </w:rPr>
        <w:fldChar w:fldCharType="end"/>
      </w:r>
      <w:bookmarkEnd w:id="2"/>
    </w:p>
    <w:sectPr w:rsidR="00F3553F" w:rsidRPr="00767C76" w:rsidSect="00FB38D7">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FD0F4" w14:textId="77777777" w:rsidR="00FB38D7" w:rsidRDefault="00FB38D7">
      <w:r>
        <w:separator/>
      </w:r>
    </w:p>
  </w:endnote>
  <w:endnote w:type="continuationSeparator" w:id="0">
    <w:p w14:paraId="21DDFA73" w14:textId="77777777" w:rsidR="00FB38D7" w:rsidRDefault="00FB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301E" w14:textId="77777777" w:rsidR="00FB38D7" w:rsidRDefault="00FB38D7">
      <w:r>
        <w:separator/>
      </w:r>
    </w:p>
  </w:footnote>
  <w:footnote w:type="continuationSeparator" w:id="0">
    <w:p w14:paraId="4016F6DD" w14:textId="77777777" w:rsidR="00FB38D7" w:rsidRDefault="00FB3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A224B"/>
    <w:multiLevelType w:val="multilevel"/>
    <w:tmpl w:val="9DFC3CD8"/>
    <w:lvl w:ilvl="0">
      <w:start w:val="1"/>
      <w:numFmt w:val="decimal"/>
      <w:lvlText w:val=""/>
      <w:lvlJc w:val="left"/>
      <w:pPr>
        <w:ind w:left="360" w:hanging="360"/>
      </w:pPr>
      <w:rPr>
        <w:rFonts w:ascii="Wingdings" w:eastAsia="Wingdings" w:hAnsi="Wingdings" w:cs="Wingding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B577ED"/>
    <w:multiLevelType w:val="hybridMultilevel"/>
    <w:tmpl w:val="6ABC1A02"/>
    <w:lvl w:ilvl="0" w:tplc="D7183B18">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747246F"/>
    <w:multiLevelType w:val="multilevel"/>
    <w:tmpl w:val="BB7E5432"/>
    <w:lvl w:ilvl="0">
      <w:start w:val="1"/>
      <w:numFmt w:val="upp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F32E86"/>
    <w:multiLevelType w:val="multilevel"/>
    <w:tmpl w:val="20E8E280"/>
    <w:lvl w:ilvl="0">
      <w:start w:val="1"/>
      <w:numFmt w:val="upperLetter"/>
      <w:lvlText w:val="(%1)"/>
      <w:lvlJc w:val="left"/>
      <w:pPr>
        <w:ind w:left="390" w:hanging="39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3515BF"/>
    <w:multiLevelType w:val="hybridMultilevel"/>
    <w:tmpl w:val="B928E22E"/>
    <w:lvl w:ilvl="0" w:tplc="D1D6B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C828D3"/>
    <w:multiLevelType w:val="multilevel"/>
    <w:tmpl w:val="DA0C8CCC"/>
    <w:lvl w:ilvl="0">
      <w:start w:val="1"/>
      <w:numFmt w:val="upp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B07ABD"/>
    <w:multiLevelType w:val="hybridMultilevel"/>
    <w:tmpl w:val="7F321E8A"/>
    <w:lvl w:ilvl="0" w:tplc="1D8E334E">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98B0C2C"/>
    <w:multiLevelType w:val="hybridMultilevel"/>
    <w:tmpl w:val="B004210A"/>
    <w:lvl w:ilvl="0" w:tplc="CA2691E6">
      <w:start w:val="1"/>
      <w:numFmt w:val="upperLetter"/>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39048643">
    <w:abstractNumId w:val="3"/>
  </w:num>
  <w:num w:numId="2" w16cid:durableId="374819236">
    <w:abstractNumId w:val="0"/>
  </w:num>
  <w:num w:numId="3" w16cid:durableId="1665859663">
    <w:abstractNumId w:val="5"/>
  </w:num>
  <w:num w:numId="4" w16cid:durableId="1030644407">
    <w:abstractNumId w:val="2"/>
  </w:num>
  <w:num w:numId="5" w16cid:durableId="1961259617">
    <w:abstractNumId w:val="4"/>
  </w:num>
  <w:num w:numId="6" w16cid:durableId="2050571547">
    <w:abstractNumId w:val="7"/>
  </w:num>
  <w:num w:numId="7" w16cid:durableId="1629509968">
    <w:abstractNumId w:val="6"/>
  </w:num>
  <w:num w:numId="8" w16cid:durableId="1813132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Neuropathologic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ftvsfvg5rfave22tk5wws2xzz9xe0p0a90&quot;&gt;My EndNote Library&lt;record-ids&gt;&lt;item&gt;303&lt;/item&gt;&lt;/record-ids&gt;&lt;/item&gt;&lt;/Libraries&gt;"/>
  </w:docVars>
  <w:rsids>
    <w:rsidRoot w:val="00534E56"/>
    <w:rsid w:val="00032014"/>
    <w:rsid w:val="0005686C"/>
    <w:rsid w:val="00057E0F"/>
    <w:rsid w:val="000639BE"/>
    <w:rsid w:val="00075145"/>
    <w:rsid w:val="000B6739"/>
    <w:rsid w:val="000C3748"/>
    <w:rsid w:val="000D22FD"/>
    <w:rsid w:val="000E73E7"/>
    <w:rsid w:val="001108DE"/>
    <w:rsid w:val="00110BD4"/>
    <w:rsid w:val="00111B69"/>
    <w:rsid w:val="00127A46"/>
    <w:rsid w:val="00137AD3"/>
    <w:rsid w:val="00147E4D"/>
    <w:rsid w:val="001A1595"/>
    <w:rsid w:val="001C06B8"/>
    <w:rsid w:val="001C4E26"/>
    <w:rsid w:val="00203810"/>
    <w:rsid w:val="00234059"/>
    <w:rsid w:val="00235699"/>
    <w:rsid w:val="00261A7E"/>
    <w:rsid w:val="00270C5C"/>
    <w:rsid w:val="00274883"/>
    <w:rsid w:val="00285FAE"/>
    <w:rsid w:val="00290113"/>
    <w:rsid w:val="0029755B"/>
    <w:rsid w:val="002A0C82"/>
    <w:rsid w:val="002B7F5D"/>
    <w:rsid w:val="002C402F"/>
    <w:rsid w:val="002C598A"/>
    <w:rsid w:val="002F3E37"/>
    <w:rsid w:val="003855AD"/>
    <w:rsid w:val="003909D1"/>
    <w:rsid w:val="00391C30"/>
    <w:rsid w:val="00393BEA"/>
    <w:rsid w:val="003B146D"/>
    <w:rsid w:val="003C1871"/>
    <w:rsid w:val="003F3154"/>
    <w:rsid w:val="004227E6"/>
    <w:rsid w:val="00484638"/>
    <w:rsid w:val="0049026D"/>
    <w:rsid w:val="00492F2D"/>
    <w:rsid w:val="0049490F"/>
    <w:rsid w:val="004A0B49"/>
    <w:rsid w:val="004E0786"/>
    <w:rsid w:val="00513720"/>
    <w:rsid w:val="00527DB6"/>
    <w:rsid w:val="00534E56"/>
    <w:rsid w:val="005743E4"/>
    <w:rsid w:val="005A00D4"/>
    <w:rsid w:val="005B0F13"/>
    <w:rsid w:val="005E48FD"/>
    <w:rsid w:val="005F16F9"/>
    <w:rsid w:val="006011F7"/>
    <w:rsid w:val="006127A0"/>
    <w:rsid w:val="00625A88"/>
    <w:rsid w:val="00635062"/>
    <w:rsid w:val="00642288"/>
    <w:rsid w:val="00660D26"/>
    <w:rsid w:val="0068182F"/>
    <w:rsid w:val="00683AA2"/>
    <w:rsid w:val="0069335B"/>
    <w:rsid w:val="006A1897"/>
    <w:rsid w:val="006A7765"/>
    <w:rsid w:val="006B52A1"/>
    <w:rsid w:val="006E7E07"/>
    <w:rsid w:val="00706366"/>
    <w:rsid w:val="0075033F"/>
    <w:rsid w:val="00767C76"/>
    <w:rsid w:val="00772A53"/>
    <w:rsid w:val="00775668"/>
    <w:rsid w:val="00780C12"/>
    <w:rsid w:val="007A40B1"/>
    <w:rsid w:val="007B5268"/>
    <w:rsid w:val="007C166B"/>
    <w:rsid w:val="007C6C6C"/>
    <w:rsid w:val="007D0350"/>
    <w:rsid w:val="007E322D"/>
    <w:rsid w:val="008128DA"/>
    <w:rsid w:val="00820176"/>
    <w:rsid w:val="008330E0"/>
    <w:rsid w:val="00841926"/>
    <w:rsid w:val="008905C7"/>
    <w:rsid w:val="00896571"/>
    <w:rsid w:val="008A2C95"/>
    <w:rsid w:val="008E643F"/>
    <w:rsid w:val="008F151D"/>
    <w:rsid w:val="00900723"/>
    <w:rsid w:val="00926071"/>
    <w:rsid w:val="00930585"/>
    <w:rsid w:val="00970353"/>
    <w:rsid w:val="00975BF9"/>
    <w:rsid w:val="009A688A"/>
    <w:rsid w:val="009D399A"/>
    <w:rsid w:val="009D3CE9"/>
    <w:rsid w:val="009D70FF"/>
    <w:rsid w:val="00A31961"/>
    <w:rsid w:val="00A421D8"/>
    <w:rsid w:val="00A71800"/>
    <w:rsid w:val="00A8461C"/>
    <w:rsid w:val="00A8514F"/>
    <w:rsid w:val="00AB115F"/>
    <w:rsid w:val="00AE44BE"/>
    <w:rsid w:val="00B0696C"/>
    <w:rsid w:val="00B16765"/>
    <w:rsid w:val="00B76FB4"/>
    <w:rsid w:val="00B913FD"/>
    <w:rsid w:val="00B9302D"/>
    <w:rsid w:val="00B954B3"/>
    <w:rsid w:val="00BA0F1C"/>
    <w:rsid w:val="00BA1C0A"/>
    <w:rsid w:val="00BE215A"/>
    <w:rsid w:val="00C03850"/>
    <w:rsid w:val="00C03E5A"/>
    <w:rsid w:val="00C12F5D"/>
    <w:rsid w:val="00C524ED"/>
    <w:rsid w:val="00C85AB7"/>
    <w:rsid w:val="00C945F1"/>
    <w:rsid w:val="00CC210D"/>
    <w:rsid w:val="00CF2CCD"/>
    <w:rsid w:val="00D13A09"/>
    <w:rsid w:val="00D25AE3"/>
    <w:rsid w:val="00D87A8D"/>
    <w:rsid w:val="00DA599F"/>
    <w:rsid w:val="00DE6787"/>
    <w:rsid w:val="00DE72C3"/>
    <w:rsid w:val="00DF0B86"/>
    <w:rsid w:val="00DF4F19"/>
    <w:rsid w:val="00E21E30"/>
    <w:rsid w:val="00E275CF"/>
    <w:rsid w:val="00E27E86"/>
    <w:rsid w:val="00E3287F"/>
    <w:rsid w:val="00E34392"/>
    <w:rsid w:val="00E44AFA"/>
    <w:rsid w:val="00E4596B"/>
    <w:rsid w:val="00E47809"/>
    <w:rsid w:val="00E66C9E"/>
    <w:rsid w:val="00E67586"/>
    <w:rsid w:val="00E92513"/>
    <w:rsid w:val="00E94A09"/>
    <w:rsid w:val="00EB266F"/>
    <w:rsid w:val="00EB5387"/>
    <w:rsid w:val="00EB7C3E"/>
    <w:rsid w:val="00ED4D5B"/>
    <w:rsid w:val="00EE5B9C"/>
    <w:rsid w:val="00F31F9D"/>
    <w:rsid w:val="00F3553F"/>
    <w:rsid w:val="00FA4AB6"/>
    <w:rsid w:val="00FB36D9"/>
    <w:rsid w:val="00FB38D7"/>
    <w:rsid w:val="00FD1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04BFEC"/>
  <w15:docId w15:val="{D5BAA9EA-49BB-4C46-9AE3-0DD3E3B7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qFormat/>
    <w:pPr>
      <w:widowControl w:val="0"/>
      <w:jc w:val="both"/>
    </w:pPr>
    <w:rPr>
      <w:lang w:v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pPr>
      <w:spacing w:line="305" w:lineRule="auto"/>
    </w:pPr>
    <w:rPr>
      <w:rFonts w:ascii="Calibri" w:eastAsia="Calibri" w:hAnsi="Calibri" w:cs="Calibri"/>
      <w:sz w:val="26"/>
    </w:rPr>
  </w:style>
  <w:style w:type="paragraph" w:styleId="2">
    <w:name w:val="toc 2"/>
    <w:basedOn w:val="a"/>
    <w:pPr>
      <w:spacing w:line="330" w:lineRule="auto"/>
    </w:pPr>
    <w:rPr>
      <w:rFonts w:ascii="Calibri" w:eastAsia="Calibri" w:hAnsi="Calibri" w:cs="Calibri"/>
      <w:sz w:val="24"/>
    </w:rPr>
  </w:style>
  <w:style w:type="paragraph" w:styleId="3">
    <w:name w:val="toc 3"/>
    <w:basedOn w:val="a"/>
    <w:pPr>
      <w:spacing w:line="360" w:lineRule="auto"/>
    </w:pPr>
    <w:rPr>
      <w:rFonts w:ascii="Calibri" w:eastAsia="Calibri" w:hAnsi="Calibri" w:cs="Calibri"/>
      <w:sz w:val="22"/>
    </w:rPr>
  </w:style>
  <w:style w:type="paragraph" w:styleId="4">
    <w:name w:val="toc 4"/>
    <w:basedOn w:val="a"/>
    <w:pPr>
      <w:spacing w:line="330" w:lineRule="exact"/>
    </w:pPr>
    <w:rPr>
      <w:rFonts w:ascii="Calibri" w:eastAsia="Calibri" w:hAnsi="Calibri" w:cs="Calibri"/>
    </w:rPr>
  </w:style>
  <w:style w:type="paragraph" w:styleId="5">
    <w:name w:val="toc 5"/>
    <w:basedOn w:val="a"/>
    <w:pPr>
      <w:spacing w:line="330" w:lineRule="exact"/>
    </w:pPr>
    <w:rPr>
      <w:rFonts w:ascii="Calibri" w:eastAsia="Calibri" w:hAnsi="Calibri" w:cs="Calibri"/>
    </w:rPr>
  </w:style>
  <w:style w:type="paragraph" w:styleId="6">
    <w:name w:val="toc 6"/>
    <w:basedOn w:val="a"/>
    <w:pPr>
      <w:spacing w:line="330" w:lineRule="exact"/>
    </w:pPr>
    <w:rPr>
      <w:rFonts w:ascii="Calibri" w:eastAsia="Calibri" w:hAnsi="Calibri" w:cs="Calibri"/>
    </w:rPr>
  </w:style>
  <w:style w:type="paragraph" w:styleId="7">
    <w:name w:val="toc 7"/>
    <w:basedOn w:val="a"/>
    <w:pPr>
      <w:spacing w:line="330" w:lineRule="exact"/>
    </w:pPr>
    <w:rPr>
      <w:rFonts w:ascii="Calibri" w:eastAsia="Calibri" w:hAnsi="Calibri" w:cs="Calibri"/>
    </w:rPr>
  </w:style>
  <w:style w:type="paragraph" w:styleId="8">
    <w:name w:val="toc 8"/>
    <w:basedOn w:val="a"/>
    <w:pPr>
      <w:spacing w:line="330" w:lineRule="exact"/>
    </w:pPr>
    <w:rPr>
      <w:rFonts w:ascii="Calibri" w:eastAsia="Calibri" w:hAnsi="Calibri" w:cs="Calibri"/>
    </w:rPr>
  </w:style>
  <w:style w:type="paragraph" w:styleId="9">
    <w:name w:val="toc 9"/>
    <w:basedOn w:val="a"/>
    <w:pPr>
      <w:spacing w:line="330" w:lineRule="exact"/>
    </w:pPr>
    <w:rPr>
      <w:rFonts w:ascii="Calibri" w:eastAsia="Calibri" w:hAnsi="Calibri" w:cs="Calibri"/>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a4">
    <w:name w:val="annotation reference"/>
    <w:basedOn w:val="a0"/>
    <w:rPr>
      <w:sz w:val="18"/>
    </w:rPr>
  </w:style>
  <w:style w:type="character" w:styleId="a5">
    <w:name w:val="endnote reference"/>
    <w:basedOn w:val="a0"/>
    <w:rPr>
      <w:vertAlign w:val="superscript"/>
    </w:rPr>
  </w:style>
  <w:style w:type="character" w:styleId="a6">
    <w:name w:val="footnote reference"/>
    <w:basedOn w:val="a0"/>
    <w:rPr>
      <w:vertAlign w:val="superscript"/>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paragraph" w:customStyle="1" w:styleId="10">
    <w:name w:val="標準1"/>
    <w:pPr>
      <w:widowControl w:val="0"/>
      <w:pBdr>
        <w:top w:val="nil"/>
        <w:left w:val="nil"/>
        <w:bottom w:val="nil"/>
        <w:right w:val="nil"/>
      </w:pBdr>
      <w:jc w:val="both"/>
    </w:pPr>
    <w:rPr>
      <w:rFonts w:ascii="Century" w:eastAsia="Century" w:hAnsi="Century" w:cs="Century"/>
      <w:color w:val="000000"/>
    </w:rPr>
  </w:style>
  <w:style w:type="paragraph" w:styleId="aa">
    <w:name w:val="List Paragraph"/>
    <w:basedOn w:val="a"/>
    <w:pPr>
      <w:ind w:left="840"/>
    </w:pPr>
  </w:style>
  <w:style w:type="character" w:customStyle="1" w:styleId="None">
    <w:name w:val="None"/>
  </w:style>
  <w:style w:type="paragraph" w:styleId="ab">
    <w:name w:val="annotation text"/>
    <w:basedOn w:val="a"/>
    <w:pPr>
      <w:jc w:val="left"/>
    </w:pPr>
    <w:rPr>
      <w:rFonts w:ascii="Calibri" w:eastAsia="Calibri" w:hAnsi="Calibri" w:cs="Calibri"/>
      <w:sz w:val="20"/>
    </w:rPr>
  </w:style>
  <w:style w:type="paragraph" w:styleId="ac">
    <w:name w:val="annotation subject"/>
    <w:basedOn w:val="ab"/>
    <w:rPr>
      <w:b/>
    </w:rPr>
  </w:style>
  <w:style w:type="paragraph" w:styleId="ad">
    <w:name w:val="Balloon Text"/>
    <w:basedOn w:val="a"/>
    <w:rPr>
      <w:rFonts w:ascii="游ゴシック Light" w:eastAsia="游ゴシック Light" w:hAnsi="游ゴシック Light" w:cs="游ゴシック Light"/>
      <w:sz w:val="18"/>
    </w:rPr>
  </w:style>
  <w:style w:type="paragraph" w:styleId="ae">
    <w:name w:val="Revision"/>
  </w:style>
  <w:style w:type="paragraph" w:customStyle="1" w:styleId="EndNoteBibliographyTitle">
    <w:name w:val="EndNote Bibliography Title"/>
    <w:basedOn w:val="a"/>
    <w:qFormat/>
    <w:pPr>
      <w:jc w:val="center"/>
    </w:pPr>
    <w:rPr>
      <w:rFonts w:ascii="Times New Roman" w:eastAsia="游明朝" w:hAnsi="Times New Roman" w:cs="Times New Roman"/>
      <w:sz w:val="24"/>
    </w:rPr>
  </w:style>
  <w:style w:type="paragraph" w:customStyle="1" w:styleId="EndNoteBibliography">
    <w:name w:val="EndNote Bibliography"/>
    <w:basedOn w:val="a"/>
    <w:rPr>
      <w:rFonts w:ascii="Times New Roman" w:eastAsia="游明朝" w:hAnsi="Times New Roman" w:cs="Times New Roman"/>
      <w:sz w:val="24"/>
    </w:rPr>
  </w:style>
  <w:style w:type="character" w:styleId="af">
    <w:name w:val="Hyperlink"/>
    <w:basedOn w:val="a0"/>
    <w:rPr>
      <w:color w:val="0563C1"/>
      <w:u w:val="single"/>
    </w:rPr>
  </w:style>
  <w:style w:type="character" w:styleId="af0">
    <w:name w:val="Unresolved Mention"/>
    <w:basedOn w:val="a0"/>
    <w:rPr>
      <w:color w:val="605E5C"/>
    </w:rPr>
  </w:style>
  <w:style w:type="paragraph" w:customStyle="1" w:styleId="TableList">
    <w:name w:val="Table List"/>
    <w:basedOn w:val="a"/>
    <w:pPr>
      <w:ind w:left="300" w:hanging="300"/>
      <w:jc w:val="left"/>
    </w:pPr>
    <w:rPr>
      <w:rFonts w:ascii="Calibri" w:eastAsia="Calibri" w:hAnsi="Calibri" w:cs="Calibri"/>
      <w:sz w:val="20"/>
    </w:rPr>
  </w:style>
  <w:style w:type="character" w:customStyle="1" w:styleId="GivenName">
    <w:name w:val="Given Name"/>
    <w:basedOn w:val="a0"/>
    <w:rPr>
      <w:shd w:val="clear" w:color="auto" w:fill="D0FCE2"/>
    </w:rPr>
  </w:style>
  <w:style w:type="character" w:customStyle="1" w:styleId="FamilyName">
    <w:name w:val="Family Name"/>
    <w:basedOn w:val="a0"/>
    <w:rPr>
      <w:shd w:val="clear" w:color="auto" w:fill="88F4BE"/>
    </w:rPr>
  </w:style>
  <w:style w:type="paragraph" w:customStyle="1" w:styleId="List8">
    <w:name w:val="List 8"/>
    <w:basedOn w:val="a"/>
    <w:pPr>
      <w:spacing w:line="360" w:lineRule="auto"/>
      <w:ind w:left="1980" w:hanging="400"/>
    </w:pPr>
    <w:rPr>
      <w:rFonts w:ascii="Calibri" w:eastAsia="Calibri" w:hAnsi="Calibri" w:cs="Calibri"/>
      <w:sz w:val="22"/>
    </w:rPr>
  </w:style>
  <w:style w:type="character" w:customStyle="1" w:styleId="Cross-reference">
    <w:name w:val="Cross-reference"/>
    <w:basedOn w:val="a0"/>
    <w:rPr>
      <w:shd w:val="clear" w:color="auto" w:fill="FFE3C9"/>
    </w:rPr>
  </w:style>
  <w:style w:type="paragraph" w:customStyle="1" w:styleId="TableNote">
    <w:name w:val="Table Note"/>
    <w:basedOn w:val="a"/>
    <w:rPr>
      <w:rFonts w:ascii="Calibri" w:eastAsia="Calibri" w:hAnsi="Calibri" w:cs="Calibri"/>
      <w:sz w:val="18"/>
    </w:rPr>
  </w:style>
  <w:style w:type="character" w:customStyle="1" w:styleId="Postcode">
    <w:name w:val="Postcode"/>
    <w:basedOn w:val="a0"/>
    <w:rPr>
      <w:shd w:val="clear" w:color="auto" w:fill="BEBEBE"/>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shd w:val="clear" w:color="auto" w:fill="F3F7F9"/>
    </w:rPr>
  </w:style>
  <w:style w:type="character" w:customStyle="1" w:styleId="GrantID">
    <w:name w:val="Grant ID"/>
    <w:basedOn w:val="a0"/>
    <w:rPr>
      <w:shd w:val="clear" w:color="auto" w:fill="DDA5FF"/>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styleId="af1">
    <w:name w:val="footnote text"/>
    <w:basedOn w:val="a"/>
    <w:rPr>
      <w:rFonts w:ascii="Calibri" w:eastAsia="Calibri" w:hAnsi="Calibri" w:cs="Calibri"/>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shd w:val="clear" w:color="auto" w:fill="FFF5ED"/>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Label">
    <w:name w:val="Label"/>
    <w:basedOn w:val="a0"/>
    <w:rPr>
      <w:shd w:val="clear" w:color="auto" w:fill="FFC391"/>
      <w:vertAlign w:val="baseline"/>
    </w:rPr>
  </w:style>
  <w:style w:type="paragraph" w:customStyle="1" w:styleId="Keywords">
    <w:name w:val="Keywords"/>
    <w:basedOn w:val="a"/>
    <w:pPr>
      <w:spacing w:line="396" w:lineRule="auto"/>
      <w:ind w:left="1000"/>
      <w:jc w:val="left"/>
    </w:pPr>
    <w:rPr>
      <w:rFonts w:ascii="Calibri" w:eastAsia="Calibri" w:hAnsi="Calibri" w:cs="Calibri"/>
      <w:sz w:val="20"/>
    </w:rPr>
  </w:style>
  <w:style w:type="character" w:customStyle="1" w:styleId="Organization">
    <w:name w:val="Organization"/>
    <w:basedOn w:val="a0"/>
    <w:rPr>
      <w:shd w:val="clear" w:color="auto" w:fill="D1FFB5"/>
    </w:rPr>
  </w:style>
  <w:style w:type="paragraph" w:styleId="20">
    <w:name w:val="List 2"/>
    <w:basedOn w:val="a"/>
    <w:pPr>
      <w:spacing w:line="360" w:lineRule="auto"/>
      <w:ind w:left="800" w:hanging="400"/>
    </w:pPr>
    <w:rPr>
      <w:rFonts w:ascii="Calibri" w:eastAsia="Calibri" w:hAnsi="Calibri" w:cs="Calibri"/>
      <w:sz w:val="22"/>
    </w:rPr>
  </w:style>
  <w:style w:type="character" w:customStyle="1" w:styleId="GlossaryTerm">
    <w:name w:val="Glossary Term"/>
    <w:basedOn w:val="a0"/>
    <w:rPr>
      <w:shd w:val="clear" w:color="auto" w:fill="FFCFD7"/>
    </w:rPr>
  </w:style>
  <w:style w:type="paragraph" w:styleId="af2">
    <w:name w:val="endnote text"/>
    <w:basedOn w:val="a"/>
    <w:rPr>
      <w:rFonts w:ascii="Calibri" w:eastAsia="Calibri" w:hAnsi="Calibri" w:cs="Calibri"/>
    </w:rPr>
  </w:style>
  <w:style w:type="paragraph" w:styleId="af3">
    <w:name w:val="Block Text"/>
    <w:basedOn w:val="a"/>
    <w:pPr>
      <w:spacing w:after="160" w:line="360" w:lineRule="auto"/>
      <w:ind w:left="1200"/>
    </w:pPr>
    <w:rPr>
      <w:rFonts w:ascii="Calibri" w:eastAsia="Calibri" w:hAnsi="Calibri" w:cs="Calibri"/>
      <w:sz w:val="22"/>
    </w:rPr>
  </w:style>
  <w:style w:type="paragraph" w:customStyle="1" w:styleId="Authors">
    <w:name w:val="Authors"/>
    <w:basedOn w:val="a"/>
    <w:pPr>
      <w:spacing w:before="360" w:after="120" w:line="283" w:lineRule="auto"/>
      <w:jc w:val="left"/>
    </w:pPr>
    <w:rPr>
      <w:rFonts w:ascii="Calibri" w:eastAsia="Calibri" w:hAnsi="Calibri" w:cs="Calibri"/>
      <w:sz w:val="28"/>
    </w:rPr>
  </w:style>
  <w:style w:type="character" w:customStyle="1" w:styleId="City">
    <w:name w:val="City"/>
    <w:basedOn w:val="a0"/>
    <w:rPr>
      <w:shd w:val="clear" w:color="auto" w:fill="D7D7D7"/>
    </w:rPr>
  </w:style>
  <w:style w:type="character" w:customStyle="1" w:styleId="Region">
    <w:name w:val="Region"/>
    <w:basedOn w:val="a0"/>
    <w:rPr>
      <w:shd w:val="clear" w:color="auto" w:fill="D8E9EE"/>
    </w:rPr>
  </w:style>
  <w:style w:type="character" w:customStyle="1" w:styleId="DatabaseLink">
    <w:name w:val="Database Link"/>
    <w:basedOn w:val="a0"/>
    <w:rPr>
      <w:shd w:val="clear" w:color="auto" w:fill="AFBEFF"/>
    </w:rPr>
  </w:style>
  <w:style w:type="paragraph" w:styleId="40">
    <w:name w:val="List 4"/>
    <w:basedOn w:val="a"/>
    <w:pPr>
      <w:spacing w:line="360" w:lineRule="auto"/>
      <w:ind w:left="1600" w:hanging="400"/>
    </w:pPr>
    <w:rPr>
      <w:rFonts w:ascii="Calibri" w:eastAsia="Calibri" w:hAnsi="Calibri" w:cs="Calibri"/>
      <w:sz w:val="22"/>
    </w:rPr>
  </w:style>
  <w:style w:type="paragraph" w:customStyle="1" w:styleId="AbstractSubheading">
    <w:name w:val="Abstract Subheading"/>
    <w:basedOn w:val="a"/>
    <w:pPr>
      <w:numPr>
        <w:ilvl w:val="8"/>
      </w:numPr>
      <w:ind w:left="1440"/>
      <w:outlineLvl w:val="8"/>
    </w:pPr>
    <w:rPr>
      <w:sz w:val="22"/>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7">
    <w:name w:val="List 7"/>
    <w:basedOn w:val="a"/>
    <w:pPr>
      <w:spacing w:line="360" w:lineRule="auto"/>
      <w:ind w:left="1920" w:hanging="400"/>
    </w:pPr>
    <w:rPr>
      <w:rFonts w:ascii="Calibri" w:eastAsia="Calibri" w:hAnsi="Calibri" w:cs="Calibri"/>
      <w:sz w:val="22"/>
    </w:rPr>
  </w:style>
  <w:style w:type="character" w:customStyle="1" w:styleId="Country">
    <w:name w:val="Country"/>
    <w:basedOn w:val="a0"/>
    <w:rPr>
      <w:shd w:val="clear" w:color="auto" w:fill="97C5D1"/>
    </w:rPr>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shd w:val="clear" w:color="auto" w:fill="F9EDFF"/>
    </w:rPr>
  </w:style>
  <w:style w:type="character" w:customStyle="1" w:styleId="PageNumbers">
    <w:name w:val="Page Numbers"/>
    <w:basedOn w:val="a0"/>
    <w:rPr>
      <w:shd w:val="clear" w:color="auto" w:fill="FFEDF0"/>
    </w:rPr>
  </w:style>
  <w:style w:type="paragraph" w:styleId="af4">
    <w:name w:val="Normal Indent"/>
    <w:basedOn w:val="a"/>
    <w:qFormat/>
    <w:pPr>
      <w:ind w:firstLine="480"/>
    </w:pPr>
    <w:rPr>
      <w:sz w:val="22"/>
    </w:rPr>
  </w:style>
  <w:style w:type="character" w:customStyle="1" w:styleId="ArticleTitle">
    <w:name w:val="Article Title"/>
    <w:basedOn w:val="a0"/>
    <w:qFormat/>
    <w:rPr>
      <w:shd w:val="clear" w:color="auto" w:fill="E9F9FF"/>
    </w:rPr>
  </w:style>
  <w:style w:type="character" w:customStyle="1" w:styleId="VolumeNumber">
    <w:name w:val="Volume Number"/>
    <w:basedOn w:val="a0"/>
    <w:rPr>
      <w:shd w:val="clear" w:color="auto" w:fill="EDF0FF"/>
    </w:rPr>
  </w:style>
  <w:style w:type="character" w:customStyle="1" w:styleId="GeneSequence">
    <w:name w:val="Gene Sequence"/>
    <w:basedOn w:val="a0"/>
    <w:rPr>
      <w:shd w:val="clear" w:color="auto" w:fill="FFCDF2"/>
    </w:rPr>
  </w:style>
  <w:style w:type="paragraph" w:customStyle="1" w:styleId="List6">
    <w:name w:val="List 6"/>
    <w:basedOn w:val="a"/>
    <w:pPr>
      <w:spacing w:line="360" w:lineRule="auto"/>
      <w:ind w:left="1860" w:hanging="400"/>
    </w:pPr>
    <w:rPr>
      <w:rFonts w:ascii="Calibri" w:eastAsia="Calibri" w:hAnsi="Calibri" w:cs="Calibri"/>
      <w:sz w:val="22"/>
    </w:rPr>
  </w:style>
  <w:style w:type="character" w:customStyle="1" w:styleId="IssueNumber">
    <w:name w:val="Issue Number"/>
    <w:basedOn w:val="a0"/>
    <w:rPr>
      <w:shd w:val="clear" w:color="auto" w:fill="CDD5FF"/>
    </w:rPr>
  </w:style>
  <w:style w:type="paragraph" w:styleId="af5">
    <w:name w:val="List"/>
    <w:basedOn w:val="a"/>
    <w:pPr>
      <w:spacing w:line="360" w:lineRule="auto"/>
      <w:ind w:left="400" w:hanging="400"/>
    </w:pPr>
    <w:rPr>
      <w:rFonts w:ascii="Calibri" w:eastAsia="Calibri" w:hAnsi="Calibri" w:cs="Calibri"/>
      <w:sz w:val="22"/>
    </w:rPr>
  </w:style>
  <w:style w:type="character" w:customStyle="1" w:styleId="Edition">
    <w:name w:val="Edition"/>
    <w:basedOn w:val="a0"/>
    <w:rPr>
      <w:shd w:val="clear" w:color="auto" w:fill="FFF6A4"/>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paragraph" w:styleId="30">
    <w:name w:val="List 3"/>
    <w:basedOn w:val="a"/>
    <w:pPr>
      <w:spacing w:line="360" w:lineRule="auto"/>
      <w:ind w:left="1200" w:hanging="400"/>
    </w:pPr>
    <w:rPr>
      <w:rFonts w:ascii="Calibri" w:eastAsia="Calibri" w:hAnsi="Calibri" w:cs="Calibri"/>
      <w:sz w:val="22"/>
    </w:rPr>
  </w:style>
  <w:style w:type="character" w:customStyle="1" w:styleId="Conference">
    <w:name w:val="Conference"/>
    <w:basedOn w:val="a0"/>
    <w:rPr>
      <w:shd w:val="clear" w:color="auto" w:fill="FFAFBC"/>
    </w:rPr>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TableHeadSpan">
    <w:name w:val="Table Head Span"/>
    <w:basedOn w:val="a"/>
    <w:pPr>
      <w:shd w:val="clear" w:color="auto" w:fill="FFEDFA"/>
      <w:jc w:val="left"/>
    </w:pPr>
    <w:rPr>
      <w:rFonts w:ascii="Calibri" w:eastAsia="Calibri" w:hAnsi="Calibri" w:cs="Calibri"/>
      <w:shd w:val="clear" w:color="auto" w:fill="FFEDFA"/>
    </w:rPr>
  </w:style>
  <w:style w:type="character" w:customStyle="1" w:styleId="Miscellaneous">
    <w:name w:val="Miscellaneous"/>
    <w:basedOn w:val="a0"/>
    <w:rPr>
      <w:shd w:val="clear" w:color="auto" w:fill="F0F0F0"/>
    </w:rPr>
  </w:style>
  <w:style w:type="character" w:customStyle="1" w:styleId="Heading">
    <w:name w:val="Heading:"/>
    <w:basedOn w:val="a0"/>
    <w:rPr>
      <w:color w:val="5B89C1"/>
    </w:rPr>
  </w:style>
  <w:style w:type="character" w:customStyle="1" w:styleId="Source">
    <w:name w:val="Source"/>
    <w:basedOn w:val="a0"/>
    <w:rPr>
      <w:shd w:val="clear" w:color="auto" w:fill="C1EDFF"/>
    </w:rPr>
  </w:style>
  <w:style w:type="paragraph" w:styleId="af6">
    <w:name w:val="Subtitle"/>
    <w:basedOn w:val="a"/>
    <w:qFormat/>
    <w:pPr>
      <w:spacing w:after="160" w:line="208" w:lineRule="auto"/>
      <w:jc w:val="left"/>
    </w:pPr>
    <w:rPr>
      <w:rFonts w:ascii="Calibri" w:eastAsia="Calibri" w:hAnsi="Calibri" w:cs="Calibri"/>
      <w:sz w:val="38"/>
    </w:rPr>
  </w:style>
  <w:style w:type="character" w:customStyle="1" w:styleId="NameScientific">
    <w:name w:val="Name Scientific"/>
    <w:basedOn w:val="a0"/>
    <w:rPr>
      <w:shd w:val="clear" w:color="auto" w:fill="91E0FF"/>
    </w:rPr>
  </w:style>
  <w:style w:type="paragraph" w:customStyle="1" w:styleId="Statement">
    <w:name w:val="Statement"/>
    <w:basedOn w:val="a"/>
    <w:pPr>
      <w:ind w:left="900"/>
    </w:pPr>
    <w:rPr>
      <w:rFonts w:ascii="Calibri" w:eastAsia="Calibri" w:hAnsi="Calibri" w:cs="Calibri"/>
      <w:sz w:val="22"/>
    </w:rPr>
  </w:style>
  <w:style w:type="paragraph" w:customStyle="1" w:styleId="TableHead">
    <w:name w:val="Table Head"/>
    <w:basedOn w:val="a"/>
    <w:pPr>
      <w:shd w:val="clear" w:color="auto" w:fill="FFEDFA"/>
      <w:jc w:val="left"/>
    </w:pPr>
    <w:rPr>
      <w:rFonts w:ascii="Calibri" w:eastAsia="Calibri" w:hAnsi="Calibri" w:cs="Calibri"/>
      <w:sz w:val="20"/>
      <w:shd w:val="clear" w:color="auto" w:fill="FFEDFA"/>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TableBody">
    <w:name w:val="Table Body"/>
    <w:basedOn w:val="a"/>
    <w:pPr>
      <w:spacing w:after="160" w:line="396" w:lineRule="auto"/>
      <w:jc w:val="left"/>
    </w:pPr>
    <w:rPr>
      <w:rFonts w:ascii="Calibri" w:eastAsia="Calibri" w:hAnsi="Calibri" w:cs="Calibri"/>
      <w:sz w:val="20"/>
    </w:rPr>
  </w:style>
  <w:style w:type="character" w:customStyle="1" w:styleId="Year">
    <w:name w:val="Year"/>
    <w:basedOn w:val="a0"/>
    <w:rPr>
      <w:shd w:val="clear" w:color="auto" w:fill="FFF9C9"/>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character" w:customStyle="1" w:styleId="Location">
    <w:name w:val="Location"/>
    <w:basedOn w:val="a0"/>
    <w:rPr>
      <w:shd w:val="clear" w:color="auto" w:fill="F9EDFF"/>
    </w:rPr>
  </w:style>
  <w:style w:type="paragraph" w:customStyle="1" w:styleId="ChapterNumber">
    <w:name w:val="Chapter Number"/>
    <w:basedOn w:val="a"/>
    <w:rPr>
      <w:rFonts w:ascii="Calibri" w:eastAsia="Calibri" w:hAnsi="Calibri" w:cs="Calibri"/>
    </w:rPr>
  </w:style>
  <w:style w:type="paragraph" w:styleId="50">
    <w:name w:val="List 5"/>
    <w:basedOn w:val="a"/>
    <w:pPr>
      <w:spacing w:line="360" w:lineRule="auto"/>
      <w:ind w:left="1800" w:hanging="400"/>
    </w:pPr>
    <w:rPr>
      <w:rFonts w:ascii="Calibri" w:eastAsia="Calibri" w:hAnsi="Calibri" w:cs="Calibri"/>
      <w:sz w:val="22"/>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shd w:val="clear" w:color="auto" w:fill="F4FFED"/>
    </w:rPr>
  </w:style>
  <w:style w:type="character" w:customStyle="1" w:styleId="Publisher">
    <w:name w:val="Publisher"/>
    <w:basedOn w:val="a0"/>
    <w:rPr>
      <w:shd w:val="clear" w:color="auto" w:fill="F2DDFF"/>
    </w:rPr>
  </w:style>
  <w:style w:type="paragraph" w:styleId="af7">
    <w:name w:val="caption"/>
    <w:basedOn w:val="a"/>
    <w:pPr>
      <w:shd w:val="clear" w:color="auto" w:fill="FFF5ED"/>
      <w:spacing w:before="240" w:line="349" w:lineRule="auto"/>
    </w:pPr>
    <w:rPr>
      <w:rFonts w:ascii="Calibri" w:eastAsia="Calibri" w:hAnsi="Calibri" w:cs="Calibri"/>
      <w:sz w:val="22"/>
      <w:shd w:val="clear" w:color="auto" w:fill="FFF5ED"/>
    </w:rPr>
  </w:style>
  <w:style w:type="paragraph" w:customStyle="1" w:styleId="List1">
    <w:name w:val="List 1"/>
    <w:basedOn w:val="a"/>
    <w:pPr>
      <w:ind w:left="1200" w:hanging="600"/>
    </w:pPr>
    <w:rPr>
      <w:rFonts w:ascii="Times New Roman" w:eastAsia="Times New Roman" w:hAnsi="Times New Roman" w:cs="Times New Roman"/>
      <w:sz w:val="22"/>
    </w:rPr>
  </w:style>
  <w:style w:type="paragraph" w:customStyle="1" w:styleId="List9">
    <w:name w:val="List 9"/>
    <w:basedOn w:val="a"/>
    <w:pPr>
      <w:ind w:left="1200" w:hanging="600"/>
    </w:pPr>
    <w:rPr>
      <w:rFonts w:ascii="Times New Roman" w:eastAsia="Times New Roman" w:hAnsi="Times New Roman" w:cs="Times New Roman"/>
      <w:sz w:val="22"/>
    </w:rPr>
  </w:style>
  <w:style w:type="character" w:customStyle="1" w:styleId="a9">
    <w:name w:val="フッター (文字)"/>
    <w:basedOn w:val="a0"/>
    <w:link w:val="a8"/>
    <w:uiPriority w:val="99"/>
    <w:rsid w:val="00E92513"/>
    <w:rPr>
      <w:lang w:val=""/>
    </w:rPr>
  </w:style>
  <w:style w:type="character" w:styleId="af8">
    <w:name w:val="line number"/>
    <w:basedOn w:val="a0"/>
    <w:uiPriority w:val="99"/>
    <w:rsid w:val="00C12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9465">
      <w:bodyDiv w:val="1"/>
      <w:marLeft w:val="0"/>
      <w:marRight w:val="0"/>
      <w:marTop w:val="0"/>
      <w:marBottom w:val="0"/>
      <w:divBdr>
        <w:top w:val="none" w:sz="0" w:space="0" w:color="auto"/>
        <w:left w:val="none" w:sz="0" w:space="0" w:color="auto"/>
        <w:bottom w:val="none" w:sz="0" w:space="0" w:color="auto"/>
        <w:right w:val="none" w:sz="0" w:space="0" w:color="auto"/>
      </w:divBdr>
    </w:div>
    <w:div w:id="159582880">
      <w:bodyDiv w:val="1"/>
      <w:marLeft w:val="0"/>
      <w:marRight w:val="0"/>
      <w:marTop w:val="0"/>
      <w:marBottom w:val="0"/>
      <w:divBdr>
        <w:top w:val="none" w:sz="0" w:space="0" w:color="auto"/>
        <w:left w:val="none" w:sz="0" w:space="0" w:color="auto"/>
        <w:bottom w:val="none" w:sz="0" w:space="0" w:color="auto"/>
        <w:right w:val="none" w:sz="0" w:space="0" w:color="auto"/>
      </w:divBdr>
    </w:div>
    <w:div w:id="468397651">
      <w:bodyDiv w:val="1"/>
      <w:marLeft w:val="0"/>
      <w:marRight w:val="0"/>
      <w:marTop w:val="0"/>
      <w:marBottom w:val="0"/>
      <w:divBdr>
        <w:top w:val="none" w:sz="0" w:space="0" w:color="auto"/>
        <w:left w:val="none" w:sz="0" w:space="0" w:color="auto"/>
        <w:bottom w:val="none" w:sz="0" w:space="0" w:color="auto"/>
        <w:right w:val="none" w:sz="0" w:space="0" w:color="auto"/>
      </w:divBdr>
    </w:div>
    <w:div w:id="488643497">
      <w:bodyDiv w:val="1"/>
      <w:marLeft w:val="0"/>
      <w:marRight w:val="0"/>
      <w:marTop w:val="0"/>
      <w:marBottom w:val="0"/>
      <w:divBdr>
        <w:top w:val="none" w:sz="0" w:space="0" w:color="auto"/>
        <w:left w:val="none" w:sz="0" w:space="0" w:color="auto"/>
        <w:bottom w:val="none" w:sz="0" w:space="0" w:color="auto"/>
        <w:right w:val="none" w:sz="0" w:space="0" w:color="auto"/>
      </w:divBdr>
    </w:div>
    <w:div w:id="495803443">
      <w:bodyDiv w:val="1"/>
      <w:marLeft w:val="0"/>
      <w:marRight w:val="0"/>
      <w:marTop w:val="0"/>
      <w:marBottom w:val="0"/>
      <w:divBdr>
        <w:top w:val="none" w:sz="0" w:space="0" w:color="auto"/>
        <w:left w:val="none" w:sz="0" w:space="0" w:color="auto"/>
        <w:bottom w:val="none" w:sz="0" w:space="0" w:color="auto"/>
        <w:right w:val="none" w:sz="0" w:space="0" w:color="auto"/>
      </w:divBdr>
    </w:div>
    <w:div w:id="507330103">
      <w:bodyDiv w:val="1"/>
      <w:marLeft w:val="0"/>
      <w:marRight w:val="0"/>
      <w:marTop w:val="0"/>
      <w:marBottom w:val="0"/>
      <w:divBdr>
        <w:top w:val="none" w:sz="0" w:space="0" w:color="auto"/>
        <w:left w:val="none" w:sz="0" w:space="0" w:color="auto"/>
        <w:bottom w:val="none" w:sz="0" w:space="0" w:color="auto"/>
        <w:right w:val="none" w:sz="0" w:space="0" w:color="auto"/>
      </w:divBdr>
    </w:div>
    <w:div w:id="539633604">
      <w:bodyDiv w:val="1"/>
      <w:marLeft w:val="0"/>
      <w:marRight w:val="0"/>
      <w:marTop w:val="0"/>
      <w:marBottom w:val="0"/>
      <w:divBdr>
        <w:top w:val="none" w:sz="0" w:space="0" w:color="auto"/>
        <w:left w:val="none" w:sz="0" w:space="0" w:color="auto"/>
        <w:bottom w:val="none" w:sz="0" w:space="0" w:color="auto"/>
        <w:right w:val="none" w:sz="0" w:space="0" w:color="auto"/>
      </w:divBdr>
    </w:div>
    <w:div w:id="616109657">
      <w:bodyDiv w:val="1"/>
      <w:marLeft w:val="0"/>
      <w:marRight w:val="0"/>
      <w:marTop w:val="0"/>
      <w:marBottom w:val="0"/>
      <w:divBdr>
        <w:top w:val="none" w:sz="0" w:space="0" w:color="auto"/>
        <w:left w:val="none" w:sz="0" w:space="0" w:color="auto"/>
        <w:bottom w:val="none" w:sz="0" w:space="0" w:color="auto"/>
        <w:right w:val="none" w:sz="0" w:space="0" w:color="auto"/>
      </w:divBdr>
    </w:div>
    <w:div w:id="691302413">
      <w:bodyDiv w:val="1"/>
      <w:marLeft w:val="0"/>
      <w:marRight w:val="0"/>
      <w:marTop w:val="0"/>
      <w:marBottom w:val="0"/>
      <w:divBdr>
        <w:top w:val="none" w:sz="0" w:space="0" w:color="auto"/>
        <w:left w:val="none" w:sz="0" w:space="0" w:color="auto"/>
        <w:bottom w:val="none" w:sz="0" w:space="0" w:color="auto"/>
        <w:right w:val="none" w:sz="0" w:space="0" w:color="auto"/>
      </w:divBdr>
    </w:div>
    <w:div w:id="711802887">
      <w:bodyDiv w:val="1"/>
      <w:marLeft w:val="0"/>
      <w:marRight w:val="0"/>
      <w:marTop w:val="0"/>
      <w:marBottom w:val="0"/>
      <w:divBdr>
        <w:top w:val="none" w:sz="0" w:space="0" w:color="auto"/>
        <w:left w:val="none" w:sz="0" w:space="0" w:color="auto"/>
        <w:bottom w:val="none" w:sz="0" w:space="0" w:color="auto"/>
        <w:right w:val="none" w:sz="0" w:space="0" w:color="auto"/>
      </w:divBdr>
    </w:div>
    <w:div w:id="785585105">
      <w:bodyDiv w:val="1"/>
      <w:marLeft w:val="0"/>
      <w:marRight w:val="0"/>
      <w:marTop w:val="0"/>
      <w:marBottom w:val="0"/>
      <w:divBdr>
        <w:top w:val="none" w:sz="0" w:space="0" w:color="auto"/>
        <w:left w:val="none" w:sz="0" w:space="0" w:color="auto"/>
        <w:bottom w:val="none" w:sz="0" w:space="0" w:color="auto"/>
        <w:right w:val="none" w:sz="0" w:space="0" w:color="auto"/>
      </w:divBdr>
    </w:div>
    <w:div w:id="862133965">
      <w:bodyDiv w:val="1"/>
      <w:marLeft w:val="0"/>
      <w:marRight w:val="0"/>
      <w:marTop w:val="0"/>
      <w:marBottom w:val="0"/>
      <w:divBdr>
        <w:top w:val="none" w:sz="0" w:space="0" w:color="auto"/>
        <w:left w:val="none" w:sz="0" w:space="0" w:color="auto"/>
        <w:bottom w:val="none" w:sz="0" w:space="0" w:color="auto"/>
        <w:right w:val="none" w:sz="0" w:space="0" w:color="auto"/>
      </w:divBdr>
    </w:div>
    <w:div w:id="1017774739">
      <w:bodyDiv w:val="1"/>
      <w:marLeft w:val="0"/>
      <w:marRight w:val="0"/>
      <w:marTop w:val="0"/>
      <w:marBottom w:val="0"/>
      <w:divBdr>
        <w:top w:val="none" w:sz="0" w:space="0" w:color="auto"/>
        <w:left w:val="none" w:sz="0" w:space="0" w:color="auto"/>
        <w:bottom w:val="none" w:sz="0" w:space="0" w:color="auto"/>
        <w:right w:val="none" w:sz="0" w:space="0" w:color="auto"/>
      </w:divBdr>
    </w:div>
    <w:div w:id="1031951751">
      <w:bodyDiv w:val="1"/>
      <w:marLeft w:val="0"/>
      <w:marRight w:val="0"/>
      <w:marTop w:val="0"/>
      <w:marBottom w:val="0"/>
      <w:divBdr>
        <w:top w:val="none" w:sz="0" w:space="0" w:color="auto"/>
        <w:left w:val="none" w:sz="0" w:space="0" w:color="auto"/>
        <w:bottom w:val="none" w:sz="0" w:space="0" w:color="auto"/>
        <w:right w:val="none" w:sz="0" w:space="0" w:color="auto"/>
      </w:divBdr>
    </w:div>
    <w:div w:id="1087196190">
      <w:bodyDiv w:val="1"/>
      <w:marLeft w:val="0"/>
      <w:marRight w:val="0"/>
      <w:marTop w:val="0"/>
      <w:marBottom w:val="0"/>
      <w:divBdr>
        <w:top w:val="none" w:sz="0" w:space="0" w:color="auto"/>
        <w:left w:val="none" w:sz="0" w:space="0" w:color="auto"/>
        <w:bottom w:val="none" w:sz="0" w:space="0" w:color="auto"/>
        <w:right w:val="none" w:sz="0" w:space="0" w:color="auto"/>
      </w:divBdr>
    </w:div>
    <w:div w:id="1162967854">
      <w:bodyDiv w:val="1"/>
      <w:marLeft w:val="0"/>
      <w:marRight w:val="0"/>
      <w:marTop w:val="0"/>
      <w:marBottom w:val="0"/>
      <w:divBdr>
        <w:top w:val="none" w:sz="0" w:space="0" w:color="auto"/>
        <w:left w:val="none" w:sz="0" w:space="0" w:color="auto"/>
        <w:bottom w:val="none" w:sz="0" w:space="0" w:color="auto"/>
        <w:right w:val="none" w:sz="0" w:space="0" w:color="auto"/>
      </w:divBdr>
    </w:div>
    <w:div w:id="1207840302">
      <w:bodyDiv w:val="1"/>
      <w:marLeft w:val="0"/>
      <w:marRight w:val="0"/>
      <w:marTop w:val="0"/>
      <w:marBottom w:val="0"/>
      <w:divBdr>
        <w:top w:val="none" w:sz="0" w:space="0" w:color="auto"/>
        <w:left w:val="none" w:sz="0" w:space="0" w:color="auto"/>
        <w:bottom w:val="none" w:sz="0" w:space="0" w:color="auto"/>
        <w:right w:val="none" w:sz="0" w:space="0" w:color="auto"/>
      </w:divBdr>
    </w:div>
    <w:div w:id="1263804091">
      <w:bodyDiv w:val="1"/>
      <w:marLeft w:val="0"/>
      <w:marRight w:val="0"/>
      <w:marTop w:val="0"/>
      <w:marBottom w:val="0"/>
      <w:divBdr>
        <w:top w:val="none" w:sz="0" w:space="0" w:color="auto"/>
        <w:left w:val="none" w:sz="0" w:space="0" w:color="auto"/>
        <w:bottom w:val="none" w:sz="0" w:space="0" w:color="auto"/>
        <w:right w:val="none" w:sz="0" w:space="0" w:color="auto"/>
      </w:divBdr>
    </w:div>
    <w:div w:id="1281456513">
      <w:bodyDiv w:val="1"/>
      <w:marLeft w:val="0"/>
      <w:marRight w:val="0"/>
      <w:marTop w:val="0"/>
      <w:marBottom w:val="0"/>
      <w:divBdr>
        <w:top w:val="none" w:sz="0" w:space="0" w:color="auto"/>
        <w:left w:val="none" w:sz="0" w:space="0" w:color="auto"/>
        <w:bottom w:val="none" w:sz="0" w:space="0" w:color="auto"/>
        <w:right w:val="none" w:sz="0" w:space="0" w:color="auto"/>
      </w:divBdr>
    </w:div>
    <w:div w:id="1356082761">
      <w:bodyDiv w:val="1"/>
      <w:marLeft w:val="0"/>
      <w:marRight w:val="0"/>
      <w:marTop w:val="0"/>
      <w:marBottom w:val="0"/>
      <w:divBdr>
        <w:top w:val="none" w:sz="0" w:space="0" w:color="auto"/>
        <w:left w:val="none" w:sz="0" w:space="0" w:color="auto"/>
        <w:bottom w:val="none" w:sz="0" w:space="0" w:color="auto"/>
        <w:right w:val="none" w:sz="0" w:space="0" w:color="auto"/>
      </w:divBdr>
      <w:divsChild>
        <w:div w:id="288317942">
          <w:marLeft w:val="0"/>
          <w:marRight w:val="0"/>
          <w:marTop w:val="0"/>
          <w:marBottom w:val="0"/>
          <w:divBdr>
            <w:top w:val="none" w:sz="0" w:space="0" w:color="auto"/>
            <w:left w:val="none" w:sz="0" w:space="0" w:color="auto"/>
            <w:bottom w:val="none" w:sz="0" w:space="0" w:color="auto"/>
            <w:right w:val="none" w:sz="0" w:space="0" w:color="auto"/>
          </w:divBdr>
          <w:divsChild>
            <w:div w:id="715853008">
              <w:marLeft w:val="0"/>
              <w:marRight w:val="0"/>
              <w:marTop w:val="180"/>
              <w:marBottom w:val="180"/>
              <w:divBdr>
                <w:top w:val="none" w:sz="0" w:space="0" w:color="auto"/>
                <w:left w:val="none" w:sz="0" w:space="0" w:color="auto"/>
                <w:bottom w:val="none" w:sz="0" w:space="0" w:color="auto"/>
                <w:right w:val="none" w:sz="0" w:space="0" w:color="auto"/>
              </w:divBdr>
            </w:div>
          </w:divsChild>
        </w:div>
        <w:div w:id="919871362">
          <w:marLeft w:val="0"/>
          <w:marRight w:val="0"/>
          <w:marTop w:val="0"/>
          <w:marBottom w:val="0"/>
          <w:divBdr>
            <w:top w:val="none" w:sz="0" w:space="0" w:color="auto"/>
            <w:left w:val="none" w:sz="0" w:space="0" w:color="auto"/>
            <w:bottom w:val="none" w:sz="0" w:space="0" w:color="auto"/>
            <w:right w:val="none" w:sz="0" w:space="0" w:color="auto"/>
          </w:divBdr>
          <w:divsChild>
            <w:div w:id="777063162">
              <w:marLeft w:val="0"/>
              <w:marRight w:val="0"/>
              <w:marTop w:val="0"/>
              <w:marBottom w:val="0"/>
              <w:divBdr>
                <w:top w:val="none" w:sz="0" w:space="0" w:color="auto"/>
                <w:left w:val="none" w:sz="0" w:space="0" w:color="auto"/>
                <w:bottom w:val="none" w:sz="0" w:space="0" w:color="auto"/>
                <w:right w:val="none" w:sz="0" w:space="0" w:color="auto"/>
              </w:divBdr>
              <w:divsChild>
                <w:div w:id="327707073">
                  <w:marLeft w:val="0"/>
                  <w:marRight w:val="0"/>
                  <w:marTop w:val="0"/>
                  <w:marBottom w:val="0"/>
                  <w:divBdr>
                    <w:top w:val="none" w:sz="0" w:space="0" w:color="auto"/>
                    <w:left w:val="none" w:sz="0" w:space="0" w:color="auto"/>
                    <w:bottom w:val="none" w:sz="0" w:space="0" w:color="auto"/>
                    <w:right w:val="none" w:sz="0" w:space="0" w:color="auto"/>
                  </w:divBdr>
                  <w:divsChild>
                    <w:div w:id="990911343">
                      <w:marLeft w:val="0"/>
                      <w:marRight w:val="0"/>
                      <w:marTop w:val="0"/>
                      <w:marBottom w:val="0"/>
                      <w:divBdr>
                        <w:top w:val="none" w:sz="0" w:space="0" w:color="auto"/>
                        <w:left w:val="none" w:sz="0" w:space="0" w:color="auto"/>
                        <w:bottom w:val="none" w:sz="0" w:space="0" w:color="auto"/>
                        <w:right w:val="none" w:sz="0" w:space="0" w:color="auto"/>
                      </w:divBdr>
                      <w:divsChild>
                        <w:div w:id="1806122787">
                          <w:marLeft w:val="0"/>
                          <w:marRight w:val="0"/>
                          <w:marTop w:val="0"/>
                          <w:marBottom w:val="0"/>
                          <w:divBdr>
                            <w:top w:val="none" w:sz="0" w:space="0" w:color="auto"/>
                            <w:left w:val="none" w:sz="0" w:space="0" w:color="auto"/>
                            <w:bottom w:val="none" w:sz="0" w:space="0" w:color="auto"/>
                            <w:right w:val="none" w:sz="0" w:space="0" w:color="auto"/>
                          </w:divBdr>
                          <w:divsChild>
                            <w:div w:id="11126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645533">
      <w:bodyDiv w:val="1"/>
      <w:marLeft w:val="0"/>
      <w:marRight w:val="0"/>
      <w:marTop w:val="0"/>
      <w:marBottom w:val="0"/>
      <w:divBdr>
        <w:top w:val="none" w:sz="0" w:space="0" w:color="auto"/>
        <w:left w:val="none" w:sz="0" w:space="0" w:color="auto"/>
        <w:bottom w:val="none" w:sz="0" w:space="0" w:color="auto"/>
        <w:right w:val="none" w:sz="0" w:space="0" w:color="auto"/>
      </w:divBdr>
    </w:div>
    <w:div w:id="1610121212">
      <w:bodyDiv w:val="1"/>
      <w:marLeft w:val="0"/>
      <w:marRight w:val="0"/>
      <w:marTop w:val="0"/>
      <w:marBottom w:val="0"/>
      <w:divBdr>
        <w:top w:val="none" w:sz="0" w:space="0" w:color="auto"/>
        <w:left w:val="none" w:sz="0" w:space="0" w:color="auto"/>
        <w:bottom w:val="none" w:sz="0" w:space="0" w:color="auto"/>
        <w:right w:val="none" w:sz="0" w:space="0" w:color="auto"/>
      </w:divBdr>
    </w:div>
    <w:div w:id="1627462966">
      <w:bodyDiv w:val="1"/>
      <w:marLeft w:val="0"/>
      <w:marRight w:val="0"/>
      <w:marTop w:val="0"/>
      <w:marBottom w:val="0"/>
      <w:divBdr>
        <w:top w:val="none" w:sz="0" w:space="0" w:color="auto"/>
        <w:left w:val="none" w:sz="0" w:space="0" w:color="auto"/>
        <w:bottom w:val="none" w:sz="0" w:space="0" w:color="auto"/>
        <w:right w:val="none" w:sz="0" w:space="0" w:color="auto"/>
      </w:divBdr>
    </w:div>
    <w:div w:id="1726559733">
      <w:bodyDiv w:val="1"/>
      <w:marLeft w:val="0"/>
      <w:marRight w:val="0"/>
      <w:marTop w:val="0"/>
      <w:marBottom w:val="0"/>
      <w:divBdr>
        <w:top w:val="none" w:sz="0" w:space="0" w:color="auto"/>
        <w:left w:val="none" w:sz="0" w:space="0" w:color="auto"/>
        <w:bottom w:val="none" w:sz="0" w:space="0" w:color="auto"/>
        <w:right w:val="none" w:sz="0" w:space="0" w:color="auto"/>
      </w:divBdr>
    </w:div>
    <w:div w:id="1757238820">
      <w:bodyDiv w:val="1"/>
      <w:marLeft w:val="0"/>
      <w:marRight w:val="0"/>
      <w:marTop w:val="0"/>
      <w:marBottom w:val="0"/>
      <w:divBdr>
        <w:top w:val="none" w:sz="0" w:space="0" w:color="auto"/>
        <w:left w:val="none" w:sz="0" w:space="0" w:color="auto"/>
        <w:bottom w:val="none" w:sz="0" w:space="0" w:color="auto"/>
        <w:right w:val="none" w:sz="0" w:space="0" w:color="auto"/>
      </w:divBdr>
    </w:div>
    <w:div w:id="1830707406">
      <w:bodyDiv w:val="1"/>
      <w:marLeft w:val="0"/>
      <w:marRight w:val="0"/>
      <w:marTop w:val="0"/>
      <w:marBottom w:val="0"/>
      <w:divBdr>
        <w:top w:val="none" w:sz="0" w:space="0" w:color="auto"/>
        <w:left w:val="none" w:sz="0" w:space="0" w:color="auto"/>
        <w:bottom w:val="none" w:sz="0" w:space="0" w:color="auto"/>
        <w:right w:val="none" w:sz="0" w:space="0" w:color="auto"/>
      </w:divBdr>
    </w:div>
    <w:div w:id="1977954261">
      <w:bodyDiv w:val="1"/>
      <w:marLeft w:val="0"/>
      <w:marRight w:val="0"/>
      <w:marTop w:val="0"/>
      <w:marBottom w:val="0"/>
      <w:divBdr>
        <w:top w:val="none" w:sz="0" w:space="0" w:color="auto"/>
        <w:left w:val="none" w:sz="0" w:space="0" w:color="auto"/>
        <w:bottom w:val="none" w:sz="0" w:space="0" w:color="auto"/>
        <w:right w:val="none" w:sz="0" w:space="0" w:color="auto"/>
      </w:divBdr>
    </w:div>
    <w:div w:id="2022580078">
      <w:bodyDiv w:val="1"/>
      <w:marLeft w:val="0"/>
      <w:marRight w:val="0"/>
      <w:marTop w:val="0"/>
      <w:marBottom w:val="0"/>
      <w:divBdr>
        <w:top w:val="none" w:sz="0" w:space="0" w:color="auto"/>
        <w:left w:val="none" w:sz="0" w:space="0" w:color="auto"/>
        <w:bottom w:val="none" w:sz="0" w:space="0" w:color="auto"/>
        <w:right w:val="none" w:sz="0" w:space="0" w:color="auto"/>
      </w:divBdr>
    </w:div>
    <w:div w:id="207711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61F94-5C0E-4F68-8865-85A891F2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773</Words>
  <Characters>4409</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栗原 正典</dc:creator>
  <cp:lastModifiedBy>Masanori Kurihara</cp:lastModifiedBy>
  <cp:revision>10</cp:revision>
  <dcterms:created xsi:type="dcterms:W3CDTF">2024-03-03T13:41:00Z</dcterms:created>
  <dcterms:modified xsi:type="dcterms:W3CDTF">2024-03-20T05:38:00Z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pub">
    <vt:lpwstr/>
  </property>
  <property fmtid="{D5CDD505-2E9C-101B-9397-08002B2CF9AE}" pid="7" name="ppub">
    <vt:lpwstr/>
  </property>
  <property fmtid="{D5CDD505-2E9C-101B-9397-08002B2CF9AE}" pid="8" name="Publisher">
    <vt:lpwstr/>
  </property>
  <property fmtid="{D5CDD505-2E9C-101B-9397-08002B2CF9AE}" pid="9" name="Publisher-location">
    <vt:lpwstr/>
  </property>
  <property fmtid="{D5CDD505-2E9C-101B-9397-08002B2CF9AE}" pid="10" name="DOI">
    <vt:lpwstr/>
  </property>
  <property fmtid="{D5CDD505-2E9C-101B-9397-08002B2CF9AE}" pid="11" name="ReceivedDate">
    <vt:lpwstr/>
  </property>
  <property fmtid="{D5CDD505-2E9C-101B-9397-08002B2CF9AE}" pid="12" name="AcceptedDate">
    <vt:lpwstr/>
  </property>
  <property fmtid="{D5CDD505-2E9C-101B-9397-08002B2CF9AE}" pid="13" name="Reference citation style">
    <vt:lpwstr>numerical</vt:lpwstr>
  </property>
  <property fmtid="{D5CDD505-2E9C-101B-9397-08002B2CF9AE}" pid="14" name="Subject">
    <vt:lpwstr/>
  </property>
  <property fmtid="{D5CDD505-2E9C-101B-9397-08002B2CF9AE}" pid="15" name="Merops word count">
    <vt:lpwstr>5681</vt:lpwstr>
  </property>
  <property fmtid="{D5CDD505-2E9C-101B-9397-08002B2CF9AE}" pid="16" name="Merops references count">
    <vt:lpwstr>50</vt:lpwstr>
  </property>
  <property fmtid="{D5CDD505-2E9C-101B-9397-08002B2CF9AE}" pid="17" name="Merops PubMed links count">
    <vt:lpwstr>0</vt:lpwstr>
  </property>
  <property fmtid="{D5CDD505-2E9C-101B-9397-08002B2CF9AE}" pid="18" name="Merops DOI links count">
    <vt:lpwstr>49</vt:lpwstr>
  </property>
  <property fmtid="{D5CDD505-2E9C-101B-9397-08002B2CF9AE}" pid="19" name="Merops tables count">
    <vt:lpwstr>2</vt:lpwstr>
  </property>
  <property fmtid="{D5CDD505-2E9C-101B-9397-08002B2CF9AE}" pid="20" name="Merops figures count">
    <vt:lpwstr>3</vt:lpwstr>
  </property>
  <property fmtid="{D5CDD505-2E9C-101B-9397-08002B2CF9AE}" pid="21" name="Merops graphics count">
    <vt:lpwstr>3</vt:lpwstr>
  </property>
  <property fmtid="{D5CDD505-2E9C-101B-9397-08002B2CF9AE}" pid="22" name="Merops footnotes/endnotes count">
    <vt:lpwstr>0</vt:lpwstr>
  </property>
  <property fmtid="{D5CDD505-2E9C-101B-9397-08002B2CF9AE}" pid="23" name="Merops email addresses count">
    <vt:lpwstr>1</vt:lpwstr>
  </property>
  <property fmtid="{D5CDD505-2E9C-101B-9397-08002B2CF9AE}" pid="24" name="Merops intra-document links count">
    <vt:lpwstr>0</vt:lpwstr>
  </property>
  <property fmtid="{D5CDD505-2E9C-101B-9397-08002B2CF9AE}" pid="25" name="Merops Standard Set">
    <vt:lpwstr>*</vt:lpwstr>
  </property>
  <property fmtid="{D5CDD505-2E9C-101B-9397-08002B2CF9AE}" pid="26" name="Merops Standard Set modified">
    <vt:lpwstr>*</vt:lpwstr>
  </property>
  <property fmtid="{D5CDD505-2E9C-101B-9397-08002B2CF9AE}" pid="27" name="Merops client version">
    <vt:lpwstr>*</vt:lpwstr>
  </property>
  <property fmtid="{D5CDD505-2E9C-101B-9397-08002B2CF9AE}" pid="28" name="Merops input file path">
    <vt:lpwstr>*</vt:lpwstr>
  </property>
  <property fmtid="{D5CDD505-2E9C-101B-9397-08002B2CF9AE}" pid="29" name="Merops -Original extension">
    <vt:lpwstr>docx</vt:lpwstr>
  </property>
  <property fmtid="{D5CDD505-2E9C-101B-9397-08002B2CF9AE}" pid="30" name="Merops server path">
    <vt:lpwstr>*</vt:lpwstr>
  </property>
  <property fmtid="{D5CDD505-2E9C-101B-9397-08002B2CF9AE}" pid="31" name="Merops processed date">
    <vt:lpwstr>2022/06/01 09:37:01 PM</vt:lpwstr>
  </property>
  <property fmtid="{D5CDD505-2E9C-101B-9397-08002B2CF9AE}" pid="32" name="Merops WorldCat links count">
    <vt:lpwstr>0</vt:lpwstr>
  </property>
  <property fmtid="{D5CDD505-2E9C-101B-9397-08002B2CF9AE}" pid="33" name="Merops Scopus links count">
    <vt:lpwstr>0</vt:lpwstr>
  </property>
  <property fmtid="{D5CDD505-2E9C-101B-9397-08002B2CF9AE}" pid="34" name="Merops comment count">
    <vt:lpwstr>0</vt:lpwstr>
  </property>
  <property fmtid="{D5CDD505-2E9C-101B-9397-08002B2CF9AE}" pid="35" name="Merops change count">
    <vt:lpwstr>360</vt:lpwstr>
  </property>
</Properties>
</file>