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F76C6" w14:textId="77777777" w:rsidR="00A7742A" w:rsidRPr="00EE5F6D" w:rsidRDefault="00A7742A" w:rsidP="00A7742A">
      <w:bookmarkStart w:id="0" w:name="_GoBack"/>
      <w:bookmarkEnd w:id="0"/>
      <w:r w:rsidRPr="00EE5F6D">
        <w:t>Additional file 2</w:t>
      </w:r>
    </w:p>
    <w:p w14:paraId="459C42F3" w14:textId="77777777" w:rsidR="00A7742A" w:rsidRPr="007A29E4" w:rsidRDefault="00A7742A" w:rsidP="00A7742A"/>
    <w:p w14:paraId="16C146E3" w14:textId="77777777" w:rsidR="00A7742A" w:rsidRPr="007A29E4" w:rsidRDefault="00A7742A" w:rsidP="00A7742A">
      <w:r w:rsidRPr="007A29E4">
        <w:t xml:space="preserve">Table 1. Studies Included in the Rapid Review </w:t>
      </w:r>
    </w:p>
    <w:p w14:paraId="0FC92771" w14:textId="77777777" w:rsidR="00A7742A" w:rsidRPr="007A29E4" w:rsidRDefault="00A7742A" w:rsidP="00A7742A"/>
    <w:p w14:paraId="32FADDA3" w14:textId="77777777" w:rsidR="00A7742A" w:rsidRPr="007A29E4" w:rsidRDefault="00A7742A" w:rsidP="00A7742A"/>
    <w:p w14:paraId="5D1589E9" w14:textId="77777777" w:rsidR="00A7742A" w:rsidRPr="007A29E4" w:rsidRDefault="00A7742A" w:rsidP="00A7742A"/>
    <w:p w14:paraId="1E58855D" w14:textId="77777777" w:rsidR="00A7742A" w:rsidRPr="007A29E4" w:rsidRDefault="00A7742A" w:rsidP="00A7742A"/>
    <w:p w14:paraId="450112D5" w14:textId="77777777" w:rsidR="00A7742A" w:rsidRPr="007A29E4" w:rsidRDefault="00A7742A" w:rsidP="00A7742A"/>
    <w:p w14:paraId="553C4B3F" w14:textId="77777777" w:rsidR="00A7742A" w:rsidRPr="00EE5F6D" w:rsidRDefault="00A7742A" w:rsidP="00A7742A"/>
    <w:tbl>
      <w:tblPr>
        <w:tblStyle w:val="TableGrid"/>
        <w:tblW w:w="0" w:type="auto"/>
        <w:tblLook w:val="04A0" w:firstRow="1" w:lastRow="0" w:firstColumn="1" w:lastColumn="0" w:noHBand="0" w:noVBand="1"/>
      </w:tblPr>
      <w:tblGrid>
        <w:gridCol w:w="1037"/>
        <w:gridCol w:w="887"/>
        <w:gridCol w:w="581"/>
        <w:gridCol w:w="1032"/>
        <w:gridCol w:w="2218"/>
        <w:gridCol w:w="1037"/>
        <w:gridCol w:w="2218"/>
      </w:tblGrid>
      <w:tr w:rsidR="00A7742A" w:rsidRPr="00EE5F6D" w14:paraId="330C435C" w14:textId="77777777" w:rsidTr="00944855">
        <w:trPr>
          <w:trHeight w:val="312"/>
        </w:trPr>
        <w:tc>
          <w:tcPr>
            <w:tcW w:w="541" w:type="dxa"/>
            <w:noWrap/>
            <w:hideMark/>
          </w:tcPr>
          <w:p w14:paraId="051F8FE0" w14:textId="77777777" w:rsidR="00A7742A" w:rsidRPr="00EE5F6D" w:rsidRDefault="00A7742A" w:rsidP="00944855">
            <w:pPr>
              <w:rPr>
                <w:b/>
                <w:bCs/>
              </w:rPr>
            </w:pPr>
            <w:r w:rsidRPr="00EE5F6D">
              <w:rPr>
                <w:b/>
                <w:bCs/>
              </w:rPr>
              <w:t>Author, Year</w:t>
            </w:r>
          </w:p>
        </w:tc>
        <w:tc>
          <w:tcPr>
            <w:tcW w:w="281" w:type="dxa"/>
            <w:noWrap/>
            <w:hideMark/>
          </w:tcPr>
          <w:p w14:paraId="26DF2BA4" w14:textId="77777777" w:rsidR="00A7742A" w:rsidRPr="00EE5F6D" w:rsidRDefault="00A7742A" w:rsidP="00944855">
            <w:pPr>
              <w:rPr>
                <w:b/>
                <w:bCs/>
              </w:rPr>
            </w:pPr>
            <w:r w:rsidRPr="00EE5F6D">
              <w:rPr>
                <w:b/>
                <w:bCs/>
              </w:rPr>
              <w:t>Country</w:t>
            </w:r>
          </w:p>
        </w:tc>
        <w:tc>
          <w:tcPr>
            <w:tcW w:w="479" w:type="dxa"/>
            <w:noWrap/>
            <w:hideMark/>
          </w:tcPr>
          <w:p w14:paraId="5A99ECF2" w14:textId="77777777" w:rsidR="00A7742A" w:rsidRPr="00EE5F6D" w:rsidRDefault="00A7742A" w:rsidP="00944855">
            <w:pPr>
              <w:rPr>
                <w:b/>
                <w:bCs/>
              </w:rPr>
            </w:pPr>
            <w:r w:rsidRPr="00EE5F6D">
              <w:rPr>
                <w:b/>
                <w:bCs/>
              </w:rPr>
              <w:t>N</w:t>
            </w:r>
          </w:p>
        </w:tc>
        <w:tc>
          <w:tcPr>
            <w:tcW w:w="593" w:type="dxa"/>
            <w:noWrap/>
            <w:hideMark/>
          </w:tcPr>
          <w:p w14:paraId="5E23ECDC" w14:textId="77777777" w:rsidR="00A7742A" w:rsidRPr="00EE5F6D" w:rsidRDefault="00A7742A" w:rsidP="00944855">
            <w:pPr>
              <w:rPr>
                <w:b/>
                <w:bCs/>
              </w:rPr>
            </w:pPr>
            <w:r w:rsidRPr="00EE5F6D">
              <w:rPr>
                <w:b/>
                <w:bCs/>
              </w:rPr>
              <w:t>Population</w:t>
            </w:r>
          </w:p>
        </w:tc>
        <w:tc>
          <w:tcPr>
            <w:tcW w:w="3437" w:type="dxa"/>
            <w:noWrap/>
            <w:hideMark/>
          </w:tcPr>
          <w:p w14:paraId="234291CF" w14:textId="77777777" w:rsidR="00A7742A" w:rsidRPr="00EE5F6D" w:rsidRDefault="00A7742A" w:rsidP="00944855">
            <w:pPr>
              <w:rPr>
                <w:b/>
                <w:bCs/>
              </w:rPr>
            </w:pPr>
            <w:r w:rsidRPr="00EE5F6D">
              <w:rPr>
                <w:b/>
                <w:bCs/>
              </w:rPr>
              <w:t>Aim</w:t>
            </w:r>
          </w:p>
        </w:tc>
        <w:tc>
          <w:tcPr>
            <w:tcW w:w="582" w:type="dxa"/>
            <w:noWrap/>
            <w:hideMark/>
          </w:tcPr>
          <w:p w14:paraId="4BE07C87" w14:textId="77777777" w:rsidR="00A7742A" w:rsidRPr="00EE5F6D" w:rsidRDefault="00A7742A" w:rsidP="00944855">
            <w:pPr>
              <w:rPr>
                <w:b/>
                <w:bCs/>
              </w:rPr>
            </w:pPr>
            <w:r w:rsidRPr="00EE5F6D">
              <w:rPr>
                <w:b/>
                <w:bCs/>
              </w:rPr>
              <w:t>Design</w:t>
            </w:r>
          </w:p>
        </w:tc>
        <w:tc>
          <w:tcPr>
            <w:tcW w:w="3437" w:type="dxa"/>
            <w:noWrap/>
            <w:hideMark/>
          </w:tcPr>
          <w:p w14:paraId="7E162812" w14:textId="77777777" w:rsidR="00A7742A" w:rsidRPr="00EE5F6D" w:rsidRDefault="00A7742A" w:rsidP="00944855">
            <w:pPr>
              <w:rPr>
                <w:b/>
                <w:bCs/>
              </w:rPr>
            </w:pPr>
            <w:r w:rsidRPr="00EE5F6D">
              <w:rPr>
                <w:b/>
                <w:bCs/>
              </w:rPr>
              <w:t xml:space="preserve">Outcome measure </w:t>
            </w:r>
          </w:p>
        </w:tc>
      </w:tr>
      <w:tr w:rsidR="00A7742A" w:rsidRPr="00EE5F6D" w14:paraId="61012053" w14:textId="77777777" w:rsidTr="00944855">
        <w:trPr>
          <w:trHeight w:val="312"/>
        </w:trPr>
        <w:tc>
          <w:tcPr>
            <w:tcW w:w="541" w:type="dxa"/>
            <w:noWrap/>
            <w:hideMark/>
          </w:tcPr>
          <w:p w14:paraId="7880EDF8" w14:textId="77777777" w:rsidR="00A7742A" w:rsidRPr="00EE5F6D" w:rsidRDefault="00A7742A" w:rsidP="00944855">
            <w:r w:rsidRPr="00EE5F6D">
              <w:t xml:space="preserve">Achamrah, Dechelotte and Coeffier, 2019 </w:t>
            </w:r>
          </w:p>
        </w:tc>
        <w:tc>
          <w:tcPr>
            <w:tcW w:w="281" w:type="dxa"/>
            <w:noWrap/>
            <w:hideMark/>
          </w:tcPr>
          <w:p w14:paraId="0536433A" w14:textId="77777777" w:rsidR="00A7742A" w:rsidRPr="00EE5F6D" w:rsidRDefault="00A7742A" w:rsidP="00944855">
            <w:r w:rsidRPr="00EE5F6D">
              <w:t>N/A</w:t>
            </w:r>
          </w:p>
        </w:tc>
        <w:tc>
          <w:tcPr>
            <w:tcW w:w="479" w:type="dxa"/>
            <w:noWrap/>
            <w:hideMark/>
          </w:tcPr>
          <w:p w14:paraId="0DBDAC90" w14:textId="77777777" w:rsidR="00A7742A" w:rsidRPr="00EE5F6D" w:rsidRDefault="00A7742A" w:rsidP="00944855">
            <w:r w:rsidRPr="00EE5F6D">
              <w:t>N/A</w:t>
            </w:r>
          </w:p>
        </w:tc>
        <w:tc>
          <w:tcPr>
            <w:tcW w:w="593" w:type="dxa"/>
            <w:noWrap/>
            <w:hideMark/>
          </w:tcPr>
          <w:p w14:paraId="4091D566" w14:textId="77777777" w:rsidR="00A7742A" w:rsidRPr="00EE5F6D" w:rsidRDefault="00A7742A" w:rsidP="00944855">
            <w:r w:rsidRPr="00EE5F6D">
              <w:t>N/A</w:t>
            </w:r>
          </w:p>
        </w:tc>
        <w:tc>
          <w:tcPr>
            <w:tcW w:w="3437" w:type="dxa"/>
            <w:hideMark/>
          </w:tcPr>
          <w:p w14:paraId="35B46FAA" w14:textId="77777777" w:rsidR="00A7742A" w:rsidRPr="00EE5F6D" w:rsidRDefault="00A7742A" w:rsidP="00944855">
            <w:r w:rsidRPr="00EE5F6D">
              <w:t>To review the potential effects of physical activity on gut-brain axis during refeeding, and propose future combined strategies for AN treatment</w:t>
            </w:r>
          </w:p>
        </w:tc>
        <w:tc>
          <w:tcPr>
            <w:tcW w:w="582" w:type="dxa"/>
            <w:noWrap/>
            <w:hideMark/>
          </w:tcPr>
          <w:p w14:paraId="662C9CC7" w14:textId="77777777" w:rsidR="00A7742A" w:rsidRPr="00EE5F6D" w:rsidRDefault="00A7742A" w:rsidP="00944855">
            <w:r w:rsidRPr="00EE5F6D">
              <w:t>Review (Narrative)</w:t>
            </w:r>
          </w:p>
        </w:tc>
        <w:tc>
          <w:tcPr>
            <w:tcW w:w="3437" w:type="dxa"/>
            <w:noWrap/>
            <w:hideMark/>
          </w:tcPr>
          <w:p w14:paraId="58877E32" w14:textId="77777777" w:rsidR="00A7742A" w:rsidRPr="00EE5F6D" w:rsidRDefault="00A7742A" w:rsidP="00944855">
            <w:r w:rsidRPr="00EE5F6D">
              <w:t>Effect on gut-brain axis during refeeding</w:t>
            </w:r>
          </w:p>
        </w:tc>
      </w:tr>
      <w:tr w:rsidR="00A7742A" w:rsidRPr="00EE5F6D" w14:paraId="548D74F0" w14:textId="77777777" w:rsidTr="00944855">
        <w:trPr>
          <w:trHeight w:val="312"/>
        </w:trPr>
        <w:tc>
          <w:tcPr>
            <w:tcW w:w="541" w:type="dxa"/>
            <w:noWrap/>
            <w:hideMark/>
          </w:tcPr>
          <w:p w14:paraId="0341FA08" w14:textId="77777777" w:rsidR="00A7742A" w:rsidRPr="00EE5F6D" w:rsidRDefault="00A7742A" w:rsidP="00944855">
            <w:r w:rsidRPr="00EE5F6D">
              <w:t>Agh et al., 2016</w:t>
            </w:r>
          </w:p>
        </w:tc>
        <w:tc>
          <w:tcPr>
            <w:tcW w:w="281" w:type="dxa"/>
            <w:noWrap/>
            <w:hideMark/>
          </w:tcPr>
          <w:p w14:paraId="1521AB46" w14:textId="77777777" w:rsidR="00A7742A" w:rsidRPr="00EE5F6D" w:rsidRDefault="00A7742A" w:rsidP="00944855">
            <w:r w:rsidRPr="00EE5F6D">
              <w:t>USA</w:t>
            </w:r>
          </w:p>
        </w:tc>
        <w:tc>
          <w:tcPr>
            <w:tcW w:w="479" w:type="dxa"/>
            <w:noWrap/>
            <w:hideMark/>
          </w:tcPr>
          <w:p w14:paraId="47B44FE8" w14:textId="77777777" w:rsidR="00A7742A" w:rsidRPr="00EE5F6D" w:rsidRDefault="00A7742A" w:rsidP="00944855">
            <w:r w:rsidRPr="00EE5F6D">
              <w:t>N/A</w:t>
            </w:r>
          </w:p>
        </w:tc>
        <w:tc>
          <w:tcPr>
            <w:tcW w:w="593" w:type="dxa"/>
            <w:noWrap/>
            <w:hideMark/>
          </w:tcPr>
          <w:p w14:paraId="6B6A5FF4" w14:textId="77777777" w:rsidR="00A7742A" w:rsidRPr="00EE5F6D" w:rsidRDefault="00A7742A" w:rsidP="00944855">
            <w:r w:rsidRPr="00EE5F6D">
              <w:t>N/A</w:t>
            </w:r>
          </w:p>
        </w:tc>
        <w:tc>
          <w:tcPr>
            <w:tcW w:w="3437" w:type="dxa"/>
            <w:noWrap/>
            <w:hideMark/>
          </w:tcPr>
          <w:p w14:paraId="6AF00A53" w14:textId="77777777" w:rsidR="00A7742A" w:rsidRPr="00EE5F6D" w:rsidRDefault="00A7742A" w:rsidP="00944855">
            <w:r w:rsidRPr="00EE5F6D">
              <w:t>To evaluate the cost effectiveness of LDX versus no pharmacotherapy (NPT) in adults with BED from a USA healthcare payer’s perspective.</w:t>
            </w:r>
          </w:p>
        </w:tc>
        <w:tc>
          <w:tcPr>
            <w:tcW w:w="582" w:type="dxa"/>
            <w:noWrap/>
            <w:hideMark/>
          </w:tcPr>
          <w:p w14:paraId="15C90791" w14:textId="77777777" w:rsidR="00A7742A" w:rsidRPr="00EE5F6D" w:rsidRDefault="00A7742A" w:rsidP="00944855">
            <w:r w:rsidRPr="00EE5F6D">
              <w:t>Modelling (Statistical)</w:t>
            </w:r>
          </w:p>
        </w:tc>
        <w:tc>
          <w:tcPr>
            <w:tcW w:w="3437" w:type="dxa"/>
            <w:noWrap/>
            <w:hideMark/>
          </w:tcPr>
          <w:p w14:paraId="5C34116D" w14:textId="77777777" w:rsidR="00A7742A" w:rsidRPr="00EE5F6D" w:rsidRDefault="00A7742A" w:rsidP="00944855">
            <w:r w:rsidRPr="00EE5F6D">
              <w:t>Quality adjusted life years, total therapy cost, incremental cost-effectiveness ratio</w:t>
            </w:r>
          </w:p>
        </w:tc>
      </w:tr>
      <w:tr w:rsidR="00A7742A" w:rsidRPr="00EE5F6D" w14:paraId="3289EEC1" w14:textId="77777777" w:rsidTr="00944855">
        <w:trPr>
          <w:trHeight w:val="312"/>
        </w:trPr>
        <w:tc>
          <w:tcPr>
            <w:tcW w:w="541" w:type="dxa"/>
            <w:noWrap/>
            <w:hideMark/>
          </w:tcPr>
          <w:p w14:paraId="51CBFC12" w14:textId="77777777" w:rsidR="00A7742A" w:rsidRPr="00EE5F6D" w:rsidRDefault="00A7742A" w:rsidP="00944855">
            <w:r w:rsidRPr="00EE5F6D">
              <w:t>Allison and Tarves, 2011</w:t>
            </w:r>
          </w:p>
        </w:tc>
        <w:tc>
          <w:tcPr>
            <w:tcW w:w="281" w:type="dxa"/>
            <w:noWrap/>
            <w:hideMark/>
          </w:tcPr>
          <w:p w14:paraId="19921310" w14:textId="77777777" w:rsidR="00A7742A" w:rsidRPr="00EE5F6D" w:rsidRDefault="00A7742A" w:rsidP="00944855">
            <w:r w:rsidRPr="00EE5F6D">
              <w:t>N/A</w:t>
            </w:r>
          </w:p>
        </w:tc>
        <w:tc>
          <w:tcPr>
            <w:tcW w:w="479" w:type="dxa"/>
            <w:noWrap/>
            <w:hideMark/>
          </w:tcPr>
          <w:p w14:paraId="13F1FC18" w14:textId="77777777" w:rsidR="00A7742A" w:rsidRPr="00EE5F6D" w:rsidRDefault="00A7742A" w:rsidP="00944855">
            <w:r w:rsidRPr="00EE5F6D">
              <w:t>N/A</w:t>
            </w:r>
          </w:p>
        </w:tc>
        <w:tc>
          <w:tcPr>
            <w:tcW w:w="593" w:type="dxa"/>
            <w:noWrap/>
            <w:hideMark/>
          </w:tcPr>
          <w:p w14:paraId="4560EFCC" w14:textId="77777777" w:rsidR="00A7742A" w:rsidRPr="00EE5F6D" w:rsidRDefault="00A7742A" w:rsidP="00944855">
            <w:r w:rsidRPr="00EE5F6D">
              <w:t>N/A</w:t>
            </w:r>
          </w:p>
        </w:tc>
        <w:tc>
          <w:tcPr>
            <w:tcW w:w="3437" w:type="dxa"/>
            <w:noWrap/>
            <w:hideMark/>
          </w:tcPr>
          <w:p w14:paraId="32DC3F19" w14:textId="77777777" w:rsidR="00A7742A" w:rsidRPr="00EE5F6D" w:rsidRDefault="00A7742A" w:rsidP="00944855">
            <w:r w:rsidRPr="00EE5F6D">
              <w:t>To outline the basic features of the syndrome and summarize the treatment approaches that have been developed for NES.</w:t>
            </w:r>
          </w:p>
        </w:tc>
        <w:tc>
          <w:tcPr>
            <w:tcW w:w="582" w:type="dxa"/>
            <w:noWrap/>
            <w:hideMark/>
          </w:tcPr>
          <w:p w14:paraId="466D81B1" w14:textId="77777777" w:rsidR="00A7742A" w:rsidRPr="00EE5F6D" w:rsidRDefault="00A7742A" w:rsidP="00944855">
            <w:r w:rsidRPr="00EE5F6D">
              <w:t>Review (Narrative)</w:t>
            </w:r>
          </w:p>
        </w:tc>
        <w:tc>
          <w:tcPr>
            <w:tcW w:w="3437" w:type="dxa"/>
            <w:noWrap/>
            <w:hideMark/>
          </w:tcPr>
          <w:p w14:paraId="72153472" w14:textId="0CAB084E" w:rsidR="00A7742A" w:rsidRPr="00EE5F6D" w:rsidRDefault="00A7742A" w:rsidP="00944855">
            <w:r w:rsidRPr="00EE5F6D">
              <w:t>No direct measures - outlines various treatments for NES (including A</w:t>
            </w:r>
            <w:r w:rsidR="00146E03">
              <w:t xml:space="preserve">bbreviated </w:t>
            </w:r>
            <w:r w:rsidRPr="00EE5F6D">
              <w:t>PMR, Sertraline, CBT, PMR, Phototherapy)</w:t>
            </w:r>
          </w:p>
        </w:tc>
      </w:tr>
      <w:tr w:rsidR="00A7742A" w:rsidRPr="00EE5F6D" w14:paraId="53F031A8" w14:textId="77777777" w:rsidTr="00944855">
        <w:trPr>
          <w:trHeight w:val="312"/>
        </w:trPr>
        <w:tc>
          <w:tcPr>
            <w:tcW w:w="541" w:type="dxa"/>
            <w:noWrap/>
            <w:hideMark/>
          </w:tcPr>
          <w:p w14:paraId="709926F8" w14:textId="77777777" w:rsidR="00A7742A" w:rsidRPr="00EE5F6D" w:rsidRDefault="00A7742A" w:rsidP="00944855">
            <w:r w:rsidRPr="00EE5F6D">
              <w:t>Allison et al., 2013</w:t>
            </w:r>
          </w:p>
        </w:tc>
        <w:tc>
          <w:tcPr>
            <w:tcW w:w="281" w:type="dxa"/>
            <w:noWrap/>
            <w:hideMark/>
          </w:tcPr>
          <w:p w14:paraId="3E78F586" w14:textId="77777777" w:rsidR="00A7742A" w:rsidRPr="00EE5F6D" w:rsidRDefault="00A7742A" w:rsidP="00944855">
            <w:r w:rsidRPr="00EE5F6D">
              <w:t>USA</w:t>
            </w:r>
          </w:p>
        </w:tc>
        <w:tc>
          <w:tcPr>
            <w:tcW w:w="479" w:type="dxa"/>
            <w:noWrap/>
            <w:hideMark/>
          </w:tcPr>
          <w:p w14:paraId="416FF237" w14:textId="77777777" w:rsidR="00A7742A" w:rsidRPr="00EE5F6D" w:rsidRDefault="00A7742A" w:rsidP="00944855">
            <w:r w:rsidRPr="00EE5F6D">
              <w:t>31</w:t>
            </w:r>
          </w:p>
        </w:tc>
        <w:tc>
          <w:tcPr>
            <w:tcW w:w="593" w:type="dxa"/>
            <w:noWrap/>
            <w:hideMark/>
          </w:tcPr>
          <w:p w14:paraId="7EAC0E54" w14:textId="77777777" w:rsidR="00A7742A" w:rsidRPr="00EE5F6D" w:rsidRDefault="00A7742A" w:rsidP="00944855">
            <w:r w:rsidRPr="00EE5F6D">
              <w:t>Community (Adult, All Genders)</w:t>
            </w:r>
          </w:p>
        </w:tc>
        <w:tc>
          <w:tcPr>
            <w:tcW w:w="3437" w:type="dxa"/>
            <w:noWrap/>
            <w:hideMark/>
          </w:tcPr>
          <w:p w14:paraId="29AEB15D" w14:textId="77777777" w:rsidR="00A7742A" w:rsidRPr="00EE5F6D" w:rsidRDefault="00A7742A" w:rsidP="00944855">
            <w:r w:rsidRPr="00EE5F6D">
              <w:t>To expand the understanding of the efficacy of escitalopram in the current trial.</w:t>
            </w:r>
          </w:p>
        </w:tc>
        <w:tc>
          <w:tcPr>
            <w:tcW w:w="582" w:type="dxa"/>
            <w:noWrap/>
            <w:hideMark/>
          </w:tcPr>
          <w:p w14:paraId="2DD71893" w14:textId="77777777" w:rsidR="00A7742A" w:rsidRPr="00EE5F6D" w:rsidRDefault="00A7742A" w:rsidP="00944855">
            <w:r w:rsidRPr="00EE5F6D">
              <w:t>Quasi-experimental (intervention)</w:t>
            </w:r>
          </w:p>
        </w:tc>
        <w:tc>
          <w:tcPr>
            <w:tcW w:w="3437" w:type="dxa"/>
            <w:noWrap/>
            <w:hideMark/>
          </w:tcPr>
          <w:p w14:paraId="2FD68670" w14:textId="5FB4228D" w:rsidR="00A7742A" w:rsidRPr="00EE5F6D" w:rsidRDefault="00146E03" w:rsidP="00944855">
            <w:r>
              <w:t>P</w:t>
            </w:r>
            <w:r w:rsidR="00A7742A" w:rsidRPr="00EE5F6D">
              <w:t>ercent of daily intake after the evening meal, number of nocturnal ingestions (NI)/week, weight, total awakenings/week, mood, and quality of life.</w:t>
            </w:r>
          </w:p>
        </w:tc>
      </w:tr>
      <w:tr w:rsidR="00A7742A" w:rsidRPr="00EE5F6D" w14:paraId="1E8C7CA0" w14:textId="77777777" w:rsidTr="00944855">
        <w:trPr>
          <w:trHeight w:val="312"/>
        </w:trPr>
        <w:tc>
          <w:tcPr>
            <w:tcW w:w="541" w:type="dxa"/>
            <w:noWrap/>
            <w:hideMark/>
          </w:tcPr>
          <w:p w14:paraId="40ADD1FF" w14:textId="77777777" w:rsidR="00A7742A" w:rsidRPr="00EE5F6D" w:rsidRDefault="00A7742A" w:rsidP="00944855">
            <w:r w:rsidRPr="00EE5F6D">
              <w:t>Amodeo et al., 2019</w:t>
            </w:r>
          </w:p>
        </w:tc>
        <w:tc>
          <w:tcPr>
            <w:tcW w:w="281" w:type="dxa"/>
            <w:noWrap/>
            <w:hideMark/>
          </w:tcPr>
          <w:p w14:paraId="675E06EA" w14:textId="77777777" w:rsidR="00A7742A" w:rsidRPr="00EE5F6D" w:rsidRDefault="00A7742A" w:rsidP="00944855">
            <w:r w:rsidRPr="00EE5F6D">
              <w:t>Worldwide</w:t>
            </w:r>
          </w:p>
        </w:tc>
        <w:tc>
          <w:tcPr>
            <w:tcW w:w="479" w:type="dxa"/>
            <w:noWrap/>
            <w:hideMark/>
          </w:tcPr>
          <w:p w14:paraId="1D3C32B3" w14:textId="77777777" w:rsidR="00A7742A" w:rsidRPr="00EE5F6D" w:rsidRDefault="00A7742A" w:rsidP="00944855">
            <w:r w:rsidRPr="00EE5F6D">
              <w:t>N/A</w:t>
            </w:r>
          </w:p>
        </w:tc>
        <w:tc>
          <w:tcPr>
            <w:tcW w:w="593" w:type="dxa"/>
            <w:noWrap/>
            <w:hideMark/>
          </w:tcPr>
          <w:p w14:paraId="2971C1E3" w14:textId="77777777" w:rsidR="00A7742A" w:rsidRPr="00EE5F6D" w:rsidRDefault="00A7742A" w:rsidP="00944855">
            <w:r w:rsidRPr="00EE5F6D">
              <w:t xml:space="preserve">Community (Adult, All </w:t>
            </w:r>
            <w:r w:rsidRPr="00EE5F6D">
              <w:lastRenderedPageBreak/>
              <w:t>Genders)</w:t>
            </w:r>
          </w:p>
        </w:tc>
        <w:tc>
          <w:tcPr>
            <w:tcW w:w="3437" w:type="dxa"/>
            <w:noWrap/>
            <w:hideMark/>
          </w:tcPr>
          <w:p w14:paraId="0C27F889" w14:textId="77777777" w:rsidR="00A7742A" w:rsidRPr="00EE5F6D" w:rsidRDefault="00A7742A" w:rsidP="00944855">
            <w:r w:rsidRPr="00EE5F6D">
              <w:lastRenderedPageBreak/>
              <w:t xml:space="preserve">To review the main pharmacological treatments for BED and provides an expert opinion based </w:t>
            </w:r>
            <w:r w:rsidRPr="00EE5F6D">
              <w:lastRenderedPageBreak/>
              <w:t>on the available evidence and on the authors’ clinical experience with patients affected by BED.</w:t>
            </w:r>
          </w:p>
        </w:tc>
        <w:tc>
          <w:tcPr>
            <w:tcW w:w="582" w:type="dxa"/>
            <w:noWrap/>
            <w:hideMark/>
          </w:tcPr>
          <w:p w14:paraId="747655CA" w14:textId="77777777" w:rsidR="00A7742A" w:rsidRPr="00EE5F6D" w:rsidRDefault="00A7742A" w:rsidP="00944855">
            <w:r w:rsidRPr="00EE5F6D">
              <w:lastRenderedPageBreak/>
              <w:t>Review (Narrative)</w:t>
            </w:r>
          </w:p>
        </w:tc>
        <w:tc>
          <w:tcPr>
            <w:tcW w:w="3437" w:type="dxa"/>
            <w:noWrap/>
            <w:hideMark/>
          </w:tcPr>
          <w:p w14:paraId="7AC62529" w14:textId="77777777" w:rsidR="00A7742A" w:rsidRPr="00EE5F6D" w:rsidRDefault="00A7742A" w:rsidP="00944855">
            <w:r w:rsidRPr="00EE5F6D">
              <w:t>Weight reduction and reduction of binge eating</w:t>
            </w:r>
          </w:p>
        </w:tc>
      </w:tr>
      <w:tr w:rsidR="00A7742A" w:rsidRPr="00EE5F6D" w14:paraId="56C025B3" w14:textId="77777777" w:rsidTr="00944855">
        <w:trPr>
          <w:trHeight w:val="312"/>
        </w:trPr>
        <w:tc>
          <w:tcPr>
            <w:tcW w:w="541" w:type="dxa"/>
            <w:noWrap/>
            <w:hideMark/>
          </w:tcPr>
          <w:p w14:paraId="0E95BACE" w14:textId="77777777" w:rsidR="00A7742A" w:rsidRPr="00EE5F6D" w:rsidRDefault="00A7742A" w:rsidP="00944855">
            <w:r w:rsidRPr="00EE5F6D">
              <w:t>Andries et al., 2014</w:t>
            </w:r>
          </w:p>
        </w:tc>
        <w:tc>
          <w:tcPr>
            <w:tcW w:w="281" w:type="dxa"/>
            <w:noWrap/>
            <w:hideMark/>
          </w:tcPr>
          <w:p w14:paraId="212C188D" w14:textId="77777777" w:rsidR="00A7742A" w:rsidRPr="00EE5F6D" w:rsidRDefault="00A7742A" w:rsidP="00944855">
            <w:r w:rsidRPr="00EE5F6D">
              <w:t>Denmark</w:t>
            </w:r>
          </w:p>
        </w:tc>
        <w:tc>
          <w:tcPr>
            <w:tcW w:w="479" w:type="dxa"/>
            <w:noWrap/>
            <w:hideMark/>
          </w:tcPr>
          <w:p w14:paraId="33B6970A" w14:textId="77777777" w:rsidR="00A7742A" w:rsidRPr="00EE5F6D" w:rsidRDefault="00A7742A" w:rsidP="00944855">
            <w:r w:rsidRPr="00EE5F6D">
              <w:t>25</w:t>
            </w:r>
          </w:p>
        </w:tc>
        <w:tc>
          <w:tcPr>
            <w:tcW w:w="593" w:type="dxa"/>
            <w:noWrap/>
            <w:hideMark/>
          </w:tcPr>
          <w:p w14:paraId="7ECD2ED9" w14:textId="77777777" w:rsidR="00A7742A" w:rsidRPr="00EE5F6D" w:rsidRDefault="00A7742A" w:rsidP="00944855">
            <w:r w:rsidRPr="00EE5F6D">
              <w:t>outpatient (adult, women)</w:t>
            </w:r>
          </w:p>
        </w:tc>
        <w:tc>
          <w:tcPr>
            <w:tcW w:w="3437" w:type="dxa"/>
            <w:noWrap/>
            <w:hideMark/>
          </w:tcPr>
          <w:p w14:paraId="208B4155" w14:textId="0DE7C78D" w:rsidR="00A7742A" w:rsidRPr="00EE5F6D" w:rsidRDefault="00A7742A" w:rsidP="00944855">
            <w:r w:rsidRPr="00EE5F6D">
              <w:t>To investigate the effects of treatment with a synthetic cannabinoid agonist</w:t>
            </w:r>
            <w:r w:rsidR="00D770C2" w:rsidRPr="00EE5F6D">
              <w:t xml:space="preserve"> (dronabinol)</w:t>
            </w:r>
            <w:r w:rsidRPr="00EE5F6D">
              <w:t xml:space="preserve"> on body weight and eating disorder-related psychopathological personality traits in women with severe, enduring AN.</w:t>
            </w:r>
          </w:p>
        </w:tc>
        <w:tc>
          <w:tcPr>
            <w:tcW w:w="582" w:type="dxa"/>
            <w:noWrap/>
            <w:hideMark/>
          </w:tcPr>
          <w:p w14:paraId="19560F28" w14:textId="77777777" w:rsidR="00A7742A" w:rsidRPr="00EE5F6D" w:rsidRDefault="00A7742A" w:rsidP="00944855">
            <w:r w:rsidRPr="00EE5F6D">
              <w:t>RCT (cross-over)</w:t>
            </w:r>
          </w:p>
        </w:tc>
        <w:tc>
          <w:tcPr>
            <w:tcW w:w="3437" w:type="dxa"/>
            <w:noWrap/>
            <w:hideMark/>
          </w:tcPr>
          <w:p w14:paraId="15902AA1" w14:textId="7E8A6C1B" w:rsidR="00A7742A" w:rsidRPr="00EE5F6D" w:rsidRDefault="00A7742A" w:rsidP="00944855">
            <w:r w:rsidRPr="00EE5F6D">
              <w:t xml:space="preserve">Weight change, </w:t>
            </w:r>
            <w:r w:rsidR="00146E03">
              <w:t>eating disorder inventory (</w:t>
            </w:r>
            <w:r w:rsidRPr="00EE5F6D">
              <w:t>EDI 2</w:t>
            </w:r>
            <w:r w:rsidR="00146E03">
              <w:t>)</w:t>
            </w:r>
          </w:p>
        </w:tc>
      </w:tr>
      <w:tr w:rsidR="00A7742A" w:rsidRPr="00EE5F6D" w14:paraId="28027D40" w14:textId="77777777" w:rsidTr="00944855">
        <w:trPr>
          <w:trHeight w:val="312"/>
        </w:trPr>
        <w:tc>
          <w:tcPr>
            <w:tcW w:w="541" w:type="dxa"/>
            <w:noWrap/>
            <w:hideMark/>
          </w:tcPr>
          <w:p w14:paraId="24731B3F" w14:textId="77777777" w:rsidR="00A7742A" w:rsidRPr="00EE5F6D" w:rsidRDefault="00A7742A" w:rsidP="00944855">
            <w:r w:rsidRPr="00EE5F6D">
              <w:t xml:space="preserve">Andries, Gram and Stoving, 2014 </w:t>
            </w:r>
          </w:p>
        </w:tc>
        <w:tc>
          <w:tcPr>
            <w:tcW w:w="281" w:type="dxa"/>
            <w:noWrap/>
            <w:hideMark/>
          </w:tcPr>
          <w:p w14:paraId="6EE903D8" w14:textId="77777777" w:rsidR="00A7742A" w:rsidRPr="00EE5F6D" w:rsidRDefault="00A7742A" w:rsidP="00944855">
            <w:r w:rsidRPr="00EE5F6D">
              <w:t>Denmark</w:t>
            </w:r>
          </w:p>
        </w:tc>
        <w:tc>
          <w:tcPr>
            <w:tcW w:w="479" w:type="dxa"/>
            <w:noWrap/>
            <w:hideMark/>
          </w:tcPr>
          <w:p w14:paraId="7C456C01" w14:textId="77777777" w:rsidR="00A7742A" w:rsidRPr="00EE5F6D" w:rsidRDefault="00A7742A" w:rsidP="00944855">
            <w:r w:rsidRPr="00EE5F6D">
              <w:t>24</w:t>
            </w:r>
          </w:p>
        </w:tc>
        <w:tc>
          <w:tcPr>
            <w:tcW w:w="593" w:type="dxa"/>
            <w:noWrap/>
            <w:hideMark/>
          </w:tcPr>
          <w:p w14:paraId="0E4D49FE" w14:textId="77777777" w:rsidR="00A7742A" w:rsidRPr="00EE5F6D" w:rsidRDefault="00A7742A" w:rsidP="00944855">
            <w:r w:rsidRPr="00EE5F6D">
              <w:t>Outpatient (Adult, Women)</w:t>
            </w:r>
          </w:p>
        </w:tc>
        <w:tc>
          <w:tcPr>
            <w:tcW w:w="3437" w:type="dxa"/>
            <w:noWrap/>
            <w:hideMark/>
          </w:tcPr>
          <w:p w14:paraId="461C50D7" w14:textId="77777777" w:rsidR="00A7742A" w:rsidRPr="00EE5F6D" w:rsidRDefault="00A7742A" w:rsidP="00944855">
            <w:r w:rsidRPr="00EE5F6D">
              <w:t>To (1) assess the effect of dronabinol-a synthetic cannabinoid agonist-on physical activity in patients with chronic and stable AN, and to (2) unravel the role of leptin and cortisol in this process.</w:t>
            </w:r>
          </w:p>
        </w:tc>
        <w:tc>
          <w:tcPr>
            <w:tcW w:w="582" w:type="dxa"/>
            <w:noWrap/>
            <w:hideMark/>
          </w:tcPr>
          <w:p w14:paraId="47563174" w14:textId="77777777" w:rsidR="00A7742A" w:rsidRPr="00EE5F6D" w:rsidRDefault="00A7742A" w:rsidP="00944855">
            <w:r w:rsidRPr="00EE5F6D">
              <w:t>RCT (cross-over)</w:t>
            </w:r>
          </w:p>
        </w:tc>
        <w:tc>
          <w:tcPr>
            <w:tcW w:w="3437" w:type="dxa"/>
            <w:noWrap/>
            <w:hideMark/>
          </w:tcPr>
          <w:p w14:paraId="50B417D1" w14:textId="77777777" w:rsidR="00A7742A" w:rsidRPr="00EE5F6D" w:rsidRDefault="00A7742A" w:rsidP="00944855">
            <w:r w:rsidRPr="00EE5F6D">
              <w:t>Physical activity, body weight, leptin and urinary free cortisol excretion</w:t>
            </w:r>
          </w:p>
        </w:tc>
      </w:tr>
      <w:tr w:rsidR="00A7742A" w:rsidRPr="00EE5F6D" w14:paraId="2C472BA6" w14:textId="77777777" w:rsidTr="00944855">
        <w:trPr>
          <w:trHeight w:val="312"/>
        </w:trPr>
        <w:tc>
          <w:tcPr>
            <w:tcW w:w="541" w:type="dxa"/>
            <w:noWrap/>
            <w:hideMark/>
          </w:tcPr>
          <w:p w14:paraId="028BCF4E" w14:textId="77777777" w:rsidR="00A7742A" w:rsidRPr="00EE5F6D" w:rsidRDefault="00A7742A" w:rsidP="00944855">
            <w:r w:rsidRPr="00EE5F6D">
              <w:t>Attia et al., 2011</w:t>
            </w:r>
          </w:p>
        </w:tc>
        <w:tc>
          <w:tcPr>
            <w:tcW w:w="281" w:type="dxa"/>
            <w:noWrap/>
            <w:hideMark/>
          </w:tcPr>
          <w:p w14:paraId="489C88A6" w14:textId="77777777" w:rsidR="00A7742A" w:rsidRPr="00EE5F6D" w:rsidRDefault="00A7742A" w:rsidP="00944855">
            <w:r w:rsidRPr="00EE5F6D">
              <w:t>USA, Canada</w:t>
            </w:r>
          </w:p>
        </w:tc>
        <w:tc>
          <w:tcPr>
            <w:tcW w:w="479" w:type="dxa"/>
            <w:noWrap/>
            <w:hideMark/>
          </w:tcPr>
          <w:p w14:paraId="383333AE" w14:textId="77777777" w:rsidR="00A7742A" w:rsidRPr="00EE5F6D" w:rsidRDefault="00A7742A" w:rsidP="00944855">
            <w:r w:rsidRPr="00EE5F6D">
              <w:t>23</w:t>
            </w:r>
          </w:p>
        </w:tc>
        <w:tc>
          <w:tcPr>
            <w:tcW w:w="593" w:type="dxa"/>
            <w:noWrap/>
            <w:hideMark/>
          </w:tcPr>
          <w:p w14:paraId="1F526FDB" w14:textId="77777777" w:rsidR="00A7742A" w:rsidRPr="00EE5F6D" w:rsidRDefault="00A7742A" w:rsidP="00944855">
            <w:r w:rsidRPr="00EE5F6D">
              <w:t>Outpatient (Adult, All Genders)</w:t>
            </w:r>
          </w:p>
        </w:tc>
        <w:tc>
          <w:tcPr>
            <w:tcW w:w="3437" w:type="dxa"/>
            <w:noWrap/>
            <w:hideMark/>
          </w:tcPr>
          <w:p w14:paraId="3899EFA3" w14:textId="77777777" w:rsidR="00A7742A" w:rsidRPr="00EE5F6D" w:rsidRDefault="00A7742A" w:rsidP="00944855">
            <w:r w:rsidRPr="00EE5F6D">
              <w:t>To determine whether olanzapine is superior to placebo in increasing body mass index (BMI) and improving psychological symptoms in out-patients with AN.</w:t>
            </w:r>
          </w:p>
        </w:tc>
        <w:tc>
          <w:tcPr>
            <w:tcW w:w="582" w:type="dxa"/>
            <w:noWrap/>
            <w:hideMark/>
          </w:tcPr>
          <w:p w14:paraId="048B1A35" w14:textId="77777777" w:rsidR="00A7742A" w:rsidRPr="00EE5F6D" w:rsidRDefault="00A7742A" w:rsidP="00944855">
            <w:r w:rsidRPr="00EE5F6D">
              <w:t>RCT</w:t>
            </w:r>
          </w:p>
        </w:tc>
        <w:tc>
          <w:tcPr>
            <w:tcW w:w="3437" w:type="dxa"/>
            <w:noWrap/>
            <w:hideMark/>
          </w:tcPr>
          <w:p w14:paraId="67791C7F" w14:textId="50E26280" w:rsidR="00A7742A" w:rsidRPr="00EE5F6D" w:rsidRDefault="00A7742A" w:rsidP="00944855">
            <w:r w:rsidRPr="00EE5F6D">
              <w:t>BMI, psychological symptoms Yale–Brown–Cornell Eating Disorders Scale</w:t>
            </w:r>
            <w:r w:rsidR="00146E03">
              <w:t xml:space="preserve"> (YBC-EDS)</w:t>
            </w:r>
            <w:r w:rsidRPr="00EE5F6D">
              <w:t>; Positive</w:t>
            </w:r>
            <w:r w:rsidR="00146E03">
              <w:t xml:space="preserve"> and Negative </w:t>
            </w:r>
            <w:r w:rsidRPr="00EE5F6D">
              <w:t>and Syndrome Scale</w:t>
            </w:r>
            <w:r w:rsidR="00146E03">
              <w:t xml:space="preserve"> (</w:t>
            </w:r>
            <w:r w:rsidR="00146E03" w:rsidRPr="00EE5F6D">
              <w:t>PANSS</w:t>
            </w:r>
            <w:r w:rsidR="00146E03">
              <w:t>)</w:t>
            </w:r>
            <w:r w:rsidRPr="00EE5F6D">
              <w:t xml:space="preserve">. </w:t>
            </w:r>
          </w:p>
        </w:tc>
      </w:tr>
      <w:tr w:rsidR="00A7742A" w:rsidRPr="00EE5F6D" w14:paraId="0C230219" w14:textId="77777777" w:rsidTr="00944855">
        <w:trPr>
          <w:trHeight w:val="312"/>
        </w:trPr>
        <w:tc>
          <w:tcPr>
            <w:tcW w:w="541" w:type="dxa"/>
            <w:noWrap/>
            <w:hideMark/>
          </w:tcPr>
          <w:p w14:paraId="41624E48" w14:textId="77777777" w:rsidR="00A7742A" w:rsidRPr="00EE5F6D" w:rsidRDefault="00A7742A" w:rsidP="00944855">
            <w:r w:rsidRPr="00EE5F6D">
              <w:t>Attia et al., 2019</w:t>
            </w:r>
          </w:p>
        </w:tc>
        <w:tc>
          <w:tcPr>
            <w:tcW w:w="281" w:type="dxa"/>
            <w:noWrap/>
            <w:hideMark/>
          </w:tcPr>
          <w:p w14:paraId="7361E4DD" w14:textId="77777777" w:rsidR="00A7742A" w:rsidRPr="00EE5F6D" w:rsidRDefault="00A7742A" w:rsidP="00944855">
            <w:r w:rsidRPr="00EE5F6D">
              <w:t>USA</w:t>
            </w:r>
          </w:p>
        </w:tc>
        <w:tc>
          <w:tcPr>
            <w:tcW w:w="479" w:type="dxa"/>
            <w:noWrap/>
            <w:hideMark/>
          </w:tcPr>
          <w:p w14:paraId="0D95E1C8" w14:textId="77777777" w:rsidR="00A7742A" w:rsidRPr="00EE5F6D" w:rsidRDefault="00A7742A" w:rsidP="00944855">
            <w:r w:rsidRPr="00EE5F6D">
              <w:t>152</w:t>
            </w:r>
          </w:p>
        </w:tc>
        <w:tc>
          <w:tcPr>
            <w:tcW w:w="593" w:type="dxa"/>
            <w:noWrap/>
            <w:hideMark/>
          </w:tcPr>
          <w:p w14:paraId="4A0373EC" w14:textId="77777777" w:rsidR="00A7742A" w:rsidRPr="00EE5F6D" w:rsidRDefault="00A7742A" w:rsidP="00944855">
            <w:r w:rsidRPr="00EE5F6D">
              <w:t>Outpatient (Adult, All Genders)</w:t>
            </w:r>
          </w:p>
        </w:tc>
        <w:tc>
          <w:tcPr>
            <w:tcW w:w="3437" w:type="dxa"/>
            <w:noWrap/>
            <w:hideMark/>
          </w:tcPr>
          <w:p w14:paraId="0182FC68" w14:textId="77777777" w:rsidR="00A7742A" w:rsidRPr="00EE5F6D" w:rsidRDefault="00A7742A" w:rsidP="00944855">
            <w:r w:rsidRPr="00EE5F6D">
              <w:t>To evaluate the benefits of olanzapine compared with placebo for adult outpatients with anorexia nervosa.</w:t>
            </w:r>
          </w:p>
        </w:tc>
        <w:tc>
          <w:tcPr>
            <w:tcW w:w="582" w:type="dxa"/>
            <w:noWrap/>
            <w:hideMark/>
          </w:tcPr>
          <w:p w14:paraId="1919C2D4" w14:textId="77777777" w:rsidR="00A7742A" w:rsidRPr="00EE5F6D" w:rsidRDefault="00A7742A" w:rsidP="00944855">
            <w:r w:rsidRPr="00EE5F6D">
              <w:t>RCT</w:t>
            </w:r>
          </w:p>
        </w:tc>
        <w:tc>
          <w:tcPr>
            <w:tcW w:w="3437" w:type="dxa"/>
            <w:noWrap/>
            <w:hideMark/>
          </w:tcPr>
          <w:p w14:paraId="0C53F678" w14:textId="510E9E83" w:rsidR="00A7742A" w:rsidRPr="00EE5F6D" w:rsidRDefault="00A7742A" w:rsidP="00944855">
            <w:r w:rsidRPr="00EE5F6D">
              <w:t xml:space="preserve">BMI, </w:t>
            </w:r>
            <w:r w:rsidR="00146E03">
              <w:t xml:space="preserve">YBC-EDS, </w:t>
            </w:r>
            <w:r w:rsidRPr="00EE5F6D">
              <w:t>ED</w:t>
            </w:r>
            <w:r w:rsidR="00146E03">
              <w:t>E</w:t>
            </w:r>
            <w:r w:rsidRPr="00EE5F6D">
              <w:t xml:space="preserve">, </w:t>
            </w:r>
            <w:r w:rsidR="00146E03">
              <w:t>center for epidemiologic studies depression scale (CES-D),</w:t>
            </w:r>
            <w:r w:rsidRPr="00EE5F6D">
              <w:t xml:space="preserve"> anxiety, clinical global impressions scale) severity</w:t>
            </w:r>
            <w:r w:rsidR="00146E03">
              <w:t xml:space="preserve"> (CGI)</w:t>
            </w:r>
            <w:r w:rsidRPr="00EE5F6D">
              <w:t>.</w:t>
            </w:r>
          </w:p>
        </w:tc>
      </w:tr>
      <w:tr w:rsidR="00A7742A" w:rsidRPr="00EE5F6D" w14:paraId="12B51D06" w14:textId="77777777" w:rsidTr="00944855">
        <w:trPr>
          <w:trHeight w:val="312"/>
        </w:trPr>
        <w:tc>
          <w:tcPr>
            <w:tcW w:w="541" w:type="dxa"/>
            <w:noWrap/>
            <w:hideMark/>
          </w:tcPr>
          <w:p w14:paraId="36142028" w14:textId="77777777" w:rsidR="00A7742A" w:rsidRPr="00EE5F6D" w:rsidRDefault="00A7742A" w:rsidP="00944855">
            <w:r w:rsidRPr="00EE5F6D">
              <w:lastRenderedPageBreak/>
              <w:t>Balestrieri et al., 2013</w:t>
            </w:r>
          </w:p>
        </w:tc>
        <w:tc>
          <w:tcPr>
            <w:tcW w:w="281" w:type="dxa"/>
            <w:noWrap/>
            <w:hideMark/>
          </w:tcPr>
          <w:p w14:paraId="3D228106" w14:textId="77777777" w:rsidR="00A7742A" w:rsidRPr="00EE5F6D" w:rsidRDefault="00A7742A" w:rsidP="00944855">
            <w:r w:rsidRPr="00EE5F6D">
              <w:t>Worldwide</w:t>
            </w:r>
          </w:p>
        </w:tc>
        <w:tc>
          <w:tcPr>
            <w:tcW w:w="479" w:type="dxa"/>
            <w:noWrap/>
            <w:hideMark/>
          </w:tcPr>
          <w:p w14:paraId="6FBCA748" w14:textId="77777777" w:rsidR="00A7742A" w:rsidRPr="00EE5F6D" w:rsidRDefault="00A7742A" w:rsidP="00944855">
            <w:r w:rsidRPr="00EE5F6D">
              <w:t>22</w:t>
            </w:r>
          </w:p>
        </w:tc>
        <w:tc>
          <w:tcPr>
            <w:tcW w:w="593" w:type="dxa"/>
            <w:noWrap/>
            <w:hideMark/>
          </w:tcPr>
          <w:p w14:paraId="336A68C6" w14:textId="77777777" w:rsidR="00A7742A" w:rsidRPr="00EE5F6D" w:rsidRDefault="00A7742A" w:rsidP="00944855">
            <w:r w:rsidRPr="00EE5F6D">
              <w:t>Community (Adult, All Genders)</w:t>
            </w:r>
          </w:p>
        </w:tc>
        <w:tc>
          <w:tcPr>
            <w:tcW w:w="3437" w:type="dxa"/>
            <w:noWrap/>
            <w:hideMark/>
          </w:tcPr>
          <w:p w14:paraId="144231E6" w14:textId="77777777" w:rsidR="00A7742A" w:rsidRPr="00EE5F6D" w:rsidRDefault="00A7742A" w:rsidP="00944855">
            <w:r w:rsidRPr="00EE5F6D">
              <w:t>To review the literature on the use of antidepressants and antipsychotics in adolescents with anorexia nervosa, comparing the efficacy and tolerability in this population with those reported in trials with patients not selected by age.</w:t>
            </w:r>
          </w:p>
        </w:tc>
        <w:tc>
          <w:tcPr>
            <w:tcW w:w="582" w:type="dxa"/>
            <w:noWrap/>
            <w:hideMark/>
          </w:tcPr>
          <w:p w14:paraId="4A810059" w14:textId="77777777" w:rsidR="00A7742A" w:rsidRPr="00EE5F6D" w:rsidRDefault="00A7742A" w:rsidP="00944855">
            <w:r w:rsidRPr="00EE5F6D">
              <w:t>Review (Systematic)</w:t>
            </w:r>
          </w:p>
        </w:tc>
        <w:tc>
          <w:tcPr>
            <w:tcW w:w="3437" w:type="dxa"/>
            <w:noWrap/>
            <w:hideMark/>
          </w:tcPr>
          <w:p w14:paraId="51F72E39" w14:textId="77777777" w:rsidR="00A7742A" w:rsidRPr="00EE5F6D" w:rsidRDefault="00A7742A" w:rsidP="00944855">
            <w:r w:rsidRPr="00EE5F6D">
              <w:t>BMI, eating disorder symptoms, functional impairment</w:t>
            </w:r>
          </w:p>
        </w:tc>
      </w:tr>
      <w:tr w:rsidR="00A7742A" w:rsidRPr="00EE5F6D" w14:paraId="599D0D2B" w14:textId="77777777" w:rsidTr="00944855">
        <w:trPr>
          <w:trHeight w:val="936"/>
        </w:trPr>
        <w:tc>
          <w:tcPr>
            <w:tcW w:w="541" w:type="dxa"/>
            <w:noWrap/>
            <w:hideMark/>
          </w:tcPr>
          <w:p w14:paraId="49271A43" w14:textId="77777777" w:rsidR="00A7742A" w:rsidRPr="00EE5F6D" w:rsidRDefault="00A7742A" w:rsidP="00944855">
            <w:r w:rsidRPr="00EE5F6D">
              <w:t>Bello and Yeomans, 2018</w:t>
            </w:r>
          </w:p>
        </w:tc>
        <w:tc>
          <w:tcPr>
            <w:tcW w:w="281" w:type="dxa"/>
            <w:noWrap/>
            <w:hideMark/>
          </w:tcPr>
          <w:p w14:paraId="7C27672F" w14:textId="77777777" w:rsidR="00A7742A" w:rsidRPr="00EE5F6D" w:rsidRDefault="00A7742A" w:rsidP="00944855">
            <w:r w:rsidRPr="00EE5F6D">
              <w:t>Worldwide</w:t>
            </w:r>
          </w:p>
        </w:tc>
        <w:tc>
          <w:tcPr>
            <w:tcW w:w="479" w:type="dxa"/>
            <w:noWrap/>
            <w:hideMark/>
          </w:tcPr>
          <w:p w14:paraId="0EAE7707" w14:textId="77777777" w:rsidR="00A7742A" w:rsidRPr="00EE5F6D" w:rsidRDefault="00A7742A" w:rsidP="00944855">
            <w:r w:rsidRPr="00EE5F6D">
              <w:t>N/A</w:t>
            </w:r>
          </w:p>
        </w:tc>
        <w:tc>
          <w:tcPr>
            <w:tcW w:w="593" w:type="dxa"/>
            <w:noWrap/>
            <w:hideMark/>
          </w:tcPr>
          <w:p w14:paraId="5619123F" w14:textId="77777777" w:rsidR="00A7742A" w:rsidRPr="00EE5F6D" w:rsidRDefault="00A7742A" w:rsidP="00944855">
            <w:r w:rsidRPr="00EE5F6D">
              <w:t>N/A</w:t>
            </w:r>
          </w:p>
        </w:tc>
        <w:tc>
          <w:tcPr>
            <w:tcW w:w="3437" w:type="dxa"/>
            <w:noWrap/>
            <w:hideMark/>
          </w:tcPr>
          <w:p w14:paraId="1ADDD866" w14:textId="7D99D38E" w:rsidR="00A7742A" w:rsidRPr="00EE5F6D" w:rsidRDefault="00A7742A" w:rsidP="00944855">
            <w:r w:rsidRPr="00EE5F6D">
              <w:t>To examine the efficacy and safety profile of the FDA-approved medica- tions for the treatment of BN and BED. This will include the evaluation of fluoxetine for BN, and lisdexamfetamine for BED. Safety information will be review from randomized control trials (RCT), open label trials, and case reports.</w:t>
            </w:r>
          </w:p>
        </w:tc>
        <w:tc>
          <w:tcPr>
            <w:tcW w:w="582" w:type="dxa"/>
            <w:noWrap/>
            <w:hideMark/>
          </w:tcPr>
          <w:p w14:paraId="4BC38EE8" w14:textId="77777777" w:rsidR="00A7742A" w:rsidRPr="00EE5F6D" w:rsidRDefault="00A7742A" w:rsidP="00944855">
            <w:r w:rsidRPr="00EE5F6D">
              <w:t>Review (Narrative)</w:t>
            </w:r>
          </w:p>
        </w:tc>
        <w:tc>
          <w:tcPr>
            <w:tcW w:w="3437" w:type="dxa"/>
            <w:noWrap/>
            <w:hideMark/>
          </w:tcPr>
          <w:p w14:paraId="284E298F" w14:textId="77777777" w:rsidR="00A7742A" w:rsidRPr="00EE5F6D" w:rsidRDefault="00A7742A" w:rsidP="00944855">
            <w:r w:rsidRPr="00EE5F6D">
              <w:t xml:space="preserve">Side effects, safety and well-toleratedness </w:t>
            </w:r>
          </w:p>
        </w:tc>
      </w:tr>
      <w:tr w:rsidR="00A7742A" w:rsidRPr="00EE5F6D" w14:paraId="0F2BD3C4" w14:textId="77777777" w:rsidTr="00944855">
        <w:trPr>
          <w:trHeight w:val="312"/>
        </w:trPr>
        <w:tc>
          <w:tcPr>
            <w:tcW w:w="541" w:type="dxa"/>
            <w:noWrap/>
            <w:hideMark/>
          </w:tcPr>
          <w:p w14:paraId="790F09A1" w14:textId="77777777" w:rsidR="00A7742A" w:rsidRPr="00EE5F6D" w:rsidRDefault="00A7742A" w:rsidP="00944855">
            <w:r w:rsidRPr="00EE5F6D">
              <w:t xml:space="preserve">Blomquist and Grilo, 2011 </w:t>
            </w:r>
          </w:p>
        </w:tc>
        <w:tc>
          <w:tcPr>
            <w:tcW w:w="281" w:type="dxa"/>
            <w:noWrap/>
            <w:hideMark/>
          </w:tcPr>
          <w:p w14:paraId="50F14B9D" w14:textId="77777777" w:rsidR="00A7742A" w:rsidRPr="00EE5F6D" w:rsidRDefault="00A7742A" w:rsidP="00944855">
            <w:r w:rsidRPr="00EE5F6D">
              <w:t>USA</w:t>
            </w:r>
          </w:p>
        </w:tc>
        <w:tc>
          <w:tcPr>
            <w:tcW w:w="479" w:type="dxa"/>
            <w:noWrap/>
            <w:hideMark/>
          </w:tcPr>
          <w:p w14:paraId="53EEB60D" w14:textId="77777777" w:rsidR="00A7742A" w:rsidRPr="00EE5F6D" w:rsidRDefault="00A7742A" w:rsidP="00944855">
            <w:r w:rsidRPr="00EE5F6D">
              <w:t>50</w:t>
            </w:r>
          </w:p>
        </w:tc>
        <w:tc>
          <w:tcPr>
            <w:tcW w:w="593" w:type="dxa"/>
            <w:noWrap/>
            <w:hideMark/>
          </w:tcPr>
          <w:p w14:paraId="07CAFFC5" w14:textId="77777777" w:rsidR="00A7742A" w:rsidRPr="00EE5F6D" w:rsidRDefault="00A7742A" w:rsidP="00944855">
            <w:r w:rsidRPr="00EE5F6D">
              <w:t>Inpatient (Adult, All Genders)</w:t>
            </w:r>
          </w:p>
        </w:tc>
        <w:tc>
          <w:tcPr>
            <w:tcW w:w="3437" w:type="dxa"/>
            <w:noWrap/>
            <w:hideMark/>
          </w:tcPr>
          <w:p w14:paraId="11C2E363" w14:textId="2A3D7B8B" w:rsidR="00A7742A" w:rsidRPr="00EE5F6D" w:rsidRDefault="00A7742A" w:rsidP="00944855">
            <w:r w:rsidRPr="00EE5F6D">
              <w:t>To examine whether changes in different aspects of dietary restraint in obese patients with BED participating in a treatment study predict outcomes.</w:t>
            </w:r>
          </w:p>
        </w:tc>
        <w:tc>
          <w:tcPr>
            <w:tcW w:w="582" w:type="dxa"/>
            <w:noWrap/>
            <w:hideMark/>
          </w:tcPr>
          <w:p w14:paraId="7C9A16FE" w14:textId="77777777" w:rsidR="00A7742A" w:rsidRPr="00EE5F6D" w:rsidRDefault="00A7742A" w:rsidP="00944855">
            <w:r w:rsidRPr="00EE5F6D">
              <w:t>RCT</w:t>
            </w:r>
          </w:p>
        </w:tc>
        <w:tc>
          <w:tcPr>
            <w:tcW w:w="3437" w:type="dxa"/>
            <w:noWrap/>
            <w:hideMark/>
          </w:tcPr>
          <w:p w14:paraId="3E70F9CC" w14:textId="77777777" w:rsidR="00A7742A" w:rsidRPr="00EE5F6D" w:rsidRDefault="00A7742A" w:rsidP="00944855">
            <w:r w:rsidRPr="00EE5F6D">
              <w:t xml:space="preserve"> “Abstinence” from binge eating, “5% weight loss” from baseline weight</w:t>
            </w:r>
          </w:p>
        </w:tc>
      </w:tr>
      <w:tr w:rsidR="00A7742A" w:rsidRPr="00EE5F6D" w14:paraId="51A2E2CB" w14:textId="77777777" w:rsidTr="00944855">
        <w:trPr>
          <w:trHeight w:val="312"/>
        </w:trPr>
        <w:tc>
          <w:tcPr>
            <w:tcW w:w="541" w:type="dxa"/>
            <w:noWrap/>
            <w:hideMark/>
          </w:tcPr>
          <w:p w14:paraId="1F67B2B6" w14:textId="77777777" w:rsidR="00A7742A" w:rsidRPr="00EE5F6D" w:rsidRDefault="00A7742A" w:rsidP="00944855">
            <w:r w:rsidRPr="00EE5F6D">
              <w:t>Brownley et al., 2013</w:t>
            </w:r>
          </w:p>
        </w:tc>
        <w:tc>
          <w:tcPr>
            <w:tcW w:w="281" w:type="dxa"/>
            <w:noWrap/>
            <w:hideMark/>
          </w:tcPr>
          <w:p w14:paraId="683FC5E8" w14:textId="77777777" w:rsidR="00A7742A" w:rsidRPr="00EE5F6D" w:rsidRDefault="00A7742A" w:rsidP="00944855">
            <w:r w:rsidRPr="00EE5F6D">
              <w:t>USA</w:t>
            </w:r>
          </w:p>
        </w:tc>
        <w:tc>
          <w:tcPr>
            <w:tcW w:w="479" w:type="dxa"/>
            <w:noWrap/>
            <w:hideMark/>
          </w:tcPr>
          <w:p w14:paraId="719854A8" w14:textId="77777777" w:rsidR="00A7742A" w:rsidRPr="00EE5F6D" w:rsidRDefault="00A7742A" w:rsidP="00944855">
            <w:r w:rsidRPr="00EE5F6D">
              <w:t>24</w:t>
            </w:r>
          </w:p>
        </w:tc>
        <w:tc>
          <w:tcPr>
            <w:tcW w:w="593" w:type="dxa"/>
            <w:noWrap/>
            <w:hideMark/>
          </w:tcPr>
          <w:p w14:paraId="7BF4A923" w14:textId="77777777" w:rsidR="00A7742A" w:rsidRPr="00EE5F6D" w:rsidRDefault="00A7742A" w:rsidP="00944855">
            <w:r w:rsidRPr="00EE5F6D">
              <w:t>Community (Adult, All Genders)</w:t>
            </w:r>
          </w:p>
        </w:tc>
        <w:tc>
          <w:tcPr>
            <w:tcW w:w="3437" w:type="dxa"/>
            <w:noWrap/>
            <w:hideMark/>
          </w:tcPr>
          <w:p w14:paraId="7409AA82" w14:textId="46B7BB03" w:rsidR="00A7742A" w:rsidRPr="00EE5F6D" w:rsidRDefault="00A7742A" w:rsidP="00944855">
            <w:r w:rsidRPr="00EE5F6D">
              <w:t>To evaluate the the usefulness of chromium in the treatment of BED</w:t>
            </w:r>
          </w:p>
        </w:tc>
        <w:tc>
          <w:tcPr>
            <w:tcW w:w="582" w:type="dxa"/>
            <w:noWrap/>
            <w:hideMark/>
          </w:tcPr>
          <w:p w14:paraId="31DF34BD" w14:textId="77777777" w:rsidR="00A7742A" w:rsidRPr="00EE5F6D" w:rsidRDefault="00A7742A" w:rsidP="00944855">
            <w:r w:rsidRPr="00EE5F6D">
              <w:t>RCT</w:t>
            </w:r>
          </w:p>
        </w:tc>
        <w:tc>
          <w:tcPr>
            <w:tcW w:w="3437" w:type="dxa"/>
            <w:noWrap/>
            <w:hideMark/>
          </w:tcPr>
          <w:p w14:paraId="5AF705B5" w14:textId="77777777" w:rsidR="00A7742A" w:rsidRPr="00EE5F6D" w:rsidRDefault="00A7742A" w:rsidP="00944855">
            <w:r w:rsidRPr="00EE5F6D">
              <w:t>Mean change in binge frequency and related psychopathology, weight, symptoms of depression, and fasting glucose.</w:t>
            </w:r>
          </w:p>
        </w:tc>
      </w:tr>
      <w:tr w:rsidR="00A7742A" w:rsidRPr="00EE5F6D" w14:paraId="37DCD704" w14:textId="77777777" w:rsidTr="00944855">
        <w:trPr>
          <w:trHeight w:val="312"/>
        </w:trPr>
        <w:tc>
          <w:tcPr>
            <w:tcW w:w="541" w:type="dxa"/>
            <w:noWrap/>
            <w:hideMark/>
          </w:tcPr>
          <w:p w14:paraId="70E3711E" w14:textId="77777777" w:rsidR="00A7742A" w:rsidRPr="00EE5F6D" w:rsidRDefault="00A7742A" w:rsidP="00944855">
            <w:r w:rsidRPr="00EE5F6D">
              <w:t>Burgess et al., 2016</w:t>
            </w:r>
          </w:p>
        </w:tc>
        <w:tc>
          <w:tcPr>
            <w:tcW w:w="281" w:type="dxa"/>
            <w:noWrap/>
            <w:hideMark/>
          </w:tcPr>
          <w:p w14:paraId="607770E6" w14:textId="77777777" w:rsidR="00A7742A" w:rsidRPr="00EE5F6D" w:rsidRDefault="00A7742A" w:rsidP="00944855">
            <w:r w:rsidRPr="00EE5F6D">
              <w:t xml:space="preserve">England </w:t>
            </w:r>
          </w:p>
        </w:tc>
        <w:tc>
          <w:tcPr>
            <w:tcW w:w="479" w:type="dxa"/>
            <w:noWrap/>
            <w:hideMark/>
          </w:tcPr>
          <w:p w14:paraId="61332210" w14:textId="77777777" w:rsidR="00A7742A" w:rsidRPr="00EE5F6D" w:rsidRDefault="00A7742A" w:rsidP="00944855">
            <w:r w:rsidRPr="00EE5F6D">
              <w:t>30</w:t>
            </w:r>
          </w:p>
        </w:tc>
        <w:tc>
          <w:tcPr>
            <w:tcW w:w="593" w:type="dxa"/>
            <w:noWrap/>
            <w:hideMark/>
          </w:tcPr>
          <w:p w14:paraId="01AE98FB" w14:textId="77777777" w:rsidR="00A7742A" w:rsidRPr="00EE5F6D" w:rsidRDefault="00A7742A" w:rsidP="00944855">
            <w:r w:rsidRPr="00EE5F6D">
              <w:t xml:space="preserve">Community (Adult, </w:t>
            </w:r>
            <w:r w:rsidRPr="00EE5F6D">
              <w:lastRenderedPageBreak/>
              <w:t>All Genders)</w:t>
            </w:r>
          </w:p>
        </w:tc>
        <w:tc>
          <w:tcPr>
            <w:tcW w:w="3437" w:type="dxa"/>
            <w:noWrap/>
            <w:hideMark/>
          </w:tcPr>
          <w:p w14:paraId="222F8E82" w14:textId="1986C0A9" w:rsidR="00A7742A" w:rsidRPr="00EE5F6D" w:rsidRDefault="00A7742A" w:rsidP="00944855">
            <w:r w:rsidRPr="00EE5F6D">
              <w:lastRenderedPageBreak/>
              <w:t xml:space="preserve">To investigate the effect of transcranial direct current </w:t>
            </w:r>
            <w:r w:rsidRPr="00EE5F6D">
              <w:lastRenderedPageBreak/>
              <w:t>stimulation (tDCS) on food craving, intake, binge eating desire, and binge eating frequency in individuals with BED.</w:t>
            </w:r>
          </w:p>
        </w:tc>
        <w:tc>
          <w:tcPr>
            <w:tcW w:w="582" w:type="dxa"/>
            <w:noWrap/>
            <w:hideMark/>
          </w:tcPr>
          <w:p w14:paraId="157AC2FC" w14:textId="77777777" w:rsidR="00A7742A" w:rsidRPr="00EE5F6D" w:rsidRDefault="00A7742A" w:rsidP="00944855">
            <w:r w:rsidRPr="00EE5F6D">
              <w:lastRenderedPageBreak/>
              <w:t>RCT</w:t>
            </w:r>
          </w:p>
        </w:tc>
        <w:tc>
          <w:tcPr>
            <w:tcW w:w="3437" w:type="dxa"/>
            <w:noWrap/>
            <w:hideMark/>
          </w:tcPr>
          <w:p w14:paraId="2196F90B" w14:textId="77777777" w:rsidR="00A7742A" w:rsidRPr="00EE5F6D" w:rsidRDefault="00A7742A" w:rsidP="00944855">
            <w:r w:rsidRPr="00EE5F6D">
              <w:t xml:space="preserve">Food craving, food intake, binge eating </w:t>
            </w:r>
            <w:r w:rsidRPr="00EE5F6D">
              <w:lastRenderedPageBreak/>
              <w:t>frequency, binge eating desire.</w:t>
            </w:r>
          </w:p>
        </w:tc>
      </w:tr>
      <w:tr w:rsidR="00A7742A" w:rsidRPr="00EE5F6D" w14:paraId="268E0B7A" w14:textId="77777777" w:rsidTr="00944855">
        <w:trPr>
          <w:trHeight w:val="420"/>
        </w:trPr>
        <w:tc>
          <w:tcPr>
            <w:tcW w:w="541" w:type="dxa"/>
            <w:noWrap/>
            <w:hideMark/>
          </w:tcPr>
          <w:p w14:paraId="2E317AE3" w14:textId="77777777" w:rsidR="00A7742A" w:rsidRPr="00EE5F6D" w:rsidRDefault="00A7742A" w:rsidP="00944855">
            <w:r w:rsidRPr="00EE5F6D">
              <w:lastRenderedPageBreak/>
              <w:t>Carei et al., 2010</w:t>
            </w:r>
          </w:p>
        </w:tc>
        <w:tc>
          <w:tcPr>
            <w:tcW w:w="281" w:type="dxa"/>
            <w:noWrap/>
            <w:hideMark/>
          </w:tcPr>
          <w:p w14:paraId="3B44266A" w14:textId="77777777" w:rsidR="00A7742A" w:rsidRPr="00EE5F6D" w:rsidRDefault="00A7742A" w:rsidP="00944855">
            <w:r w:rsidRPr="00EE5F6D">
              <w:t>USA</w:t>
            </w:r>
          </w:p>
        </w:tc>
        <w:tc>
          <w:tcPr>
            <w:tcW w:w="479" w:type="dxa"/>
            <w:noWrap/>
            <w:hideMark/>
          </w:tcPr>
          <w:p w14:paraId="40828314" w14:textId="77777777" w:rsidR="00A7742A" w:rsidRPr="00EE5F6D" w:rsidRDefault="00A7742A" w:rsidP="00944855">
            <w:r w:rsidRPr="00EE5F6D">
              <w:t>54</w:t>
            </w:r>
          </w:p>
        </w:tc>
        <w:tc>
          <w:tcPr>
            <w:tcW w:w="593" w:type="dxa"/>
            <w:noWrap/>
            <w:hideMark/>
          </w:tcPr>
          <w:p w14:paraId="69EB768C" w14:textId="77777777" w:rsidR="00A7742A" w:rsidRPr="00EE5F6D" w:rsidRDefault="00A7742A" w:rsidP="00944855">
            <w:r w:rsidRPr="00EE5F6D">
              <w:t>Community (Adolescents, All Genders)</w:t>
            </w:r>
          </w:p>
        </w:tc>
        <w:tc>
          <w:tcPr>
            <w:tcW w:w="3437" w:type="dxa"/>
            <w:noWrap/>
            <w:hideMark/>
          </w:tcPr>
          <w:p w14:paraId="092FC25D" w14:textId="77777777" w:rsidR="00A7742A" w:rsidRPr="00EE5F6D" w:rsidRDefault="00A7742A" w:rsidP="00944855">
            <w:r w:rsidRPr="00EE5F6D">
              <w:t>To assess the effect of individualized yoga treatment on eating disorder outcomes among adolescents receiving outpatient care for diagnosed eating disorders (anorexia nervosa, bulimia nervosa, eating disorder not otherwise specified).</w:t>
            </w:r>
          </w:p>
        </w:tc>
        <w:tc>
          <w:tcPr>
            <w:tcW w:w="582" w:type="dxa"/>
            <w:noWrap/>
            <w:hideMark/>
          </w:tcPr>
          <w:p w14:paraId="084013AC" w14:textId="77777777" w:rsidR="00A7742A" w:rsidRPr="00EE5F6D" w:rsidRDefault="00A7742A" w:rsidP="00944855">
            <w:r w:rsidRPr="00EE5F6D">
              <w:t>RCT</w:t>
            </w:r>
          </w:p>
        </w:tc>
        <w:tc>
          <w:tcPr>
            <w:tcW w:w="3437" w:type="dxa"/>
            <w:noWrap/>
            <w:hideMark/>
          </w:tcPr>
          <w:p w14:paraId="1D3F7591" w14:textId="128DF7BF" w:rsidR="00A7742A" w:rsidRPr="00EE5F6D" w:rsidRDefault="00A7742A" w:rsidP="00944855">
            <w:r w:rsidRPr="00EE5F6D">
              <w:t>EDE, BMI, Beck Depression Inventory</w:t>
            </w:r>
            <w:r w:rsidR="00146E03">
              <w:t xml:space="preserve"> (BDI-II)</w:t>
            </w:r>
            <w:r w:rsidRPr="00EE5F6D">
              <w:t>, State-Trait Anxiety Inventory</w:t>
            </w:r>
            <w:r w:rsidR="00146E03">
              <w:t xml:space="preserve"> (STAI)</w:t>
            </w:r>
            <w:r w:rsidRPr="00EE5F6D">
              <w:t>, Food Preoccupation questionnaire.</w:t>
            </w:r>
          </w:p>
        </w:tc>
      </w:tr>
      <w:tr w:rsidR="00A7742A" w:rsidRPr="00EE5F6D" w14:paraId="45D16388" w14:textId="77777777" w:rsidTr="00944855">
        <w:trPr>
          <w:trHeight w:val="312"/>
        </w:trPr>
        <w:tc>
          <w:tcPr>
            <w:tcW w:w="541" w:type="dxa"/>
            <w:noWrap/>
            <w:hideMark/>
          </w:tcPr>
          <w:p w14:paraId="325B0BF5" w14:textId="77777777" w:rsidR="00A7742A" w:rsidRPr="00EE5F6D" w:rsidRDefault="00A7742A" w:rsidP="00944855">
            <w:r w:rsidRPr="00EE5F6D">
              <w:t>Cassioli et al., 2020</w:t>
            </w:r>
          </w:p>
        </w:tc>
        <w:tc>
          <w:tcPr>
            <w:tcW w:w="281" w:type="dxa"/>
            <w:noWrap/>
            <w:hideMark/>
          </w:tcPr>
          <w:p w14:paraId="69E6782A" w14:textId="77777777" w:rsidR="00A7742A" w:rsidRPr="00EE5F6D" w:rsidRDefault="00A7742A" w:rsidP="00944855">
            <w:r w:rsidRPr="00EE5F6D">
              <w:t>Worldwide</w:t>
            </w:r>
          </w:p>
        </w:tc>
        <w:tc>
          <w:tcPr>
            <w:tcW w:w="479" w:type="dxa"/>
            <w:noWrap/>
            <w:hideMark/>
          </w:tcPr>
          <w:p w14:paraId="499CCC02" w14:textId="77777777" w:rsidR="00A7742A" w:rsidRPr="00EE5F6D" w:rsidRDefault="00A7742A" w:rsidP="00944855">
            <w:r w:rsidRPr="00EE5F6D">
              <w:t>19</w:t>
            </w:r>
          </w:p>
        </w:tc>
        <w:tc>
          <w:tcPr>
            <w:tcW w:w="593" w:type="dxa"/>
            <w:noWrap/>
            <w:hideMark/>
          </w:tcPr>
          <w:p w14:paraId="1F4B4005" w14:textId="77777777" w:rsidR="00A7742A" w:rsidRPr="00EE5F6D" w:rsidRDefault="00A7742A" w:rsidP="00944855">
            <w:r w:rsidRPr="00EE5F6D">
              <w:t>Community (Adult, All Genders)</w:t>
            </w:r>
          </w:p>
        </w:tc>
        <w:tc>
          <w:tcPr>
            <w:tcW w:w="3437" w:type="dxa"/>
            <w:noWrap/>
            <w:hideMark/>
          </w:tcPr>
          <w:p w14:paraId="24E3CABF" w14:textId="6199D1E2" w:rsidR="00A7742A" w:rsidRPr="00EE5F6D" w:rsidRDefault="00A7742A" w:rsidP="00944855">
            <w:r w:rsidRPr="00EE5F6D">
              <w:t>To perform an updated systematic review and meta-analysis of published randomized controlled trials investigating psychopharmacological treatment in acute-phase AN.</w:t>
            </w:r>
          </w:p>
        </w:tc>
        <w:tc>
          <w:tcPr>
            <w:tcW w:w="582" w:type="dxa"/>
            <w:noWrap/>
            <w:hideMark/>
          </w:tcPr>
          <w:p w14:paraId="51E5CD70" w14:textId="77777777" w:rsidR="00A7742A" w:rsidRPr="00EE5F6D" w:rsidRDefault="00A7742A" w:rsidP="00944855">
            <w:r w:rsidRPr="00EE5F6D">
              <w:t>Systematic Review/ Meta-Analysis (combined)</w:t>
            </w:r>
          </w:p>
        </w:tc>
        <w:tc>
          <w:tcPr>
            <w:tcW w:w="3437" w:type="dxa"/>
            <w:noWrap/>
            <w:hideMark/>
          </w:tcPr>
          <w:p w14:paraId="78072989" w14:textId="77777777" w:rsidR="00A7742A" w:rsidRPr="00EE5F6D" w:rsidRDefault="00A7742A" w:rsidP="00944855">
            <w:r w:rsidRPr="00EE5F6D">
              <w:t>Effect of psychoactive drugs on BMI, psychopathological outcomes.</w:t>
            </w:r>
          </w:p>
        </w:tc>
      </w:tr>
      <w:tr w:rsidR="00A7742A" w:rsidRPr="00EE5F6D" w14:paraId="6199F76B" w14:textId="77777777" w:rsidTr="00944855">
        <w:trPr>
          <w:trHeight w:val="312"/>
        </w:trPr>
        <w:tc>
          <w:tcPr>
            <w:tcW w:w="541" w:type="dxa"/>
            <w:noWrap/>
            <w:hideMark/>
          </w:tcPr>
          <w:p w14:paraId="0CE42E81" w14:textId="77777777" w:rsidR="00A7742A" w:rsidRPr="00EE5F6D" w:rsidRDefault="00A7742A" w:rsidP="00944855">
            <w:r w:rsidRPr="00EE5F6D">
              <w:t>Chamberlain et al., 2012</w:t>
            </w:r>
          </w:p>
        </w:tc>
        <w:tc>
          <w:tcPr>
            <w:tcW w:w="281" w:type="dxa"/>
            <w:noWrap/>
            <w:hideMark/>
          </w:tcPr>
          <w:p w14:paraId="28D8B307" w14:textId="77777777" w:rsidR="00A7742A" w:rsidRPr="00EE5F6D" w:rsidRDefault="00A7742A" w:rsidP="00944855">
            <w:r w:rsidRPr="00EE5F6D">
              <w:t>UK</w:t>
            </w:r>
          </w:p>
        </w:tc>
        <w:tc>
          <w:tcPr>
            <w:tcW w:w="479" w:type="dxa"/>
            <w:noWrap/>
            <w:hideMark/>
          </w:tcPr>
          <w:p w14:paraId="1C58D4CF" w14:textId="77777777" w:rsidR="00A7742A" w:rsidRPr="00EE5F6D" w:rsidRDefault="00A7742A" w:rsidP="00944855">
            <w:r w:rsidRPr="00EE5F6D">
              <w:t>63</w:t>
            </w:r>
          </w:p>
        </w:tc>
        <w:tc>
          <w:tcPr>
            <w:tcW w:w="593" w:type="dxa"/>
            <w:noWrap/>
            <w:hideMark/>
          </w:tcPr>
          <w:p w14:paraId="16E8C4B2" w14:textId="77777777" w:rsidR="00A7742A" w:rsidRPr="00EE5F6D" w:rsidRDefault="00A7742A" w:rsidP="00944855">
            <w:r w:rsidRPr="00EE5F6D">
              <w:t>Community (Adult, All Genders)</w:t>
            </w:r>
          </w:p>
        </w:tc>
        <w:tc>
          <w:tcPr>
            <w:tcW w:w="3437" w:type="dxa"/>
            <w:noWrap/>
            <w:hideMark/>
          </w:tcPr>
          <w:p w14:paraId="7ACE9CAE" w14:textId="77777777" w:rsidR="00A7742A" w:rsidRPr="00EE5F6D" w:rsidRDefault="00A7742A" w:rsidP="00944855">
            <w:r w:rsidRPr="00EE5F6D">
              <w:t>To objectively assess the cognitive effects of a mu opioid receptor antagonist in obese individuals with binge-eating symptoms.</w:t>
            </w:r>
          </w:p>
        </w:tc>
        <w:tc>
          <w:tcPr>
            <w:tcW w:w="582" w:type="dxa"/>
            <w:noWrap/>
            <w:hideMark/>
          </w:tcPr>
          <w:p w14:paraId="635DAC01" w14:textId="77777777" w:rsidR="00A7742A" w:rsidRPr="00EE5F6D" w:rsidRDefault="00A7742A" w:rsidP="00944855">
            <w:r w:rsidRPr="00EE5F6D">
              <w:t>RCT</w:t>
            </w:r>
          </w:p>
        </w:tc>
        <w:tc>
          <w:tcPr>
            <w:tcW w:w="3437" w:type="dxa"/>
            <w:noWrap/>
            <w:hideMark/>
          </w:tcPr>
          <w:p w14:paraId="1B9C98AD" w14:textId="77777777" w:rsidR="00A7742A" w:rsidRPr="00EE5F6D" w:rsidRDefault="00A7742A" w:rsidP="00944855">
            <w:r w:rsidRPr="00EE5F6D">
              <w:t>Processing bias for food stimuli (visual dot prob with 500- and 2000-ms stimulus presentations, and food strop tasks). Other distinct cognitive functions: N-back working memory, sustained attention, and power of attention tasks.</w:t>
            </w:r>
          </w:p>
        </w:tc>
      </w:tr>
      <w:tr w:rsidR="00A7742A" w:rsidRPr="00EE5F6D" w14:paraId="53A46905" w14:textId="77777777" w:rsidTr="00944855">
        <w:trPr>
          <w:trHeight w:val="312"/>
        </w:trPr>
        <w:tc>
          <w:tcPr>
            <w:tcW w:w="541" w:type="dxa"/>
            <w:noWrap/>
            <w:hideMark/>
          </w:tcPr>
          <w:p w14:paraId="6AB5A427" w14:textId="77777777" w:rsidR="00A7742A" w:rsidRPr="00EE5F6D" w:rsidRDefault="00A7742A" w:rsidP="00944855">
            <w:r w:rsidRPr="00EE5F6D">
              <w:t>Citrome, 2015</w:t>
            </w:r>
          </w:p>
        </w:tc>
        <w:tc>
          <w:tcPr>
            <w:tcW w:w="281" w:type="dxa"/>
            <w:noWrap/>
            <w:hideMark/>
          </w:tcPr>
          <w:p w14:paraId="556755AB" w14:textId="77777777" w:rsidR="00A7742A" w:rsidRPr="00EE5F6D" w:rsidRDefault="00A7742A" w:rsidP="00944855">
            <w:r w:rsidRPr="00EE5F6D">
              <w:t>Worldwide</w:t>
            </w:r>
          </w:p>
        </w:tc>
        <w:tc>
          <w:tcPr>
            <w:tcW w:w="479" w:type="dxa"/>
            <w:noWrap/>
            <w:hideMark/>
          </w:tcPr>
          <w:p w14:paraId="784E515E" w14:textId="77777777" w:rsidR="00A7742A" w:rsidRPr="00EE5F6D" w:rsidRDefault="00A7742A" w:rsidP="00944855">
            <w:r w:rsidRPr="00EE5F6D">
              <w:t>3</w:t>
            </w:r>
          </w:p>
        </w:tc>
        <w:tc>
          <w:tcPr>
            <w:tcW w:w="593" w:type="dxa"/>
            <w:noWrap/>
            <w:hideMark/>
          </w:tcPr>
          <w:p w14:paraId="6F947197" w14:textId="77777777" w:rsidR="00A7742A" w:rsidRPr="00EE5F6D" w:rsidRDefault="00A7742A" w:rsidP="00944855">
            <w:r w:rsidRPr="00EE5F6D">
              <w:t>Community (Adult, All Genders)</w:t>
            </w:r>
          </w:p>
        </w:tc>
        <w:tc>
          <w:tcPr>
            <w:tcW w:w="3437" w:type="dxa"/>
            <w:noWrap/>
            <w:hideMark/>
          </w:tcPr>
          <w:p w14:paraId="2CD6A42B" w14:textId="040F40B4" w:rsidR="00A7742A" w:rsidRPr="00EE5F6D" w:rsidRDefault="00A7742A" w:rsidP="00944855">
            <w:r w:rsidRPr="00EE5F6D">
              <w:t>To describe the efficacy and safety of LDX for the treatment of BED.</w:t>
            </w:r>
          </w:p>
        </w:tc>
        <w:tc>
          <w:tcPr>
            <w:tcW w:w="582" w:type="dxa"/>
            <w:noWrap/>
            <w:hideMark/>
          </w:tcPr>
          <w:p w14:paraId="4164D844" w14:textId="77777777" w:rsidR="00A7742A" w:rsidRPr="00EE5F6D" w:rsidRDefault="00A7742A" w:rsidP="00944855">
            <w:r w:rsidRPr="00EE5F6D">
              <w:t>Review (Systematic)</w:t>
            </w:r>
          </w:p>
        </w:tc>
        <w:tc>
          <w:tcPr>
            <w:tcW w:w="3437" w:type="dxa"/>
            <w:noWrap/>
            <w:hideMark/>
          </w:tcPr>
          <w:p w14:paraId="54C98FF4" w14:textId="77777777" w:rsidR="00A7742A" w:rsidRPr="00EE5F6D" w:rsidRDefault="00A7742A" w:rsidP="00944855">
            <w:r w:rsidRPr="00EE5F6D">
              <w:t>BED symptoms (measured by binge-eating days/week)</w:t>
            </w:r>
          </w:p>
        </w:tc>
      </w:tr>
      <w:tr w:rsidR="00A7742A" w:rsidRPr="00EE5F6D" w14:paraId="43EE93A6" w14:textId="77777777" w:rsidTr="00944855">
        <w:trPr>
          <w:trHeight w:val="312"/>
        </w:trPr>
        <w:tc>
          <w:tcPr>
            <w:tcW w:w="541" w:type="dxa"/>
            <w:noWrap/>
            <w:hideMark/>
          </w:tcPr>
          <w:p w14:paraId="655DB570" w14:textId="77777777" w:rsidR="00A7742A" w:rsidRPr="00EE5F6D" w:rsidRDefault="00A7742A" w:rsidP="00944855">
            <w:r w:rsidRPr="00EE5F6D">
              <w:lastRenderedPageBreak/>
              <w:t>Contreras et al., 2017</w:t>
            </w:r>
          </w:p>
        </w:tc>
        <w:tc>
          <w:tcPr>
            <w:tcW w:w="281" w:type="dxa"/>
            <w:noWrap/>
            <w:hideMark/>
          </w:tcPr>
          <w:p w14:paraId="5706749C" w14:textId="77777777" w:rsidR="00A7742A" w:rsidRPr="00EE5F6D" w:rsidRDefault="00A7742A" w:rsidP="00944855">
            <w:r w:rsidRPr="00EE5F6D">
              <w:t>Worldwide</w:t>
            </w:r>
          </w:p>
        </w:tc>
        <w:tc>
          <w:tcPr>
            <w:tcW w:w="479" w:type="dxa"/>
            <w:noWrap/>
            <w:hideMark/>
          </w:tcPr>
          <w:p w14:paraId="2DB4663B" w14:textId="77777777" w:rsidR="00A7742A" w:rsidRPr="00EE5F6D" w:rsidRDefault="00A7742A" w:rsidP="00944855">
            <w:r w:rsidRPr="00EE5F6D">
              <w:t>2</w:t>
            </w:r>
          </w:p>
        </w:tc>
        <w:tc>
          <w:tcPr>
            <w:tcW w:w="593" w:type="dxa"/>
            <w:noWrap/>
            <w:hideMark/>
          </w:tcPr>
          <w:p w14:paraId="7CC2ABF0" w14:textId="77777777" w:rsidR="00A7742A" w:rsidRPr="00EE5F6D" w:rsidRDefault="00A7742A" w:rsidP="00944855">
            <w:r w:rsidRPr="00EE5F6D">
              <w:t>Inpatient (Adult, All Genders)</w:t>
            </w:r>
          </w:p>
        </w:tc>
        <w:tc>
          <w:tcPr>
            <w:tcW w:w="3437" w:type="dxa"/>
            <w:noWrap/>
            <w:hideMark/>
          </w:tcPr>
          <w:p w14:paraId="534B1377" w14:textId="77777777" w:rsidR="00A7742A" w:rsidRPr="00EE5F6D" w:rsidRDefault="00A7742A" w:rsidP="00944855">
            <w:r w:rsidRPr="00EE5F6D">
              <w:t>To systematically review the effect of cannabinoids as a therapeutic alternative for anorexia nervosa</w:t>
            </w:r>
          </w:p>
        </w:tc>
        <w:tc>
          <w:tcPr>
            <w:tcW w:w="582" w:type="dxa"/>
            <w:noWrap/>
            <w:hideMark/>
          </w:tcPr>
          <w:p w14:paraId="0236B10C" w14:textId="77777777" w:rsidR="00A7742A" w:rsidRPr="00EE5F6D" w:rsidRDefault="00A7742A" w:rsidP="00944855">
            <w:r w:rsidRPr="00EE5F6D">
              <w:t>Review (Systematic)</w:t>
            </w:r>
          </w:p>
        </w:tc>
        <w:tc>
          <w:tcPr>
            <w:tcW w:w="3437" w:type="dxa"/>
            <w:noWrap/>
            <w:hideMark/>
          </w:tcPr>
          <w:p w14:paraId="0732D3A8" w14:textId="77777777" w:rsidR="00A7742A" w:rsidRPr="00EE5F6D" w:rsidRDefault="00A7742A" w:rsidP="00944855">
            <w:r w:rsidRPr="00EE5F6D">
              <w:t>Weight, symptoms of AN</w:t>
            </w:r>
          </w:p>
        </w:tc>
      </w:tr>
      <w:tr w:rsidR="00A7742A" w:rsidRPr="00EE5F6D" w14:paraId="4AA779E4" w14:textId="77777777" w:rsidTr="00944855">
        <w:trPr>
          <w:trHeight w:val="312"/>
        </w:trPr>
        <w:tc>
          <w:tcPr>
            <w:tcW w:w="541" w:type="dxa"/>
            <w:noWrap/>
            <w:hideMark/>
          </w:tcPr>
          <w:p w14:paraId="32A319F1" w14:textId="77777777" w:rsidR="00A7742A" w:rsidRPr="00EE5F6D" w:rsidRDefault="00A7742A" w:rsidP="00944855">
            <w:r w:rsidRPr="00EE5F6D">
              <w:t>Court et al., 2010</w:t>
            </w:r>
          </w:p>
        </w:tc>
        <w:tc>
          <w:tcPr>
            <w:tcW w:w="281" w:type="dxa"/>
            <w:noWrap/>
            <w:hideMark/>
          </w:tcPr>
          <w:p w14:paraId="36270A84" w14:textId="77777777" w:rsidR="00A7742A" w:rsidRPr="00EE5F6D" w:rsidRDefault="00A7742A" w:rsidP="00944855">
            <w:r w:rsidRPr="00EE5F6D">
              <w:t>Australia</w:t>
            </w:r>
          </w:p>
        </w:tc>
        <w:tc>
          <w:tcPr>
            <w:tcW w:w="479" w:type="dxa"/>
            <w:noWrap/>
            <w:hideMark/>
          </w:tcPr>
          <w:p w14:paraId="12CB4D3C" w14:textId="77777777" w:rsidR="00A7742A" w:rsidRPr="00EE5F6D" w:rsidRDefault="00A7742A" w:rsidP="00944855">
            <w:r w:rsidRPr="00EE5F6D">
              <w:t>33</w:t>
            </w:r>
          </w:p>
        </w:tc>
        <w:tc>
          <w:tcPr>
            <w:tcW w:w="593" w:type="dxa"/>
            <w:noWrap/>
            <w:hideMark/>
          </w:tcPr>
          <w:p w14:paraId="1C5EC420" w14:textId="77777777" w:rsidR="00A7742A" w:rsidRPr="00EE5F6D" w:rsidRDefault="00A7742A" w:rsidP="00944855">
            <w:r w:rsidRPr="00EE5F6D">
              <w:t>Outpatient (Young People, All Genders)</w:t>
            </w:r>
          </w:p>
        </w:tc>
        <w:tc>
          <w:tcPr>
            <w:tcW w:w="3437" w:type="dxa"/>
            <w:noWrap/>
            <w:hideMark/>
          </w:tcPr>
          <w:p w14:paraId="7A96C47B" w14:textId="77777777" w:rsidR="00A7742A" w:rsidRPr="00EE5F6D" w:rsidRDefault="00A7742A" w:rsidP="00944855">
            <w:r w:rsidRPr="00EE5F6D">
              <w:t>To investigate the safety and tolerability of the atypical antipsychotic quetiapine in anorexia nervosa patients, and to determine the effect of quetiapine treatment on anorexic psychopathology and other key outcome measures including weight and body image,</w:t>
            </w:r>
          </w:p>
        </w:tc>
        <w:tc>
          <w:tcPr>
            <w:tcW w:w="582" w:type="dxa"/>
            <w:noWrap/>
            <w:hideMark/>
          </w:tcPr>
          <w:p w14:paraId="04FCA01E" w14:textId="77777777" w:rsidR="00A7742A" w:rsidRPr="00EE5F6D" w:rsidRDefault="00A7742A" w:rsidP="00944855">
            <w:r w:rsidRPr="00EE5F6D">
              <w:t>RCT</w:t>
            </w:r>
          </w:p>
        </w:tc>
        <w:tc>
          <w:tcPr>
            <w:tcW w:w="3437" w:type="dxa"/>
            <w:noWrap/>
            <w:hideMark/>
          </w:tcPr>
          <w:p w14:paraId="6A975512" w14:textId="36F69283" w:rsidR="00A7742A" w:rsidRPr="007A29E4" w:rsidRDefault="00A7742A" w:rsidP="00944855">
            <w:r w:rsidRPr="007A29E4">
              <w:t>EDI-2. CES</w:t>
            </w:r>
            <w:r w:rsidR="00146E03">
              <w:t>-</w:t>
            </w:r>
            <w:r w:rsidRPr="007A29E4">
              <w:t xml:space="preserve">D, </w:t>
            </w:r>
            <w:r w:rsidR="00146E03">
              <w:t>Mood and anxiety symptom questionnaire (</w:t>
            </w:r>
            <w:r w:rsidRPr="007A29E4">
              <w:t>MASQ</w:t>
            </w:r>
            <w:r w:rsidR="00146E03">
              <w:t>)</w:t>
            </w:r>
            <w:r w:rsidRPr="007A29E4">
              <w:t xml:space="preserve">, </w:t>
            </w:r>
            <w:r w:rsidR="00146E03">
              <w:t>personal wellbeing index (</w:t>
            </w:r>
            <w:r w:rsidRPr="007A29E4">
              <w:t>PWI</w:t>
            </w:r>
            <w:r w:rsidR="00146E03">
              <w:t>)</w:t>
            </w:r>
            <w:r w:rsidRPr="007A29E4">
              <w:t xml:space="preserve">, </w:t>
            </w:r>
            <w:r w:rsidR="00645C18">
              <w:t>The managing affect and differences scale (</w:t>
            </w:r>
            <w:r w:rsidRPr="007A29E4">
              <w:t>MADS</w:t>
            </w:r>
            <w:r w:rsidR="00645C18">
              <w:t>)</w:t>
            </w:r>
          </w:p>
        </w:tc>
      </w:tr>
      <w:tr w:rsidR="00A7742A" w:rsidRPr="00EE5F6D" w14:paraId="59E0763C" w14:textId="77777777" w:rsidTr="00944855">
        <w:trPr>
          <w:trHeight w:val="312"/>
        </w:trPr>
        <w:tc>
          <w:tcPr>
            <w:tcW w:w="541" w:type="dxa"/>
            <w:noWrap/>
            <w:hideMark/>
          </w:tcPr>
          <w:p w14:paraId="15FBFE51" w14:textId="77777777" w:rsidR="00A7742A" w:rsidRPr="00EE5F6D" w:rsidRDefault="00A7742A" w:rsidP="00944855">
            <w:r w:rsidRPr="00EE5F6D">
              <w:t>Courtier et al., 2019</w:t>
            </w:r>
          </w:p>
        </w:tc>
        <w:tc>
          <w:tcPr>
            <w:tcW w:w="281" w:type="dxa"/>
            <w:noWrap/>
            <w:hideMark/>
          </w:tcPr>
          <w:p w14:paraId="7F581EC5" w14:textId="77777777" w:rsidR="00A7742A" w:rsidRPr="00EE5F6D" w:rsidRDefault="00A7742A" w:rsidP="00944855">
            <w:r w:rsidRPr="00EE5F6D">
              <w:t>Worldwide</w:t>
            </w:r>
          </w:p>
        </w:tc>
        <w:tc>
          <w:tcPr>
            <w:tcW w:w="479" w:type="dxa"/>
            <w:noWrap/>
            <w:hideMark/>
          </w:tcPr>
          <w:p w14:paraId="72A1785B" w14:textId="77777777" w:rsidR="00A7742A" w:rsidRPr="00EE5F6D" w:rsidRDefault="00A7742A" w:rsidP="00944855">
            <w:r w:rsidRPr="00EE5F6D">
              <w:t>N/A</w:t>
            </w:r>
          </w:p>
        </w:tc>
        <w:tc>
          <w:tcPr>
            <w:tcW w:w="593" w:type="dxa"/>
            <w:noWrap/>
            <w:hideMark/>
          </w:tcPr>
          <w:p w14:paraId="37932096" w14:textId="77777777" w:rsidR="00A7742A" w:rsidRPr="00EE5F6D" w:rsidRDefault="00A7742A" w:rsidP="00944855">
            <w:r w:rsidRPr="00EE5F6D">
              <w:t>Community (Mixed Cohort, All Genders)</w:t>
            </w:r>
          </w:p>
        </w:tc>
        <w:tc>
          <w:tcPr>
            <w:tcW w:w="3437" w:type="dxa"/>
            <w:noWrap/>
            <w:hideMark/>
          </w:tcPr>
          <w:p w14:paraId="2255F921" w14:textId="77777777" w:rsidR="00A7742A" w:rsidRPr="00EE5F6D" w:rsidRDefault="00A7742A" w:rsidP="00944855">
            <w:r w:rsidRPr="00EE5F6D">
              <w:t>To review the literature on the efficacy of psychotropic medications used exclusively to treat children and adolescents with primary EDs</w:t>
            </w:r>
          </w:p>
        </w:tc>
        <w:tc>
          <w:tcPr>
            <w:tcW w:w="582" w:type="dxa"/>
            <w:noWrap/>
            <w:hideMark/>
          </w:tcPr>
          <w:p w14:paraId="57432A46" w14:textId="77777777" w:rsidR="00A7742A" w:rsidRPr="00EE5F6D" w:rsidRDefault="00A7742A" w:rsidP="00944855">
            <w:r w:rsidRPr="00EE5F6D">
              <w:t>Review (Critical)</w:t>
            </w:r>
          </w:p>
        </w:tc>
        <w:tc>
          <w:tcPr>
            <w:tcW w:w="3437" w:type="dxa"/>
            <w:noWrap/>
            <w:hideMark/>
          </w:tcPr>
          <w:p w14:paraId="46B99D9D" w14:textId="77777777" w:rsidR="00A7742A" w:rsidRPr="00EE5F6D" w:rsidRDefault="00A7742A" w:rsidP="00944855">
            <w:r w:rsidRPr="00EE5F6D">
              <w:t>Efficacy of psychotropic medications for children and adolescents</w:t>
            </w:r>
          </w:p>
        </w:tc>
      </w:tr>
      <w:tr w:rsidR="00A7742A" w:rsidRPr="00EE5F6D" w14:paraId="704276F0" w14:textId="77777777" w:rsidTr="00944855">
        <w:trPr>
          <w:trHeight w:val="312"/>
        </w:trPr>
        <w:tc>
          <w:tcPr>
            <w:tcW w:w="541" w:type="dxa"/>
            <w:noWrap/>
            <w:hideMark/>
          </w:tcPr>
          <w:p w14:paraId="1324D2B6" w14:textId="77777777" w:rsidR="00A7742A" w:rsidRPr="00EE5F6D" w:rsidRDefault="00A7742A" w:rsidP="00944855">
            <w:r w:rsidRPr="00EE5F6D">
              <w:t>Dalton et al., 2018</w:t>
            </w:r>
          </w:p>
        </w:tc>
        <w:tc>
          <w:tcPr>
            <w:tcW w:w="281" w:type="dxa"/>
            <w:noWrap/>
            <w:hideMark/>
          </w:tcPr>
          <w:p w14:paraId="06B44DB6" w14:textId="77777777" w:rsidR="00A7742A" w:rsidRPr="00EE5F6D" w:rsidRDefault="00A7742A" w:rsidP="00944855">
            <w:r w:rsidRPr="00EE5F6D">
              <w:t>Worldwide</w:t>
            </w:r>
          </w:p>
        </w:tc>
        <w:tc>
          <w:tcPr>
            <w:tcW w:w="479" w:type="dxa"/>
            <w:noWrap/>
            <w:hideMark/>
          </w:tcPr>
          <w:p w14:paraId="4E15FE6E" w14:textId="77777777" w:rsidR="00A7742A" w:rsidRPr="00EE5F6D" w:rsidRDefault="00A7742A" w:rsidP="00944855">
            <w:r w:rsidRPr="00EE5F6D">
              <w:t>32</w:t>
            </w:r>
          </w:p>
        </w:tc>
        <w:tc>
          <w:tcPr>
            <w:tcW w:w="593" w:type="dxa"/>
            <w:noWrap/>
            <w:hideMark/>
          </w:tcPr>
          <w:p w14:paraId="3CCEAE75" w14:textId="77777777" w:rsidR="00A7742A" w:rsidRPr="00EE5F6D" w:rsidRDefault="00A7742A" w:rsidP="00944855">
            <w:r w:rsidRPr="00EE5F6D">
              <w:t>Community (Adult, All Genders)</w:t>
            </w:r>
          </w:p>
        </w:tc>
        <w:tc>
          <w:tcPr>
            <w:tcW w:w="3437" w:type="dxa"/>
            <w:noWrap/>
            <w:hideMark/>
          </w:tcPr>
          <w:p w14:paraId="600798F1" w14:textId="77777777" w:rsidR="00A7742A" w:rsidRPr="00EE5F6D" w:rsidRDefault="00A7742A" w:rsidP="00944855">
            <w:r w:rsidRPr="00EE5F6D">
              <w:t>To provide an update of the literature examining the effects of DBS, rTMS and tDCS on eating behaviours, body weight and associated symptoms in people with EDs and relevant analogue populations.</w:t>
            </w:r>
          </w:p>
        </w:tc>
        <w:tc>
          <w:tcPr>
            <w:tcW w:w="582" w:type="dxa"/>
            <w:noWrap/>
            <w:hideMark/>
          </w:tcPr>
          <w:p w14:paraId="1E83389C" w14:textId="77777777" w:rsidR="00A7742A" w:rsidRPr="00EE5F6D" w:rsidRDefault="00A7742A" w:rsidP="00944855">
            <w:r w:rsidRPr="00EE5F6D">
              <w:t>Review (Systematic)</w:t>
            </w:r>
          </w:p>
        </w:tc>
        <w:tc>
          <w:tcPr>
            <w:tcW w:w="3437" w:type="dxa"/>
            <w:noWrap/>
            <w:hideMark/>
          </w:tcPr>
          <w:p w14:paraId="2B1F7118" w14:textId="77777777" w:rsidR="00A7742A" w:rsidRPr="00EE5F6D" w:rsidRDefault="00A7742A" w:rsidP="00944855">
            <w:r w:rsidRPr="00EE5F6D">
              <w:t>Effects of neurostimulation techniques on eating and weight-related outcomes in people with EDs.</w:t>
            </w:r>
          </w:p>
        </w:tc>
      </w:tr>
      <w:tr w:rsidR="00A7742A" w:rsidRPr="00EE5F6D" w14:paraId="63CFD980" w14:textId="77777777" w:rsidTr="00944855">
        <w:trPr>
          <w:trHeight w:val="312"/>
        </w:trPr>
        <w:tc>
          <w:tcPr>
            <w:tcW w:w="541" w:type="dxa"/>
            <w:noWrap/>
            <w:hideMark/>
          </w:tcPr>
          <w:p w14:paraId="40D9D17E" w14:textId="77777777" w:rsidR="00A7742A" w:rsidRPr="00EE5F6D" w:rsidRDefault="00A7742A" w:rsidP="00944855">
            <w:r w:rsidRPr="00EE5F6D">
              <w:t xml:space="preserve">Dalton et al., 2020 </w:t>
            </w:r>
          </w:p>
        </w:tc>
        <w:tc>
          <w:tcPr>
            <w:tcW w:w="281" w:type="dxa"/>
            <w:noWrap/>
            <w:hideMark/>
          </w:tcPr>
          <w:p w14:paraId="7F46B5CC" w14:textId="77777777" w:rsidR="00A7742A" w:rsidRPr="00EE5F6D" w:rsidRDefault="00A7742A" w:rsidP="00944855">
            <w:r w:rsidRPr="00EE5F6D">
              <w:t>UK</w:t>
            </w:r>
          </w:p>
        </w:tc>
        <w:tc>
          <w:tcPr>
            <w:tcW w:w="479" w:type="dxa"/>
            <w:noWrap/>
            <w:hideMark/>
          </w:tcPr>
          <w:p w14:paraId="56B949F2" w14:textId="77777777" w:rsidR="00A7742A" w:rsidRPr="00EE5F6D" w:rsidRDefault="00A7742A" w:rsidP="00944855">
            <w:r w:rsidRPr="00EE5F6D">
              <w:t>30</w:t>
            </w:r>
          </w:p>
        </w:tc>
        <w:tc>
          <w:tcPr>
            <w:tcW w:w="593" w:type="dxa"/>
            <w:noWrap/>
            <w:hideMark/>
          </w:tcPr>
          <w:p w14:paraId="1D56A60D" w14:textId="77777777" w:rsidR="00A7742A" w:rsidRPr="00EE5F6D" w:rsidRDefault="00A7742A" w:rsidP="00944855">
            <w:r w:rsidRPr="00EE5F6D">
              <w:t>Community (Adult, All Genders)</w:t>
            </w:r>
          </w:p>
        </w:tc>
        <w:tc>
          <w:tcPr>
            <w:tcW w:w="3437" w:type="dxa"/>
            <w:noWrap/>
            <w:hideMark/>
          </w:tcPr>
          <w:p w14:paraId="202D1219" w14:textId="0152F4DB" w:rsidR="00A7742A" w:rsidRPr="00EE5F6D" w:rsidRDefault="00A7742A" w:rsidP="00944855">
            <w:r w:rsidRPr="00EE5F6D">
              <w:t xml:space="preserve">To assess longer-term effects of rTMS on ED symptoms and general psychopathology in </w:t>
            </w:r>
            <w:r w:rsidRPr="00EE5F6D">
              <w:lastRenderedPageBreak/>
              <w:t>the TIARA</w:t>
            </w:r>
            <w:r w:rsidR="001410CB">
              <w:t xml:space="preserve"> (Transcranial magnetic stimulation and imaging in anorexia nervosa: the TIARA study)</w:t>
            </w:r>
            <w:r w:rsidRPr="00EE5F6D">
              <w:t xml:space="preserve"> participants in an open follow-up 18-months post-randomisation.</w:t>
            </w:r>
          </w:p>
        </w:tc>
        <w:tc>
          <w:tcPr>
            <w:tcW w:w="582" w:type="dxa"/>
            <w:noWrap/>
            <w:hideMark/>
          </w:tcPr>
          <w:p w14:paraId="7C1C0698" w14:textId="77777777" w:rsidR="00A7742A" w:rsidRPr="00EE5F6D" w:rsidRDefault="00A7742A" w:rsidP="00944855">
            <w:r w:rsidRPr="00EE5F6D">
              <w:lastRenderedPageBreak/>
              <w:t>RCT</w:t>
            </w:r>
          </w:p>
        </w:tc>
        <w:tc>
          <w:tcPr>
            <w:tcW w:w="3437" w:type="dxa"/>
            <w:noWrap/>
            <w:hideMark/>
          </w:tcPr>
          <w:p w14:paraId="5A35FA4A" w14:textId="316BF2F4" w:rsidR="00A7742A" w:rsidRPr="00EE5F6D" w:rsidRDefault="00A7742A" w:rsidP="00944855">
            <w:r w:rsidRPr="00EE5F6D">
              <w:t xml:space="preserve">Changes in BMI, </w:t>
            </w:r>
            <w:r w:rsidR="00721BA4">
              <w:t>eating disorder examination questionnaire (</w:t>
            </w:r>
            <w:r w:rsidRPr="00EE5F6D">
              <w:t>EDE-Q</w:t>
            </w:r>
            <w:r w:rsidR="00721BA4">
              <w:t>)</w:t>
            </w:r>
            <w:r w:rsidRPr="00EE5F6D">
              <w:t xml:space="preserve">, </w:t>
            </w:r>
            <w:r w:rsidR="00721BA4">
              <w:t xml:space="preserve">clinical impairment </w:t>
            </w:r>
            <w:r w:rsidR="00721BA4">
              <w:lastRenderedPageBreak/>
              <w:t>assessment questionnaire (</w:t>
            </w:r>
            <w:r w:rsidRPr="00EE5F6D">
              <w:t>CIA</w:t>
            </w:r>
            <w:r w:rsidR="00721BA4">
              <w:t>),</w:t>
            </w:r>
            <w:r w:rsidRPr="00EE5F6D">
              <w:t xml:space="preserve"> </w:t>
            </w:r>
            <w:r w:rsidR="00721BA4">
              <w:t>Depression anxiety stress scales (</w:t>
            </w:r>
            <w:r w:rsidRPr="00EE5F6D">
              <w:t>DASS-21</w:t>
            </w:r>
            <w:r w:rsidR="00721BA4">
              <w:t>)</w:t>
            </w:r>
            <w:r w:rsidRPr="00EE5F6D">
              <w:t xml:space="preserve">  </w:t>
            </w:r>
          </w:p>
        </w:tc>
      </w:tr>
      <w:tr w:rsidR="00A7742A" w:rsidRPr="00EE5F6D" w14:paraId="07A23551" w14:textId="77777777" w:rsidTr="00944855">
        <w:trPr>
          <w:trHeight w:val="312"/>
        </w:trPr>
        <w:tc>
          <w:tcPr>
            <w:tcW w:w="541" w:type="dxa"/>
            <w:noWrap/>
            <w:hideMark/>
          </w:tcPr>
          <w:p w14:paraId="37D7DD91" w14:textId="77777777" w:rsidR="00A7742A" w:rsidRPr="00EE5F6D" w:rsidRDefault="00A7742A" w:rsidP="00944855">
            <w:r w:rsidRPr="00EE5F6D">
              <w:lastRenderedPageBreak/>
              <w:t>Davis et al., 2016</w:t>
            </w:r>
          </w:p>
        </w:tc>
        <w:tc>
          <w:tcPr>
            <w:tcW w:w="281" w:type="dxa"/>
            <w:noWrap/>
            <w:hideMark/>
          </w:tcPr>
          <w:p w14:paraId="6F5BC3E3" w14:textId="77777777" w:rsidR="00A7742A" w:rsidRPr="00EE5F6D" w:rsidRDefault="00A7742A" w:rsidP="00944855">
            <w:r w:rsidRPr="00EE5F6D">
              <w:t>USA</w:t>
            </w:r>
          </w:p>
        </w:tc>
        <w:tc>
          <w:tcPr>
            <w:tcW w:w="479" w:type="dxa"/>
            <w:noWrap/>
            <w:hideMark/>
          </w:tcPr>
          <w:p w14:paraId="2E76CEDB" w14:textId="77777777" w:rsidR="00A7742A" w:rsidRPr="00EE5F6D" w:rsidRDefault="00A7742A" w:rsidP="00944855">
            <w:r w:rsidRPr="00EE5F6D">
              <w:t>198</w:t>
            </w:r>
          </w:p>
        </w:tc>
        <w:tc>
          <w:tcPr>
            <w:tcW w:w="593" w:type="dxa"/>
            <w:noWrap/>
            <w:hideMark/>
          </w:tcPr>
          <w:p w14:paraId="1EEA76E9" w14:textId="77777777" w:rsidR="00A7742A" w:rsidRPr="00EE5F6D" w:rsidRDefault="00A7742A" w:rsidP="00944855">
            <w:r w:rsidRPr="00EE5F6D">
              <w:t>Community (Adult, All Genders)</w:t>
            </w:r>
          </w:p>
        </w:tc>
        <w:tc>
          <w:tcPr>
            <w:tcW w:w="3437" w:type="dxa"/>
            <w:noWrap/>
            <w:hideMark/>
          </w:tcPr>
          <w:p w14:paraId="23E089D6" w14:textId="5C5FA534" w:rsidR="00A7742A" w:rsidRPr="00EE5F6D" w:rsidRDefault="00A7742A" w:rsidP="00944855">
            <w:r w:rsidRPr="00EE5F6D">
              <w:t>To examine sex differences in response to a single dose of a psychomotor-stimulant medication (methylphenidate: MP) and to assess whether expected differences were moderated by BED status.</w:t>
            </w:r>
          </w:p>
        </w:tc>
        <w:tc>
          <w:tcPr>
            <w:tcW w:w="582" w:type="dxa"/>
            <w:noWrap/>
            <w:hideMark/>
          </w:tcPr>
          <w:p w14:paraId="78148B44" w14:textId="77777777" w:rsidR="00A7742A" w:rsidRPr="00EE5F6D" w:rsidRDefault="00A7742A" w:rsidP="00944855">
            <w:r w:rsidRPr="00EE5F6D">
              <w:t>RCT (cross-over)</w:t>
            </w:r>
          </w:p>
        </w:tc>
        <w:tc>
          <w:tcPr>
            <w:tcW w:w="3437" w:type="dxa"/>
            <w:noWrap/>
            <w:hideMark/>
          </w:tcPr>
          <w:p w14:paraId="472F9634" w14:textId="77777777" w:rsidR="00A7742A" w:rsidRPr="00EE5F6D" w:rsidRDefault="00A7742A" w:rsidP="00944855">
            <w:r w:rsidRPr="00EE5F6D">
              <w:t>Emotional/mood ratings (via subjective rating scales), appetite ratings, food cravings, snack-food consumption</w:t>
            </w:r>
          </w:p>
        </w:tc>
      </w:tr>
      <w:tr w:rsidR="00A7742A" w:rsidRPr="00EE5F6D" w14:paraId="29591C2B" w14:textId="77777777" w:rsidTr="00944855">
        <w:trPr>
          <w:trHeight w:val="312"/>
        </w:trPr>
        <w:tc>
          <w:tcPr>
            <w:tcW w:w="541" w:type="dxa"/>
            <w:noWrap/>
            <w:hideMark/>
          </w:tcPr>
          <w:p w14:paraId="74E41188" w14:textId="77777777" w:rsidR="00A7742A" w:rsidRPr="00EE5F6D" w:rsidRDefault="00A7742A" w:rsidP="00944855">
            <w:r w:rsidRPr="00EE5F6D">
              <w:t>Devlin et al., 2012</w:t>
            </w:r>
          </w:p>
        </w:tc>
        <w:tc>
          <w:tcPr>
            <w:tcW w:w="281" w:type="dxa"/>
            <w:noWrap/>
            <w:hideMark/>
          </w:tcPr>
          <w:p w14:paraId="6C817595" w14:textId="77777777" w:rsidR="00A7742A" w:rsidRPr="00EE5F6D" w:rsidRDefault="00A7742A" w:rsidP="00944855">
            <w:r w:rsidRPr="00EE5F6D">
              <w:t>USA</w:t>
            </w:r>
          </w:p>
        </w:tc>
        <w:tc>
          <w:tcPr>
            <w:tcW w:w="479" w:type="dxa"/>
            <w:noWrap/>
            <w:hideMark/>
          </w:tcPr>
          <w:p w14:paraId="3D88B39D" w14:textId="77777777" w:rsidR="00A7742A" w:rsidRPr="00EE5F6D" w:rsidRDefault="00A7742A" w:rsidP="00944855">
            <w:r w:rsidRPr="00EE5F6D">
              <w:t>56</w:t>
            </w:r>
          </w:p>
        </w:tc>
        <w:tc>
          <w:tcPr>
            <w:tcW w:w="593" w:type="dxa"/>
            <w:noWrap/>
            <w:hideMark/>
          </w:tcPr>
          <w:p w14:paraId="405F69D3" w14:textId="77777777" w:rsidR="00A7742A" w:rsidRPr="00EE5F6D" w:rsidRDefault="00A7742A" w:rsidP="00944855">
            <w:r w:rsidRPr="00EE5F6D">
              <w:t>Community (Adult, Women)</w:t>
            </w:r>
          </w:p>
        </w:tc>
        <w:tc>
          <w:tcPr>
            <w:tcW w:w="3437" w:type="dxa"/>
            <w:noWrap/>
            <w:hideMark/>
          </w:tcPr>
          <w:p w14:paraId="276B8AB0" w14:textId="427C6680" w:rsidR="00A7742A" w:rsidRPr="00EE5F6D" w:rsidRDefault="00A7742A" w:rsidP="00944855">
            <w:r w:rsidRPr="00EE5F6D">
              <w:t>To test these hypotheses as well as the efficacy of the prokinetic agent erythromycin in patients with BN. hypothesis - Previous studies have suggested that delayed gastric emptying and abnormal postprandial release of hormones that influence satiation, particularly cholecystokinin (CCK), may play an important role in the pathophysiology of BN.</w:t>
            </w:r>
          </w:p>
        </w:tc>
        <w:tc>
          <w:tcPr>
            <w:tcW w:w="582" w:type="dxa"/>
            <w:noWrap/>
            <w:hideMark/>
          </w:tcPr>
          <w:p w14:paraId="63B43CE7" w14:textId="77777777" w:rsidR="00A7742A" w:rsidRPr="00EE5F6D" w:rsidRDefault="00A7742A" w:rsidP="00944855">
            <w:r w:rsidRPr="00EE5F6D">
              <w:t>RCT</w:t>
            </w:r>
          </w:p>
        </w:tc>
        <w:tc>
          <w:tcPr>
            <w:tcW w:w="3437" w:type="dxa"/>
            <w:noWrap/>
            <w:hideMark/>
          </w:tcPr>
          <w:p w14:paraId="14916840" w14:textId="77777777" w:rsidR="00A7742A" w:rsidRPr="00EE5F6D" w:rsidRDefault="00A7742A" w:rsidP="00944855">
            <w:r w:rsidRPr="00EE5F6D">
              <w:t>primary: gastric emptying and hormone levels, secondary: BDI score, restraint and hunger score, binge and vomit frequency</w:t>
            </w:r>
          </w:p>
        </w:tc>
      </w:tr>
      <w:tr w:rsidR="00A7742A" w:rsidRPr="00EE5F6D" w14:paraId="68F2412C" w14:textId="77777777" w:rsidTr="00944855">
        <w:trPr>
          <w:trHeight w:val="312"/>
        </w:trPr>
        <w:tc>
          <w:tcPr>
            <w:tcW w:w="541" w:type="dxa"/>
            <w:noWrap/>
            <w:hideMark/>
          </w:tcPr>
          <w:p w14:paraId="5A9A6AF2" w14:textId="77777777" w:rsidR="00A7742A" w:rsidRPr="00EE5F6D" w:rsidRDefault="00A7742A" w:rsidP="00944855">
            <w:r w:rsidRPr="00EE5F6D">
              <w:t>Dunlop et al., 2015</w:t>
            </w:r>
          </w:p>
        </w:tc>
        <w:tc>
          <w:tcPr>
            <w:tcW w:w="281" w:type="dxa"/>
            <w:noWrap/>
            <w:hideMark/>
          </w:tcPr>
          <w:p w14:paraId="7105B122" w14:textId="77777777" w:rsidR="00A7742A" w:rsidRPr="00EE5F6D" w:rsidRDefault="00A7742A" w:rsidP="00944855">
            <w:r w:rsidRPr="00EE5F6D">
              <w:t>Canada</w:t>
            </w:r>
          </w:p>
        </w:tc>
        <w:tc>
          <w:tcPr>
            <w:tcW w:w="479" w:type="dxa"/>
            <w:noWrap/>
            <w:hideMark/>
          </w:tcPr>
          <w:p w14:paraId="026962C9" w14:textId="77777777" w:rsidR="00A7742A" w:rsidRPr="00EE5F6D" w:rsidRDefault="00A7742A" w:rsidP="00944855">
            <w:r w:rsidRPr="00EE5F6D">
              <w:t>28</w:t>
            </w:r>
          </w:p>
        </w:tc>
        <w:tc>
          <w:tcPr>
            <w:tcW w:w="593" w:type="dxa"/>
            <w:noWrap/>
            <w:hideMark/>
          </w:tcPr>
          <w:p w14:paraId="1FFF6F32" w14:textId="77777777" w:rsidR="00A7742A" w:rsidRPr="00EE5F6D" w:rsidRDefault="00A7742A" w:rsidP="00944855">
            <w:r w:rsidRPr="00EE5F6D">
              <w:t>Community (Adult, All Genders)</w:t>
            </w:r>
          </w:p>
        </w:tc>
        <w:tc>
          <w:tcPr>
            <w:tcW w:w="3437" w:type="dxa"/>
            <w:noWrap/>
            <w:hideMark/>
          </w:tcPr>
          <w:p w14:paraId="25599128" w14:textId="77777777" w:rsidR="00A7742A" w:rsidRPr="00EE5F6D" w:rsidRDefault="00A7742A" w:rsidP="00944855">
            <w:r w:rsidRPr="00EE5F6D">
              <w:t xml:space="preserve">To characterize and distinguish the neural activity of subpopulations of patients showing improvement versus </w:t>
            </w:r>
            <w:r w:rsidRPr="00EE5F6D">
              <w:lastRenderedPageBreak/>
              <w:t>non-improvement in this population.</w:t>
            </w:r>
          </w:p>
        </w:tc>
        <w:tc>
          <w:tcPr>
            <w:tcW w:w="582" w:type="dxa"/>
            <w:noWrap/>
            <w:hideMark/>
          </w:tcPr>
          <w:p w14:paraId="78227AA7" w14:textId="77777777" w:rsidR="00A7742A" w:rsidRPr="00EE5F6D" w:rsidRDefault="00A7742A" w:rsidP="00944855">
            <w:r w:rsidRPr="00EE5F6D">
              <w:lastRenderedPageBreak/>
              <w:t>Quasi-experimental (intervention)</w:t>
            </w:r>
          </w:p>
        </w:tc>
        <w:tc>
          <w:tcPr>
            <w:tcW w:w="3437" w:type="dxa"/>
            <w:noWrap/>
            <w:hideMark/>
          </w:tcPr>
          <w:p w14:paraId="5DC851AD" w14:textId="77777777" w:rsidR="00A7742A" w:rsidRPr="00EE5F6D" w:rsidRDefault="00A7742A" w:rsidP="00944855">
            <w:r w:rsidRPr="00EE5F6D">
              <w:t>Weekly frequency of binge and purge episodes, EDE scores</w:t>
            </w:r>
          </w:p>
        </w:tc>
      </w:tr>
      <w:tr w:rsidR="00A7742A" w:rsidRPr="00EE5F6D" w14:paraId="337B59B9" w14:textId="77777777" w:rsidTr="00944855">
        <w:trPr>
          <w:trHeight w:val="312"/>
        </w:trPr>
        <w:tc>
          <w:tcPr>
            <w:tcW w:w="541" w:type="dxa"/>
            <w:noWrap/>
            <w:hideMark/>
          </w:tcPr>
          <w:p w14:paraId="30BB2155" w14:textId="77777777" w:rsidR="00A7742A" w:rsidRPr="00EE5F6D" w:rsidRDefault="00A7742A" w:rsidP="00944855">
            <w:r w:rsidRPr="00EE5F6D">
              <w:t>Fazeli et al., 2018</w:t>
            </w:r>
          </w:p>
        </w:tc>
        <w:tc>
          <w:tcPr>
            <w:tcW w:w="281" w:type="dxa"/>
            <w:noWrap/>
            <w:hideMark/>
          </w:tcPr>
          <w:p w14:paraId="15FA8662" w14:textId="77777777" w:rsidR="00A7742A" w:rsidRPr="00EE5F6D" w:rsidRDefault="00A7742A" w:rsidP="00944855">
            <w:r w:rsidRPr="00EE5F6D">
              <w:t>USA</w:t>
            </w:r>
          </w:p>
        </w:tc>
        <w:tc>
          <w:tcPr>
            <w:tcW w:w="479" w:type="dxa"/>
            <w:noWrap/>
            <w:hideMark/>
          </w:tcPr>
          <w:p w14:paraId="47022289" w14:textId="77777777" w:rsidR="00A7742A" w:rsidRPr="00EE5F6D" w:rsidRDefault="00A7742A" w:rsidP="00944855">
            <w:r w:rsidRPr="00EE5F6D">
              <w:t>22</w:t>
            </w:r>
          </w:p>
        </w:tc>
        <w:tc>
          <w:tcPr>
            <w:tcW w:w="593" w:type="dxa"/>
            <w:noWrap/>
            <w:hideMark/>
          </w:tcPr>
          <w:p w14:paraId="37F3BFCE" w14:textId="77777777" w:rsidR="00A7742A" w:rsidRPr="00EE5F6D" w:rsidRDefault="00A7742A" w:rsidP="00944855">
            <w:r w:rsidRPr="00EE5F6D">
              <w:t>Outpatient (adult, women)</w:t>
            </w:r>
          </w:p>
        </w:tc>
        <w:tc>
          <w:tcPr>
            <w:tcW w:w="3437" w:type="dxa"/>
            <w:noWrap/>
            <w:hideMark/>
          </w:tcPr>
          <w:p w14:paraId="1D121A1B" w14:textId="77777777" w:rsidR="00A7742A" w:rsidRPr="00EE5F6D" w:rsidRDefault="00A7742A" w:rsidP="00944855">
            <w:r w:rsidRPr="00EE5F6D">
              <w:t>To assess the effects of relamorelin on weight gain and gastric emptying in women with AN</w:t>
            </w:r>
          </w:p>
        </w:tc>
        <w:tc>
          <w:tcPr>
            <w:tcW w:w="582" w:type="dxa"/>
            <w:noWrap/>
            <w:hideMark/>
          </w:tcPr>
          <w:p w14:paraId="5A80303C" w14:textId="77777777" w:rsidR="00A7742A" w:rsidRPr="00EE5F6D" w:rsidRDefault="00A7742A" w:rsidP="00944855">
            <w:r w:rsidRPr="00EE5F6D">
              <w:t>RCT</w:t>
            </w:r>
          </w:p>
        </w:tc>
        <w:tc>
          <w:tcPr>
            <w:tcW w:w="3437" w:type="dxa"/>
            <w:noWrap/>
            <w:hideMark/>
          </w:tcPr>
          <w:p w14:paraId="02C75102" w14:textId="77777777" w:rsidR="00A7742A" w:rsidRPr="00EE5F6D" w:rsidRDefault="00A7742A" w:rsidP="00944855">
            <w:r w:rsidRPr="00EE5F6D">
              <w:t xml:space="preserve">Weight, plasma ghrelin levels, gastric emptying, depression, resting expenditure </w:t>
            </w:r>
          </w:p>
        </w:tc>
      </w:tr>
      <w:tr w:rsidR="00A7742A" w:rsidRPr="00EE5F6D" w14:paraId="7FB1C7FF" w14:textId="77777777" w:rsidTr="00944855">
        <w:trPr>
          <w:trHeight w:val="312"/>
        </w:trPr>
        <w:tc>
          <w:tcPr>
            <w:tcW w:w="541" w:type="dxa"/>
            <w:noWrap/>
            <w:hideMark/>
          </w:tcPr>
          <w:p w14:paraId="1E2DD731" w14:textId="77777777" w:rsidR="00A7742A" w:rsidRPr="00EE5F6D" w:rsidRDefault="00A7742A" w:rsidP="00944855">
            <w:r w:rsidRPr="00EE5F6D">
              <w:t xml:space="preserve">Flament, Bissada and Spettigue, 2012 </w:t>
            </w:r>
          </w:p>
        </w:tc>
        <w:tc>
          <w:tcPr>
            <w:tcW w:w="281" w:type="dxa"/>
            <w:noWrap/>
            <w:hideMark/>
          </w:tcPr>
          <w:p w14:paraId="5FA53A22" w14:textId="77777777" w:rsidR="00A7742A" w:rsidRPr="00EE5F6D" w:rsidRDefault="00A7742A" w:rsidP="00944855">
            <w:r w:rsidRPr="00EE5F6D">
              <w:t>Worldwide</w:t>
            </w:r>
          </w:p>
        </w:tc>
        <w:tc>
          <w:tcPr>
            <w:tcW w:w="479" w:type="dxa"/>
            <w:noWrap/>
            <w:hideMark/>
          </w:tcPr>
          <w:p w14:paraId="60B40131" w14:textId="77777777" w:rsidR="00A7742A" w:rsidRPr="00EE5F6D" w:rsidRDefault="00A7742A" w:rsidP="00944855">
            <w:r w:rsidRPr="00EE5F6D">
              <w:t>N/A</w:t>
            </w:r>
          </w:p>
        </w:tc>
        <w:tc>
          <w:tcPr>
            <w:tcW w:w="593" w:type="dxa"/>
            <w:noWrap/>
            <w:hideMark/>
          </w:tcPr>
          <w:p w14:paraId="749EA2A5" w14:textId="77777777" w:rsidR="00A7742A" w:rsidRPr="00EE5F6D" w:rsidRDefault="00A7742A" w:rsidP="00944855">
            <w:r w:rsidRPr="00EE5F6D">
              <w:t>Community (Mixed Cohort, All Genders)</w:t>
            </w:r>
          </w:p>
        </w:tc>
        <w:tc>
          <w:tcPr>
            <w:tcW w:w="3437" w:type="dxa"/>
            <w:noWrap/>
            <w:hideMark/>
          </w:tcPr>
          <w:p w14:paraId="04D278B9" w14:textId="39751464" w:rsidR="00A7742A" w:rsidRPr="00EE5F6D" w:rsidRDefault="00A7742A" w:rsidP="00944855">
            <w:r w:rsidRPr="00EE5F6D">
              <w:t>To review scientific evidence for efficacy and safety of pharmacotherapy in adults or children with an eating disorder</w:t>
            </w:r>
            <w:r w:rsidR="001410CB">
              <w:t>.</w:t>
            </w:r>
          </w:p>
        </w:tc>
        <w:tc>
          <w:tcPr>
            <w:tcW w:w="582" w:type="dxa"/>
            <w:noWrap/>
            <w:hideMark/>
          </w:tcPr>
          <w:p w14:paraId="196E1086" w14:textId="77777777" w:rsidR="00A7742A" w:rsidRPr="00EE5F6D" w:rsidRDefault="00A7742A" w:rsidP="00944855">
            <w:r w:rsidRPr="00EE5F6D">
              <w:t>Review (Critical)</w:t>
            </w:r>
          </w:p>
        </w:tc>
        <w:tc>
          <w:tcPr>
            <w:tcW w:w="3437" w:type="dxa"/>
            <w:noWrap/>
            <w:hideMark/>
          </w:tcPr>
          <w:p w14:paraId="2E7CAAD0" w14:textId="77777777" w:rsidR="00A7742A" w:rsidRPr="00EE5F6D" w:rsidRDefault="00A7742A" w:rsidP="00944855">
            <w:r w:rsidRPr="00EE5F6D">
              <w:t>Efficacy of drugs (pharmacotherapy) in reducing ED symptomology</w:t>
            </w:r>
          </w:p>
        </w:tc>
      </w:tr>
      <w:tr w:rsidR="00A7742A" w:rsidRPr="00EE5F6D" w14:paraId="2A0D0C2B" w14:textId="77777777" w:rsidTr="00944855">
        <w:trPr>
          <w:trHeight w:val="312"/>
        </w:trPr>
        <w:tc>
          <w:tcPr>
            <w:tcW w:w="541" w:type="dxa"/>
            <w:noWrap/>
            <w:hideMark/>
          </w:tcPr>
          <w:p w14:paraId="62528B0E" w14:textId="77777777" w:rsidR="00A7742A" w:rsidRPr="00EE5F6D" w:rsidRDefault="00A7742A" w:rsidP="00944855">
            <w:r w:rsidRPr="00EE5F6D">
              <w:t>Fleck et al., 2019</w:t>
            </w:r>
          </w:p>
        </w:tc>
        <w:tc>
          <w:tcPr>
            <w:tcW w:w="281" w:type="dxa"/>
            <w:noWrap/>
            <w:hideMark/>
          </w:tcPr>
          <w:p w14:paraId="13AD7706" w14:textId="77777777" w:rsidR="00A7742A" w:rsidRPr="00EE5F6D" w:rsidRDefault="00A7742A" w:rsidP="00944855">
            <w:r w:rsidRPr="00EE5F6D">
              <w:t>USA</w:t>
            </w:r>
          </w:p>
        </w:tc>
        <w:tc>
          <w:tcPr>
            <w:tcW w:w="479" w:type="dxa"/>
            <w:noWrap/>
            <w:hideMark/>
          </w:tcPr>
          <w:p w14:paraId="00BBD9FB" w14:textId="77777777" w:rsidR="00A7742A" w:rsidRPr="00EE5F6D" w:rsidRDefault="00A7742A" w:rsidP="00944855">
            <w:r w:rsidRPr="00EE5F6D">
              <w:t>20</w:t>
            </w:r>
          </w:p>
        </w:tc>
        <w:tc>
          <w:tcPr>
            <w:tcW w:w="593" w:type="dxa"/>
            <w:noWrap/>
            <w:hideMark/>
          </w:tcPr>
          <w:p w14:paraId="41A61985" w14:textId="77777777" w:rsidR="00A7742A" w:rsidRPr="00EE5F6D" w:rsidRDefault="00A7742A" w:rsidP="00944855">
            <w:r w:rsidRPr="00EE5F6D">
              <w:t>Community (Adult, Women)</w:t>
            </w:r>
          </w:p>
        </w:tc>
        <w:tc>
          <w:tcPr>
            <w:tcW w:w="3437" w:type="dxa"/>
            <w:noWrap/>
            <w:hideMark/>
          </w:tcPr>
          <w:p w14:paraId="1C2DEB05" w14:textId="16F2AD22" w:rsidR="00A7742A" w:rsidRPr="00EE5F6D" w:rsidRDefault="00A7742A" w:rsidP="00944855">
            <w:r w:rsidRPr="00EE5F6D">
              <w:t>To examine the effects of LDX</w:t>
            </w:r>
            <w:r w:rsidR="00721BA4">
              <w:t xml:space="preserve"> </w:t>
            </w:r>
            <w:r w:rsidRPr="00EE5F6D">
              <w:t xml:space="preserve">treatment on ventral prefrontal cortex (VPFC) and striatal brain activation in BED. </w:t>
            </w:r>
          </w:p>
        </w:tc>
        <w:tc>
          <w:tcPr>
            <w:tcW w:w="582" w:type="dxa"/>
            <w:noWrap/>
            <w:hideMark/>
          </w:tcPr>
          <w:p w14:paraId="289DECBE" w14:textId="77777777" w:rsidR="00A7742A" w:rsidRPr="00EE5F6D" w:rsidRDefault="00A7742A" w:rsidP="00944855">
            <w:r w:rsidRPr="00EE5F6D">
              <w:t>Quasi-experimental (intervention)</w:t>
            </w:r>
          </w:p>
        </w:tc>
        <w:tc>
          <w:tcPr>
            <w:tcW w:w="3437" w:type="dxa"/>
            <w:noWrap/>
            <w:hideMark/>
          </w:tcPr>
          <w:p w14:paraId="4D900B44" w14:textId="598062B9" w:rsidR="00A7742A" w:rsidRPr="00EE5F6D" w:rsidRDefault="00721BA4" w:rsidP="00944855">
            <w:r>
              <w:t>CGI-I,</w:t>
            </w:r>
            <w:r w:rsidR="00A7742A" w:rsidRPr="00EE5F6D">
              <w:t xml:space="preserve"> compulsivity, </w:t>
            </w:r>
            <w:r>
              <w:t>bevahiour evaluation scale (</w:t>
            </w:r>
            <w:r w:rsidR="00A7742A" w:rsidRPr="00EE5F6D">
              <w:t>BES</w:t>
            </w:r>
            <w:r>
              <w:t>)</w:t>
            </w:r>
            <w:r w:rsidR="00A7742A" w:rsidRPr="00EE5F6D">
              <w:t xml:space="preserve">, BMI, number of binge days per week </w:t>
            </w:r>
          </w:p>
        </w:tc>
      </w:tr>
      <w:tr w:rsidR="00A7742A" w:rsidRPr="00EE5F6D" w14:paraId="5B5177D7" w14:textId="77777777" w:rsidTr="00944855">
        <w:trPr>
          <w:trHeight w:val="312"/>
        </w:trPr>
        <w:tc>
          <w:tcPr>
            <w:tcW w:w="541" w:type="dxa"/>
            <w:noWrap/>
            <w:hideMark/>
          </w:tcPr>
          <w:p w14:paraId="519886A4" w14:textId="77777777" w:rsidR="00A7742A" w:rsidRPr="00EE5F6D" w:rsidRDefault="00A7742A" w:rsidP="00944855">
            <w:r w:rsidRPr="00EE5F6D">
              <w:t xml:space="preserve">Fogarty, Smith and Hay, 2016 </w:t>
            </w:r>
          </w:p>
        </w:tc>
        <w:tc>
          <w:tcPr>
            <w:tcW w:w="281" w:type="dxa"/>
            <w:noWrap/>
            <w:hideMark/>
          </w:tcPr>
          <w:p w14:paraId="6372242F" w14:textId="77777777" w:rsidR="00A7742A" w:rsidRPr="00EE5F6D" w:rsidRDefault="00A7742A" w:rsidP="00944855">
            <w:r w:rsidRPr="00EE5F6D">
              <w:t>Worldwide</w:t>
            </w:r>
          </w:p>
        </w:tc>
        <w:tc>
          <w:tcPr>
            <w:tcW w:w="479" w:type="dxa"/>
            <w:noWrap/>
            <w:hideMark/>
          </w:tcPr>
          <w:p w14:paraId="2CE2FA6A" w14:textId="77777777" w:rsidR="00A7742A" w:rsidRPr="00EE5F6D" w:rsidRDefault="00A7742A" w:rsidP="00944855">
            <w:r w:rsidRPr="00EE5F6D">
              <w:t>16</w:t>
            </w:r>
          </w:p>
        </w:tc>
        <w:tc>
          <w:tcPr>
            <w:tcW w:w="593" w:type="dxa"/>
            <w:noWrap/>
            <w:hideMark/>
          </w:tcPr>
          <w:p w14:paraId="1AAD7819" w14:textId="77777777" w:rsidR="00A7742A" w:rsidRPr="00EE5F6D" w:rsidRDefault="00A7742A" w:rsidP="00944855">
            <w:r w:rsidRPr="00EE5F6D">
              <w:t>Community (Adult, All Genders)</w:t>
            </w:r>
          </w:p>
        </w:tc>
        <w:tc>
          <w:tcPr>
            <w:tcW w:w="3437" w:type="dxa"/>
            <w:noWrap/>
            <w:hideMark/>
          </w:tcPr>
          <w:p w14:paraId="0BE5046B" w14:textId="77777777" w:rsidR="00A7742A" w:rsidRPr="00EE5F6D" w:rsidRDefault="00A7742A" w:rsidP="00944855">
            <w:r w:rsidRPr="00EE5F6D">
              <w:t>To examine the role of CAM therapies in the treatment of eating disorders.</w:t>
            </w:r>
          </w:p>
        </w:tc>
        <w:tc>
          <w:tcPr>
            <w:tcW w:w="582" w:type="dxa"/>
            <w:noWrap/>
            <w:hideMark/>
          </w:tcPr>
          <w:p w14:paraId="6BE72C39" w14:textId="77777777" w:rsidR="00A7742A" w:rsidRPr="00EE5F6D" w:rsidRDefault="00A7742A" w:rsidP="00944855">
            <w:r w:rsidRPr="00EE5F6D">
              <w:t>Review (Systematic)</w:t>
            </w:r>
          </w:p>
        </w:tc>
        <w:tc>
          <w:tcPr>
            <w:tcW w:w="3437" w:type="dxa"/>
            <w:noWrap/>
            <w:hideMark/>
          </w:tcPr>
          <w:p w14:paraId="1E987F1F" w14:textId="77777777" w:rsidR="00A7742A" w:rsidRPr="00EE5F6D" w:rsidRDefault="00A7742A" w:rsidP="00944855">
            <w:r w:rsidRPr="00EE5F6D">
              <w:t>Primary outcomes: improvements in eating psychopathology (e.g. binge eating, restriction, drive for thinness, shape and eating concerns) or improvements in general psychopathology (weight, anxiety, depression, quality of life). Secondary outcomes: side-effects or negative effects and patient satisfaction.</w:t>
            </w:r>
          </w:p>
        </w:tc>
      </w:tr>
      <w:tr w:rsidR="00A7742A" w:rsidRPr="00EE5F6D" w14:paraId="14D3B102" w14:textId="77777777" w:rsidTr="00944855">
        <w:trPr>
          <w:trHeight w:val="312"/>
        </w:trPr>
        <w:tc>
          <w:tcPr>
            <w:tcW w:w="541" w:type="dxa"/>
            <w:noWrap/>
            <w:hideMark/>
          </w:tcPr>
          <w:p w14:paraId="5F6F5A0E" w14:textId="77777777" w:rsidR="00A7742A" w:rsidRPr="00EE5F6D" w:rsidRDefault="00A7742A" w:rsidP="00944855">
            <w:r w:rsidRPr="00EE5F6D">
              <w:t>Garner et al., 2016</w:t>
            </w:r>
          </w:p>
        </w:tc>
        <w:tc>
          <w:tcPr>
            <w:tcW w:w="281" w:type="dxa"/>
            <w:noWrap/>
            <w:hideMark/>
          </w:tcPr>
          <w:p w14:paraId="4DDEBAF4" w14:textId="77777777" w:rsidR="00A7742A" w:rsidRPr="00EE5F6D" w:rsidRDefault="00A7742A" w:rsidP="00944855">
            <w:r w:rsidRPr="00EE5F6D">
              <w:t>USA</w:t>
            </w:r>
          </w:p>
        </w:tc>
        <w:tc>
          <w:tcPr>
            <w:tcW w:w="479" w:type="dxa"/>
            <w:noWrap/>
            <w:hideMark/>
          </w:tcPr>
          <w:p w14:paraId="74B703BF" w14:textId="77777777" w:rsidR="00A7742A" w:rsidRPr="00EE5F6D" w:rsidRDefault="00A7742A" w:rsidP="00944855">
            <w:r w:rsidRPr="00EE5F6D">
              <w:t>501</w:t>
            </w:r>
          </w:p>
        </w:tc>
        <w:tc>
          <w:tcPr>
            <w:tcW w:w="593" w:type="dxa"/>
            <w:noWrap/>
            <w:hideMark/>
          </w:tcPr>
          <w:p w14:paraId="2C179FD0" w14:textId="77777777" w:rsidR="00A7742A" w:rsidRPr="00EE5F6D" w:rsidRDefault="00A7742A" w:rsidP="00944855">
            <w:r w:rsidRPr="00EE5F6D">
              <w:t>Inpatient (Adult, All Genders)</w:t>
            </w:r>
          </w:p>
        </w:tc>
        <w:tc>
          <w:tcPr>
            <w:tcW w:w="3437" w:type="dxa"/>
            <w:noWrap/>
            <w:hideMark/>
          </w:tcPr>
          <w:p w14:paraId="215AB7EB" w14:textId="77777777" w:rsidR="00A7742A" w:rsidRPr="00EE5F6D" w:rsidRDefault="00A7742A" w:rsidP="00944855">
            <w:r w:rsidRPr="00EE5F6D">
              <w:t>To determine the frequency of psychotropic use in clinical practice and ascertain the degree to which it conforms to well established evidence-based recommendations for both AN and BN</w:t>
            </w:r>
          </w:p>
        </w:tc>
        <w:tc>
          <w:tcPr>
            <w:tcW w:w="582" w:type="dxa"/>
            <w:noWrap/>
            <w:hideMark/>
          </w:tcPr>
          <w:p w14:paraId="304E858B" w14:textId="77777777" w:rsidR="00A7742A" w:rsidRPr="00EE5F6D" w:rsidRDefault="00A7742A" w:rsidP="00944855">
            <w:r w:rsidRPr="00EE5F6D">
              <w:t>Cross-Sectional</w:t>
            </w:r>
          </w:p>
        </w:tc>
        <w:tc>
          <w:tcPr>
            <w:tcW w:w="3437" w:type="dxa"/>
            <w:noWrap/>
            <w:hideMark/>
          </w:tcPr>
          <w:p w14:paraId="4F65F0CC" w14:textId="77777777" w:rsidR="00A7742A" w:rsidRPr="00EE5F6D" w:rsidRDefault="00A7742A" w:rsidP="00944855">
            <w:r w:rsidRPr="00EE5F6D">
              <w:t>BMI, Self-reports (EAT-26)</w:t>
            </w:r>
          </w:p>
        </w:tc>
      </w:tr>
      <w:tr w:rsidR="00A7742A" w:rsidRPr="00EE5F6D" w14:paraId="75281D6F" w14:textId="77777777" w:rsidTr="00944855">
        <w:trPr>
          <w:trHeight w:val="312"/>
        </w:trPr>
        <w:tc>
          <w:tcPr>
            <w:tcW w:w="541" w:type="dxa"/>
            <w:noWrap/>
            <w:hideMark/>
          </w:tcPr>
          <w:p w14:paraId="183A469D" w14:textId="77777777" w:rsidR="00A7742A" w:rsidRPr="00EE5F6D" w:rsidRDefault="00A7742A" w:rsidP="00944855">
            <w:r w:rsidRPr="00EE5F6D">
              <w:lastRenderedPageBreak/>
              <w:t>Gasior et al., 2015</w:t>
            </w:r>
          </w:p>
        </w:tc>
        <w:tc>
          <w:tcPr>
            <w:tcW w:w="281" w:type="dxa"/>
            <w:noWrap/>
            <w:hideMark/>
          </w:tcPr>
          <w:p w14:paraId="0EB3A0F2" w14:textId="77777777" w:rsidR="00A7742A" w:rsidRPr="00EE5F6D" w:rsidRDefault="00A7742A" w:rsidP="00944855">
            <w:r w:rsidRPr="00EE5F6D">
              <w:t>USA</w:t>
            </w:r>
          </w:p>
        </w:tc>
        <w:tc>
          <w:tcPr>
            <w:tcW w:w="479" w:type="dxa"/>
            <w:noWrap/>
            <w:hideMark/>
          </w:tcPr>
          <w:p w14:paraId="1C322853" w14:textId="77777777" w:rsidR="00A7742A" w:rsidRPr="00EE5F6D" w:rsidRDefault="00A7742A" w:rsidP="00944855">
            <w:r w:rsidRPr="00EE5F6D">
              <w:t>604</w:t>
            </w:r>
          </w:p>
        </w:tc>
        <w:tc>
          <w:tcPr>
            <w:tcW w:w="593" w:type="dxa"/>
            <w:noWrap/>
            <w:hideMark/>
          </w:tcPr>
          <w:p w14:paraId="4B41CBC6" w14:textId="77777777" w:rsidR="00A7742A" w:rsidRPr="00EE5F6D" w:rsidRDefault="00A7742A" w:rsidP="00944855">
            <w:r w:rsidRPr="00EE5F6D">
              <w:t>Community (Adult, All Genders)</w:t>
            </w:r>
          </w:p>
        </w:tc>
        <w:tc>
          <w:tcPr>
            <w:tcW w:w="3437" w:type="dxa"/>
            <w:noWrap/>
            <w:hideMark/>
          </w:tcPr>
          <w:p w14:paraId="363339AE" w14:textId="0E9B4F91" w:rsidR="00A7742A" w:rsidRPr="00EE5F6D" w:rsidRDefault="00A7742A" w:rsidP="00944855">
            <w:r w:rsidRPr="00EE5F6D">
              <w:t>To assess the long-term safety and tolerability of LDX in adults with BED.</w:t>
            </w:r>
          </w:p>
        </w:tc>
        <w:tc>
          <w:tcPr>
            <w:tcW w:w="582" w:type="dxa"/>
            <w:noWrap/>
            <w:hideMark/>
          </w:tcPr>
          <w:p w14:paraId="66389E60" w14:textId="77777777" w:rsidR="00A7742A" w:rsidRPr="00EE5F6D" w:rsidRDefault="00A7742A" w:rsidP="00944855">
            <w:r w:rsidRPr="00EE5F6D">
              <w:t>Quasi-experimental (intervention)</w:t>
            </w:r>
          </w:p>
        </w:tc>
        <w:tc>
          <w:tcPr>
            <w:tcW w:w="3437" w:type="dxa"/>
            <w:noWrap/>
            <w:hideMark/>
          </w:tcPr>
          <w:p w14:paraId="2520C4BC" w14:textId="08404F30" w:rsidR="00A7742A" w:rsidRPr="00EE5F6D" w:rsidRDefault="00A7742A" w:rsidP="00944855">
            <w:r w:rsidRPr="00EE5F6D">
              <w:t>Treatment emergent adverse events</w:t>
            </w:r>
            <w:r w:rsidR="00872B1B">
              <w:t xml:space="preserve"> (TEAE)</w:t>
            </w:r>
            <w:r w:rsidRPr="00EE5F6D">
              <w:t xml:space="preserve">, Vital Sign, and ECG: Safety Analysis Set: assessments of vital signs, adverse events (AEs), the 12-lead ECG, and the </w:t>
            </w:r>
            <w:r w:rsidR="006F2DAC">
              <w:t>Colombia Suicide Severity Rating Scale (</w:t>
            </w:r>
            <w:r w:rsidRPr="00EE5F6D">
              <w:t>C-SSRS</w:t>
            </w:r>
            <w:r w:rsidR="006F2DAC">
              <w:t>)</w:t>
            </w:r>
          </w:p>
        </w:tc>
      </w:tr>
      <w:tr w:rsidR="00A7742A" w:rsidRPr="00EE5F6D" w14:paraId="08ABAFE5" w14:textId="77777777" w:rsidTr="00944855">
        <w:trPr>
          <w:trHeight w:val="312"/>
        </w:trPr>
        <w:tc>
          <w:tcPr>
            <w:tcW w:w="541" w:type="dxa"/>
            <w:noWrap/>
            <w:hideMark/>
          </w:tcPr>
          <w:p w14:paraId="1EFE33EC" w14:textId="77777777" w:rsidR="00A7742A" w:rsidRPr="00EE5F6D" w:rsidRDefault="00A7742A" w:rsidP="00944855">
            <w:r w:rsidRPr="00EE5F6D">
              <w:t>Gay et al., 2016</w:t>
            </w:r>
          </w:p>
        </w:tc>
        <w:tc>
          <w:tcPr>
            <w:tcW w:w="281" w:type="dxa"/>
            <w:noWrap/>
            <w:hideMark/>
          </w:tcPr>
          <w:p w14:paraId="191A9D4F" w14:textId="77777777" w:rsidR="00A7742A" w:rsidRPr="00EE5F6D" w:rsidRDefault="00A7742A" w:rsidP="00944855">
            <w:r w:rsidRPr="00EE5F6D">
              <w:t>France</w:t>
            </w:r>
          </w:p>
        </w:tc>
        <w:tc>
          <w:tcPr>
            <w:tcW w:w="479" w:type="dxa"/>
            <w:noWrap/>
            <w:hideMark/>
          </w:tcPr>
          <w:p w14:paraId="2D11987F" w14:textId="77777777" w:rsidR="00A7742A" w:rsidRPr="00EE5F6D" w:rsidRDefault="00A7742A" w:rsidP="00944855">
            <w:r w:rsidRPr="00EE5F6D">
              <w:t>47</w:t>
            </w:r>
          </w:p>
        </w:tc>
        <w:tc>
          <w:tcPr>
            <w:tcW w:w="593" w:type="dxa"/>
            <w:noWrap/>
            <w:hideMark/>
          </w:tcPr>
          <w:p w14:paraId="17140DD7" w14:textId="77777777" w:rsidR="00A7742A" w:rsidRPr="00EE5F6D" w:rsidRDefault="00A7742A" w:rsidP="00944855">
            <w:r w:rsidRPr="00EE5F6D">
              <w:t>Outpatient (Adult, Women)</w:t>
            </w:r>
          </w:p>
        </w:tc>
        <w:tc>
          <w:tcPr>
            <w:tcW w:w="3437" w:type="dxa"/>
            <w:noWrap/>
            <w:hideMark/>
          </w:tcPr>
          <w:p w14:paraId="7763B271" w14:textId="77777777" w:rsidR="00A7742A" w:rsidRPr="00EE5F6D" w:rsidRDefault="00A7742A" w:rsidP="00944855">
            <w:r w:rsidRPr="00EE5F6D">
              <w:t>To investigate the safety and therapeutic efficacy of an adjunct high-frequency rTMS programme targeting the left DLPFC.</w:t>
            </w:r>
          </w:p>
        </w:tc>
        <w:tc>
          <w:tcPr>
            <w:tcW w:w="582" w:type="dxa"/>
            <w:noWrap/>
            <w:hideMark/>
          </w:tcPr>
          <w:p w14:paraId="46C181E0" w14:textId="77777777" w:rsidR="00A7742A" w:rsidRPr="00EE5F6D" w:rsidRDefault="00A7742A" w:rsidP="00944855">
            <w:r w:rsidRPr="00EE5F6D">
              <w:t>RCT</w:t>
            </w:r>
          </w:p>
        </w:tc>
        <w:tc>
          <w:tcPr>
            <w:tcW w:w="3437" w:type="dxa"/>
            <w:noWrap/>
            <w:hideMark/>
          </w:tcPr>
          <w:p w14:paraId="08A04CB7" w14:textId="77777777" w:rsidR="00A7742A" w:rsidRPr="00EE5F6D" w:rsidRDefault="00A7742A" w:rsidP="00944855">
            <w:r w:rsidRPr="00EE5F6D">
              <w:t>Primary outcomes: number of binge episodes in the 15 days before the final visit. Secondary outcomes: characteristics of the binge episodes, the number of vomiting episodes before the final visit, the mood at the final visit, the modification in the outcomes before and after the baseline and final assessments.</w:t>
            </w:r>
          </w:p>
        </w:tc>
      </w:tr>
      <w:tr w:rsidR="00A7742A" w:rsidRPr="00EE5F6D" w14:paraId="12A4946F" w14:textId="77777777" w:rsidTr="00944855">
        <w:trPr>
          <w:trHeight w:val="312"/>
        </w:trPr>
        <w:tc>
          <w:tcPr>
            <w:tcW w:w="541" w:type="dxa"/>
            <w:noWrap/>
            <w:hideMark/>
          </w:tcPr>
          <w:p w14:paraId="3D87AC7F" w14:textId="77777777" w:rsidR="00A7742A" w:rsidRPr="00EE5F6D" w:rsidRDefault="00A7742A" w:rsidP="00944855">
            <w:r w:rsidRPr="00EE5F6D">
              <w:t xml:space="preserve">Gorrell et al., 2021 </w:t>
            </w:r>
          </w:p>
        </w:tc>
        <w:tc>
          <w:tcPr>
            <w:tcW w:w="281" w:type="dxa"/>
            <w:noWrap/>
            <w:hideMark/>
          </w:tcPr>
          <w:p w14:paraId="18F168D8" w14:textId="77777777" w:rsidR="00A7742A" w:rsidRPr="00EE5F6D" w:rsidRDefault="00A7742A" w:rsidP="00944855">
            <w:r w:rsidRPr="00EE5F6D">
              <w:t>USA</w:t>
            </w:r>
          </w:p>
        </w:tc>
        <w:tc>
          <w:tcPr>
            <w:tcW w:w="479" w:type="dxa"/>
            <w:noWrap/>
            <w:hideMark/>
          </w:tcPr>
          <w:p w14:paraId="004FDEBE" w14:textId="77777777" w:rsidR="00A7742A" w:rsidRPr="00EE5F6D" w:rsidRDefault="00A7742A" w:rsidP="00944855">
            <w:r w:rsidRPr="00EE5F6D">
              <w:t>604</w:t>
            </w:r>
          </w:p>
        </w:tc>
        <w:tc>
          <w:tcPr>
            <w:tcW w:w="593" w:type="dxa"/>
            <w:noWrap/>
            <w:hideMark/>
          </w:tcPr>
          <w:p w14:paraId="1320E250" w14:textId="77777777" w:rsidR="00A7742A" w:rsidRPr="00EE5F6D" w:rsidRDefault="00A7742A" w:rsidP="00944855">
            <w:r w:rsidRPr="00EE5F6D">
              <w:t>Outpatient (Young People, All Genders)</w:t>
            </w:r>
          </w:p>
        </w:tc>
        <w:tc>
          <w:tcPr>
            <w:tcW w:w="3437" w:type="dxa"/>
            <w:noWrap/>
            <w:hideMark/>
          </w:tcPr>
          <w:p w14:paraId="6F96CEE2" w14:textId="77777777" w:rsidR="00A7742A" w:rsidRPr="00EE5F6D" w:rsidRDefault="00A7742A" w:rsidP="00944855">
            <w:r w:rsidRPr="00EE5F6D">
              <w:t xml:space="preserve">To (1) describe the prevalence and patterns of psychotropic medication use in a large treatment-seeking sample of youth presenting with EDs to a specialist outpatient service at an academic medical centre in the United States, and (2) examine child and family characteristics associated with </w:t>
            </w:r>
            <w:r w:rsidRPr="00EE5F6D">
              <w:lastRenderedPageBreak/>
              <w:t>psychotropic medication use.</w:t>
            </w:r>
          </w:p>
        </w:tc>
        <w:tc>
          <w:tcPr>
            <w:tcW w:w="582" w:type="dxa"/>
            <w:noWrap/>
            <w:hideMark/>
          </w:tcPr>
          <w:p w14:paraId="078BA8AD" w14:textId="77777777" w:rsidR="00A7742A" w:rsidRPr="00EE5F6D" w:rsidRDefault="00A7742A" w:rsidP="00944855">
            <w:r w:rsidRPr="00EE5F6D">
              <w:lastRenderedPageBreak/>
              <w:t>Cross-Sectional</w:t>
            </w:r>
          </w:p>
        </w:tc>
        <w:tc>
          <w:tcPr>
            <w:tcW w:w="3437" w:type="dxa"/>
            <w:noWrap/>
            <w:hideMark/>
          </w:tcPr>
          <w:p w14:paraId="13D2A22F" w14:textId="77777777" w:rsidR="00A7742A" w:rsidRPr="00EE5F6D" w:rsidRDefault="00A7742A" w:rsidP="00944855">
            <w:r w:rsidRPr="00EE5F6D">
              <w:t>Assessment of medication use (medication name and dosage), Eating disorder examination (EDE)</w:t>
            </w:r>
          </w:p>
        </w:tc>
      </w:tr>
      <w:tr w:rsidR="00A7742A" w:rsidRPr="00EE5F6D" w14:paraId="685B0DF5" w14:textId="77777777" w:rsidTr="00944855">
        <w:trPr>
          <w:trHeight w:val="312"/>
        </w:trPr>
        <w:tc>
          <w:tcPr>
            <w:tcW w:w="541" w:type="dxa"/>
            <w:noWrap/>
            <w:hideMark/>
          </w:tcPr>
          <w:p w14:paraId="4EDF1202" w14:textId="77777777" w:rsidR="00A7742A" w:rsidRPr="00EE5F6D" w:rsidRDefault="00A7742A" w:rsidP="00944855">
            <w:r w:rsidRPr="00EE5F6D">
              <w:t>Grant et al., 2019</w:t>
            </w:r>
          </w:p>
        </w:tc>
        <w:tc>
          <w:tcPr>
            <w:tcW w:w="281" w:type="dxa"/>
            <w:noWrap/>
            <w:hideMark/>
          </w:tcPr>
          <w:p w14:paraId="5EC2AC98" w14:textId="77777777" w:rsidR="00A7742A" w:rsidRPr="00EE5F6D" w:rsidRDefault="00A7742A" w:rsidP="00944855">
            <w:r w:rsidRPr="00EE5F6D">
              <w:t>USA</w:t>
            </w:r>
          </w:p>
        </w:tc>
        <w:tc>
          <w:tcPr>
            <w:tcW w:w="479" w:type="dxa"/>
            <w:noWrap/>
            <w:hideMark/>
          </w:tcPr>
          <w:p w14:paraId="6D642333" w14:textId="77777777" w:rsidR="00A7742A" w:rsidRPr="00EE5F6D" w:rsidRDefault="00A7742A" w:rsidP="00944855">
            <w:r w:rsidRPr="00EE5F6D">
              <w:t>80</w:t>
            </w:r>
          </w:p>
        </w:tc>
        <w:tc>
          <w:tcPr>
            <w:tcW w:w="593" w:type="dxa"/>
            <w:noWrap/>
            <w:hideMark/>
          </w:tcPr>
          <w:p w14:paraId="35A74F84" w14:textId="77777777" w:rsidR="00A7742A" w:rsidRPr="00EE5F6D" w:rsidRDefault="00A7742A" w:rsidP="00944855">
            <w:r w:rsidRPr="00EE5F6D">
              <w:t>Community (Adult, All Genders)</w:t>
            </w:r>
          </w:p>
        </w:tc>
        <w:tc>
          <w:tcPr>
            <w:tcW w:w="3437" w:type="dxa"/>
            <w:noWrap/>
            <w:hideMark/>
          </w:tcPr>
          <w:p w14:paraId="6EA25BAF" w14:textId="77777777" w:rsidR="00A7742A" w:rsidRPr="00EE5F6D" w:rsidRDefault="00A7742A" w:rsidP="00944855">
            <w:r w:rsidRPr="00EE5F6D">
              <w:t>To examine the efficacy and safety of vortioxetine compared to placebo in adults with moderate to severe BED</w:t>
            </w:r>
          </w:p>
        </w:tc>
        <w:tc>
          <w:tcPr>
            <w:tcW w:w="582" w:type="dxa"/>
            <w:noWrap/>
            <w:hideMark/>
          </w:tcPr>
          <w:p w14:paraId="65A43585" w14:textId="77777777" w:rsidR="00A7742A" w:rsidRPr="00EE5F6D" w:rsidRDefault="00A7742A" w:rsidP="00944855">
            <w:r w:rsidRPr="00EE5F6D">
              <w:t>RCT</w:t>
            </w:r>
          </w:p>
        </w:tc>
        <w:tc>
          <w:tcPr>
            <w:tcW w:w="3437" w:type="dxa"/>
            <w:noWrap/>
            <w:hideMark/>
          </w:tcPr>
          <w:p w14:paraId="67A60D59" w14:textId="7748280B" w:rsidR="00A7742A" w:rsidRPr="00EE5F6D" w:rsidRDefault="00A7742A" w:rsidP="00944855">
            <w:r w:rsidRPr="00EE5F6D">
              <w:t>Assessment of BED: BE diary, CGI-I and CGI-S, Three-factor eating questionnaire,</w:t>
            </w:r>
            <w:r w:rsidR="00872B1B">
              <w:t xml:space="preserve"> Yale-Brown Obsessive Compul</w:t>
            </w:r>
            <w:r w:rsidR="0092228C">
              <w:t>s</w:t>
            </w:r>
            <w:r w:rsidR="00872B1B">
              <w:t>ive Scale modified f</w:t>
            </w:r>
            <w:r w:rsidR="0092228C">
              <w:t xml:space="preserve">or </w:t>
            </w:r>
            <w:r w:rsidR="00872B1B">
              <w:t xml:space="preserve">Binge Eating (Y-BOCS-BE), </w:t>
            </w:r>
            <w:r w:rsidRPr="00EE5F6D">
              <w:t>weight. Baseline psychiatric evaluation: MINI International Neuropsychiatric interview. Baseline &amp; follow-up assessments: urine pregnancy test and urine drug screen, psychiatric evaluations (HAM-D</w:t>
            </w:r>
            <w:r w:rsidR="00872B1B">
              <w:t>epression</w:t>
            </w:r>
            <w:r w:rsidRPr="00EE5F6D">
              <w:t>, HAM-A</w:t>
            </w:r>
            <w:r w:rsidR="00872B1B">
              <w:t>nxiety</w:t>
            </w:r>
            <w:r w:rsidRPr="00EE5F6D">
              <w:t>, SDS, C0SSRS).</w:t>
            </w:r>
          </w:p>
        </w:tc>
      </w:tr>
      <w:tr w:rsidR="00A7742A" w:rsidRPr="00EE5F6D" w14:paraId="574C5246" w14:textId="77777777" w:rsidTr="00944855">
        <w:trPr>
          <w:trHeight w:val="312"/>
        </w:trPr>
        <w:tc>
          <w:tcPr>
            <w:tcW w:w="541" w:type="dxa"/>
            <w:noWrap/>
            <w:hideMark/>
          </w:tcPr>
          <w:p w14:paraId="08336F29" w14:textId="77777777" w:rsidR="00A7742A" w:rsidRPr="00EE5F6D" w:rsidRDefault="00A7742A" w:rsidP="00944855">
            <w:r w:rsidRPr="00EE5F6D">
              <w:t>Grilo et al., 2012</w:t>
            </w:r>
          </w:p>
        </w:tc>
        <w:tc>
          <w:tcPr>
            <w:tcW w:w="281" w:type="dxa"/>
            <w:noWrap/>
            <w:hideMark/>
          </w:tcPr>
          <w:p w14:paraId="383C34BD" w14:textId="77777777" w:rsidR="00A7742A" w:rsidRPr="00EE5F6D" w:rsidRDefault="00A7742A" w:rsidP="00944855">
            <w:r w:rsidRPr="00EE5F6D">
              <w:t>USA</w:t>
            </w:r>
          </w:p>
        </w:tc>
        <w:tc>
          <w:tcPr>
            <w:tcW w:w="479" w:type="dxa"/>
            <w:noWrap/>
            <w:hideMark/>
          </w:tcPr>
          <w:p w14:paraId="78BFFD04" w14:textId="77777777" w:rsidR="00A7742A" w:rsidRPr="00EE5F6D" w:rsidRDefault="00A7742A" w:rsidP="00944855">
            <w:r w:rsidRPr="00EE5F6D">
              <w:t>81</w:t>
            </w:r>
          </w:p>
        </w:tc>
        <w:tc>
          <w:tcPr>
            <w:tcW w:w="593" w:type="dxa"/>
            <w:noWrap/>
            <w:hideMark/>
          </w:tcPr>
          <w:p w14:paraId="785A71CB" w14:textId="77777777" w:rsidR="00A7742A" w:rsidRPr="00EE5F6D" w:rsidRDefault="00A7742A" w:rsidP="00944855">
            <w:r w:rsidRPr="00EE5F6D">
              <w:t>Community (Adult, All Genders)</w:t>
            </w:r>
          </w:p>
        </w:tc>
        <w:tc>
          <w:tcPr>
            <w:tcW w:w="3437" w:type="dxa"/>
            <w:noWrap/>
            <w:hideMark/>
          </w:tcPr>
          <w:p w14:paraId="40CC75F4" w14:textId="77777777" w:rsidR="00A7742A" w:rsidRPr="00EE5F6D" w:rsidRDefault="00A7742A" w:rsidP="00944855">
            <w:r w:rsidRPr="00EE5F6D">
              <w:t>To examine the longer term effects of fluoxetine and cognitive behavioural therapy (CBT) either with fluoxetine (CBT + fluoxetine) or with placebo (CBT + placebo) for BED through 12-month follow-up after completing treatments.</w:t>
            </w:r>
          </w:p>
        </w:tc>
        <w:tc>
          <w:tcPr>
            <w:tcW w:w="582" w:type="dxa"/>
            <w:noWrap/>
            <w:hideMark/>
          </w:tcPr>
          <w:p w14:paraId="7ED5D932" w14:textId="77777777" w:rsidR="00A7742A" w:rsidRPr="00EE5F6D" w:rsidRDefault="00A7742A" w:rsidP="00944855">
            <w:r w:rsidRPr="00EE5F6D">
              <w:t>RCT</w:t>
            </w:r>
          </w:p>
        </w:tc>
        <w:tc>
          <w:tcPr>
            <w:tcW w:w="3437" w:type="dxa"/>
            <w:noWrap/>
            <w:hideMark/>
          </w:tcPr>
          <w:p w14:paraId="6CFA3EE9" w14:textId="77777777" w:rsidR="00A7742A" w:rsidRPr="00EE5F6D" w:rsidRDefault="00A7742A" w:rsidP="00944855">
            <w:r w:rsidRPr="00EE5F6D">
              <w:t>Remission from binge eating, continuous measures of binge-eating frequency, eating disorder psychopathology, depression, and weight. </w:t>
            </w:r>
          </w:p>
        </w:tc>
      </w:tr>
      <w:tr w:rsidR="00A7742A" w:rsidRPr="00EE5F6D" w14:paraId="54681BAD" w14:textId="77777777" w:rsidTr="00944855">
        <w:trPr>
          <w:trHeight w:val="312"/>
        </w:trPr>
        <w:tc>
          <w:tcPr>
            <w:tcW w:w="541" w:type="dxa"/>
            <w:noWrap/>
            <w:hideMark/>
          </w:tcPr>
          <w:p w14:paraId="25FD3B58" w14:textId="77777777" w:rsidR="00A7742A" w:rsidRPr="00EE5F6D" w:rsidRDefault="00A7742A" w:rsidP="00944855">
            <w:r w:rsidRPr="00EE5F6D">
              <w:t>Grilo et al., 2015</w:t>
            </w:r>
          </w:p>
        </w:tc>
        <w:tc>
          <w:tcPr>
            <w:tcW w:w="281" w:type="dxa"/>
            <w:noWrap/>
            <w:hideMark/>
          </w:tcPr>
          <w:p w14:paraId="7EDA78BB" w14:textId="77777777" w:rsidR="00A7742A" w:rsidRPr="00EE5F6D" w:rsidRDefault="00A7742A" w:rsidP="00944855">
            <w:r w:rsidRPr="00EE5F6D">
              <w:t>USA</w:t>
            </w:r>
          </w:p>
        </w:tc>
        <w:tc>
          <w:tcPr>
            <w:tcW w:w="479" w:type="dxa"/>
            <w:noWrap/>
            <w:hideMark/>
          </w:tcPr>
          <w:p w14:paraId="1E568F01" w14:textId="77777777" w:rsidR="00A7742A" w:rsidRPr="00EE5F6D" w:rsidRDefault="00A7742A" w:rsidP="00944855">
            <w:r w:rsidRPr="00EE5F6D">
              <w:t>104</w:t>
            </w:r>
          </w:p>
        </w:tc>
        <w:tc>
          <w:tcPr>
            <w:tcW w:w="593" w:type="dxa"/>
            <w:noWrap/>
            <w:hideMark/>
          </w:tcPr>
          <w:p w14:paraId="79B8D095" w14:textId="77777777" w:rsidR="00A7742A" w:rsidRPr="00EE5F6D" w:rsidRDefault="00A7742A" w:rsidP="00944855">
            <w:r w:rsidRPr="00EE5F6D">
              <w:t>Inpatient (Adult, All Genders)</w:t>
            </w:r>
          </w:p>
        </w:tc>
        <w:tc>
          <w:tcPr>
            <w:tcW w:w="3437" w:type="dxa"/>
            <w:noWrap/>
            <w:hideMark/>
          </w:tcPr>
          <w:p w14:paraId="4226DF50" w14:textId="5B13EBC2" w:rsidR="00A7742A" w:rsidRPr="00EE5F6D" w:rsidRDefault="00A7742A" w:rsidP="00944855">
            <w:r w:rsidRPr="00EE5F6D">
              <w:t>To examine rapid response among obese patients with BED in a randomized clinical trial testing antiobesity medication and self-help cognitive–</w:t>
            </w:r>
            <w:r w:rsidR="0092228C" w:rsidRPr="00EE5F6D">
              <w:t>behavioural</w:t>
            </w:r>
            <w:r w:rsidRPr="00EE5F6D">
              <w:t xml:space="preserve"> therapy </w:t>
            </w:r>
            <w:r w:rsidRPr="00EE5F6D">
              <w:lastRenderedPageBreak/>
              <w:t>(shCBT), alone and in combination, in primary-care settings.</w:t>
            </w:r>
          </w:p>
        </w:tc>
        <w:tc>
          <w:tcPr>
            <w:tcW w:w="582" w:type="dxa"/>
            <w:noWrap/>
            <w:hideMark/>
          </w:tcPr>
          <w:p w14:paraId="6851CB37" w14:textId="77777777" w:rsidR="00A7742A" w:rsidRPr="00EE5F6D" w:rsidRDefault="00A7742A" w:rsidP="00944855">
            <w:r w:rsidRPr="00EE5F6D">
              <w:lastRenderedPageBreak/>
              <w:t>RCT</w:t>
            </w:r>
          </w:p>
        </w:tc>
        <w:tc>
          <w:tcPr>
            <w:tcW w:w="3437" w:type="dxa"/>
            <w:noWrap/>
            <w:hideMark/>
          </w:tcPr>
          <w:p w14:paraId="24EDDDF1" w14:textId="77777777" w:rsidR="00A7742A" w:rsidRPr="00EE5F6D" w:rsidRDefault="00A7742A" w:rsidP="00944855">
            <w:r w:rsidRPr="00EE5F6D">
              <w:t>EDE scores, EDE-Q scores (to determine rapid response), Beck Depression Inventory (BDI), weight and height (to calculate BMI).</w:t>
            </w:r>
          </w:p>
        </w:tc>
      </w:tr>
      <w:tr w:rsidR="00A7742A" w:rsidRPr="00EE5F6D" w14:paraId="6425791D" w14:textId="77777777" w:rsidTr="00944855">
        <w:trPr>
          <w:trHeight w:val="312"/>
        </w:trPr>
        <w:tc>
          <w:tcPr>
            <w:tcW w:w="541" w:type="dxa"/>
            <w:noWrap/>
            <w:hideMark/>
          </w:tcPr>
          <w:p w14:paraId="38FA8D5F" w14:textId="77777777" w:rsidR="00A7742A" w:rsidRPr="00EE5F6D" w:rsidRDefault="00A7742A" w:rsidP="00944855">
            <w:r w:rsidRPr="00EE5F6D">
              <w:t>Grilo et al., 2021</w:t>
            </w:r>
          </w:p>
        </w:tc>
        <w:tc>
          <w:tcPr>
            <w:tcW w:w="281" w:type="dxa"/>
            <w:noWrap/>
            <w:hideMark/>
          </w:tcPr>
          <w:p w14:paraId="7F0E40F6" w14:textId="77777777" w:rsidR="00A7742A" w:rsidRPr="00EE5F6D" w:rsidRDefault="00A7742A" w:rsidP="00944855">
            <w:r w:rsidRPr="00EE5F6D">
              <w:t>USA</w:t>
            </w:r>
          </w:p>
        </w:tc>
        <w:tc>
          <w:tcPr>
            <w:tcW w:w="479" w:type="dxa"/>
            <w:hideMark/>
          </w:tcPr>
          <w:p w14:paraId="60DF1A32" w14:textId="77777777" w:rsidR="00A7742A" w:rsidRPr="00EE5F6D" w:rsidRDefault="00A7742A" w:rsidP="00944855">
            <w:r w:rsidRPr="00EE5F6D">
              <w:t>22</w:t>
            </w:r>
          </w:p>
        </w:tc>
        <w:tc>
          <w:tcPr>
            <w:tcW w:w="593" w:type="dxa"/>
            <w:noWrap/>
            <w:hideMark/>
          </w:tcPr>
          <w:p w14:paraId="69FCE1AE" w14:textId="77777777" w:rsidR="00A7742A" w:rsidRPr="00EE5F6D" w:rsidRDefault="00A7742A" w:rsidP="00944855">
            <w:r w:rsidRPr="00EE5F6D">
              <w:t>Community (Adult, All Genders)</w:t>
            </w:r>
          </w:p>
        </w:tc>
        <w:tc>
          <w:tcPr>
            <w:tcW w:w="3437" w:type="dxa"/>
            <w:hideMark/>
          </w:tcPr>
          <w:p w14:paraId="256AB12C" w14:textId="77777777" w:rsidR="00A7742A" w:rsidRPr="00EE5F6D" w:rsidRDefault="00A7742A" w:rsidP="00944855">
            <w:r w:rsidRPr="00EE5F6D">
              <w:t>To evaluate the acute effects of naltrexone + bupropion (NB) on BED with obesity and examine the longer-term effects through 6-month follow-up after the discontinuation of medication.</w:t>
            </w:r>
          </w:p>
        </w:tc>
        <w:tc>
          <w:tcPr>
            <w:tcW w:w="582" w:type="dxa"/>
            <w:noWrap/>
            <w:hideMark/>
          </w:tcPr>
          <w:p w14:paraId="091B9A1D" w14:textId="77777777" w:rsidR="00A7742A" w:rsidRPr="00EE5F6D" w:rsidRDefault="00A7742A" w:rsidP="00944855">
            <w:r w:rsidRPr="00EE5F6D">
              <w:t>RCT</w:t>
            </w:r>
          </w:p>
        </w:tc>
        <w:tc>
          <w:tcPr>
            <w:tcW w:w="3437" w:type="dxa"/>
            <w:noWrap/>
            <w:hideMark/>
          </w:tcPr>
          <w:p w14:paraId="02F3F5B3" w14:textId="77777777" w:rsidR="00A7742A" w:rsidRPr="00EE5F6D" w:rsidRDefault="00A7742A" w:rsidP="00944855">
            <w:r w:rsidRPr="00EE5F6D">
              <w:t>Primary outcomes: Changes from baseline in binge-eating frequency, percentage weight. Secondary outcomes: Changes in eating-disorder psychopathology, depression.</w:t>
            </w:r>
          </w:p>
        </w:tc>
      </w:tr>
      <w:tr w:rsidR="00A7742A" w:rsidRPr="00EE5F6D" w14:paraId="2308EACA" w14:textId="77777777" w:rsidTr="00944855">
        <w:trPr>
          <w:trHeight w:val="312"/>
        </w:trPr>
        <w:tc>
          <w:tcPr>
            <w:tcW w:w="541" w:type="dxa"/>
            <w:noWrap/>
            <w:hideMark/>
          </w:tcPr>
          <w:p w14:paraId="0CA44A5F" w14:textId="77777777" w:rsidR="00A7742A" w:rsidRPr="00EE5F6D" w:rsidRDefault="00A7742A" w:rsidP="00944855">
            <w:r w:rsidRPr="00EE5F6D">
              <w:t xml:space="preserve">Grilo, Masheb and Crosby, 2012 </w:t>
            </w:r>
          </w:p>
        </w:tc>
        <w:tc>
          <w:tcPr>
            <w:tcW w:w="281" w:type="dxa"/>
            <w:noWrap/>
            <w:hideMark/>
          </w:tcPr>
          <w:p w14:paraId="15C5DA28" w14:textId="77777777" w:rsidR="00A7742A" w:rsidRPr="00EE5F6D" w:rsidRDefault="00A7742A" w:rsidP="00944855">
            <w:r w:rsidRPr="00EE5F6D">
              <w:t>USA</w:t>
            </w:r>
          </w:p>
        </w:tc>
        <w:tc>
          <w:tcPr>
            <w:tcW w:w="479" w:type="dxa"/>
            <w:noWrap/>
            <w:hideMark/>
          </w:tcPr>
          <w:p w14:paraId="624EFA7C" w14:textId="77777777" w:rsidR="00A7742A" w:rsidRPr="00EE5F6D" w:rsidRDefault="00A7742A" w:rsidP="00944855">
            <w:r w:rsidRPr="00EE5F6D">
              <w:t>108</w:t>
            </w:r>
          </w:p>
        </w:tc>
        <w:tc>
          <w:tcPr>
            <w:tcW w:w="593" w:type="dxa"/>
            <w:noWrap/>
            <w:hideMark/>
          </w:tcPr>
          <w:p w14:paraId="0AEC4B9B" w14:textId="77777777" w:rsidR="00A7742A" w:rsidRPr="00EE5F6D" w:rsidRDefault="00A7742A" w:rsidP="00944855">
            <w:r w:rsidRPr="00EE5F6D">
              <w:t>Inpatient (Adult, All Genders)</w:t>
            </w:r>
          </w:p>
        </w:tc>
        <w:tc>
          <w:tcPr>
            <w:tcW w:w="3437" w:type="dxa"/>
            <w:noWrap/>
            <w:hideMark/>
          </w:tcPr>
          <w:p w14:paraId="261D23A5" w14:textId="3E55F5E9" w:rsidR="00A7742A" w:rsidRPr="00EE5F6D" w:rsidRDefault="00A7742A" w:rsidP="00944855">
            <w:r w:rsidRPr="00EE5F6D">
              <w:t>To examine predictors and moderators of response to cognitive behavioral therapy (CBT) and medication treatments for BED</w:t>
            </w:r>
          </w:p>
        </w:tc>
        <w:tc>
          <w:tcPr>
            <w:tcW w:w="582" w:type="dxa"/>
            <w:noWrap/>
            <w:hideMark/>
          </w:tcPr>
          <w:p w14:paraId="46ED3C78" w14:textId="77777777" w:rsidR="00A7742A" w:rsidRPr="00EE5F6D" w:rsidRDefault="00A7742A" w:rsidP="00944855">
            <w:r w:rsidRPr="00EE5F6D">
              <w:t>RCT</w:t>
            </w:r>
          </w:p>
        </w:tc>
        <w:tc>
          <w:tcPr>
            <w:tcW w:w="3437" w:type="dxa"/>
            <w:noWrap/>
            <w:hideMark/>
          </w:tcPr>
          <w:p w14:paraId="1635A508" w14:textId="77777777" w:rsidR="00A7742A" w:rsidRPr="00EE5F6D" w:rsidRDefault="00A7742A" w:rsidP="00944855">
            <w:r w:rsidRPr="00EE5F6D">
              <w:t>Primary outcome: Remission from binge eating. Secondary dimensional outcomes: binge-eating frequency, eating disorder psychopathology, depression, and body mass index.</w:t>
            </w:r>
          </w:p>
        </w:tc>
      </w:tr>
      <w:tr w:rsidR="00A7742A" w:rsidRPr="00EE5F6D" w14:paraId="516366B2" w14:textId="77777777" w:rsidTr="00944855">
        <w:trPr>
          <w:trHeight w:val="312"/>
        </w:trPr>
        <w:tc>
          <w:tcPr>
            <w:tcW w:w="541" w:type="dxa"/>
            <w:noWrap/>
            <w:hideMark/>
          </w:tcPr>
          <w:p w14:paraId="28241AC8" w14:textId="77777777" w:rsidR="00A7742A" w:rsidRPr="00EE5F6D" w:rsidRDefault="00A7742A" w:rsidP="00944855">
            <w:r w:rsidRPr="00EE5F6D">
              <w:t xml:space="preserve">Grilo, Reas and Mitchell, 2016 </w:t>
            </w:r>
          </w:p>
        </w:tc>
        <w:tc>
          <w:tcPr>
            <w:tcW w:w="281" w:type="dxa"/>
            <w:noWrap/>
            <w:hideMark/>
          </w:tcPr>
          <w:p w14:paraId="0C242481" w14:textId="77777777" w:rsidR="00A7742A" w:rsidRPr="00EE5F6D" w:rsidRDefault="00A7742A" w:rsidP="00944855">
            <w:r w:rsidRPr="00EE5F6D">
              <w:t>Worldwide</w:t>
            </w:r>
          </w:p>
        </w:tc>
        <w:tc>
          <w:tcPr>
            <w:tcW w:w="479" w:type="dxa"/>
            <w:noWrap/>
            <w:hideMark/>
          </w:tcPr>
          <w:p w14:paraId="61992507" w14:textId="77777777" w:rsidR="00A7742A" w:rsidRPr="00EE5F6D" w:rsidRDefault="00A7742A" w:rsidP="00944855">
            <w:r w:rsidRPr="00EE5F6D">
              <w:t>N/A</w:t>
            </w:r>
          </w:p>
        </w:tc>
        <w:tc>
          <w:tcPr>
            <w:tcW w:w="593" w:type="dxa"/>
            <w:noWrap/>
            <w:hideMark/>
          </w:tcPr>
          <w:p w14:paraId="4B2E7846" w14:textId="77777777" w:rsidR="00A7742A" w:rsidRPr="00EE5F6D" w:rsidRDefault="00A7742A" w:rsidP="00944855">
            <w:r w:rsidRPr="00EE5F6D">
              <w:t>N/A</w:t>
            </w:r>
          </w:p>
        </w:tc>
        <w:tc>
          <w:tcPr>
            <w:tcW w:w="3437" w:type="dxa"/>
            <w:noWrap/>
            <w:hideMark/>
          </w:tcPr>
          <w:p w14:paraId="50C90380" w14:textId="77777777" w:rsidR="00A7742A" w:rsidRPr="00EE5F6D" w:rsidRDefault="00A7742A" w:rsidP="00944855">
            <w:r w:rsidRPr="00EE5F6D">
              <w:t>To provide a brief state-of-the-art review of the major and recent findings, with an emphasis on developments over the past 3 years.</w:t>
            </w:r>
          </w:p>
        </w:tc>
        <w:tc>
          <w:tcPr>
            <w:tcW w:w="582" w:type="dxa"/>
            <w:noWrap/>
            <w:hideMark/>
          </w:tcPr>
          <w:p w14:paraId="4A9818D2" w14:textId="77777777" w:rsidR="00A7742A" w:rsidRPr="00EE5F6D" w:rsidRDefault="00A7742A" w:rsidP="00944855">
            <w:r w:rsidRPr="00EE5F6D">
              <w:t>Review (Narrative)</w:t>
            </w:r>
          </w:p>
        </w:tc>
        <w:tc>
          <w:tcPr>
            <w:tcW w:w="3437" w:type="dxa"/>
            <w:noWrap/>
            <w:hideMark/>
          </w:tcPr>
          <w:p w14:paraId="47FD0987" w14:textId="77777777" w:rsidR="00A7742A" w:rsidRPr="00EE5F6D" w:rsidRDefault="00A7742A" w:rsidP="00944855">
            <w:r w:rsidRPr="00EE5F6D">
              <w:t>Summary of RCTs for combined psychological and pharmacological treatment of BED</w:t>
            </w:r>
          </w:p>
        </w:tc>
      </w:tr>
      <w:tr w:rsidR="00A7742A" w:rsidRPr="00EE5F6D" w14:paraId="5B953265" w14:textId="77777777" w:rsidTr="00944855">
        <w:trPr>
          <w:trHeight w:val="312"/>
        </w:trPr>
        <w:tc>
          <w:tcPr>
            <w:tcW w:w="541" w:type="dxa"/>
            <w:noWrap/>
            <w:hideMark/>
          </w:tcPr>
          <w:p w14:paraId="6D678EA8" w14:textId="77777777" w:rsidR="00A7742A" w:rsidRPr="00EE5F6D" w:rsidRDefault="00A7742A" w:rsidP="00944855">
            <w:r w:rsidRPr="00EE5F6D">
              <w:t>Guardia et al., 2011</w:t>
            </w:r>
          </w:p>
        </w:tc>
        <w:tc>
          <w:tcPr>
            <w:tcW w:w="281" w:type="dxa"/>
            <w:noWrap/>
            <w:hideMark/>
          </w:tcPr>
          <w:p w14:paraId="38D8B4A0" w14:textId="77777777" w:rsidR="00A7742A" w:rsidRPr="00EE5F6D" w:rsidRDefault="00A7742A" w:rsidP="00944855">
            <w:r w:rsidRPr="00EE5F6D">
              <w:t>Worldwide</w:t>
            </w:r>
          </w:p>
        </w:tc>
        <w:tc>
          <w:tcPr>
            <w:tcW w:w="479" w:type="dxa"/>
            <w:noWrap/>
            <w:hideMark/>
          </w:tcPr>
          <w:p w14:paraId="6C961FAF" w14:textId="77777777" w:rsidR="00A7742A" w:rsidRPr="00EE5F6D" w:rsidRDefault="00A7742A" w:rsidP="00944855">
            <w:r w:rsidRPr="00EE5F6D">
              <w:t>N/A</w:t>
            </w:r>
          </w:p>
        </w:tc>
        <w:tc>
          <w:tcPr>
            <w:tcW w:w="593" w:type="dxa"/>
            <w:noWrap/>
            <w:hideMark/>
          </w:tcPr>
          <w:p w14:paraId="564A7A4E" w14:textId="77777777" w:rsidR="00A7742A" w:rsidRPr="00EE5F6D" w:rsidRDefault="00A7742A" w:rsidP="00944855">
            <w:r w:rsidRPr="00EE5F6D">
              <w:t>N/A</w:t>
            </w:r>
          </w:p>
        </w:tc>
        <w:tc>
          <w:tcPr>
            <w:tcW w:w="3437" w:type="dxa"/>
            <w:noWrap/>
            <w:hideMark/>
          </w:tcPr>
          <w:p w14:paraId="0242D463" w14:textId="77777777" w:rsidR="00A7742A" w:rsidRPr="00EE5F6D" w:rsidRDefault="00A7742A" w:rsidP="00944855">
            <w:r w:rsidRPr="00EE5F6D">
              <w:t>To review published data on the efficacy and safety of drugs targeting the GABA and glutamate modulation pathways for the treatment of BED, BN and NES</w:t>
            </w:r>
          </w:p>
        </w:tc>
        <w:tc>
          <w:tcPr>
            <w:tcW w:w="582" w:type="dxa"/>
            <w:noWrap/>
            <w:hideMark/>
          </w:tcPr>
          <w:p w14:paraId="58DA8978" w14:textId="77777777" w:rsidR="00A7742A" w:rsidRPr="00EE5F6D" w:rsidRDefault="00A7742A" w:rsidP="00944855">
            <w:r w:rsidRPr="00EE5F6D">
              <w:t>Review (Other)</w:t>
            </w:r>
          </w:p>
        </w:tc>
        <w:tc>
          <w:tcPr>
            <w:tcW w:w="3437" w:type="dxa"/>
            <w:noWrap/>
            <w:hideMark/>
          </w:tcPr>
          <w:p w14:paraId="52D8A094" w14:textId="77777777" w:rsidR="00A7742A" w:rsidRPr="00EE5F6D" w:rsidRDefault="00A7742A" w:rsidP="00944855">
            <w:r w:rsidRPr="00EE5F6D">
              <w:t>binge eating, craving and weight gain</w:t>
            </w:r>
          </w:p>
        </w:tc>
      </w:tr>
      <w:tr w:rsidR="00A7742A" w:rsidRPr="00EE5F6D" w14:paraId="7AF48B92" w14:textId="77777777" w:rsidTr="00944855">
        <w:trPr>
          <w:trHeight w:val="312"/>
        </w:trPr>
        <w:tc>
          <w:tcPr>
            <w:tcW w:w="541" w:type="dxa"/>
            <w:noWrap/>
            <w:hideMark/>
          </w:tcPr>
          <w:p w14:paraId="05BB245D" w14:textId="77777777" w:rsidR="00A7742A" w:rsidRPr="00EE5F6D" w:rsidRDefault="00A7742A" w:rsidP="00944855">
            <w:r w:rsidRPr="00EE5F6D">
              <w:t>Guerdjikova et al., 2016</w:t>
            </w:r>
          </w:p>
        </w:tc>
        <w:tc>
          <w:tcPr>
            <w:tcW w:w="281" w:type="dxa"/>
            <w:noWrap/>
            <w:hideMark/>
          </w:tcPr>
          <w:p w14:paraId="776EA4D3" w14:textId="77777777" w:rsidR="00A7742A" w:rsidRPr="00EE5F6D" w:rsidRDefault="00A7742A" w:rsidP="00944855">
            <w:r w:rsidRPr="00EE5F6D">
              <w:t>USA</w:t>
            </w:r>
          </w:p>
        </w:tc>
        <w:tc>
          <w:tcPr>
            <w:tcW w:w="479" w:type="dxa"/>
            <w:noWrap/>
            <w:hideMark/>
          </w:tcPr>
          <w:p w14:paraId="6AB636D3" w14:textId="77777777" w:rsidR="00A7742A" w:rsidRPr="00EE5F6D" w:rsidRDefault="00A7742A" w:rsidP="00944855">
            <w:r w:rsidRPr="00EE5F6D">
              <w:t>50</w:t>
            </w:r>
          </w:p>
        </w:tc>
        <w:tc>
          <w:tcPr>
            <w:tcW w:w="593" w:type="dxa"/>
            <w:noWrap/>
            <w:hideMark/>
          </w:tcPr>
          <w:p w14:paraId="6B622660" w14:textId="77777777" w:rsidR="00A7742A" w:rsidRPr="00EE5F6D" w:rsidRDefault="00A7742A" w:rsidP="00944855">
            <w:r w:rsidRPr="00EE5F6D">
              <w:t>Community (Adult, All Genders)</w:t>
            </w:r>
          </w:p>
        </w:tc>
        <w:tc>
          <w:tcPr>
            <w:tcW w:w="3437" w:type="dxa"/>
            <w:noWrap/>
            <w:hideMark/>
          </w:tcPr>
          <w:p w14:paraId="2F671608" w14:textId="77777777" w:rsidR="00A7742A" w:rsidRPr="00EE5F6D" w:rsidRDefault="00A7742A" w:rsidP="00944855">
            <w:r w:rsidRPr="00EE5F6D">
              <w:t>To evaluate lisdexamfetamine dimesylate (LDX) in the treatment of binge eating disorder (BED).</w:t>
            </w:r>
          </w:p>
        </w:tc>
        <w:tc>
          <w:tcPr>
            <w:tcW w:w="582" w:type="dxa"/>
            <w:noWrap/>
            <w:hideMark/>
          </w:tcPr>
          <w:p w14:paraId="20C4ECC7" w14:textId="77777777" w:rsidR="00A7742A" w:rsidRPr="00EE5F6D" w:rsidRDefault="00A7742A" w:rsidP="00944855">
            <w:r w:rsidRPr="00EE5F6D">
              <w:t>RCT</w:t>
            </w:r>
          </w:p>
        </w:tc>
        <w:tc>
          <w:tcPr>
            <w:tcW w:w="3437" w:type="dxa"/>
            <w:noWrap/>
            <w:hideMark/>
          </w:tcPr>
          <w:p w14:paraId="3DBC46CA" w14:textId="1231E190" w:rsidR="00A7742A" w:rsidRPr="00EE5F6D" w:rsidRDefault="00A7742A" w:rsidP="00944855">
            <w:r w:rsidRPr="00EE5F6D">
              <w:t>B</w:t>
            </w:r>
            <w:r w:rsidR="00721BA4">
              <w:t xml:space="preserve">inge eating </w:t>
            </w:r>
            <w:r w:rsidRPr="00EE5F6D">
              <w:t xml:space="preserve">days/week, </w:t>
            </w:r>
            <w:r w:rsidR="00721BA4">
              <w:t>binge eating</w:t>
            </w:r>
            <w:r w:rsidRPr="00EE5F6D">
              <w:t xml:space="preserve"> episodes/week, CGI-S</w:t>
            </w:r>
            <w:r w:rsidR="00721BA4">
              <w:t>cale, yale-brown obsessive compulsive scale (</w:t>
            </w:r>
            <w:r w:rsidRPr="00EE5F6D">
              <w:t xml:space="preserve"> Y</w:t>
            </w:r>
            <w:r w:rsidR="00721BA4">
              <w:t>-</w:t>
            </w:r>
            <w:r w:rsidRPr="00EE5F6D">
              <w:t>BOSC</w:t>
            </w:r>
            <w:r w:rsidR="00721BA4">
              <w:t xml:space="preserve">), </w:t>
            </w:r>
            <w:r w:rsidRPr="00EE5F6D">
              <w:t xml:space="preserve">weight, </w:t>
            </w:r>
            <w:r w:rsidRPr="00EE5F6D">
              <w:lastRenderedPageBreak/>
              <w:t>BMI, fasting triglyceride level</w:t>
            </w:r>
          </w:p>
        </w:tc>
      </w:tr>
      <w:tr w:rsidR="00A7742A" w:rsidRPr="00EE5F6D" w14:paraId="6AA37063" w14:textId="77777777" w:rsidTr="00944855">
        <w:trPr>
          <w:trHeight w:val="312"/>
        </w:trPr>
        <w:tc>
          <w:tcPr>
            <w:tcW w:w="541" w:type="dxa"/>
            <w:noWrap/>
            <w:hideMark/>
          </w:tcPr>
          <w:p w14:paraId="129B583A" w14:textId="77777777" w:rsidR="00A7742A" w:rsidRPr="00EE5F6D" w:rsidRDefault="00A7742A" w:rsidP="00944855">
            <w:r w:rsidRPr="00EE5F6D">
              <w:lastRenderedPageBreak/>
              <w:t>Guerdjikova et al., 2017</w:t>
            </w:r>
          </w:p>
        </w:tc>
        <w:tc>
          <w:tcPr>
            <w:tcW w:w="281" w:type="dxa"/>
            <w:noWrap/>
            <w:hideMark/>
          </w:tcPr>
          <w:p w14:paraId="6C946A08" w14:textId="77777777" w:rsidR="00A7742A" w:rsidRPr="00EE5F6D" w:rsidRDefault="00A7742A" w:rsidP="00944855">
            <w:r w:rsidRPr="00EE5F6D">
              <w:t>USA</w:t>
            </w:r>
          </w:p>
        </w:tc>
        <w:tc>
          <w:tcPr>
            <w:tcW w:w="479" w:type="dxa"/>
            <w:noWrap/>
            <w:hideMark/>
          </w:tcPr>
          <w:p w14:paraId="14B4A141" w14:textId="77777777" w:rsidR="00A7742A" w:rsidRPr="00EE5F6D" w:rsidRDefault="00A7742A" w:rsidP="00944855">
            <w:r w:rsidRPr="00EE5F6D">
              <w:t>25</w:t>
            </w:r>
          </w:p>
        </w:tc>
        <w:tc>
          <w:tcPr>
            <w:tcW w:w="593" w:type="dxa"/>
            <w:noWrap/>
            <w:hideMark/>
          </w:tcPr>
          <w:p w14:paraId="709B0743" w14:textId="77777777" w:rsidR="00A7742A" w:rsidRPr="00EE5F6D" w:rsidRDefault="00A7742A" w:rsidP="00944855">
            <w:r w:rsidRPr="00EE5F6D">
              <w:t>Community (Adult, Women)</w:t>
            </w:r>
          </w:p>
        </w:tc>
        <w:tc>
          <w:tcPr>
            <w:tcW w:w="3437" w:type="dxa"/>
            <w:noWrap/>
            <w:hideMark/>
          </w:tcPr>
          <w:p w14:paraId="06728E94" w14:textId="77777777" w:rsidR="00A7742A" w:rsidRPr="00EE5F6D" w:rsidRDefault="00A7742A" w:rsidP="00944855">
            <w:r w:rsidRPr="00EE5F6D">
              <w:t>To assess the effect of NB in reducing binge eating symptoms associated with MDD and overweight/obesity</w:t>
            </w:r>
          </w:p>
        </w:tc>
        <w:tc>
          <w:tcPr>
            <w:tcW w:w="582" w:type="dxa"/>
            <w:noWrap/>
            <w:hideMark/>
          </w:tcPr>
          <w:p w14:paraId="73D47358" w14:textId="77777777" w:rsidR="00A7742A" w:rsidRPr="00EE5F6D" w:rsidRDefault="00A7742A" w:rsidP="00944855">
            <w:r w:rsidRPr="00EE5F6D">
              <w:t>Quasi-experimental (intervention)</w:t>
            </w:r>
          </w:p>
        </w:tc>
        <w:tc>
          <w:tcPr>
            <w:tcW w:w="3437" w:type="dxa"/>
            <w:noWrap/>
            <w:hideMark/>
          </w:tcPr>
          <w:p w14:paraId="3859DDEC" w14:textId="6D49CB2B" w:rsidR="00A7742A" w:rsidRPr="00EE5F6D" w:rsidRDefault="00A7742A" w:rsidP="00944855">
            <w:r w:rsidRPr="00EE5F6D">
              <w:t xml:space="preserve">Body weight, MADRS, DES, </w:t>
            </w:r>
            <w:r w:rsidR="00721BA4">
              <w:t>Control of eating questionnaire (</w:t>
            </w:r>
            <w:r w:rsidRPr="00EE5F6D">
              <w:t>CoEQ</w:t>
            </w:r>
            <w:r w:rsidR="00721BA4">
              <w:t>)</w:t>
            </w:r>
            <w:r w:rsidRPr="00EE5F6D">
              <w:t xml:space="preserve">, </w:t>
            </w:r>
            <w:r w:rsidR="00721BA4">
              <w:t>binge eating scale (</w:t>
            </w:r>
            <w:r w:rsidRPr="00EE5F6D">
              <w:t>BES</w:t>
            </w:r>
            <w:r w:rsidR="00721BA4">
              <w:t>)</w:t>
            </w:r>
            <w:r w:rsidRPr="00EE5F6D">
              <w:t>,</w:t>
            </w:r>
            <w:r w:rsidR="00721BA4">
              <w:t xml:space="preserve"> Inventory of Depressive Symptomatology self report (</w:t>
            </w:r>
            <w:r w:rsidRPr="00EE5F6D">
              <w:t xml:space="preserve"> IDS-SR</w:t>
            </w:r>
            <w:r w:rsidR="00721BA4">
              <w:t>)</w:t>
            </w:r>
          </w:p>
        </w:tc>
      </w:tr>
      <w:tr w:rsidR="00A7742A" w:rsidRPr="00EE5F6D" w14:paraId="6513C48A" w14:textId="77777777" w:rsidTr="00944855">
        <w:trPr>
          <w:trHeight w:val="312"/>
        </w:trPr>
        <w:tc>
          <w:tcPr>
            <w:tcW w:w="541" w:type="dxa"/>
            <w:noWrap/>
            <w:hideMark/>
          </w:tcPr>
          <w:p w14:paraId="1B1B7503" w14:textId="77777777" w:rsidR="00A7742A" w:rsidRPr="00EE5F6D" w:rsidRDefault="00A7742A" w:rsidP="00944855">
            <w:r w:rsidRPr="00EE5F6D">
              <w:t>Guido et al., 2017</w:t>
            </w:r>
          </w:p>
        </w:tc>
        <w:tc>
          <w:tcPr>
            <w:tcW w:w="281" w:type="dxa"/>
            <w:noWrap/>
            <w:hideMark/>
          </w:tcPr>
          <w:p w14:paraId="0764AEEA" w14:textId="77777777" w:rsidR="00A7742A" w:rsidRPr="00EE5F6D" w:rsidRDefault="00A7742A" w:rsidP="00944855">
            <w:r w:rsidRPr="00EE5F6D">
              <w:t>Worldwide</w:t>
            </w:r>
          </w:p>
        </w:tc>
        <w:tc>
          <w:tcPr>
            <w:tcW w:w="479" w:type="dxa"/>
            <w:noWrap/>
            <w:hideMark/>
          </w:tcPr>
          <w:p w14:paraId="3C96EAAD" w14:textId="77777777" w:rsidR="00A7742A" w:rsidRPr="00EE5F6D" w:rsidRDefault="00A7742A" w:rsidP="00944855">
            <w:r w:rsidRPr="00EE5F6D">
              <w:t>106</w:t>
            </w:r>
          </w:p>
        </w:tc>
        <w:tc>
          <w:tcPr>
            <w:tcW w:w="593" w:type="dxa"/>
            <w:noWrap/>
            <w:hideMark/>
          </w:tcPr>
          <w:p w14:paraId="04B5B403" w14:textId="77777777" w:rsidR="00A7742A" w:rsidRPr="00EE5F6D" w:rsidRDefault="00A7742A" w:rsidP="00944855">
            <w:r w:rsidRPr="00EE5F6D">
              <w:t>Community (Adolescents, All Genders)</w:t>
            </w:r>
          </w:p>
        </w:tc>
        <w:tc>
          <w:tcPr>
            <w:tcW w:w="3437" w:type="dxa"/>
            <w:noWrap/>
            <w:hideMark/>
          </w:tcPr>
          <w:p w14:paraId="49C77D4E" w14:textId="77777777" w:rsidR="00A7742A" w:rsidRPr="00EE5F6D" w:rsidRDefault="00A7742A" w:rsidP="00944855">
            <w:r w:rsidRPr="00EE5F6D">
              <w:t>To assess the use of dopamine D2 receptor partial agonists in treating AN.</w:t>
            </w:r>
          </w:p>
        </w:tc>
        <w:tc>
          <w:tcPr>
            <w:tcW w:w="582" w:type="dxa"/>
            <w:noWrap/>
            <w:hideMark/>
          </w:tcPr>
          <w:p w14:paraId="051EE53E" w14:textId="77777777" w:rsidR="00A7742A" w:rsidRPr="00EE5F6D" w:rsidRDefault="00A7742A" w:rsidP="00944855">
            <w:r w:rsidRPr="00EE5F6D">
              <w:t>Review (Other)</w:t>
            </w:r>
          </w:p>
        </w:tc>
        <w:tc>
          <w:tcPr>
            <w:tcW w:w="3437" w:type="dxa"/>
            <w:noWrap/>
            <w:hideMark/>
          </w:tcPr>
          <w:p w14:paraId="0D4D2F14" w14:textId="77777777" w:rsidR="00A7742A" w:rsidRPr="00EE5F6D" w:rsidRDefault="00A7742A" w:rsidP="00944855">
            <w:r w:rsidRPr="00EE5F6D">
              <w:t>Change in BMI</w:t>
            </w:r>
          </w:p>
        </w:tc>
      </w:tr>
      <w:tr w:rsidR="00A7742A" w:rsidRPr="00EE5F6D" w14:paraId="6CDE645A" w14:textId="77777777" w:rsidTr="00944855">
        <w:trPr>
          <w:trHeight w:val="312"/>
        </w:trPr>
        <w:tc>
          <w:tcPr>
            <w:tcW w:w="541" w:type="dxa"/>
            <w:noWrap/>
            <w:hideMark/>
          </w:tcPr>
          <w:p w14:paraId="4267DDC4" w14:textId="77777777" w:rsidR="00A7742A" w:rsidRPr="00EE5F6D" w:rsidRDefault="00A7742A" w:rsidP="00944855">
            <w:r w:rsidRPr="00EE5F6D">
              <w:t>Hagman et al., 2011</w:t>
            </w:r>
          </w:p>
        </w:tc>
        <w:tc>
          <w:tcPr>
            <w:tcW w:w="281" w:type="dxa"/>
            <w:noWrap/>
            <w:hideMark/>
          </w:tcPr>
          <w:p w14:paraId="25B376CE" w14:textId="77777777" w:rsidR="00A7742A" w:rsidRPr="00EE5F6D" w:rsidRDefault="00A7742A" w:rsidP="00944855">
            <w:r w:rsidRPr="00EE5F6D">
              <w:t>USA</w:t>
            </w:r>
          </w:p>
        </w:tc>
        <w:tc>
          <w:tcPr>
            <w:tcW w:w="479" w:type="dxa"/>
            <w:noWrap/>
            <w:hideMark/>
          </w:tcPr>
          <w:p w14:paraId="70E18510" w14:textId="77777777" w:rsidR="00A7742A" w:rsidRPr="00EE5F6D" w:rsidRDefault="00A7742A" w:rsidP="00944855">
            <w:r w:rsidRPr="00EE5F6D">
              <w:t>40</w:t>
            </w:r>
          </w:p>
        </w:tc>
        <w:tc>
          <w:tcPr>
            <w:tcW w:w="593" w:type="dxa"/>
            <w:noWrap/>
            <w:hideMark/>
          </w:tcPr>
          <w:p w14:paraId="16BABAEA" w14:textId="77777777" w:rsidR="00A7742A" w:rsidRPr="00EE5F6D" w:rsidRDefault="00A7742A" w:rsidP="00944855">
            <w:r w:rsidRPr="00EE5F6D">
              <w:t>outpatient (young adult, women)</w:t>
            </w:r>
          </w:p>
        </w:tc>
        <w:tc>
          <w:tcPr>
            <w:tcW w:w="3437" w:type="dxa"/>
            <w:noWrap/>
            <w:hideMark/>
          </w:tcPr>
          <w:p w14:paraId="14A15F7A" w14:textId="77777777" w:rsidR="00A7742A" w:rsidRPr="00EE5F6D" w:rsidRDefault="00A7742A" w:rsidP="00944855">
            <w:r w:rsidRPr="00EE5F6D">
              <w:t>To evaluate the safety and efficacy of risperidone for the treatment of anorexia nervosa.</w:t>
            </w:r>
          </w:p>
        </w:tc>
        <w:tc>
          <w:tcPr>
            <w:tcW w:w="582" w:type="dxa"/>
            <w:noWrap/>
            <w:hideMark/>
          </w:tcPr>
          <w:p w14:paraId="0DD89534" w14:textId="77777777" w:rsidR="00A7742A" w:rsidRPr="00EE5F6D" w:rsidRDefault="00A7742A" w:rsidP="00944855">
            <w:r w:rsidRPr="00EE5F6D">
              <w:t>RCT</w:t>
            </w:r>
          </w:p>
        </w:tc>
        <w:tc>
          <w:tcPr>
            <w:tcW w:w="3437" w:type="dxa"/>
            <w:noWrap/>
            <w:hideMark/>
          </w:tcPr>
          <w:p w14:paraId="48E0A31D" w14:textId="057ABF2B" w:rsidR="00A7742A" w:rsidRPr="00EE5F6D" w:rsidRDefault="00A7742A" w:rsidP="00944855">
            <w:r w:rsidRPr="00EE5F6D">
              <w:t xml:space="preserve">BMI, EDI-2 drive thinness, </w:t>
            </w:r>
            <w:r w:rsidR="00721BA4">
              <w:t>multidimensional anxiety scale for children (</w:t>
            </w:r>
            <w:r w:rsidRPr="00EE5F6D">
              <w:t>MASC</w:t>
            </w:r>
            <w:r w:rsidR="00721BA4">
              <w:t>)</w:t>
            </w:r>
            <w:r w:rsidRPr="00EE5F6D">
              <w:t>, body image software, point of subjective equality</w:t>
            </w:r>
          </w:p>
        </w:tc>
      </w:tr>
      <w:tr w:rsidR="00A7742A" w:rsidRPr="00EE5F6D" w14:paraId="6BF8A57F" w14:textId="77777777" w:rsidTr="00944855">
        <w:trPr>
          <w:trHeight w:val="312"/>
        </w:trPr>
        <w:tc>
          <w:tcPr>
            <w:tcW w:w="541" w:type="dxa"/>
            <w:noWrap/>
            <w:hideMark/>
          </w:tcPr>
          <w:p w14:paraId="2ABCC237" w14:textId="77777777" w:rsidR="00A7742A" w:rsidRPr="00EE5F6D" w:rsidRDefault="00A7742A" w:rsidP="00944855">
            <w:r w:rsidRPr="00EE5F6D">
              <w:t>Haleem, 2017</w:t>
            </w:r>
          </w:p>
        </w:tc>
        <w:tc>
          <w:tcPr>
            <w:tcW w:w="281" w:type="dxa"/>
            <w:noWrap/>
            <w:hideMark/>
          </w:tcPr>
          <w:p w14:paraId="267372A7" w14:textId="77777777" w:rsidR="00A7742A" w:rsidRPr="00EE5F6D" w:rsidRDefault="00A7742A" w:rsidP="00944855">
            <w:r w:rsidRPr="00EE5F6D">
              <w:t>N/A</w:t>
            </w:r>
          </w:p>
        </w:tc>
        <w:tc>
          <w:tcPr>
            <w:tcW w:w="479" w:type="dxa"/>
            <w:noWrap/>
            <w:hideMark/>
          </w:tcPr>
          <w:p w14:paraId="36022CC3" w14:textId="77777777" w:rsidR="00A7742A" w:rsidRPr="00EE5F6D" w:rsidRDefault="00A7742A" w:rsidP="00944855">
            <w:r w:rsidRPr="00EE5F6D">
              <w:t>N/A</w:t>
            </w:r>
          </w:p>
        </w:tc>
        <w:tc>
          <w:tcPr>
            <w:tcW w:w="593" w:type="dxa"/>
            <w:noWrap/>
            <w:hideMark/>
          </w:tcPr>
          <w:p w14:paraId="0C7C023F" w14:textId="77777777" w:rsidR="00A7742A" w:rsidRPr="00EE5F6D" w:rsidRDefault="00A7742A" w:rsidP="00944855">
            <w:r w:rsidRPr="00EE5F6D">
              <w:t>N/A</w:t>
            </w:r>
          </w:p>
        </w:tc>
        <w:tc>
          <w:tcPr>
            <w:tcW w:w="3437" w:type="dxa"/>
            <w:noWrap/>
            <w:hideMark/>
          </w:tcPr>
          <w:p w14:paraId="0C6ED05B" w14:textId="77777777" w:rsidR="00A7742A" w:rsidRPr="00EE5F6D" w:rsidRDefault="00A7742A" w:rsidP="00944855">
            <w:r w:rsidRPr="00EE5F6D">
              <w:t>To evaluate and document a potential importance of tryptophan supplementation in improving therapeutics in AN patients</w:t>
            </w:r>
          </w:p>
        </w:tc>
        <w:tc>
          <w:tcPr>
            <w:tcW w:w="582" w:type="dxa"/>
            <w:noWrap/>
            <w:hideMark/>
          </w:tcPr>
          <w:p w14:paraId="123BDFA5" w14:textId="77777777" w:rsidR="00A7742A" w:rsidRPr="00EE5F6D" w:rsidRDefault="00A7742A" w:rsidP="00944855">
            <w:r w:rsidRPr="00EE5F6D">
              <w:t>Review (Other)</w:t>
            </w:r>
          </w:p>
        </w:tc>
        <w:tc>
          <w:tcPr>
            <w:tcW w:w="3437" w:type="dxa"/>
            <w:noWrap/>
            <w:hideMark/>
          </w:tcPr>
          <w:p w14:paraId="1DFF7357" w14:textId="77777777" w:rsidR="00A7742A" w:rsidRPr="00EE5F6D" w:rsidRDefault="00A7742A" w:rsidP="00944855">
            <w:r w:rsidRPr="00EE5F6D">
              <w:t>Importance of tryptophan supplementation</w:t>
            </w:r>
          </w:p>
        </w:tc>
      </w:tr>
      <w:tr w:rsidR="00A7742A" w:rsidRPr="00EE5F6D" w14:paraId="6CECE79C" w14:textId="77777777" w:rsidTr="00944855">
        <w:trPr>
          <w:trHeight w:val="312"/>
        </w:trPr>
        <w:tc>
          <w:tcPr>
            <w:tcW w:w="541" w:type="dxa"/>
            <w:noWrap/>
            <w:hideMark/>
          </w:tcPr>
          <w:p w14:paraId="3CF1F19F" w14:textId="77777777" w:rsidR="00A7742A" w:rsidRPr="00EE5F6D" w:rsidRDefault="00A7742A" w:rsidP="00944855">
            <w:r w:rsidRPr="00EE5F6D">
              <w:t xml:space="preserve">Hall, Vincent and Burhan, 2017 </w:t>
            </w:r>
          </w:p>
        </w:tc>
        <w:tc>
          <w:tcPr>
            <w:tcW w:w="281" w:type="dxa"/>
            <w:noWrap/>
            <w:hideMark/>
          </w:tcPr>
          <w:p w14:paraId="28CF3D9A" w14:textId="77777777" w:rsidR="00A7742A" w:rsidRPr="00EE5F6D" w:rsidRDefault="00A7742A" w:rsidP="00944855">
            <w:r w:rsidRPr="00EE5F6D">
              <w:t>Worldwide</w:t>
            </w:r>
          </w:p>
        </w:tc>
        <w:tc>
          <w:tcPr>
            <w:tcW w:w="479" w:type="dxa"/>
            <w:noWrap/>
            <w:hideMark/>
          </w:tcPr>
          <w:p w14:paraId="317AF272" w14:textId="77777777" w:rsidR="00A7742A" w:rsidRPr="00EE5F6D" w:rsidRDefault="00A7742A" w:rsidP="00944855">
            <w:r w:rsidRPr="00EE5F6D">
              <w:t>N/A</w:t>
            </w:r>
          </w:p>
        </w:tc>
        <w:tc>
          <w:tcPr>
            <w:tcW w:w="593" w:type="dxa"/>
            <w:noWrap/>
            <w:hideMark/>
          </w:tcPr>
          <w:p w14:paraId="54B3CD6A" w14:textId="77777777" w:rsidR="00A7742A" w:rsidRPr="00EE5F6D" w:rsidRDefault="00A7742A" w:rsidP="00944855">
            <w:r w:rsidRPr="00EE5F6D">
              <w:t>Community (Adult, All Genders)</w:t>
            </w:r>
          </w:p>
        </w:tc>
        <w:tc>
          <w:tcPr>
            <w:tcW w:w="3437" w:type="dxa"/>
            <w:noWrap/>
            <w:hideMark/>
          </w:tcPr>
          <w:p w14:paraId="10DC38B9" w14:textId="77777777" w:rsidR="00A7742A" w:rsidRPr="00EE5F6D" w:rsidRDefault="00A7742A" w:rsidP="00944855">
            <w:r w:rsidRPr="00EE5F6D">
              <w:t xml:space="preserve">To describe the state of the human research literature pertaining to the use of non-invasive brain stimulation (NIBS) procedures for modulating food cravings, food consumption, and treating disorders of eating (i.e., obesity, bulimia nervosa, </w:t>
            </w:r>
            <w:r w:rsidRPr="00EE5F6D">
              <w:lastRenderedPageBreak/>
              <w:t>and anorexia nervosa).</w:t>
            </w:r>
          </w:p>
        </w:tc>
        <w:tc>
          <w:tcPr>
            <w:tcW w:w="582" w:type="dxa"/>
            <w:noWrap/>
            <w:hideMark/>
          </w:tcPr>
          <w:p w14:paraId="6B78C32F" w14:textId="77777777" w:rsidR="00A7742A" w:rsidRPr="00EE5F6D" w:rsidRDefault="00A7742A" w:rsidP="00944855">
            <w:r w:rsidRPr="00EE5F6D">
              <w:lastRenderedPageBreak/>
              <w:t>Review (Narrative)</w:t>
            </w:r>
          </w:p>
        </w:tc>
        <w:tc>
          <w:tcPr>
            <w:tcW w:w="3437" w:type="dxa"/>
            <w:noWrap/>
            <w:hideMark/>
          </w:tcPr>
          <w:p w14:paraId="12E4C1D6" w14:textId="77777777" w:rsidR="00A7742A" w:rsidRPr="00EE5F6D" w:rsidRDefault="00A7742A" w:rsidP="00944855">
            <w:r w:rsidRPr="00EE5F6D">
              <w:t>Food cravings, food consumption, treating disorders of eating</w:t>
            </w:r>
          </w:p>
        </w:tc>
      </w:tr>
      <w:tr w:rsidR="00A7742A" w:rsidRPr="00EE5F6D" w14:paraId="0BA66B66" w14:textId="77777777" w:rsidTr="00944855">
        <w:trPr>
          <w:trHeight w:val="312"/>
        </w:trPr>
        <w:tc>
          <w:tcPr>
            <w:tcW w:w="541" w:type="dxa"/>
            <w:noWrap/>
            <w:hideMark/>
          </w:tcPr>
          <w:p w14:paraId="577E46B4" w14:textId="77777777" w:rsidR="00A7742A" w:rsidRPr="00EE5F6D" w:rsidRDefault="00A7742A" w:rsidP="00944855">
            <w:r w:rsidRPr="00EE5F6D">
              <w:t>Hay &amp; Claudino, 2012</w:t>
            </w:r>
          </w:p>
        </w:tc>
        <w:tc>
          <w:tcPr>
            <w:tcW w:w="281" w:type="dxa"/>
            <w:noWrap/>
            <w:hideMark/>
          </w:tcPr>
          <w:p w14:paraId="226B4B1F" w14:textId="77777777" w:rsidR="00A7742A" w:rsidRPr="00EE5F6D" w:rsidRDefault="00A7742A" w:rsidP="00944855">
            <w:r w:rsidRPr="00EE5F6D">
              <w:t>Worldwide</w:t>
            </w:r>
          </w:p>
        </w:tc>
        <w:tc>
          <w:tcPr>
            <w:tcW w:w="479" w:type="dxa"/>
            <w:noWrap/>
            <w:hideMark/>
          </w:tcPr>
          <w:p w14:paraId="092DB50A" w14:textId="77777777" w:rsidR="00A7742A" w:rsidRPr="00EE5F6D" w:rsidRDefault="00A7742A" w:rsidP="00944855">
            <w:r w:rsidRPr="00EE5F6D">
              <w:t>N/A</w:t>
            </w:r>
          </w:p>
        </w:tc>
        <w:tc>
          <w:tcPr>
            <w:tcW w:w="593" w:type="dxa"/>
            <w:noWrap/>
            <w:hideMark/>
          </w:tcPr>
          <w:p w14:paraId="3986ECC4" w14:textId="77777777" w:rsidR="00A7742A" w:rsidRPr="00EE5F6D" w:rsidRDefault="00A7742A" w:rsidP="00944855">
            <w:r w:rsidRPr="00EE5F6D">
              <w:t>Community (Adult, All Genders)</w:t>
            </w:r>
          </w:p>
        </w:tc>
        <w:tc>
          <w:tcPr>
            <w:tcW w:w="3437" w:type="dxa"/>
            <w:noWrap/>
            <w:hideMark/>
          </w:tcPr>
          <w:p w14:paraId="0835F485" w14:textId="77777777" w:rsidR="00A7742A" w:rsidRPr="00EE5F6D" w:rsidRDefault="00A7742A" w:rsidP="00944855">
            <w:r w:rsidRPr="00EE5F6D">
              <w:t>To review the use of psychopharmacological agents in eating disorders</w:t>
            </w:r>
          </w:p>
        </w:tc>
        <w:tc>
          <w:tcPr>
            <w:tcW w:w="582" w:type="dxa"/>
            <w:noWrap/>
            <w:hideMark/>
          </w:tcPr>
          <w:p w14:paraId="18F25993" w14:textId="77777777" w:rsidR="00A7742A" w:rsidRPr="00EE5F6D" w:rsidRDefault="00A7742A" w:rsidP="00944855">
            <w:r w:rsidRPr="00EE5F6D">
              <w:t>Review (Critical)</w:t>
            </w:r>
          </w:p>
        </w:tc>
        <w:tc>
          <w:tcPr>
            <w:tcW w:w="3437" w:type="dxa"/>
            <w:noWrap/>
            <w:hideMark/>
          </w:tcPr>
          <w:p w14:paraId="24632C47" w14:textId="77777777" w:rsidR="00A7742A" w:rsidRPr="00EE5F6D" w:rsidRDefault="00A7742A" w:rsidP="00944855">
            <w:r w:rsidRPr="00EE5F6D">
              <w:t>Clinical effects of medication</w:t>
            </w:r>
          </w:p>
        </w:tc>
      </w:tr>
      <w:tr w:rsidR="00A7742A" w:rsidRPr="00EE5F6D" w14:paraId="1801F455" w14:textId="77777777" w:rsidTr="00944855">
        <w:trPr>
          <w:trHeight w:val="312"/>
        </w:trPr>
        <w:tc>
          <w:tcPr>
            <w:tcW w:w="541" w:type="dxa"/>
            <w:noWrap/>
            <w:hideMark/>
          </w:tcPr>
          <w:p w14:paraId="0A72E619" w14:textId="77777777" w:rsidR="00A7742A" w:rsidRPr="00EE5F6D" w:rsidRDefault="00A7742A" w:rsidP="00944855">
            <w:r w:rsidRPr="00EE5F6D">
              <w:t xml:space="preserve">Hay and Claudino, 2010 </w:t>
            </w:r>
          </w:p>
        </w:tc>
        <w:tc>
          <w:tcPr>
            <w:tcW w:w="281" w:type="dxa"/>
            <w:noWrap/>
            <w:hideMark/>
          </w:tcPr>
          <w:p w14:paraId="74F20FD7" w14:textId="77777777" w:rsidR="00A7742A" w:rsidRPr="00EE5F6D" w:rsidRDefault="00A7742A" w:rsidP="00944855">
            <w:r w:rsidRPr="00EE5F6D">
              <w:t>Worldwide</w:t>
            </w:r>
          </w:p>
        </w:tc>
        <w:tc>
          <w:tcPr>
            <w:tcW w:w="479" w:type="dxa"/>
            <w:noWrap/>
            <w:hideMark/>
          </w:tcPr>
          <w:p w14:paraId="0556A53E" w14:textId="77777777" w:rsidR="00A7742A" w:rsidRPr="00EE5F6D" w:rsidRDefault="00A7742A" w:rsidP="00944855">
            <w:r w:rsidRPr="00EE5F6D">
              <w:t>27</w:t>
            </w:r>
          </w:p>
        </w:tc>
        <w:tc>
          <w:tcPr>
            <w:tcW w:w="593" w:type="dxa"/>
            <w:noWrap/>
            <w:hideMark/>
          </w:tcPr>
          <w:p w14:paraId="680DF1FF" w14:textId="77777777" w:rsidR="00A7742A" w:rsidRPr="00EE5F6D" w:rsidRDefault="00A7742A" w:rsidP="00944855">
            <w:r w:rsidRPr="00EE5F6D">
              <w:t>Community (Adult, Women)</w:t>
            </w:r>
          </w:p>
        </w:tc>
        <w:tc>
          <w:tcPr>
            <w:tcW w:w="3437" w:type="dxa"/>
            <w:noWrap/>
            <w:hideMark/>
          </w:tcPr>
          <w:p w14:paraId="7A099F7F" w14:textId="77777777" w:rsidR="00A7742A" w:rsidRPr="00EE5F6D" w:rsidRDefault="00A7742A" w:rsidP="00944855">
            <w:r w:rsidRPr="00EE5F6D">
              <w:t>To examine the effects of treatments and discontinuing treatment in adults with bulimia nervosa</w:t>
            </w:r>
          </w:p>
        </w:tc>
        <w:tc>
          <w:tcPr>
            <w:tcW w:w="582" w:type="dxa"/>
            <w:noWrap/>
            <w:hideMark/>
          </w:tcPr>
          <w:p w14:paraId="5E38BF80" w14:textId="77777777" w:rsidR="00A7742A" w:rsidRPr="00EE5F6D" w:rsidRDefault="00A7742A" w:rsidP="00944855">
            <w:r w:rsidRPr="00EE5F6D">
              <w:t>Review (Systematic)</w:t>
            </w:r>
          </w:p>
        </w:tc>
        <w:tc>
          <w:tcPr>
            <w:tcW w:w="3437" w:type="dxa"/>
            <w:noWrap/>
            <w:hideMark/>
          </w:tcPr>
          <w:p w14:paraId="42176EC9" w14:textId="77777777" w:rsidR="00A7742A" w:rsidRPr="00EE5F6D" w:rsidRDefault="00A7742A" w:rsidP="00944855">
            <w:r w:rsidRPr="00EE5F6D">
              <w:t>Frequency of vomiting, remission, depression</w:t>
            </w:r>
          </w:p>
        </w:tc>
      </w:tr>
      <w:tr w:rsidR="00A7742A" w:rsidRPr="00EE5F6D" w14:paraId="49C52406" w14:textId="77777777" w:rsidTr="00944855">
        <w:trPr>
          <w:trHeight w:val="312"/>
        </w:trPr>
        <w:tc>
          <w:tcPr>
            <w:tcW w:w="541" w:type="dxa"/>
            <w:noWrap/>
            <w:hideMark/>
          </w:tcPr>
          <w:p w14:paraId="1E071628" w14:textId="77777777" w:rsidR="00A7742A" w:rsidRPr="00EE5F6D" w:rsidRDefault="00A7742A" w:rsidP="00944855">
            <w:r w:rsidRPr="00EE5F6D">
              <w:t>Hilbert et al., 2019</w:t>
            </w:r>
          </w:p>
        </w:tc>
        <w:tc>
          <w:tcPr>
            <w:tcW w:w="281" w:type="dxa"/>
            <w:noWrap/>
            <w:hideMark/>
          </w:tcPr>
          <w:p w14:paraId="10E9B5A1" w14:textId="77777777" w:rsidR="00A7742A" w:rsidRPr="00EE5F6D" w:rsidRDefault="00A7742A" w:rsidP="00944855">
            <w:r w:rsidRPr="00EE5F6D">
              <w:t>Worldwide</w:t>
            </w:r>
          </w:p>
        </w:tc>
        <w:tc>
          <w:tcPr>
            <w:tcW w:w="479" w:type="dxa"/>
            <w:noWrap/>
            <w:hideMark/>
          </w:tcPr>
          <w:p w14:paraId="70E9A4B2" w14:textId="77777777" w:rsidR="00A7742A" w:rsidRPr="00EE5F6D" w:rsidRDefault="00A7742A" w:rsidP="00944855">
            <w:r w:rsidRPr="00EE5F6D">
              <w:t>81</w:t>
            </w:r>
          </w:p>
        </w:tc>
        <w:tc>
          <w:tcPr>
            <w:tcW w:w="593" w:type="dxa"/>
            <w:noWrap/>
            <w:hideMark/>
          </w:tcPr>
          <w:p w14:paraId="4E603E3E" w14:textId="77777777" w:rsidR="00A7742A" w:rsidRPr="00EE5F6D" w:rsidRDefault="00A7742A" w:rsidP="00944855">
            <w:r w:rsidRPr="00EE5F6D">
              <w:t>Community (Adult, Women)</w:t>
            </w:r>
          </w:p>
        </w:tc>
        <w:tc>
          <w:tcPr>
            <w:tcW w:w="3437" w:type="dxa"/>
            <w:noWrap/>
            <w:hideMark/>
          </w:tcPr>
          <w:p w14:paraId="5D40BAD8" w14:textId="0B3B4ADB" w:rsidR="00A7742A" w:rsidRPr="00EE5F6D" w:rsidRDefault="00A7742A" w:rsidP="00944855">
            <w:r w:rsidRPr="00EE5F6D">
              <w:t>To provide a comprehensive meta-analysis on the efficacy of psychological and medical treatments for BED, including those targeting weight loss.</w:t>
            </w:r>
          </w:p>
        </w:tc>
        <w:tc>
          <w:tcPr>
            <w:tcW w:w="582" w:type="dxa"/>
            <w:noWrap/>
            <w:hideMark/>
          </w:tcPr>
          <w:p w14:paraId="174CE702" w14:textId="77777777" w:rsidR="00A7742A" w:rsidRPr="00EE5F6D" w:rsidRDefault="00A7742A" w:rsidP="00944855">
            <w:r w:rsidRPr="00EE5F6D">
              <w:t>Meta-Analysis</w:t>
            </w:r>
          </w:p>
        </w:tc>
        <w:tc>
          <w:tcPr>
            <w:tcW w:w="3437" w:type="dxa"/>
            <w:noWrap/>
            <w:hideMark/>
          </w:tcPr>
          <w:p w14:paraId="7C46F8D6" w14:textId="77777777" w:rsidR="00A7742A" w:rsidRPr="00EE5F6D" w:rsidRDefault="00A7742A" w:rsidP="00944855">
            <w:r w:rsidRPr="00EE5F6D">
              <w:t>Primary outcomes: number of binge-eating episodes, abstinence from binge eating. Secondary outcomes: eating disorder psychopathology was operationalized through attitudes regarding eating behaviour and body image, and general psychopathology was operationalized through measures of depression, body weight and BMI.</w:t>
            </w:r>
          </w:p>
        </w:tc>
      </w:tr>
      <w:tr w:rsidR="00A7742A" w:rsidRPr="00EE5F6D" w14:paraId="0CE56B98" w14:textId="77777777" w:rsidTr="00944855">
        <w:trPr>
          <w:trHeight w:val="312"/>
        </w:trPr>
        <w:tc>
          <w:tcPr>
            <w:tcW w:w="541" w:type="dxa"/>
            <w:noWrap/>
            <w:hideMark/>
          </w:tcPr>
          <w:p w14:paraId="2B03E4CE" w14:textId="77777777" w:rsidR="00A7742A" w:rsidRPr="00EE5F6D" w:rsidRDefault="00A7742A" w:rsidP="00944855">
            <w:r w:rsidRPr="00EE5F6D">
              <w:t xml:space="preserve">Himmerich and Treasure, 2017 </w:t>
            </w:r>
          </w:p>
        </w:tc>
        <w:tc>
          <w:tcPr>
            <w:tcW w:w="281" w:type="dxa"/>
            <w:noWrap/>
            <w:hideMark/>
          </w:tcPr>
          <w:p w14:paraId="4F6D7885" w14:textId="77777777" w:rsidR="00A7742A" w:rsidRPr="00EE5F6D" w:rsidRDefault="00A7742A" w:rsidP="00944855">
            <w:r w:rsidRPr="00EE5F6D">
              <w:t>Worldwide</w:t>
            </w:r>
          </w:p>
        </w:tc>
        <w:tc>
          <w:tcPr>
            <w:tcW w:w="479" w:type="dxa"/>
            <w:noWrap/>
            <w:hideMark/>
          </w:tcPr>
          <w:p w14:paraId="35B55D4F" w14:textId="77777777" w:rsidR="00A7742A" w:rsidRPr="00EE5F6D" w:rsidRDefault="00A7742A" w:rsidP="00944855">
            <w:r w:rsidRPr="00EE5F6D">
              <w:t>N/A</w:t>
            </w:r>
          </w:p>
        </w:tc>
        <w:tc>
          <w:tcPr>
            <w:tcW w:w="593" w:type="dxa"/>
            <w:noWrap/>
            <w:hideMark/>
          </w:tcPr>
          <w:p w14:paraId="09C9751F" w14:textId="77777777" w:rsidR="00A7742A" w:rsidRPr="00EE5F6D" w:rsidRDefault="00A7742A" w:rsidP="00944855">
            <w:r w:rsidRPr="00EE5F6D">
              <w:t>Community (Adult, All Genders)</w:t>
            </w:r>
          </w:p>
        </w:tc>
        <w:tc>
          <w:tcPr>
            <w:tcW w:w="3437" w:type="dxa"/>
            <w:noWrap/>
            <w:hideMark/>
          </w:tcPr>
          <w:p w14:paraId="109EDC70" w14:textId="77777777" w:rsidR="00A7742A" w:rsidRPr="00EE5F6D" w:rsidRDefault="00A7742A" w:rsidP="00944855">
            <w:r w:rsidRPr="00EE5F6D">
              <w:t xml:space="preserve">To summarize novel clinical and epidemiological data, outline genetic and neurobiological advances, and comment on possible future translational and personalized approaches. To bring together the results of pharmacological research, brain imaging, and RCTs to develop a </w:t>
            </w:r>
            <w:r w:rsidRPr="00EE5F6D">
              <w:lastRenderedPageBreak/>
              <w:t>hypothetical model of where drugs for EDs act in the brain.</w:t>
            </w:r>
          </w:p>
        </w:tc>
        <w:tc>
          <w:tcPr>
            <w:tcW w:w="582" w:type="dxa"/>
            <w:noWrap/>
            <w:hideMark/>
          </w:tcPr>
          <w:p w14:paraId="397B74AD" w14:textId="77777777" w:rsidR="00A7742A" w:rsidRPr="00EE5F6D" w:rsidRDefault="00A7742A" w:rsidP="00944855">
            <w:r w:rsidRPr="00EE5F6D">
              <w:lastRenderedPageBreak/>
              <w:t>Review (Other)</w:t>
            </w:r>
          </w:p>
        </w:tc>
        <w:tc>
          <w:tcPr>
            <w:tcW w:w="3437" w:type="dxa"/>
            <w:noWrap/>
            <w:hideMark/>
          </w:tcPr>
          <w:p w14:paraId="5037EF55" w14:textId="77777777" w:rsidR="00A7742A" w:rsidRPr="00EE5F6D" w:rsidRDefault="00A7742A" w:rsidP="00944855">
            <w:r w:rsidRPr="00EE5F6D">
              <w:t>What drugs do, and where drugs act in brains of ED patients</w:t>
            </w:r>
          </w:p>
        </w:tc>
      </w:tr>
      <w:tr w:rsidR="00A7742A" w:rsidRPr="00EE5F6D" w14:paraId="73D93BD9" w14:textId="77777777" w:rsidTr="00944855">
        <w:trPr>
          <w:trHeight w:val="312"/>
        </w:trPr>
        <w:tc>
          <w:tcPr>
            <w:tcW w:w="541" w:type="dxa"/>
            <w:noWrap/>
            <w:hideMark/>
          </w:tcPr>
          <w:p w14:paraId="585D6648" w14:textId="77777777" w:rsidR="00A7742A" w:rsidRPr="00EE5F6D" w:rsidRDefault="00A7742A" w:rsidP="00944855">
            <w:r w:rsidRPr="00EE5F6D">
              <w:t>Hudson et al., 2017</w:t>
            </w:r>
          </w:p>
        </w:tc>
        <w:tc>
          <w:tcPr>
            <w:tcW w:w="281" w:type="dxa"/>
            <w:noWrap/>
            <w:hideMark/>
          </w:tcPr>
          <w:p w14:paraId="1229BD9D" w14:textId="77777777" w:rsidR="00A7742A" w:rsidRPr="00EE5F6D" w:rsidRDefault="00A7742A" w:rsidP="00944855">
            <w:r w:rsidRPr="00EE5F6D">
              <w:t>USA</w:t>
            </w:r>
          </w:p>
        </w:tc>
        <w:tc>
          <w:tcPr>
            <w:tcW w:w="479" w:type="dxa"/>
            <w:noWrap/>
            <w:hideMark/>
          </w:tcPr>
          <w:p w14:paraId="665BE143" w14:textId="77777777" w:rsidR="00A7742A" w:rsidRPr="00EE5F6D" w:rsidRDefault="00A7742A" w:rsidP="00944855">
            <w:r w:rsidRPr="00EE5F6D">
              <w:t>418</w:t>
            </w:r>
          </w:p>
        </w:tc>
        <w:tc>
          <w:tcPr>
            <w:tcW w:w="593" w:type="dxa"/>
            <w:noWrap/>
            <w:hideMark/>
          </w:tcPr>
          <w:p w14:paraId="6DDDAE24" w14:textId="77777777" w:rsidR="00A7742A" w:rsidRPr="00EE5F6D" w:rsidRDefault="00A7742A" w:rsidP="00944855">
            <w:r w:rsidRPr="00EE5F6D">
              <w:t>Community (Adult, All Genders)</w:t>
            </w:r>
          </w:p>
        </w:tc>
        <w:tc>
          <w:tcPr>
            <w:tcW w:w="3437" w:type="dxa"/>
            <w:noWrap/>
            <w:hideMark/>
          </w:tcPr>
          <w:p w14:paraId="6C6E7D02" w14:textId="77777777" w:rsidR="00A7742A" w:rsidRPr="00EE5F6D" w:rsidRDefault="00A7742A" w:rsidP="00944855">
            <w:r w:rsidRPr="00EE5F6D">
              <w:t>To assess lisdexamfetamine dimesylate maintenance of efficacy in adults with moderate to severe binge-eating disorder.</w:t>
            </w:r>
          </w:p>
        </w:tc>
        <w:tc>
          <w:tcPr>
            <w:tcW w:w="582" w:type="dxa"/>
            <w:noWrap/>
            <w:hideMark/>
          </w:tcPr>
          <w:p w14:paraId="65BE9F26" w14:textId="77777777" w:rsidR="00A7742A" w:rsidRPr="00EE5F6D" w:rsidRDefault="00A7742A" w:rsidP="00944855">
            <w:r w:rsidRPr="00EE5F6D">
              <w:t>RCT</w:t>
            </w:r>
          </w:p>
        </w:tc>
        <w:tc>
          <w:tcPr>
            <w:tcW w:w="3437" w:type="dxa"/>
            <w:noWrap/>
            <w:hideMark/>
          </w:tcPr>
          <w:p w14:paraId="5CEC6485" w14:textId="77777777" w:rsidR="00A7742A" w:rsidRPr="00EE5F6D" w:rsidRDefault="00A7742A" w:rsidP="00944855">
            <w:r w:rsidRPr="00EE5F6D">
              <w:t xml:space="preserve">Time to relapse (measured by Binge-eating days/week, and CGI-S Scores) </w:t>
            </w:r>
          </w:p>
        </w:tc>
      </w:tr>
      <w:tr w:rsidR="00A7742A" w:rsidRPr="00EE5F6D" w14:paraId="203FB0DE" w14:textId="77777777" w:rsidTr="00944855">
        <w:trPr>
          <w:trHeight w:val="312"/>
        </w:trPr>
        <w:tc>
          <w:tcPr>
            <w:tcW w:w="541" w:type="dxa"/>
            <w:noWrap/>
            <w:hideMark/>
          </w:tcPr>
          <w:p w14:paraId="6FD9E57F" w14:textId="77777777" w:rsidR="00A7742A" w:rsidRPr="00EE5F6D" w:rsidRDefault="00A7742A" w:rsidP="00944855">
            <w:r w:rsidRPr="00EE5F6D">
              <w:t xml:space="preserve">Karageorgiou et al., 2019 </w:t>
            </w:r>
          </w:p>
        </w:tc>
        <w:tc>
          <w:tcPr>
            <w:tcW w:w="281" w:type="dxa"/>
            <w:noWrap/>
            <w:hideMark/>
          </w:tcPr>
          <w:p w14:paraId="1546281C" w14:textId="77777777" w:rsidR="00A7742A" w:rsidRPr="00EE5F6D" w:rsidRDefault="00A7742A" w:rsidP="00944855">
            <w:r w:rsidRPr="00EE5F6D">
              <w:t>Worldwide</w:t>
            </w:r>
          </w:p>
        </w:tc>
        <w:tc>
          <w:tcPr>
            <w:tcW w:w="479" w:type="dxa"/>
            <w:noWrap/>
            <w:hideMark/>
          </w:tcPr>
          <w:p w14:paraId="3F7D6E19" w14:textId="77777777" w:rsidR="00A7742A" w:rsidRPr="00EE5F6D" w:rsidRDefault="00A7742A" w:rsidP="00944855">
            <w:r w:rsidRPr="00EE5F6D">
              <w:t>152</w:t>
            </w:r>
          </w:p>
        </w:tc>
        <w:tc>
          <w:tcPr>
            <w:tcW w:w="593" w:type="dxa"/>
            <w:noWrap/>
            <w:hideMark/>
          </w:tcPr>
          <w:p w14:paraId="49F58A33" w14:textId="77777777" w:rsidR="00A7742A" w:rsidRPr="00EE5F6D" w:rsidRDefault="00A7742A" w:rsidP="00944855">
            <w:r w:rsidRPr="00EE5F6D">
              <w:t>Community (Adult, All Genders)</w:t>
            </w:r>
          </w:p>
        </w:tc>
        <w:tc>
          <w:tcPr>
            <w:tcW w:w="3437" w:type="dxa"/>
            <w:noWrap/>
            <w:hideMark/>
          </w:tcPr>
          <w:p w14:paraId="6BC3AD8D" w14:textId="77777777" w:rsidR="00A7742A" w:rsidRPr="00EE5F6D" w:rsidRDefault="00A7742A" w:rsidP="00944855">
            <w:r w:rsidRPr="00EE5F6D">
              <w:t>To (1) synthesize the available evidence on potential differences between AN patients and controls with regards to adipokine measurements (namely, leptin, adiponectin, resistin, soluble leptin receptor, visfatin, vaspin and omentin); (2) estimate the potential differences between constitutionally thin (CT) subjects and AN patients, and (3) present the available evidence with regards to biomarker efficacy of adipokines in AN.</w:t>
            </w:r>
          </w:p>
        </w:tc>
        <w:tc>
          <w:tcPr>
            <w:tcW w:w="582" w:type="dxa"/>
            <w:noWrap/>
            <w:hideMark/>
          </w:tcPr>
          <w:p w14:paraId="4CE5F10F" w14:textId="77777777" w:rsidR="00A7742A" w:rsidRPr="00EE5F6D" w:rsidRDefault="00A7742A" w:rsidP="00944855">
            <w:r w:rsidRPr="00EE5F6D">
              <w:t>Systematic Review/ Meta-Analysis (combined)</w:t>
            </w:r>
          </w:p>
        </w:tc>
        <w:tc>
          <w:tcPr>
            <w:tcW w:w="3437" w:type="dxa"/>
            <w:noWrap/>
            <w:hideMark/>
          </w:tcPr>
          <w:p w14:paraId="2C5DA996" w14:textId="77777777" w:rsidR="00A7742A" w:rsidRPr="00EE5F6D" w:rsidRDefault="00A7742A" w:rsidP="00944855">
            <w:r w:rsidRPr="00EE5F6D">
              <w:t xml:space="preserve">Treatment outcomes: time to BMI restoration, better response of dietary behaviour in response to therapy, psychological symptoms </w:t>
            </w:r>
          </w:p>
        </w:tc>
      </w:tr>
      <w:tr w:rsidR="00A7742A" w:rsidRPr="00EE5F6D" w14:paraId="563746E0" w14:textId="77777777" w:rsidTr="00944855">
        <w:trPr>
          <w:trHeight w:val="312"/>
        </w:trPr>
        <w:tc>
          <w:tcPr>
            <w:tcW w:w="541" w:type="dxa"/>
            <w:noWrap/>
            <w:hideMark/>
          </w:tcPr>
          <w:p w14:paraId="4670F22A" w14:textId="77777777" w:rsidR="00A7742A" w:rsidRPr="00EE5F6D" w:rsidRDefault="00A7742A" w:rsidP="00944855">
            <w:r w:rsidRPr="00EE5F6D">
              <w:t>Keating, Tilbrook and Kulkarni, 2011</w:t>
            </w:r>
          </w:p>
        </w:tc>
        <w:tc>
          <w:tcPr>
            <w:tcW w:w="281" w:type="dxa"/>
            <w:noWrap/>
            <w:hideMark/>
          </w:tcPr>
          <w:p w14:paraId="760713F7" w14:textId="77777777" w:rsidR="00A7742A" w:rsidRPr="00EE5F6D" w:rsidRDefault="00A7742A" w:rsidP="00944855">
            <w:r w:rsidRPr="00EE5F6D">
              <w:t>Worldwide</w:t>
            </w:r>
          </w:p>
        </w:tc>
        <w:tc>
          <w:tcPr>
            <w:tcW w:w="479" w:type="dxa"/>
            <w:noWrap/>
            <w:hideMark/>
          </w:tcPr>
          <w:p w14:paraId="0895DB5A" w14:textId="77777777" w:rsidR="00A7742A" w:rsidRPr="00EE5F6D" w:rsidRDefault="00A7742A" w:rsidP="00944855">
            <w:r w:rsidRPr="00EE5F6D">
              <w:t>N/A</w:t>
            </w:r>
          </w:p>
        </w:tc>
        <w:tc>
          <w:tcPr>
            <w:tcW w:w="593" w:type="dxa"/>
            <w:noWrap/>
            <w:hideMark/>
          </w:tcPr>
          <w:p w14:paraId="780CBF78" w14:textId="77777777" w:rsidR="00A7742A" w:rsidRPr="00EE5F6D" w:rsidRDefault="00A7742A" w:rsidP="00944855">
            <w:r w:rsidRPr="00EE5F6D">
              <w:t>Community (Mixed Cohort, female)</w:t>
            </w:r>
          </w:p>
        </w:tc>
        <w:tc>
          <w:tcPr>
            <w:tcW w:w="3437" w:type="dxa"/>
            <w:noWrap/>
            <w:hideMark/>
          </w:tcPr>
          <w:p w14:paraId="1C1A4C24" w14:textId="77777777" w:rsidR="00A7742A" w:rsidRPr="00EE5F6D" w:rsidRDefault="00A7742A" w:rsidP="00944855">
            <w:r w:rsidRPr="00EE5F6D">
              <w:t>To look at the relationship between primarily major depression (MD), AN, Oestrogen, and secondarily 5-HT, HPA axis, MD, mood, and stress.</w:t>
            </w:r>
          </w:p>
        </w:tc>
        <w:tc>
          <w:tcPr>
            <w:tcW w:w="582" w:type="dxa"/>
            <w:noWrap/>
            <w:hideMark/>
          </w:tcPr>
          <w:p w14:paraId="37E7CA22" w14:textId="77777777" w:rsidR="00A7742A" w:rsidRPr="00EE5F6D" w:rsidRDefault="00A7742A" w:rsidP="00944855">
            <w:r w:rsidRPr="00EE5F6D">
              <w:t>Review (Narrative)</w:t>
            </w:r>
          </w:p>
        </w:tc>
        <w:tc>
          <w:tcPr>
            <w:tcW w:w="3437" w:type="dxa"/>
            <w:noWrap/>
            <w:hideMark/>
          </w:tcPr>
          <w:p w14:paraId="52425803" w14:textId="77777777" w:rsidR="00A7742A" w:rsidRPr="00EE5F6D" w:rsidRDefault="00A7742A" w:rsidP="00944855">
            <w:r w:rsidRPr="00EE5F6D">
              <w:t>Stress, mood, ED symptoms</w:t>
            </w:r>
          </w:p>
        </w:tc>
      </w:tr>
      <w:tr w:rsidR="00A7742A" w:rsidRPr="00EE5F6D" w14:paraId="73388E31" w14:textId="77777777" w:rsidTr="00944855">
        <w:trPr>
          <w:trHeight w:val="312"/>
        </w:trPr>
        <w:tc>
          <w:tcPr>
            <w:tcW w:w="541" w:type="dxa"/>
            <w:noWrap/>
            <w:hideMark/>
          </w:tcPr>
          <w:p w14:paraId="21A6ECC6" w14:textId="77777777" w:rsidR="00A7742A" w:rsidRPr="00EE5F6D" w:rsidRDefault="00A7742A" w:rsidP="00944855">
            <w:r w:rsidRPr="00EE5F6D">
              <w:t>Kekic et al., 2017</w:t>
            </w:r>
          </w:p>
        </w:tc>
        <w:tc>
          <w:tcPr>
            <w:tcW w:w="281" w:type="dxa"/>
            <w:noWrap/>
            <w:hideMark/>
          </w:tcPr>
          <w:p w14:paraId="1BD622E7" w14:textId="77777777" w:rsidR="00A7742A" w:rsidRPr="00EE5F6D" w:rsidRDefault="00A7742A" w:rsidP="00944855">
            <w:r w:rsidRPr="00EE5F6D">
              <w:t xml:space="preserve">England </w:t>
            </w:r>
          </w:p>
        </w:tc>
        <w:tc>
          <w:tcPr>
            <w:tcW w:w="479" w:type="dxa"/>
            <w:noWrap/>
            <w:hideMark/>
          </w:tcPr>
          <w:p w14:paraId="0105A986" w14:textId="77777777" w:rsidR="00A7742A" w:rsidRPr="00EE5F6D" w:rsidRDefault="00A7742A" w:rsidP="00944855">
            <w:r w:rsidRPr="00EE5F6D">
              <w:t>39</w:t>
            </w:r>
          </w:p>
        </w:tc>
        <w:tc>
          <w:tcPr>
            <w:tcW w:w="593" w:type="dxa"/>
            <w:noWrap/>
            <w:hideMark/>
          </w:tcPr>
          <w:p w14:paraId="51453698" w14:textId="77777777" w:rsidR="00A7742A" w:rsidRPr="00EE5F6D" w:rsidRDefault="00A7742A" w:rsidP="00944855">
            <w:r w:rsidRPr="00EE5F6D">
              <w:t xml:space="preserve">Community (Adult, All </w:t>
            </w:r>
            <w:r w:rsidRPr="00EE5F6D">
              <w:lastRenderedPageBreak/>
              <w:t>Genders)</w:t>
            </w:r>
          </w:p>
        </w:tc>
        <w:tc>
          <w:tcPr>
            <w:tcW w:w="3437" w:type="dxa"/>
            <w:noWrap/>
            <w:hideMark/>
          </w:tcPr>
          <w:p w14:paraId="674C58E8" w14:textId="77777777" w:rsidR="00A7742A" w:rsidRPr="00EE5F6D" w:rsidRDefault="00A7742A" w:rsidP="00944855">
            <w:r w:rsidRPr="00EE5F6D">
              <w:lastRenderedPageBreak/>
              <w:t>To investigate the effects of bilateral tDCS over the DLPFC in adults with BN.</w:t>
            </w:r>
          </w:p>
        </w:tc>
        <w:tc>
          <w:tcPr>
            <w:tcW w:w="582" w:type="dxa"/>
            <w:noWrap/>
            <w:hideMark/>
          </w:tcPr>
          <w:p w14:paraId="76FBB2F7" w14:textId="77777777" w:rsidR="00A7742A" w:rsidRPr="00EE5F6D" w:rsidRDefault="00A7742A" w:rsidP="00944855">
            <w:r w:rsidRPr="00EE5F6D">
              <w:t>RCT</w:t>
            </w:r>
          </w:p>
        </w:tc>
        <w:tc>
          <w:tcPr>
            <w:tcW w:w="3437" w:type="dxa"/>
            <w:noWrap/>
            <w:hideMark/>
          </w:tcPr>
          <w:p w14:paraId="310DA325" w14:textId="2E5BBF7B" w:rsidR="00A7742A" w:rsidRPr="00EE5F6D" w:rsidRDefault="00A7742A" w:rsidP="00944855">
            <w:r w:rsidRPr="00EE5F6D">
              <w:t xml:space="preserve">Primary outcome: urge to binge-eat (VAS). Secondary outcomes: </w:t>
            </w:r>
            <w:r w:rsidR="00872B1B">
              <w:t xml:space="preserve">Mizes Eating Disorder </w:t>
            </w:r>
            <w:r w:rsidR="00872B1B">
              <w:lastRenderedPageBreak/>
              <w:t>Cognition Questionnaire-Revised (</w:t>
            </w:r>
            <w:r w:rsidRPr="00EE5F6D">
              <w:t>MEDCQ-R</w:t>
            </w:r>
            <w:r w:rsidR="00872B1B">
              <w:t>)</w:t>
            </w:r>
            <w:r w:rsidRPr="00EE5F6D">
              <w:t xml:space="preserve">, </w:t>
            </w:r>
            <w:r w:rsidR="00872B1B">
              <w:t>Food Challenge Task (</w:t>
            </w:r>
            <w:r w:rsidRPr="00EE5F6D">
              <w:t>FCT</w:t>
            </w:r>
            <w:r w:rsidR="00872B1B">
              <w:t>)</w:t>
            </w:r>
            <w:r w:rsidRPr="00EE5F6D">
              <w:t xml:space="preserve">, TD task, </w:t>
            </w:r>
            <w:r w:rsidR="00872B1B">
              <w:t>Profie of Mood States (</w:t>
            </w:r>
            <w:r w:rsidRPr="00EE5F6D">
              <w:t>POMS</w:t>
            </w:r>
            <w:r w:rsidR="00872B1B">
              <w:t>)</w:t>
            </w:r>
            <w:r w:rsidRPr="00EE5F6D">
              <w:t xml:space="preserve">, </w:t>
            </w:r>
            <w:r w:rsidR="006F2DAC">
              <w:t>Positive and Ngetaive Affect Shcedule (</w:t>
            </w:r>
            <w:r w:rsidRPr="00EE5F6D">
              <w:t>PANAS</w:t>
            </w:r>
            <w:r w:rsidR="006F2DAC">
              <w:t>)</w:t>
            </w:r>
            <w:r w:rsidRPr="00EE5F6D">
              <w:t xml:space="preserve">, and tolerability, acceptability, and blinding of tDCS. </w:t>
            </w:r>
          </w:p>
        </w:tc>
      </w:tr>
      <w:tr w:rsidR="00A7742A" w:rsidRPr="00EE5F6D" w14:paraId="477D6BE5" w14:textId="77777777" w:rsidTr="00944855">
        <w:trPr>
          <w:trHeight w:val="312"/>
        </w:trPr>
        <w:tc>
          <w:tcPr>
            <w:tcW w:w="541" w:type="dxa"/>
            <w:noWrap/>
            <w:hideMark/>
          </w:tcPr>
          <w:p w14:paraId="5BB3E024" w14:textId="77777777" w:rsidR="00A7742A" w:rsidRPr="00EE5F6D" w:rsidRDefault="00A7742A" w:rsidP="00944855">
            <w:r w:rsidRPr="00EE5F6D">
              <w:lastRenderedPageBreak/>
              <w:t>Keshen et al., 2021</w:t>
            </w:r>
          </w:p>
        </w:tc>
        <w:tc>
          <w:tcPr>
            <w:tcW w:w="281" w:type="dxa"/>
            <w:noWrap/>
            <w:hideMark/>
          </w:tcPr>
          <w:p w14:paraId="1EAAA61D" w14:textId="77777777" w:rsidR="00A7742A" w:rsidRPr="00EE5F6D" w:rsidRDefault="00A7742A" w:rsidP="00944855">
            <w:r w:rsidRPr="00EE5F6D">
              <w:t>Canada</w:t>
            </w:r>
          </w:p>
        </w:tc>
        <w:tc>
          <w:tcPr>
            <w:tcW w:w="479" w:type="dxa"/>
            <w:noWrap/>
            <w:hideMark/>
          </w:tcPr>
          <w:p w14:paraId="13B362A1" w14:textId="77777777" w:rsidR="00A7742A" w:rsidRPr="00EE5F6D" w:rsidRDefault="00A7742A" w:rsidP="00944855">
            <w:r w:rsidRPr="00EE5F6D">
              <w:t>18</w:t>
            </w:r>
          </w:p>
        </w:tc>
        <w:tc>
          <w:tcPr>
            <w:tcW w:w="593" w:type="dxa"/>
            <w:noWrap/>
            <w:hideMark/>
          </w:tcPr>
          <w:p w14:paraId="63DB87E3" w14:textId="77777777" w:rsidR="00A7742A" w:rsidRPr="00EE5F6D" w:rsidRDefault="00A7742A" w:rsidP="00944855">
            <w:r w:rsidRPr="00EE5F6D">
              <w:t>Community (Adult, All Genders)</w:t>
            </w:r>
          </w:p>
        </w:tc>
        <w:tc>
          <w:tcPr>
            <w:tcW w:w="3437" w:type="dxa"/>
            <w:noWrap/>
            <w:hideMark/>
          </w:tcPr>
          <w:p w14:paraId="77F901A7" w14:textId="77777777" w:rsidR="00A7742A" w:rsidRPr="00EE5F6D" w:rsidRDefault="00A7742A" w:rsidP="00944855">
            <w:r w:rsidRPr="00EE5F6D">
              <w:t>To collect information regarding the feasibility, safety, and potential efficacy of LDX as a treatment for adults with BN.</w:t>
            </w:r>
          </w:p>
        </w:tc>
        <w:tc>
          <w:tcPr>
            <w:tcW w:w="582" w:type="dxa"/>
            <w:noWrap/>
            <w:hideMark/>
          </w:tcPr>
          <w:p w14:paraId="26C15CFB" w14:textId="77777777" w:rsidR="00A7742A" w:rsidRPr="00EE5F6D" w:rsidRDefault="00A7742A" w:rsidP="00944855">
            <w:r w:rsidRPr="00EE5F6D">
              <w:t>Quasi-experimental (intervention)</w:t>
            </w:r>
          </w:p>
        </w:tc>
        <w:tc>
          <w:tcPr>
            <w:tcW w:w="3437" w:type="dxa"/>
            <w:noWrap/>
            <w:hideMark/>
          </w:tcPr>
          <w:p w14:paraId="6318BFA8" w14:textId="77777777" w:rsidR="00A7742A" w:rsidRPr="00EE5F6D" w:rsidRDefault="00A7742A" w:rsidP="00944855">
            <w:r w:rsidRPr="00EE5F6D">
              <w:t>Enrolment rate, dropout rate, safety outcomes, and eating disorder symptom change</w:t>
            </w:r>
          </w:p>
        </w:tc>
      </w:tr>
      <w:tr w:rsidR="00A7742A" w:rsidRPr="00EE5F6D" w14:paraId="1691BE37" w14:textId="77777777" w:rsidTr="00944855">
        <w:trPr>
          <w:trHeight w:val="312"/>
        </w:trPr>
        <w:tc>
          <w:tcPr>
            <w:tcW w:w="541" w:type="dxa"/>
            <w:noWrap/>
            <w:hideMark/>
          </w:tcPr>
          <w:p w14:paraId="31A0FE31" w14:textId="77777777" w:rsidR="00A7742A" w:rsidRPr="00EE5F6D" w:rsidRDefault="00A7742A" w:rsidP="00944855">
            <w:r w:rsidRPr="00EE5F6D">
              <w:t xml:space="preserve">Khalil, Souaiby and Fares, 2017 </w:t>
            </w:r>
          </w:p>
        </w:tc>
        <w:tc>
          <w:tcPr>
            <w:tcW w:w="281" w:type="dxa"/>
            <w:noWrap/>
            <w:hideMark/>
          </w:tcPr>
          <w:p w14:paraId="08447B04" w14:textId="77777777" w:rsidR="00A7742A" w:rsidRPr="00EE5F6D" w:rsidRDefault="00A7742A" w:rsidP="00944855">
            <w:r w:rsidRPr="00EE5F6D">
              <w:t>Worldwide</w:t>
            </w:r>
          </w:p>
        </w:tc>
        <w:tc>
          <w:tcPr>
            <w:tcW w:w="479" w:type="dxa"/>
            <w:noWrap/>
            <w:hideMark/>
          </w:tcPr>
          <w:p w14:paraId="462FFA6E" w14:textId="77777777" w:rsidR="00A7742A" w:rsidRPr="00EE5F6D" w:rsidRDefault="00A7742A" w:rsidP="00944855">
            <w:r w:rsidRPr="00EE5F6D">
              <w:t>N/A</w:t>
            </w:r>
          </w:p>
        </w:tc>
        <w:tc>
          <w:tcPr>
            <w:tcW w:w="593" w:type="dxa"/>
            <w:noWrap/>
            <w:hideMark/>
          </w:tcPr>
          <w:p w14:paraId="39A72DB8" w14:textId="77777777" w:rsidR="00A7742A" w:rsidRPr="00EE5F6D" w:rsidRDefault="00A7742A" w:rsidP="00944855">
            <w:r w:rsidRPr="00EE5F6D">
              <w:t>Community (Adult, All Genders)</w:t>
            </w:r>
          </w:p>
        </w:tc>
        <w:tc>
          <w:tcPr>
            <w:tcW w:w="3437" w:type="dxa"/>
            <w:noWrap/>
            <w:hideMark/>
          </w:tcPr>
          <w:p w14:paraId="5D91CAED" w14:textId="77777777" w:rsidR="00A7742A" w:rsidRPr="00EE5F6D" w:rsidRDefault="00A7742A" w:rsidP="00944855">
            <w:r w:rsidRPr="00EE5F6D">
              <w:t>To review the evidence suggesting a causal relationship among the HPA axis and the limbic system in the symptoms of AN, and link findings to the potential efficacy of the progesterone and type II glucocorticoid receptor antagonist mifepristone (RU486) in modulating the hyperactivation of the HPA axis and improving AN symptom.</w:t>
            </w:r>
          </w:p>
        </w:tc>
        <w:tc>
          <w:tcPr>
            <w:tcW w:w="582" w:type="dxa"/>
            <w:noWrap/>
            <w:hideMark/>
          </w:tcPr>
          <w:p w14:paraId="3D22D332" w14:textId="77777777" w:rsidR="00A7742A" w:rsidRPr="00EE5F6D" w:rsidRDefault="00A7742A" w:rsidP="00944855">
            <w:r w:rsidRPr="00EE5F6D">
              <w:t>Review (Critical)</w:t>
            </w:r>
          </w:p>
        </w:tc>
        <w:tc>
          <w:tcPr>
            <w:tcW w:w="3437" w:type="dxa"/>
            <w:noWrap/>
            <w:hideMark/>
          </w:tcPr>
          <w:p w14:paraId="7C0CEA9F" w14:textId="77777777" w:rsidR="00A7742A" w:rsidRPr="00EE5F6D" w:rsidRDefault="00A7742A" w:rsidP="00944855">
            <w:r w:rsidRPr="00EE5F6D">
              <w:t>Symptoms of AN - HPA axis and limbic system link for reducing symptoms</w:t>
            </w:r>
          </w:p>
        </w:tc>
      </w:tr>
      <w:tr w:rsidR="00A7742A" w:rsidRPr="00EE5F6D" w14:paraId="68EC18CE" w14:textId="77777777" w:rsidTr="00944855">
        <w:trPr>
          <w:trHeight w:val="312"/>
        </w:trPr>
        <w:tc>
          <w:tcPr>
            <w:tcW w:w="541" w:type="dxa"/>
            <w:noWrap/>
            <w:hideMark/>
          </w:tcPr>
          <w:p w14:paraId="703AFF8C" w14:textId="77777777" w:rsidR="00A7742A" w:rsidRPr="00EE5F6D" w:rsidRDefault="00A7742A" w:rsidP="00944855">
            <w:r w:rsidRPr="00EE5F6D">
              <w:t>Kim et al., 2014</w:t>
            </w:r>
          </w:p>
        </w:tc>
        <w:tc>
          <w:tcPr>
            <w:tcW w:w="281" w:type="dxa"/>
            <w:noWrap/>
            <w:hideMark/>
          </w:tcPr>
          <w:p w14:paraId="226A8736" w14:textId="77777777" w:rsidR="00A7742A" w:rsidRPr="00EE5F6D" w:rsidRDefault="00A7742A" w:rsidP="00944855">
            <w:r w:rsidRPr="00EE5F6D">
              <w:t>Korea</w:t>
            </w:r>
          </w:p>
        </w:tc>
        <w:tc>
          <w:tcPr>
            <w:tcW w:w="479" w:type="dxa"/>
            <w:noWrap/>
            <w:hideMark/>
          </w:tcPr>
          <w:p w14:paraId="6BD1E514" w14:textId="77777777" w:rsidR="00A7742A" w:rsidRPr="00EE5F6D" w:rsidRDefault="00A7742A" w:rsidP="00944855">
            <w:r w:rsidRPr="00EE5F6D">
              <w:t>64</w:t>
            </w:r>
          </w:p>
        </w:tc>
        <w:tc>
          <w:tcPr>
            <w:tcW w:w="593" w:type="dxa"/>
            <w:noWrap/>
            <w:hideMark/>
          </w:tcPr>
          <w:p w14:paraId="6E4E0E86" w14:textId="77777777" w:rsidR="00A7742A" w:rsidRPr="00EE5F6D" w:rsidRDefault="00A7742A" w:rsidP="00944855">
            <w:r w:rsidRPr="00EE5F6D">
              <w:t>Community (Adult, Women)</w:t>
            </w:r>
          </w:p>
        </w:tc>
        <w:tc>
          <w:tcPr>
            <w:tcW w:w="3437" w:type="dxa"/>
            <w:noWrap/>
            <w:hideMark/>
          </w:tcPr>
          <w:p w14:paraId="43901800" w14:textId="77777777" w:rsidR="00A7742A" w:rsidRPr="00EE5F6D" w:rsidRDefault="00A7742A" w:rsidP="00944855">
            <w:r w:rsidRPr="00EE5F6D">
              <w:t>To broadly examine whether oxytocin might be beneficial in the short term.</w:t>
            </w:r>
          </w:p>
        </w:tc>
        <w:tc>
          <w:tcPr>
            <w:tcW w:w="582" w:type="dxa"/>
            <w:noWrap/>
            <w:hideMark/>
          </w:tcPr>
          <w:p w14:paraId="09F59271" w14:textId="77777777" w:rsidR="00A7742A" w:rsidRPr="00EE5F6D" w:rsidRDefault="00A7742A" w:rsidP="00944855">
            <w:r w:rsidRPr="00EE5F6D">
              <w:t>RCT</w:t>
            </w:r>
          </w:p>
        </w:tc>
        <w:tc>
          <w:tcPr>
            <w:tcW w:w="3437" w:type="dxa"/>
            <w:noWrap/>
            <w:hideMark/>
          </w:tcPr>
          <w:p w14:paraId="2CFFB5BF" w14:textId="1203065A" w:rsidR="00A7742A" w:rsidRPr="007A29E4" w:rsidRDefault="00A7742A" w:rsidP="00944855">
            <w:r w:rsidRPr="007A29E4">
              <w:t xml:space="preserve">EDE, EDE-Q, </w:t>
            </w:r>
            <w:r w:rsidR="00721BA4">
              <w:t>Autism spectrum quotient (</w:t>
            </w:r>
            <w:r w:rsidRPr="007A29E4">
              <w:t>AQ</w:t>
            </w:r>
            <w:r w:rsidR="00721BA4">
              <w:t>)</w:t>
            </w:r>
            <w:r w:rsidRPr="007A29E4">
              <w:t>, BDI, STAI</w:t>
            </w:r>
          </w:p>
        </w:tc>
      </w:tr>
      <w:tr w:rsidR="00A7742A" w:rsidRPr="00EE5F6D" w14:paraId="0E0DF913" w14:textId="77777777" w:rsidTr="00944855">
        <w:trPr>
          <w:trHeight w:val="312"/>
        </w:trPr>
        <w:tc>
          <w:tcPr>
            <w:tcW w:w="541" w:type="dxa"/>
            <w:noWrap/>
            <w:hideMark/>
          </w:tcPr>
          <w:p w14:paraId="44808E6C" w14:textId="77777777" w:rsidR="00A7742A" w:rsidRPr="00EE5F6D" w:rsidRDefault="00A7742A" w:rsidP="00944855">
            <w:r w:rsidRPr="00EE5F6D">
              <w:t>Kim et al., 2015</w:t>
            </w:r>
          </w:p>
        </w:tc>
        <w:tc>
          <w:tcPr>
            <w:tcW w:w="281" w:type="dxa"/>
            <w:noWrap/>
            <w:hideMark/>
          </w:tcPr>
          <w:p w14:paraId="12E49B2E" w14:textId="77777777" w:rsidR="00A7742A" w:rsidRPr="00EE5F6D" w:rsidRDefault="00A7742A" w:rsidP="00944855">
            <w:r w:rsidRPr="00EE5F6D">
              <w:t>Korea</w:t>
            </w:r>
          </w:p>
        </w:tc>
        <w:tc>
          <w:tcPr>
            <w:tcW w:w="479" w:type="dxa"/>
            <w:noWrap/>
            <w:hideMark/>
          </w:tcPr>
          <w:p w14:paraId="6721F44C" w14:textId="77777777" w:rsidR="00A7742A" w:rsidRPr="00EE5F6D" w:rsidRDefault="00A7742A" w:rsidP="00944855">
            <w:r w:rsidRPr="00EE5F6D">
              <w:t>102</w:t>
            </w:r>
          </w:p>
        </w:tc>
        <w:tc>
          <w:tcPr>
            <w:tcW w:w="593" w:type="dxa"/>
            <w:noWrap/>
            <w:hideMark/>
          </w:tcPr>
          <w:p w14:paraId="1CA5F77B" w14:textId="77777777" w:rsidR="00A7742A" w:rsidRPr="00EE5F6D" w:rsidRDefault="00A7742A" w:rsidP="00944855">
            <w:r w:rsidRPr="00EE5F6D">
              <w:t>Outpatient and Commu</w:t>
            </w:r>
            <w:r w:rsidRPr="00EE5F6D">
              <w:lastRenderedPageBreak/>
              <w:t>nity (Adult, Women)</w:t>
            </w:r>
          </w:p>
        </w:tc>
        <w:tc>
          <w:tcPr>
            <w:tcW w:w="3437" w:type="dxa"/>
            <w:noWrap/>
            <w:hideMark/>
          </w:tcPr>
          <w:p w14:paraId="2613E46E" w14:textId="77777777" w:rsidR="00A7742A" w:rsidRPr="00EE5F6D" w:rsidRDefault="00A7742A" w:rsidP="00944855">
            <w:r w:rsidRPr="00EE5F6D">
              <w:lastRenderedPageBreak/>
              <w:t xml:space="preserve">To examine the impact of intranasal oxytocin on </w:t>
            </w:r>
            <w:r w:rsidRPr="00EE5F6D">
              <w:lastRenderedPageBreak/>
              <w:t>consummatory behaviour and emotional recognition in patients with AN and BN in comparison to healthy controls.</w:t>
            </w:r>
          </w:p>
        </w:tc>
        <w:tc>
          <w:tcPr>
            <w:tcW w:w="582" w:type="dxa"/>
            <w:noWrap/>
            <w:hideMark/>
          </w:tcPr>
          <w:p w14:paraId="642F1305" w14:textId="77777777" w:rsidR="00A7742A" w:rsidRPr="00EE5F6D" w:rsidRDefault="00A7742A" w:rsidP="00944855">
            <w:r w:rsidRPr="00EE5F6D">
              <w:lastRenderedPageBreak/>
              <w:t>RCT (cross-over)</w:t>
            </w:r>
          </w:p>
        </w:tc>
        <w:tc>
          <w:tcPr>
            <w:tcW w:w="3437" w:type="dxa"/>
            <w:noWrap/>
            <w:hideMark/>
          </w:tcPr>
          <w:p w14:paraId="7CF99675" w14:textId="77777777" w:rsidR="00A7742A" w:rsidRPr="00EE5F6D" w:rsidRDefault="00A7742A" w:rsidP="00944855">
            <w:r w:rsidRPr="00EE5F6D">
              <w:t xml:space="preserve">Appetite, calorie consumption, emotion recognition </w:t>
            </w:r>
            <w:r w:rsidRPr="00EE5F6D">
              <w:lastRenderedPageBreak/>
              <w:t>sensitivity, consummatory behaviour</w:t>
            </w:r>
          </w:p>
        </w:tc>
      </w:tr>
      <w:tr w:rsidR="00A7742A" w:rsidRPr="00EE5F6D" w14:paraId="5377020C" w14:textId="77777777" w:rsidTr="00944855">
        <w:trPr>
          <w:trHeight w:val="312"/>
        </w:trPr>
        <w:tc>
          <w:tcPr>
            <w:tcW w:w="541" w:type="dxa"/>
            <w:noWrap/>
            <w:hideMark/>
          </w:tcPr>
          <w:p w14:paraId="4918F70A" w14:textId="77777777" w:rsidR="00A7742A" w:rsidRPr="00EE5F6D" w:rsidRDefault="00A7742A" w:rsidP="00944855">
            <w:r w:rsidRPr="00EE5F6D">
              <w:lastRenderedPageBreak/>
              <w:t>Kisihi et al., 2012</w:t>
            </w:r>
          </w:p>
        </w:tc>
        <w:tc>
          <w:tcPr>
            <w:tcW w:w="281" w:type="dxa"/>
            <w:noWrap/>
            <w:hideMark/>
          </w:tcPr>
          <w:p w14:paraId="5DCA09C1" w14:textId="77777777" w:rsidR="00A7742A" w:rsidRPr="00EE5F6D" w:rsidRDefault="00A7742A" w:rsidP="00944855">
            <w:r w:rsidRPr="00EE5F6D">
              <w:t>Worldwide</w:t>
            </w:r>
          </w:p>
        </w:tc>
        <w:tc>
          <w:tcPr>
            <w:tcW w:w="479" w:type="dxa"/>
            <w:noWrap/>
            <w:hideMark/>
          </w:tcPr>
          <w:p w14:paraId="2AE52A20" w14:textId="77777777" w:rsidR="00A7742A" w:rsidRPr="00EE5F6D" w:rsidRDefault="00A7742A" w:rsidP="00944855">
            <w:r w:rsidRPr="00EE5F6D">
              <w:t>8</w:t>
            </w:r>
          </w:p>
        </w:tc>
        <w:tc>
          <w:tcPr>
            <w:tcW w:w="593" w:type="dxa"/>
            <w:noWrap/>
            <w:hideMark/>
          </w:tcPr>
          <w:p w14:paraId="348DCE84" w14:textId="77777777" w:rsidR="00A7742A" w:rsidRPr="00EE5F6D" w:rsidRDefault="00A7742A" w:rsidP="00944855">
            <w:r w:rsidRPr="00EE5F6D">
              <w:t>Inpatient (Adult, All Genders)</w:t>
            </w:r>
          </w:p>
        </w:tc>
        <w:tc>
          <w:tcPr>
            <w:tcW w:w="3437" w:type="dxa"/>
            <w:noWrap/>
            <w:hideMark/>
          </w:tcPr>
          <w:p w14:paraId="3F385CF8" w14:textId="77777777" w:rsidR="00A7742A" w:rsidRPr="00EE5F6D" w:rsidRDefault="00A7742A" w:rsidP="00944855">
            <w:r w:rsidRPr="00EE5F6D">
              <w:t>To assess the utility of antipsychotics for weight gain and improvement of illness-related psychopathology in patients with anorexia nervosa.</w:t>
            </w:r>
          </w:p>
        </w:tc>
        <w:tc>
          <w:tcPr>
            <w:tcW w:w="582" w:type="dxa"/>
            <w:noWrap/>
            <w:hideMark/>
          </w:tcPr>
          <w:p w14:paraId="705366B7" w14:textId="77777777" w:rsidR="00A7742A" w:rsidRPr="00EE5F6D" w:rsidRDefault="00A7742A" w:rsidP="00944855">
            <w:r w:rsidRPr="00EE5F6D">
              <w:t>Systematic Review/ Meta-Analysis (combined)</w:t>
            </w:r>
          </w:p>
        </w:tc>
        <w:tc>
          <w:tcPr>
            <w:tcW w:w="3437" w:type="dxa"/>
            <w:noWrap/>
            <w:hideMark/>
          </w:tcPr>
          <w:p w14:paraId="4A986567" w14:textId="77777777" w:rsidR="00A7742A" w:rsidRPr="00EE5F6D" w:rsidRDefault="00A7742A" w:rsidP="00944855">
            <w:r w:rsidRPr="00EE5F6D">
              <w:t>Body weight (expressed as SMD between baseline and endpoint BMI, endpoint BMI, or daily weight change)</w:t>
            </w:r>
          </w:p>
        </w:tc>
      </w:tr>
      <w:tr w:rsidR="00A7742A" w:rsidRPr="00EE5F6D" w14:paraId="167FCB0D" w14:textId="77777777" w:rsidTr="00944855">
        <w:trPr>
          <w:trHeight w:val="312"/>
        </w:trPr>
        <w:tc>
          <w:tcPr>
            <w:tcW w:w="541" w:type="dxa"/>
            <w:noWrap/>
            <w:hideMark/>
          </w:tcPr>
          <w:p w14:paraId="17967A34" w14:textId="77777777" w:rsidR="00A7742A" w:rsidRPr="00EE5F6D" w:rsidRDefault="00A7742A" w:rsidP="00944855">
            <w:r w:rsidRPr="00EE5F6D">
              <w:t>Kornstein et al., 2019</w:t>
            </w:r>
          </w:p>
        </w:tc>
        <w:tc>
          <w:tcPr>
            <w:tcW w:w="281" w:type="dxa"/>
            <w:noWrap/>
            <w:hideMark/>
          </w:tcPr>
          <w:p w14:paraId="02DAC954" w14:textId="77777777" w:rsidR="00A7742A" w:rsidRPr="00EE5F6D" w:rsidRDefault="00A7742A" w:rsidP="00944855">
            <w:r w:rsidRPr="00EE5F6D">
              <w:t>USA</w:t>
            </w:r>
          </w:p>
        </w:tc>
        <w:tc>
          <w:tcPr>
            <w:tcW w:w="479" w:type="dxa"/>
            <w:noWrap/>
            <w:hideMark/>
          </w:tcPr>
          <w:p w14:paraId="1E6A43FB" w14:textId="77777777" w:rsidR="00A7742A" w:rsidRPr="00EE5F6D" w:rsidRDefault="00A7742A" w:rsidP="00944855">
            <w:r w:rsidRPr="00EE5F6D">
              <w:t>745</w:t>
            </w:r>
          </w:p>
        </w:tc>
        <w:tc>
          <w:tcPr>
            <w:tcW w:w="593" w:type="dxa"/>
            <w:noWrap/>
            <w:hideMark/>
          </w:tcPr>
          <w:p w14:paraId="6DBEAAF5" w14:textId="77777777" w:rsidR="00A7742A" w:rsidRPr="00EE5F6D" w:rsidRDefault="00A7742A" w:rsidP="00944855">
            <w:r w:rsidRPr="00EE5F6D">
              <w:t>Outpatient (Adult, All Genders)</w:t>
            </w:r>
          </w:p>
        </w:tc>
        <w:tc>
          <w:tcPr>
            <w:tcW w:w="3437" w:type="dxa"/>
            <w:noWrap/>
            <w:hideMark/>
          </w:tcPr>
          <w:p w14:paraId="46B16161" w14:textId="77777777" w:rsidR="00A7742A" w:rsidRPr="00EE5F6D" w:rsidRDefault="00A7742A" w:rsidP="00944855">
            <w:r w:rsidRPr="00EE5F6D">
              <w:t>To describe clinical characteristics and LDX treatment effects based on gender and age - in adults diagnosed with moderate to severe binge eating disorder (BED)</w:t>
            </w:r>
          </w:p>
        </w:tc>
        <w:tc>
          <w:tcPr>
            <w:tcW w:w="582" w:type="dxa"/>
            <w:noWrap/>
            <w:hideMark/>
          </w:tcPr>
          <w:p w14:paraId="1DF1A121" w14:textId="77777777" w:rsidR="00A7742A" w:rsidRPr="00EE5F6D" w:rsidRDefault="00A7742A" w:rsidP="00944855">
            <w:r w:rsidRPr="00EE5F6D">
              <w:t>RCT</w:t>
            </w:r>
          </w:p>
        </w:tc>
        <w:tc>
          <w:tcPr>
            <w:tcW w:w="3437" w:type="dxa"/>
            <w:noWrap/>
            <w:hideMark/>
          </w:tcPr>
          <w:p w14:paraId="59BF2F20" w14:textId="77777777" w:rsidR="00A7742A" w:rsidRPr="00EE5F6D" w:rsidRDefault="00A7742A" w:rsidP="00944855">
            <w:r w:rsidRPr="00EE5F6D">
              <w:t xml:space="preserve">Treatment efficacy, safety, tolerability, of LDX: age, gender, - vital signs, TEAE, binge eating days/ week, CGI, </w:t>
            </w:r>
          </w:p>
        </w:tc>
      </w:tr>
      <w:tr w:rsidR="00A7742A" w:rsidRPr="00EE5F6D" w14:paraId="7C5FCD1F" w14:textId="77777777" w:rsidTr="00944855">
        <w:trPr>
          <w:trHeight w:val="312"/>
        </w:trPr>
        <w:tc>
          <w:tcPr>
            <w:tcW w:w="541" w:type="dxa"/>
            <w:noWrap/>
            <w:hideMark/>
          </w:tcPr>
          <w:p w14:paraId="3F9D5ED4" w14:textId="77777777" w:rsidR="00A7742A" w:rsidRPr="00EE5F6D" w:rsidRDefault="00A7742A" w:rsidP="00944855">
            <w:r w:rsidRPr="00EE5F6D">
              <w:t>Larranaga et al., 2014</w:t>
            </w:r>
          </w:p>
        </w:tc>
        <w:tc>
          <w:tcPr>
            <w:tcW w:w="281" w:type="dxa"/>
            <w:noWrap/>
            <w:hideMark/>
          </w:tcPr>
          <w:p w14:paraId="134BD232" w14:textId="77777777" w:rsidR="00A7742A" w:rsidRPr="00EE5F6D" w:rsidRDefault="00A7742A" w:rsidP="00944855">
            <w:r w:rsidRPr="00EE5F6D">
              <w:t>Spain</w:t>
            </w:r>
          </w:p>
        </w:tc>
        <w:tc>
          <w:tcPr>
            <w:tcW w:w="479" w:type="dxa"/>
            <w:noWrap/>
            <w:hideMark/>
          </w:tcPr>
          <w:p w14:paraId="5ECB8035" w14:textId="77777777" w:rsidR="00A7742A" w:rsidRPr="00EE5F6D" w:rsidRDefault="00A7742A" w:rsidP="00944855">
            <w:r w:rsidRPr="00EE5F6D">
              <w:t>74</w:t>
            </w:r>
          </w:p>
        </w:tc>
        <w:tc>
          <w:tcPr>
            <w:tcW w:w="593" w:type="dxa"/>
            <w:noWrap/>
            <w:hideMark/>
          </w:tcPr>
          <w:p w14:paraId="40026C5D" w14:textId="77777777" w:rsidR="00A7742A" w:rsidRPr="00EE5F6D" w:rsidRDefault="00A7742A" w:rsidP="00944855">
            <w:r w:rsidRPr="00EE5F6D">
              <w:t>Community (Adult, All Genders)</w:t>
            </w:r>
          </w:p>
        </w:tc>
        <w:tc>
          <w:tcPr>
            <w:tcW w:w="3437" w:type="dxa"/>
            <w:noWrap/>
            <w:hideMark/>
          </w:tcPr>
          <w:p w14:paraId="3803EFF9" w14:textId="77777777" w:rsidR="00A7742A" w:rsidRPr="00EE5F6D" w:rsidRDefault="00A7742A" w:rsidP="00944855">
            <w:r w:rsidRPr="00EE5F6D">
              <w:t>To compare response to Cognitive Behavioral Therapy in patients with different clinical forms of eating disorders</w:t>
            </w:r>
          </w:p>
        </w:tc>
        <w:tc>
          <w:tcPr>
            <w:tcW w:w="582" w:type="dxa"/>
            <w:noWrap/>
            <w:hideMark/>
          </w:tcPr>
          <w:p w14:paraId="0A19E22D" w14:textId="77777777" w:rsidR="00A7742A" w:rsidRPr="00EE5F6D" w:rsidRDefault="00A7742A" w:rsidP="00944855">
            <w:r w:rsidRPr="00EE5F6D">
              <w:t>RCT</w:t>
            </w:r>
          </w:p>
        </w:tc>
        <w:tc>
          <w:tcPr>
            <w:tcW w:w="3437" w:type="dxa"/>
            <w:noWrap/>
            <w:hideMark/>
          </w:tcPr>
          <w:p w14:paraId="1E068D19" w14:textId="77777777" w:rsidR="00A7742A" w:rsidRPr="00EE5F6D" w:rsidRDefault="00A7742A" w:rsidP="00944855">
            <w:r w:rsidRPr="00EE5F6D">
              <w:t>Recovery rate, rate of improvements, rate of patients with poor outcomes, predictive outcomes</w:t>
            </w:r>
          </w:p>
        </w:tc>
      </w:tr>
      <w:tr w:rsidR="00A7742A" w:rsidRPr="00EE5F6D" w14:paraId="6050FD1E" w14:textId="77777777" w:rsidTr="00944855">
        <w:trPr>
          <w:trHeight w:val="312"/>
        </w:trPr>
        <w:tc>
          <w:tcPr>
            <w:tcW w:w="541" w:type="dxa"/>
            <w:noWrap/>
            <w:hideMark/>
          </w:tcPr>
          <w:p w14:paraId="024D24B0" w14:textId="77777777" w:rsidR="00A7742A" w:rsidRPr="00EE5F6D" w:rsidRDefault="00A7742A" w:rsidP="00944855">
            <w:r w:rsidRPr="00EE5F6D">
              <w:t>Lebow et al., 2012</w:t>
            </w:r>
          </w:p>
        </w:tc>
        <w:tc>
          <w:tcPr>
            <w:tcW w:w="281" w:type="dxa"/>
            <w:noWrap/>
            <w:hideMark/>
          </w:tcPr>
          <w:p w14:paraId="64852251" w14:textId="77777777" w:rsidR="00A7742A" w:rsidRPr="00EE5F6D" w:rsidRDefault="00A7742A" w:rsidP="00944855">
            <w:r w:rsidRPr="00EE5F6D">
              <w:t>Worldwide</w:t>
            </w:r>
          </w:p>
        </w:tc>
        <w:tc>
          <w:tcPr>
            <w:tcW w:w="479" w:type="dxa"/>
            <w:noWrap/>
            <w:hideMark/>
          </w:tcPr>
          <w:p w14:paraId="628267F9" w14:textId="77777777" w:rsidR="00A7742A" w:rsidRPr="00EE5F6D" w:rsidRDefault="00A7742A" w:rsidP="00944855">
            <w:r w:rsidRPr="00EE5F6D">
              <w:t>N/A</w:t>
            </w:r>
          </w:p>
        </w:tc>
        <w:tc>
          <w:tcPr>
            <w:tcW w:w="593" w:type="dxa"/>
            <w:noWrap/>
            <w:hideMark/>
          </w:tcPr>
          <w:p w14:paraId="3FDBB78A" w14:textId="77777777" w:rsidR="00A7742A" w:rsidRPr="00EE5F6D" w:rsidRDefault="00A7742A" w:rsidP="00944855">
            <w:r w:rsidRPr="00EE5F6D">
              <w:t>Mixed (All Genders)</w:t>
            </w:r>
          </w:p>
        </w:tc>
        <w:tc>
          <w:tcPr>
            <w:tcW w:w="3437" w:type="dxa"/>
            <w:noWrap/>
            <w:hideMark/>
          </w:tcPr>
          <w:p w14:paraId="6B1CFB2D" w14:textId="77777777" w:rsidR="00A7742A" w:rsidRPr="00EE5F6D" w:rsidRDefault="00A7742A" w:rsidP="00944855">
            <w:r w:rsidRPr="00EE5F6D">
              <w:t>To estimate the influence of atypical antipsychotics on BMI, eating disorder, and psychiatric symptoms in individuals with AN.</w:t>
            </w:r>
          </w:p>
        </w:tc>
        <w:tc>
          <w:tcPr>
            <w:tcW w:w="582" w:type="dxa"/>
            <w:noWrap/>
            <w:hideMark/>
          </w:tcPr>
          <w:p w14:paraId="51DCE994" w14:textId="77777777" w:rsidR="00A7742A" w:rsidRPr="00EE5F6D" w:rsidRDefault="00A7742A" w:rsidP="00944855">
            <w:r w:rsidRPr="00EE5F6D">
              <w:t>Systematic Review/ Meta-Analysis (combined)</w:t>
            </w:r>
          </w:p>
        </w:tc>
        <w:tc>
          <w:tcPr>
            <w:tcW w:w="3437" w:type="dxa"/>
            <w:noWrap/>
            <w:hideMark/>
          </w:tcPr>
          <w:p w14:paraId="22F9B2E7" w14:textId="77777777" w:rsidR="00A7742A" w:rsidRPr="00EE5F6D" w:rsidRDefault="00A7742A" w:rsidP="00944855">
            <w:r w:rsidRPr="00EE5F6D">
              <w:t xml:space="preserve">BMI, EDI, depression, anxiety, weight </w:t>
            </w:r>
          </w:p>
        </w:tc>
      </w:tr>
      <w:tr w:rsidR="00A7742A" w:rsidRPr="00EE5F6D" w14:paraId="268BBC4C" w14:textId="77777777" w:rsidTr="00944855">
        <w:trPr>
          <w:trHeight w:val="312"/>
        </w:trPr>
        <w:tc>
          <w:tcPr>
            <w:tcW w:w="541" w:type="dxa"/>
            <w:noWrap/>
            <w:hideMark/>
          </w:tcPr>
          <w:p w14:paraId="1E0B4064" w14:textId="77777777" w:rsidR="00A7742A" w:rsidRPr="00EE5F6D" w:rsidRDefault="00A7742A" w:rsidP="00944855">
            <w:r w:rsidRPr="00EE5F6D">
              <w:t>Leppanen et al., 2017</w:t>
            </w:r>
          </w:p>
        </w:tc>
        <w:tc>
          <w:tcPr>
            <w:tcW w:w="281" w:type="dxa"/>
            <w:noWrap/>
            <w:hideMark/>
          </w:tcPr>
          <w:p w14:paraId="30B203A9" w14:textId="77777777" w:rsidR="00A7742A" w:rsidRPr="00EE5F6D" w:rsidRDefault="00A7742A" w:rsidP="00944855">
            <w:r w:rsidRPr="00EE5F6D">
              <w:t>UK</w:t>
            </w:r>
          </w:p>
        </w:tc>
        <w:tc>
          <w:tcPr>
            <w:tcW w:w="479" w:type="dxa"/>
            <w:noWrap/>
            <w:hideMark/>
          </w:tcPr>
          <w:p w14:paraId="3843413D" w14:textId="77777777" w:rsidR="00A7742A" w:rsidRPr="00EE5F6D" w:rsidRDefault="00A7742A" w:rsidP="00944855">
            <w:r w:rsidRPr="00EE5F6D">
              <w:t>39</w:t>
            </w:r>
          </w:p>
        </w:tc>
        <w:tc>
          <w:tcPr>
            <w:tcW w:w="593" w:type="dxa"/>
            <w:noWrap/>
            <w:hideMark/>
          </w:tcPr>
          <w:p w14:paraId="072A88A5" w14:textId="77777777" w:rsidR="00A7742A" w:rsidRPr="00EE5F6D" w:rsidRDefault="00A7742A" w:rsidP="00944855">
            <w:r w:rsidRPr="00EE5F6D">
              <w:t>Mixed (Adult, Women)</w:t>
            </w:r>
          </w:p>
        </w:tc>
        <w:tc>
          <w:tcPr>
            <w:tcW w:w="3437" w:type="dxa"/>
            <w:noWrap/>
            <w:hideMark/>
          </w:tcPr>
          <w:p w14:paraId="05C8E05C" w14:textId="77777777" w:rsidR="00A7742A" w:rsidRPr="00EE5F6D" w:rsidRDefault="00A7742A" w:rsidP="00944855">
            <w:r w:rsidRPr="00EE5F6D">
              <w:t xml:space="preserve">To investigate the effects of a single dose of intranasal oxytocin (40 IU) on a standard laboratory smoothie challenge, and on salivary cortisol, </w:t>
            </w:r>
            <w:r w:rsidRPr="00EE5F6D">
              <w:lastRenderedPageBreak/>
              <w:t>anxiety, and attentional bias towards food images before and after the smoothie challenge in AN and HC participants</w:t>
            </w:r>
          </w:p>
        </w:tc>
        <w:tc>
          <w:tcPr>
            <w:tcW w:w="582" w:type="dxa"/>
            <w:noWrap/>
            <w:hideMark/>
          </w:tcPr>
          <w:p w14:paraId="0653E8AA" w14:textId="77777777" w:rsidR="00A7742A" w:rsidRPr="00EE5F6D" w:rsidRDefault="00A7742A" w:rsidP="00944855">
            <w:r w:rsidRPr="00EE5F6D">
              <w:lastRenderedPageBreak/>
              <w:t>RCT (cross-over)</w:t>
            </w:r>
          </w:p>
        </w:tc>
        <w:tc>
          <w:tcPr>
            <w:tcW w:w="3437" w:type="dxa"/>
            <w:noWrap/>
            <w:hideMark/>
          </w:tcPr>
          <w:p w14:paraId="5C1180EC" w14:textId="77777777" w:rsidR="00A7742A" w:rsidRPr="00EE5F6D" w:rsidRDefault="00A7742A" w:rsidP="00944855">
            <w:r w:rsidRPr="00EE5F6D">
              <w:t>Attentional avoidance of food images, smoothie consumption, anxiety, salivary control, attentional bias (food images).</w:t>
            </w:r>
          </w:p>
        </w:tc>
      </w:tr>
      <w:tr w:rsidR="00A7742A" w:rsidRPr="00EE5F6D" w14:paraId="1B0B3708" w14:textId="77777777" w:rsidTr="00944855">
        <w:trPr>
          <w:trHeight w:val="312"/>
        </w:trPr>
        <w:tc>
          <w:tcPr>
            <w:tcW w:w="541" w:type="dxa"/>
            <w:noWrap/>
            <w:hideMark/>
          </w:tcPr>
          <w:p w14:paraId="59C36BED" w14:textId="77777777" w:rsidR="00A7742A" w:rsidRPr="00EE5F6D" w:rsidRDefault="00A7742A" w:rsidP="00944855">
            <w:r w:rsidRPr="00EE5F6D">
              <w:t>Lipsman et al., 2013</w:t>
            </w:r>
          </w:p>
        </w:tc>
        <w:tc>
          <w:tcPr>
            <w:tcW w:w="281" w:type="dxa"/>
            <w:noWrap/>
            <w:hideMark/>
          </w:tcPr>
          <w:p w14:paraId="39104568" w14:textId="77777777" w:rsidR="00A7742A" w:rsidRPr="00EE5F6D" w:rsidRDefault="00A7742A" w:rsidP="00944855">
            <w:r w:rsidRPr="00EE5F6D">
              <w:t>Canada</w:t>
            </w:r>
          </w:p>
        </w:tc>
        <w:tc>
          <w:tcPr>
            <w:tcW w:w="479" w:type="dxa"/>
            <w:noWrap/>
            <w:hideMark/>
          </w:tcPr>
          <w:p w14:paraId="4043663F" w14:textId="77777777" w:rsidR="00A7742A" w:rsidRPr="00EE5F6D" w:rsidRDefault="00A7742A" w:rsidP="00944855">
            <w:r w:rsidRPr="00EE5F6D">
              <w:t>6</w:t>
            </w:r>
          </w:p>
        </w:tc>
        <w:tc>
          <w:tcPr>
            <w:tcW w:w="593" w:type="dxa"/>
            <w:noWrap/>
            <w:hideMark/>
          </w:tcPr>
          <w:p w14:paraId="74B652F4" w14:textId="77777777" w:rsidR="00A7742A" w:rsidRPr="00EE5F6D" w:rsidRDefault="00A7742A" w:rsidP="00944855">
            <w:r w:rsidRPr="00EE5F6D">
              <w:t>Community (Adult, All Genders)</w:t>
            </w:r>
          </w:p>
        </w:tc>
        <w:tc>
          <w:tcPr>
            <w:tcW w:w="3437" w:type="dxa"/>
            <w:noWrap/>
            <w:hideMark/>
          </w:tcPr>
          <w:p w14:paraId="11995334" w14:textId="77777777" w:rsidR="00A7742A" w:rsidRPr="00EE5F6D" w:rsidRDefault="00A7742A" w:rsidP="00944855">
            <w:r w:rsidRPr="00EE5F6D">
              <w:t>To assess the safety of DBS to modulate the activity of limbic circuits and to examine how this might affect the clinical features of anorexia nervosa.</w:t>
            </w:r>
          </w:p>
        </w:tc>
        <w:tc>
          <w:tcPr>
            <w:tcW w:w="582" w:type="dxa"/>
            <w:noWrap/>
            <w:hideMark/>
          </w:tcPr>
          <w:p w14:paraId="4219AF68" w14:textId="77777777" w:rsidR="00A7742A" w:rsidRPr="00EE5F6D" w:rsidRDefault="00A7742A" w:rsidP="00944855">
            <w:r w:rsidRPr="00EE5F6D">
              <w:t>Longitudinal (&lt;5yr)</w:t>
            </w:r>
          </w:p>
        </w:tc>
        <w:tc>
          <w:tcPr>
            <w:tcW w:w="3437" w:type="dxa"/>
            <w:noWrap/>
            <w:hideMark/>
          </w:tcPr>
          <w:p w14:paraId="6E6B077D" w14:textId="77777777" w:rsidR="00A7742A" w:rsidRPr="00EE5F6D" w:rsidRDefault="00A7742A" w:rsidP="00944855">
            <w:r w:rsidRPr="00EE5F6D">
              <w:t>Primary outcome: adverse events associated with surgery or stimulation. Secondary outcomes: repeat psychometric assessments, BMI, and neuroimaging investigations at various intervals.</w:t>
            </w:r>
          </w:p>
        </w:tc>
      </w:tr>
      <w:tr w:rsidR="00A7742A" w:rsidRPr="00EE5F6D" w14:paraId="02E09C24" w14:textId="77777777" w:rsidTr="00944855">
        <w:trPr>
          <w:trHeight w:val="312"/>
        </w:trPr>
        <w:tc>
          <w:tcPr>
            <w:tcW w:w="541" w:type="dxa"/>
            <w:noWrap/>
            <w:hideMark/>
          </w:tcPr>
          <w:p w14:paraId="184AE1AF" w14:textId="77777777" w:rsidR="00A7742A" w:rsidRPr="00EE5F6D" w:rsidRDefault="00A7742A" w:rsidP="00944855">
            <w:r w:rsidRPr="00EE5F6D">
              <w:t>Lipsman et al., 2017</w:t>
            </w:r>
          </w:p>
        </w:tc>
        <w:tc>
          <w:tcPr>
            <w:tcW w:w="281" w:type="dxa"/>
            <w:noWrap/>
            <w:hideMark/>
          </w:tcPr>
          <w:p w14:paraId="0BC0BDC2" w14:textId="77777777" w:rsidR="00A7742A" w:rsidRPr="00EE5F6D" w:rsidRDefault="00A7742A" w:rsidP="00944855">
            <w:r w:rsidRPr="00EE5F6D">
              <w:t>Canada</w:t>
            </w:r>
          </w:p>
        </w:tc>
        <w:tc>
          <w:tcPr>
            <w:tcW w:w="479" w:type="dxa"/>
            <w:noWrap/>
            <w:hideMark/>
          </w:tcPr>
          <w:p w14:paraId="7C3C8461" w14:textId="77777777" w:rsidR="00A7742A" w:rsidRPr="00EE5F6D" w:rsidRDefault="00A7742A" w:rsidP="00944855">
            <w:r w:rsidRPr="00EE5F6D">
              <w:t>6</w:t>
            </w:r>
          </w:p>
        </w:tc>
        <w:tc>
          <w:tcPr>
            <w:tcW w:w="593" w:type="dxa"/>
            <w:noWrap/>
            <w:hideMark/>
          </w:tcPr>
          <w:p w14:paraId="38AF7353" w14:textId="77777777" w:rsidR="00A7742A" w:rsidRPr="00EE5F6D" w:rsidRDefault="00A7742A" w:rsidP="00944855">
            <w:r w:rsidRPr="00EE5F6D">
              <w:t>Community (Adult, All Genders)</w:t>
            </w:r>
          </w:p>
        </w:tc>
        <w:tc>
          <w:tcPr>
            <w:tcW w:w="3437" w:type="dxa"/>
            <w:noWrap/>
            <w:hideMark/>
          </w:tcPr>
          <w:p w14:paraId="3DE81B2F" w14:textId="77777777" w:rsidR="00A7742A" w:rsidRPr="00EE5F6D" w:rsidRDefault="00A7742A" w:rsidP="00944855">
            <w:r w:rsidRPr="00EE5F6D">
              <w:t>To investigate the safety, clinical, and neuroimaging outcomes of DBS of the subcallosal cingulate in a group of patients during 12 months of active stimulation.</w:t>
            </w:r>
          </w:p>
        </w:tc>
        <w:tc>
          <w:tcPr>
            <w:tcW w:w="582" w:type="dxa"/>
            <w:noWrap/>
            <w:hideMark/>
          </w:tcPr>
          <w:p w14:paraId="0C67A05C" w14:textId="77777777" w:rsidR="00A7742A" w:rsidRPr="00EE5F6D" w:rsidRDefault="00A7742A" w:rsidP="00944855">
            <w:r w:rsidRPr="00EE5F6D">
              <w:t>Quasi-experimental (intervention)</w:t>
            </w:r>
          </w:p>
        </w:tc>
        <w:tc>
          <w:tcPr>
            <w:tcW w:w="3437" w:type="dxa"/>
            <w:noWrap/>
            <w:hideMark/>
          </w:tcPr>
          <w:p w14:paraId="7E7FAB6E" w14:textId="77777777" w:rsidR="00A7742A" w:rsidRPr="00EE5F6D" w:rsidRDefault="00A7742A" w:rsidP="00944855">
            <w:r w:rsidRPr="00EE5F6D">
              <w:t xml:space="preserve">Primary outcomes: safety and acceptability of the procedure. Secondary outcomes: BMI, mood, anxiety, affective regulation, and AN-specific behaviours at 12 months after surgery, changes in neural circuitry (measured with PET imaging). </w:t>
            </w:r>
          </w:p>
        </w:tc>
      </w:tr>
      <w:tr w:rsidR="00A7742A" w:rsidRPr="00EE5F6D" w14:paraId="1F97B423" w14:textId="77777777" w:rsidTr="00944855">
        <w:trPr>
          <w:trHeight w:val="312"/>
        </w:trPr>
        <w:tc>
          <w:tcPr>
            <w:tcW w:w="541" w:type="dxa"/>
            <w:noWrap/>
            <w:hideMark/>
          </w:tcPr>
          <w:p w14:paraId="7DD2CA3F" w14:textId="77777777" w:rsidR="00A7742A" w:rsidRPr="00EE5F6D" w:rsidRDefault="00A7742A" w:rsidP="00944855">
            <w:r w:rsidRPr="00EE5F6D">
              <w:t>Maguire et al., 2014</w:t>
            </w:r>
          </w:p>
        </w:tc>
        <w:tc>
          <w:tcPr>
            <w:tcW w:w="281" w:type="dxa"/>
            <w:noWrap/>
            <w:hideMark/>
          </w:tcPr>
          <w:p w14:paraId="1AA5C36F" w14:textId="77777777" w:rsidR="00A7742A" w:rsidRPr="00EE5F6D" w:rsidRDefault="00A7742A" w:rsidP="00944855">
            <w:r w:rsidRPr="00EE5F6D">
              <w:t>Worldwide</w:t>
            </w:r>
          </w:p>
        </w:tc>
        <w:tc>
          <w:tcPr>
            <w:tcW w:w="479" w:type="dxa"/>
            <w:noWrap/>
            <w:hideMark/>
          </w:tcPr>
          <w:p w14:paraId="64473D22" w14:textId="77777777" w:rsidR="00A7742A" w:rsidRPr="00EE5F6D" w:rsidRDefault="00A7742A" w:rsidP="00944855">
            <w:r w:rsidRPr="00EE5F6D">
              <w:t>6</w:t>
            </w:r>
          </w:p>
        </w:tc>
        <w:tc>
          <w:tcPr>
            <w:tcW w:w="593" w:type="dxa"/>
            <w:noWrap/>
            <w:hideMark/>
          </w:tcPr>
          <w:p w14:paraId="1C0129F4" w14:textId="77777777" w:rsidR="00A7742A" w:rsidRPr="00EE5F6D" w:rsidRDefault="00A7742A" w:rsidP="00944855">
            <w:r w:rsidRPr="00EE5F6D">
              <w:t>Mixed (All Genders)</w:t>
            </w:r>
          </w:p>
        </w:tc>
        <w:tc>
          <w:tcPr>
            <w:tcW w:w="3437" w:type="dxa"/>
            <w:noWrap/>
            <w:hideMark/>
          </w:tcPr>
          <w:p w14:paraId="73B33EFE" w14:textId="77777777" w:rsidR="00A7742A" w:rsidRPr="00EE5F6D" w:rsidRDefault="00A7742A" w:rsidP="00944855">
            <w:r w:rsidRPr="00EE5F6D">
              <w:t xml:space="preserve">To undertake a targeted summary of the existing literature on OT research and look at the relationship between Oxytocin and Anorexia </w:t>
            </w:r>
          </w:p>
        </w:tc>
        <w:tc>
          <w:tcPr>
            <w:tcW w:w="582" w:type="dxa"/>
            <w:noWrap/>
            <w:hideMark/>
          </w:tcPr>
          <w:p w14:paraId="3E848FCF" w14:textId="77777777" w:rsidR="00A7742A" w:rsidRPr="00EE5F6D" w:rsidRDefault="00A7742A" w:rsidP="00944855">
            <w:r w:rsidRPr="00EE5F6D">
              <w:t>Review (Systematic)</w:t>
            </w:r>
          </w:p>
        </w:tc>
        <w:tc>
          <w:tcPr>
            <w:tcW w:w="3437" w:type="dxa"/>
            <w:noWrap/>
            <w:hideMark/>
          </w:tcPr>
          <w:p w14:paraId="7E8DC3A6" w14:textId="77777777" w:rsidR="00A7742A" w:rsidRPr="00EE5F6D" w:rsidRDefault="00A7742A" w:rsidP="00944855">
            <w:r w:rsidRPr="00EE5F6D">
              <w:t>Oxytocin level</w:t>
            </w:r>
          </w:p>
        </w:tc>
      </w:tr>
      <w:tr w:rsidR="00A7742A" w:rsidRPr="00EE5F6D" w14:paraId="2747D221" w14:textId="77777777" w:rsidTr="00944855">
        <w:trPr>
          <w:trHeight w:val="396"/>
        </w:trPr>
        <w:tc>
          <w:tcPr>
            <w:tcW w:w="541" w:type="dxa"/>
            <w:noWrap/>
            <w:hideMark/>
          </w:tcPr>
          <w:p w14:paraId="19E66DDF" w14:textId="77777777" w:rsidR="00A7742A" w:rsidRPr="00EE5F6D" w:rsidRDefault="00A7742A" w:rsidP="00944855">
            <w:r w:rsidRPr="00EE5F6D">
              <w:t>Manos et al., 2018</w:t>
            </w:r>
          </w:p>
        </w:tc>
        <w:tc>
          <w:tcPr>
            <w:tcW w:w="281" w:type="dxa"/>
            <w:noWrap/>
            <w:hideMark/>
          </w:tcPr>
          <w:p w14:paraId="3811BE9B" w14:textId="77777777" w:rsidR="00A7742A" w:rsidRPr="00EE5F6D" w:rsidRDefault="00A7742A" w:rsidP="00944855">
            <w:r w:rsidRPr="00EE5F6D">
              <w:t>USA</w:t>
            </w:r>
          </w:p>
        </w:tc>
        <w:tc>
          <w:tcPr>
            <w:tcW w:w="479" w:type="dxa"/>
            <w:noWrap/>
            <w:hideMark/>
          </w:tcPr>
          <w:p w14:paraId="1BCA1BCC" w14:textId="77777777" w:rsidR="00A7742A" w:rsidRPr="00EE5F6D" w:rsidRDefault="00A7742A" w:rsidP="00944855">
            <w:r w:rsidRPr="00EE5F6D">
              <w:t>24</w:t>
            </w:r>
          </w:p>
        </w:tc>
        <w:tc>
          <w:tcPr>
            <w:tcW w:w="593" w:type="dxa"/>
            <w:noWrap/>
            <w:hideMark/>
          </w:tcPr>
          <w:p w14:paraId="339932A2" w14:textId="77777777" w:rsidR="00A7742A" w:rsidRPr="00EE5F6D" w:rsidRDefault="00A7742A" w:rsidP="00944855">
            <w:r w:rsidRPr="00EE5F6D">
              <w:t>Inpatient (Young People, Women)</w:t>
            </w:r>
          </w:p>
        </w:tc>
        <w:tc>
          <w:tcPr>
            <w:tcW w:w="3437" w:type="dxa"/>
            <w:noWrap/>
            <w:hideMark/>
          </w:tcPr>
          <w:p w14:paraId="17383C4F" w14:textId="77777777" w:rsidR="00A7742A" w:rsidRPr="00EE5F6D" w:rsidRDefault="00A7742A" w:rsidP="00944855">
            <w:r w:rsidRPr="00EE5F6D">
              <w:t xml:space="preserve">To evaluate the effectiveness and tolerability of omega-3 polyunsaturated fatty acid (PUFA) supplementation for treatment of trait </w:t>
            </w:r>
            <w:r w:rsidRPr="00EE5F6D">
              <w:lastRenderedPageBreak/>
              <w:t>anxiety among adolescent females with restrictive anorexia nervosa (AN).</w:t>
            </w:r>
          </w:p>
        </w:tc>
        <w:tc>
          <w:tcPr>
            <w:tcW w:w="582" w:type="dxa"/>
            <w:noWrap/>
            <w:hideMark/>
          </w:tcPr>
          <w:p w14:paraId="636E52CD" w14:textId="77777777" w:rsidR="00A7742A" w:rsidRPr="00EE5F6D" w:rsidRDefault="00A7742A" w:rsidP="00944855">
            <w:r w:rsidRPr="00EE5F6D">
              <w:lastRenderedPageBreak/>
              <w:t>RCT</w:t>
            </w:r>
          </w:p>
        </w:tc>
        <w:tc>
          <w:tcPr>
            <w:tcW w:w="3437" w:type="dxa"/>
            <w:noWrap/>
            <w:hideMark/>
          </w:tcPr>
          <w:p w14:paraId="1A6B73D7" w14:textId="77777777" w:rsidR="00A7742A" w:rsidRPr="00EE5F6D" w:rsidRDefault="00A7742A" w:rsidP="00944855">
            <w:r w:rsidRPr="00EE5F6D">
              <w:t>Trait of anxiety</w:t>
            </w:r>
          </w:p>
        </w:tc>
      </w:tr>
      <w:tr w:rsidR="00A7742A" w:rsidRPr="00EE5F6D" w14:paraId="5262B504" w14:textId="77777777" w:rsidTr="00944855">
        <w:trPr>
          <w:trHeight w:val="312"/>
        </w:trPr>
        <w:tc>
          <w:tcPr>
            <w:tcW w:w="541" w:type="dxa"/>
            <w:noWrap/>
            <w:hideMark/>
          </w:tcPr>
          <w:p w14:paraId="0954F95C" w14:textId="77777777" w:rsidR="00A7742A" w:rsidRPr="00EE5F6D" w:rsidRDefault="00A7742A" w:rsidP="00944855">
            <w:r w:rsidRPr="00EE5F6D">
              <w:t>Marquez et al., 2021</w:t>
            </w:r>
          </w:p>
        </w:tc>
        <w:tc>
          <w:tcPr>
            <w:tcW w:w="281" w:type="dxa"/>
            <w:noWrap/>
            <w:hideMark/>
          </w:tcPr>
          <w:p w14:paraId="1BEEE8D5" w14:textId="77777777" w:rsidR="00A7742A" w:rsidRPr="00EE5F6D" w:rsidRDefault="00A7742A" w:rsidP="00944855">
            <w:r w:rsidRPr="00EE5F6D">
              <w:t>Worldwide</w:t>
            </w:r>
          </w:p>
        </w:tc>
        <w:tc>
          <w:tcPr>
            <w:tcW w:w="479" w:type="dxa"/>
            <w:noWrap/>
            <w:hideMark/>
          </w:tcPr>
          <w:p w14:paraId="376705E0" w14:textId="77777777" w:rsidR="00A7742A" w:rsidRPr="00EE5F6D" w:rsidRDefault="00A7742A" w:rsidP="00944855">
            <w:r w:rsidRPr="00EE5F6D">
              <w:t>N/A</w:t>
            </w:r>
          </w:p>
        </w:tc>
        <w:tc>
          <w:tcPr>
            <w:tcW w:w="593" w:type="dxa"/>
            <w:noWrap/>
            <w:hideMark/>
          </w:tcPr>
          <w:p w14:paraId="06593BB2" w14:textId="77777777" w:rsidR="00A7742A" w:rsidRPr="00EE5F6D" w:rsidRDefault="00A7742A" w:rsidP="00944855">
            <w:r w:rsidRPr="00EE5F6D">
              <w:t>Community (Adult, All Genders)</w:t>
            </w:r>
          </w:p>
        </w:tc>
        <w:tc>
          <w:tcPr>
            <w:tcW w:w="3437" w:type="dxa"/>
            <w:noWrap/>
            <w:hideMark/>
          </w:tcPr>
          <w:p w14:paraId="2853BC8F" w14:textId="77777777" w:rsidR="00A7742A" w:rsidRPr="00EE5F6D" w:rsidRDefault="00A7742A" w:rsidP="00944855">
            <w:r w:rsidRPr="00EE5F6D">
              <w:t>To synthesise the best available clinical evidence on the efficacy and safety of second-generation antidepressants and antipsychotics in patients with anorexia nervosa.</w:t>
            </w:r>
          </w:p>
        </w:tc>
        <w:tc>
          <w:tcPr>
            <w:tcW w:w="582" w:type="dxa"/>
            <w:noWrap/>
            <w:hideMark/>
          </w:tcPr>
          <w:p w14:paraId="2F7589D3" w14:textId="77777777" w:rsidR="00A7742A" w:rsidRPr="00EE5F6D" w:rsidRDefault="00A7742A" w:rsidP="00944855">
            <w:r w:rsidRPr="00EE5F6D">
              <w:t>Review (Systematic)</w:t>
            </w:r>
          </w:p>
        </w:tc>
        <w:tc>
          <w:tcPr>
            <w:tcW w:w="3437" w:type="dxa"/>
            <w:noWrap/>
            <w:hideMark/>
          </w:tcPr>
          <w:p w14:paraId="4B352F41" w14:textId="77777777" w:rsidR="00A7742A" w:rsidRPr="00EE5F6D" w:rsidRDefault="00A7742A" w:rsidP="00944855">
            <w:r w:rsidRPr="00EE5F6D">
              <w:t>Weight (BMI), psychopathological entities, safety</w:t>
            </w:r>
          </w:p>
        </w:tc>
      </w:tr>
      <w:tr w:rsidR="00A7742A" w:rsidRPr="00EE5F6D" w14:paraId="376868DF" w14:textId="77777777" w:rsidTr="00944855">
        <w:trPr>
          <w:trHeight w:val="312"/>
        </w:trPr>
        <w:tc>
          <w:tcPr>
            <w:tcW w:w="541" w:type="dxa"/>
            <w:noWrap/>
            <w:hideMark/>
          </w:tcPr>
          <w:p w14:paraId="2FC74394" w14:textId="77777777" w:rsidR="00A7742A" w:rsidRPr="00EE5F6D" w:rsidRDefault="00A7742A" w:rsidP="00944855">
            <w:r w:rsidRPr="00EE5F6D">
              <w:t>Marzola et al., 2015</w:t>
            </w:r>
          </w:p>
        </w:tc>
        <w:tc>
          <w:tcPr>
            <w:tcW w:w="281" w:type="dxa"/>
            <w:noWrap/>
            <w:hideMark/>
          </w:tcPr>
          <w:p w14:paraId="0A78588A" w14:textId="77777777" w:rsidR="00A7742A" w:rsidRPr="00EE5F6D" w:rsidRDefault="00A7742A" w:rsidP="00944855">
            <w:r w:rsidRPr="00EE5F6D">
              <w:t>Italy</w:t>
            </w:r>
          </w:p>
        </w:tc>
        <w:tc>
          <w:tcPr>
            <w:tcW w:w="479" w:type="dxa"/>
            <w:noWrap/>
            <w:hideMark/>
          </w:tcPr>
          <w:p w14:paraId="45E95C75" w14:textId="77777777" w:rsidR="00A7742A" w:rsidRPr="00EE5F6D" w:rsidRDefault="00A7742A" w:rsidP="00944855">
            <w:r w:rsidRPr="00EE5F6D">
              <w:t>75</w:t>
            </w:r>
          </w:p>
        </w:tc>
        <w:tc>
          <w:tcPr>
            <w:tcW w:w="593" w:type="dxa"/>
            <w:noWrap/>
            <w:hideMark/>
          </w:tcPr>
          <w:p w14:paraId="248CC26E" w14:textId="77777777" w:rsidR="00A7742A" w:rsidRPr="00EE5F6D" w:rsidRDefault="00A7742A" w:rsidP="00944855">
            <w:r w:rsidRPr="00EE5F6D">
              <w:t>Inpatient (Adult, All Genders)</w:t>
            </w:r>
          </w:p>
        </w:tc>
        <w:tc>
          <w:tcPr>
            <w:tcW w:w="3437" w:type="dxa"/>
            <w:noWrap/>
            <w:hideMark/>
          </w:tcPr>
          <w:p w14:paraId="470BCC34" w14:textId="77777777" w:rsidR="00A7742A" w:rsidRPr="00EE5F6D" w:rsidRDefault="00A7742A" w:rsidP="00944855">
            <w:r w:rsidRPr="00EE5F6D">
              <w:t>To garner preliminary data on the real-world use of olanzapine and aripiprazole as augmentation agents of Selective Serotonin Reuptake Inhibitors (SSRIs) in adult inpatients affected by AN</w:t>
            </w:r>
          </w:p>
        </w:tc>
        <w:tc>
          <w:tcPr>
            <w:tcW w:w="582" w:type="dxa"/>
            <w:noWrap/>
            <w:hideMark/>
          </w:tcPr>
          <w:p w14:paraId="2AA5C35B" w14:textId="77777777" w:rsidR="00A7742A" w:rsidRPr="00EE5F6D" w:rsidRDefault="00A7742A" w:rsidP="00944855">
            <w:r w:rsidRPr="00EE5F6D">
              <w:t>RCT</w:t>
            </w:r>
          </w:p>
        </w:tc>
        <w:tc>
          <w:tcPr>
            <w:tcW w:w="3437" w:type="dxa"/>
            <w:noWrap/>
            <w:hideMark/>
          </w:tcPr>
          <w:p w14:paraId="34443314" w14:textId="4F900604" w:rsidR="00A7742A" w:rsidRPr="00EE5F6D" w:rsidRDefault="00A7742A" w:rsidP="00944855">
            <w:r w:rsidRPr="00EE5F6D">
              <w:t>Eating symptomatology, and both general and eating psychopathology using: Hamilton Rating Scale for Anxiety</w:t>
            </w:r>
            <w:r w:rsidR="00872B1B">
              <w:t xml:space="preserve"> (HAM-A)</w:t>
            </w:r>
            <w:r w:rsidRPr="00EE5F6D">
              <w:t>, Hamilton Rating Scale for Depression</w:t>
            </w:r>
            <w:r w:rsidR="00872B1B">
              <w:t xml:space="preserve"> (HAM-D</w:t>
            </w:r>
            <w:r w:rsidRPr="00EE5F6D">
              <w:t>, and Yale-Brown-Cornell Eating Disorders Scale</w:t>
            </w:r>
            <w:r w:rsidR="00872B1B">
              <w:t xml:space="preserve"> (YBC-EDS)</w:t>
            </w:r>
          </w:p>
        </w:tc>
      </w:tr>
      <w:tr w:rsidR="00A7742A" w:rsidRPr="00EE5F6D" w14:paraId="16E46DA5" w14:textId="77777777" w:rsidTr="00944855">
        <w:trPr>
          <w:trHeight w:val="312"/>
        </w:trPr>
        <w:tc>
          <w:tcPr>
            <w:tcW w:w="541" w:type="dxa"/>
            <w:noWrap/>
            <w:hideMark/>
          </w:tcPr>
          <w:p w14:paraId="3B8C0E5A" w14:textId="77777777" w:rsidR="00A7742A" w:rsidRPr="00EE5F6D" w:rsidRDefault="00A7742A" w:rsidP="00944855">
            <w:r w:rsidRPr="00EE5F6D">
              <w:t>Matsui et al., 2021</w:t>
            </w:r>
          </w:p>
        </w:tc>
        <w:tc>
          <w:tcPr>
            <w:tcW w:w="281" w:type="dxa"/>
            <w:noWrap/>
            <w:hideMark/>
          </w:tcPr>
          <w:p w14:paraId="070F5649" w14:textId="77777777" w:rsidR="00A7742A" w:rsidRPr="00EE5F6D" w:rsidRDefault="00A7742A" w:rsidP="00944855">
            <w:r w:rsidRPr="00EE5F6D">
              <w:t>Worldwide</w:t>
            </w:r>
          </w:p>
        </w:tc>
        <w:tc>
          <w:tcPr>
            <w:tcW w:w="479" w:type="dxa"/>
            <w:noWrap/>
            <w:hideMark/>
          </w:tcPr>
          <w:p w14:paraId="726DDBD9" w14:textId="77777777" w:rsidR="00A7742A" w:rsidRPr="00EE5F6D" w:rsidRDefault="00A7742A" w:rsidP="00944855">
            <w:r w:rsidRPr="00EE5F6D">
              <w:t>49</w:t>
            </w:r>
          </w:p>
        </w:tc>
        <w:tc>
          <w:tcPr>
            <w:tcW w:w="593" w:type="dxa"/>
            <w:noWrap/>
            <w:hideMark/>
          </w:tcPr>
          <w:p w14:paraId="7B980FE9" w14:textId="77777777" w:rsidR="00A7742A" w:rsidRPr="00EE5F6D" w:rsidRDefault="00A7742A" w:rsidP="00944855">
            <w:r w:rsidRPr="00EE5F6D">
              <w:t>Community (Adult, All Genders)</w:t>
            </w:r>
          </w:p>
        </w:tc>
        <w:tc>
          <w:tcPr>
            <w:tcW w:w="3437" w:type="dxa"/>
            <w:noWrap/>
            <w:hideMark/>
          </w:tcPr>
          <w:p w14:paraId="13A7560F" w14:textId="77777777" w:rsidR="00A7742A" w:rsidRPr="00EE5F6D" w:rsidRDefault="00A7742A" w:rsidP="00944855">
            <w:r w:rsidRPr="00EE5F6D">
              <w:t>To determine the efficacy of ramelteon in treating abnormal eating behaviour in patients with sleep-related eating disorder and/or night eating syndrome.</w:t>
            </w:r>
          </w:p>
        </w:tc>
        <w:tc>
          <w:tcPr>
            <w:tcW w:w="582" w:type="dxa"/>
            <w:noWrap/>
            <w:hideMark/>
          </w:tcPr>
          <w:p w14:paraId="159D2D08" w14:textId="77777777" w:rsidR="00A7742A" w:rsidRPr="00EE5F6D" w:rsidRDefault="00A7742A" w:rsidP="00944855">
            <w:r w:rsidRPr="00EE5F6D">
              <w:t>Review (Other)</w:t>
            </w:r>
          </w:p>
        </w:tc>
        <w:tc>
          <w:tcPr>
            <w:tcW w:w="3437" w:type="dxa"/>
            <w:noWrap/>
            <w:hideMark/>
          </w:tcPr>
          <w:p w14:paraId="49D54C7F" w14:textId="77777777" w:rsidR="00A7742A" w:rsidRPr="00EE5F6D" w:rsidRDefault="00A7742A" w:rsidP="00944855">
            <w:r w:rsidRPr="00EE5F6D">
              <w:t>Frequency of night time eating, sleep-wake rhythm dysregulation</w:t>
            </w:r>
          </w:p>
        </w:tc>
      </w:tr>
      <w:tr w:rsidR="00A7742A" w:rsidRPr="00EE5F6D" w14:paraId="7E18ED75" w14:textId="77777777" w:rsidTr="00944855">
        <w:trPr>
          <w:trHeight w:val="312"/>
        </w:trPr>
        <w:tc>
          <w:tcPr>
            <w:tcW w:w="541" w:type="dxa"/>
            <w:noWrap/>
            <w:hideMark/>
          </w:tcPr>
          <w:p w14:paraId="544F0DAF" w14:textId="77777777" w:rsidR="00A7742A" w:rsidRPr="00EE5F6D" w:rsidRDefault="00A7742A" w:rsidP="00944855">
            <w:r w:rsidRPr="00EE5F6D">
              <w:t>McElory et al., 2011</w:t>
            </w:r>
          </w:p>
        </w:tc>
        <w:tc>
          <w:tcPr>
            <w:tcW w:w="281" w:type="dxa"/>
            <w:noWrap/>
            <w:hideMark/>
          </w:tcPr>
          <w:p w14:paraId="77CCDBFF" w14:textId="77777777" w:rsidR="00A7742A" w:rsidRPr="00EE5F6D" w:rsidRDefault="00A7742A" w:rsidP="00944855">
            <w:r w:rsidRPr="00EE5F6D">
              <w:t>USA</w:t>
            </w:r>
          </w:p>
        </w:tc>
        <w:tc>
          <w:tcPr>
            <w:tcW w:w="479" w:type="dxa"/>
            <w:noWrap/>
            <w:hideMark/>
          </w:tcPr>
          <w:p w14:paraId="0920B549" w14:textId="77777777" w:rsidR="00A7742A" w:rsidRPr="00EE5F6D" w:rsidRDefault="00A7742A" w:rsidP="00944855">
            <w:r w:rsidRPr="00EE5F6D">
              <w:t>40</w:t>
            </w:r>
          </w:p>
        </w:tc>
        <w:tc>
          <w:tcPr>
            <w:tcW w:w="593" w:type="dxa"/>
            <w:noWrap/>
            <w:hideMark/>
          </w:tcPr>
          <w:p w14:paraId="46D75782" w14:textId="77777777" w:rsidR="00A7742A" w:rsidRPr="00EE5F6D" w:rsidRDefault="00A7742A" w:rsidP="00944855">
            <w:r w:rsidRPr="00EE5F6D">
              <w:t>Outpatient (Adult, All Genders)</w:t>
            </w:r>
          </w:p>
        </w:tc>
        <w:tc>
          <w:tcPr>
            <w:tcW w:w="3437" w:type="dxa"/>
            <w:noWrap/>
            <w:hideMark/>
          </w:tcPr>
          <w:p w14:paraId="4E44F396" w14:textId="0AE6260A" w:rsidR="00A7742A" w:rsidRPr="00EE5F6D" w:rsidRDefault="00A7742A" w:rsidP="00944855">
            <w:r w:rsidRPr="00EE5F6D">
              <w:t>To assess preliminarily the effectiveness of acamprosate in BED.</w:t>
            </w:r>
          </w:p>
        </w:tc>
        <w:tc>
          <w:tcPr>
            <w:tcW w:w="582" w:type="dxa"/>
            <w:noWrap/>
            <w:hideMark/>
          </w:tcPr>
          <w:p w14:paraId="4641A7C5" w14:textId="77777777" w:rsidR="00A7742A" w:rsidRPr="00EE5F6D" w:rsidRDefault="00A7742A" w:rsidP="00944855">
            <w:r w:rsidRPr="00EE5F6D">
              <w:t>RCT</w:t>
            </w:r>
          </w:p>
        </w:tc>
        <w:tc>
          <w:tcPr>
            <w:tcW w:w="3437" w:type="dxa"/>
            <w:noWrap/>
            <w:hideMark/>
          </w:tcPr>
          <w:p w14:paraId="5FCE0815" w14:textId="3A4DF891" w:rsidR="00A7742A" w:rsidRPr="00EE5F6D" w:rsidRDefault="00A7742A" w:rsidP="00944855">
            <w:r w:rsidRPr="00EE5F6D">
              <w:t xml:space="preserve">Primary: binge eating episode frequency. Secondary: weekly frequencies of binge days, weight, BMI, CGI-S and CGI-I, YBOCS-BE, </w:t>
            </w:r>
            <w:r w:rsidR="00872B1B">
              <w:t>Food craving inventory (</w:t>
            </w:r>
            <w:r w:rsidRPr="00EE5F6D">
              <w:t>FCI</w:t>
            </w:r>
            <w:r w:rsidR="00872B1B">
              <w:t>)</w:t>
            </w:r>
            <w:r w:rsidRPr="00EE5F6D">
              <w:t xml:space="preserve">, </w:t>
            </w:r>
            <w:r w:rsidR="00872B1B">
              <w:t xml:space="preserve">Three Factor Eating </w:t>
            </w:r>
            <w:r w:rsidR="00872B1B">
              <w:lastRenderedPageBreak/>
              <w:t>Questionnaire (</w:t>
            </w:r>
            <w:r w:rsidRPr="00EE5F6D">
              <w:t>TFEQ</w:t>
            </w:r>
            <w:r w:rsidR="00872B1B">
              <w:t>)</w:t>
            </w:r>
            <w:r w:rsidRPr="00EE5F6D">
              <w:t xml:space="preserve">, </w:t>
            </w:r>
            <w:r w:rsidR="00872B1B">
              <w:t>Montgomry Asberg Depression Rating Scale (</w:t>
            </w:r>
            <w:r w:rsidRPr="00EE5F6D">
              <w:t>MADRS</w:t>
            </w:r>
            <w:r w:rsidR="00872B1B">
              <w:t>)</w:t>
            </w:r>
            <w:r w:rsidRPr="00EE5F6D">
              <w:t>,</w:t>
            </w:r>
            <w:r w:rsidR="00872B1B">
              <w:t xml:space="preserve"> medical outcomes study 12-item short form health survey (</w:t>
            </w:r>
            <w:r w:rsidRPr="00EE5F6D">
              <w:t>SF-12</w:t>
            </w:r>
            <w:r w:rsidR="00872B1B">
              <w:t>)</w:t>
            </w:r>
            <w:r w:rsidRPr="00EE5F6D">
              <w:t>.</w:t>
            </w:r>
          </w:p>
        </w:tc>
      </w:tr>
      <w:tr w:rsidR="00A7742A" w:rsidRPr="00EE5F6D" w14:paraId="52EAE707" w14:textId="77777777" w:rsidTr="00944855">
        <w:trPr>
          <w:trHeight w:val="312"/>
        </w:trPr>
        <w:tc>
          <w:tcPr>
            <w:tcW w:w="541" w:type="dxa"/>
            <w:noWrap/>
            <w:hideMark/>
          </w:tcPr>
          <w:p w14:paraId="1D5AADEC" w14:textId="77777777" w:rsidR="00A7742A" w:rsidRPr="00EE5F6D" w:rsidRDefault="00A7742A" w:rsidP="00944855">
            <w:r w:rsidRPr="00EE5F6D">
              <w:lastRenderedPageBreak/>
              <w:t>McElroy et al., 2013</w:t>
            </w:r>
          </w:p>
        </w:tc>
        <w:tc>
          <w:tcPr>
            <w:tcW w:w="281" w:type="dxa"/>
            <w:noWrap/>
            <w:hideMark/>
          </w:tcPr>
          <w:p w14:paraId="3ACEF97F" w14:textId="77777777" w:rsidR="00A7742A" w:rsidRPr="00EE5F6D" w:rsidRDefault="00A7742A" w:rsidP="00944855">
            <w:r w:rsidRPr="00EE5F6D">
              <w:t>USA</w:t>
            </w:r>
          </w:p>
        </w:tc>
        <w:tc>
          <w:tcPr>
            <w:tcW w:w="479" w:type="dxa"/>
            <w:noWrap/>
            <w:hideMark/>
          </w:tcPr>
          <w:p w14:paraId="314650E8" w14:textId="77777777" w:rsidR="00A7742A" w:rsidRPr="00EE5F6D" w:rsidRDefault="00A7742A" w:rsidP="00944855">
            <w:r w:rsidRPr="00EE5F6D">
              <w:t>62</w:t>
            </w:r>
          </w:p>
        </w:tc>
        <w:tc>
          <w:tcPr>
            <w:tcW w:w="593" w:type="dxa"/>
            <w:noWrap/>
            <w:hideMark/>
          </w:tcPr>
          <w:p w14:paraId="719AB0F7" w14:textId="77777777" w:rsidR="00A7742A" w:rsidRPr="00EE5F6D" w:rsidRDefault="00A7742A" w:rsidP="00944855">
            <w:r w:rsidRPr="00EE5F6D">
              <w:t>Outpatient (Adult, All Genders)</w:t>
            </w:r>
          </w:p>
        </w:tc>
        <w:tc>
          <w:tcPr>
            <w:tcW w:w="3437" w:type="dxa"/>
            <w:noWrap/>
            <w:hideMark/>
          </w:tcPr>
          <w:p w14:paraId="5683E805" w14:textId="786DF052" w:rsidR="00A7742A" w:rsidRPr="00EE5F6D" w:rsidRDefault="00A7742A" w:rsidP="00944855">
            <w:r w:rsidRPr="00EE5F6D">
              <w:t>To assess preliminarily the effectiveness of a novel opioid antagonist, ALKS-33, in BED.</w:t>
            </w:r>
          </w:p>
        </w:tc>
        <w:tc>
          <w:tcPr>
            <w:tcW w:w="582" w:type="dxa"/>
            <w:noWrap/>
            <w:hideMark/>
          </w:tcPr>
          <w:p w14:paraId="1D68DE10" w14:textId="77777777" w:rsidR="00A7742A" w:rsidRPr="00EE5F6D" w:rsidRDefault="00A7742A" w:rsidP="00944855">
            <w:r w:rsidRPr="00EE5F6D">
              <w:t>RCT</w:t>
            </w:r>
          </w:p>
        </w:tc>
        <w:tc>
          <w:tcPr>
            <w:tcW w:w="3437" w:type="dxa"/>
            <w:noWrap/>
            <w:hideMark/>
          </w:tcPr>
          <w:p w14:paraId="5B1BC1E9" w14:textId="3457AF9C" w:rsidR="00A7742A" w:rsidRPr="00EE5F6D" w:rsidRDefault="00A7742A" w:rsidP="00944855">
            <w:r w:rsidRPr="00EE5F6D">
              <w:t xml:space="preserve">Binge eating (weekly binge frequency and days), Body weight, Eating pathology, weight, BMI, waist circumference, clinical assessment (YBOCS-BE, CGI-S, </w:t>
            </w:r>
            <w:r w:rsidR="00872B1B">
              <w:t>Eating inventory (</w:t>
            </w:r>
            <w:r w:rsidRPr="00EE5F6D">
              <w:t>EI</w:t>
            </w:r>
            <w:r w:rsidR="00872B1B">
              <w:t>)</w:t>
            </w:r>
            <w:r w:rsidRPr="00EE5F6D">
              <w:t>, FCI and BDI)</w:t>
            </w:r>
          </w:p>
        </w:tc>
      </w:tr>
      <w:tr w:rsidR="00A7742A" w:rsidRPr="00EE5F6D" w14:paraId="34F9A073" w14:textId="77777777" w:rsidTr="00944855">
        <w:trPr>
          <w:trHeight w:val="312"/>
        </w:trPr>
        <w:tc>
          <w:tcPr>
            <w:tcW w:w="541" w:type="dxa"/>
            <w:noWrap/>
            <w:hideMark/>
          </w:tcPr>
          <w:p w14:paraId="18ADDA27" w14:textId="77777777" w:rsidR="00A7742A" w:rsidRPr="00EE5F6D" w:rsidRDefault="00A7742A" w:rsidP="00944855">
            <w:r w:rsidRPr="00EE5F6D">
              <w:t>McElroy et al., 2014</w:t>
            </w:r>
          </w:p>
        </w:tc>
        <w:tc>
          <w:tcPr>
            <w:tcW w:w="281" w:type="dxa"/>
            <w:noWrap/>
            <w:hideMark/>
          </w:tcPr>
          <w:p w14:paraId="6096BF24" w14:textId="77777777" w:rsidR="00A7742A" w:rsidRPr="00EE5F6D" w:rsidRDefault="00A7742A" w:rsidP="00944855">
            <w:r w:rsidRPr="00EE5F6D">
              <w:t>USA</w:t>
            </w:r>
          </w:p>
        </w:tc>
        <w:tc>
          <w:tcPr>
            <w:tcW w:w="479" w:type="dxa"/>
            <w:noWrap/>
            <w:hideMark/>
          </w:tcPr>
          <w:p w14:paraId="122FB208" w14:textId="77777777" w:rsidR="00A7742A" w:rsidRPr="00EE5F6D" w:rsidRDefault="00A7742A" w:rsidP="00944855">
            <w:r w:rsidRPr="00EE5F6D">
              <w:t>260</w:t>
            </w:r>
          </w:p>
        </w:tc>
        <w:tc>
          <w:tcPr>
            <w:tcW w:w="593" w:type="dxa"/>
            <w:noWrap/>
            <w:hideMark/>
          </w:tcPr>
          <w:p w14:paraId="4ACD8A3D" w14:textId="77777777" w:rsidR="00A7742A" w:rsidRPr="00EE5F6D" w:rsidRDefault="00A7742A" w:rsidP="00944855">
            <w:r w:rsidRPr="00EE5F6D">
              <w:t>Community (Adult, All Genders)</w:t>
            </w:r>
          </w:p>
        </w:tc>
        <w:tc>
          <w:tcPr>
            <w:tcW w:w="3437" w:type="dxa"/>
            <w:noWrap/>
            <w:hideMark/>
          </w:tcPr>
          <w:p w14:paraId="4A3D1BE1" w14:textId="77777777" w:rsidR="00A7742A" w:rsidRPr="00EE5F6D" w:rsidRDefault="00A7742A" w:rsidP="00944855">
            <w:r w:rsidRPr="00EE5F6D">
              <w:t>To examine the effects of LDX on a range of behavioural and psychological features in individuals with BED by describing the effects of LDX on measures of binge eating behaviour and obsessive–compulsive and impulsive features beyond those previously reported for binge eating frequency.</w:t>
            </w:r>
          </w:p>
        </w:tc>
        <w:tc>
          <w:tcPr>
            <w:tcW w:w="582" w:type="dxa"/>
            <w:noWrap/>
            <w:hideMark/>
          </w:tcPr>
          <w:p w14:paraId="256358C9" w14:textId="77777777" w:rsidR="00A7742A" w:rsidRPr="00EE5F6D" w:rsidRDefault="00A7742A" w:rsidP="00944855">
            <w:r w:rsidRPr="00EE5F6D">
              <w:t>RCT</w:t>
            </w:r>
          </w:p>
        </w:tc>
        <w:tc>
          <w:tcPr>
            <w:tcW w:w="3437" w:type="dxa"/>
            <w:noWrap/>
            <w:hideMark/>
          </w:tcPr>
          <w:p w14:paraId="6F51ECE3" w14:textId="77777777" w:rsidR="00A7742A" w:rsidRPr="00EE5F6D" w:rsidRDefault="00A7742A" w:rsidP="00944855">
            <w:r w:rsidRPr="00EE5F6D">
              <w:t>Primary outcome: binge eating frequency. Secondary outcome: binge eating behaviours, obsessive-compulsive binge-related and impulsive features.</w:t>
            </w:r>
          </w:p>
        </w:tc>
      </w:tr>
      <w:tr w:rsidR="00A7742A" w:rsidRPr="00EE5F6D" w14:paraId="0925E7D4" w14:textId="77777777" w:rsidTr="00944855">
        <w:trPr>
          <w:trHeight w:val="312"/>
        </w:trPr>
        <w:tc>
          <w:tcPr>
            <w:tcW w:w="541" w:type="dxa"/>
            <w:noWrap/>
            <w:hideMark/>
          </w:tcPr>
          <w:p w14:paraId="678D297A" w14:textId="77777777" w:rsidR="00A7742A" w:rsidRPr="00EE5F6D" w:rsidRDefault="00A7742A" w:rsidP="00944855">
            <w:r w:rsidRPr="00EE5F6D">
              <w:t>McElroy et al., 2015</w:t>
            </w:r>
          </w:p>
        </w:tc>
        <w:tc>
          <w:tcPr>
            <w:tcW w:w="281" w:type="dxa"/>
            <w:noWrap/>
            <w:hideMark/>
          </w:tcPr>
          <w:p w14:paraId="2D7D1506" w14:textId="77777777" w:rsidR="00A7742A" w:rsidRPr="00EE5F6D" w:rsidRDefault="00A7742A" w:rsidP="00944855">
            <w:r w:rsidRPr="00EE5F6D">
              <w:t>Worldwide</w:t>
            </w:r>
          </w:p>
        </w:tc>
        <w:tc>
          <w:tcPr>
            <w:tcW w:w="479" w:type="dxa"/>
            <w:noWrap/>
            <w:hideMark/>
          </w:tcPr>
          <w:p w14:paraId="329C49A4" w14:textId="77777777" w:rsidR="00A7742A" w:rsidRPr="00EE5F6D" w:rsidRDefault="00A7742A" w:rsidP="00944855">
            <w:r w:rsidRPr="00EE5F6D">
              <w:t>N/A</w:t>
            </w:r>
          </w:p>
        </w:tc>
        <w:tc>
          <w:tcPr>
            <w:tcW w:w="593" w:type="dxa"/>
            <w:noWrap/>
            <w:hideMark/>
          </w:tcPr>
          <w:p w14:paraId="30C1F6D7" w14:textId="77777777" w:rsidR="00A7742A" w:rsidRPr="00EE5F6D" w:rsidRDefault="00A7742A" w:rsidP="00944855">
            <w:r w:rsidRPr="00EE5F6D">
              <w:t>N/A</w:t>
            </w:r>
          </w:p>
        </w:tc>
        <w:tc>
          <w:tcPr>
            <w:tcW w:w="3437" w:type="dxa"/>
            <w:noWrap/>
            <w:hideMark/>
          </w:tcPr>
          <w:p w14:paraId="1C275CEA" w14:textId="77777777" w:rsidR="00A7742A" w:rsidRPr="00EE5F6D" w:rsidRDefault="00A7742A" w:rsidP="00944855">
            <w:r w:rsidRPr="00EE5F6D">
              <w:t>To review the WFSBP guidelines and the literature on the pharmacotherapy of eating disorders published since then with a focus on randomized, placebo-controlled trials (RCTs)</w:t>
            </w:r>
          </w:p>
        </w:tc>
        <w:tc>
          <w:tcPr>
            <w:tcW w:w="582" w:type="dxa"/>
            <w:noWrap/>
            <w:hideMark/>
          </w:tcPr>
          <w:p w14:paraId="2D244970" w14:textId="77777777" w:rsidR="00A7742A" w:rsidRPr="00EE5F6D" w:rsidRDefault="00A7742A" w:rsidP="00944855">
            <w:r w:rsidRPr="00EE5F6D">
              <w:t>Review (Critical)</w:t>
            </w:r>
          </w:p>
        </w:tc>
        <w:tc>
          <w:tcPr>
            <w:tcW w:w="3437" w:type="dxa"/>
            <w:noWrap/>
            <w:hideMark/>
          </w:tcPr>
          <w:p w14:paraId="64220BA7" w14:textId="77777777" w:rsidR="00A7742A" w:rsidRPr="00EE5F6D" w:rsidRDefault="00A7742A" w:rsidP="00944855">
            <w:r w:rsidRPr="00EE5F6D">
              <w:t>Psychopharmacological treatments for EDs</w:t>
            </w:r>
          </w:p>
        </w:tc>
      </w:tr>
      <w:tr w:rsidR="00A7742A" w:rsidRPr="00EE5F6D" w14:paraId="25EBA8BE" w14:textId="77777777" w:rsidTr="00944855">
        <w:trPr>
          <w:trHeight w:val="312"/>
        </w:trPr>
        <w:tc>
          <w:tcPr>
            <w:tcW w:w="541" w:type="dxa"/>
            <w:noWrap/>
            <w:hideMark/>
          </w:tcPr>
          <w:p w14:paraId="0E3B618C" w14:textId="77777777" w:rsidR="00A7742A" w:rsidRPr="00EE5F6D" w:rsidRDefault="00A7742A" w:rsidP="00944855">
            <w:r w:rsidRPr="00EE5F6D">
              <w:lastRenderedPageBreak/>
              <w:t>McElroy et al., 2015</w:t>
            </w:r>
          </w:p>
        </w:tc>
        <w:tc>
          <w:tcPr>
            <w:tcW w:w="281" w:type="dxa"/>
            <w:noWrap/>
            <w:hideMark/>
          </w:tcPr>
          <w:p w14:paraId="1719EDD0" w14:textId="77777777" w:rsidR="00A7742A" w:rsidRPr="00EE5F6D" w:rsidRDefault="00A7742A" w:rsidP="00944855">
            <w:r w:rsidRPr="00EE5F6D">
              <w:t>USA</w:t>
            </w:r>
          </w:p>
        </w:tc>
        <w:tc>
          <w:tcPr>
            <w:tcW w:w="479" w:type="dxa"/>
            <w:noWrap/>
            <w:hideMark/>
          </w:tcPr>
          <w:p w14:paraId="58C4EFA5" w14:textId="77777777" w:rsidR="00A7742A" w:rsidRPr="00EE5F6D" w:rsidRDefault="00A7742A" w:rsidP="00944855">
            <w:r w:rsidRPr="00EE5F6D">
              <w:t>260</w:t>
            </w:r>
          </w:p>
        </w:tc>
        <w:tc>
          <w:tcPr>
            <w:tcW w:w="593" w:type="dxa"/>
            <w:noWrap/>
            <w:hideMark/>
          </w:tcPr>
          <w:p w14:paraId="162A77CB" w14:textId="77777777" w:rsidR="00A7742A" w:rsidRPr="00EE5F6D" w:rsidRDefault="00A7742A" w:rsidP="00944855">
            <w:r w:rsidRPr="00EE5F6D">
              <w:t>Outpatient (Adult, All Genders)</w:t>
            </w:r>
          </w:p>
        </w:tc>
        <w:tc>
          <w:tcPr>
            <w:tcW w:w="3437" w:type="dxa"/>
            <w:noWrap/>
            <w:hideMark/>
          </w:tcPr>
          <w:p w14:paraId="76425AF8" w14:textId="77777777" w:rsidR="00A7742A" w:rsidRPr="00EE5F6D" w:rsidRDefault="00A7742A" w:rsidP="00944855">
            <w:r w:rsidRPr="00EE5F6D">
              <w:t>To examine the efficacy and safety of lisdexamfetaminedimesylate, a dextroamphetamine prodrug, to treat moderate to severe BED.</w:t>
            </w:r>
          </w:p>
        </w:tc>
        <w:tc>
          <w:tcPr>
            <w:tcW w:w="582" w:type="dxa"/>
            <w:noWrap/>
            <w:hideMark/>
          </w:tcPr>
          <w:p w14:paraId="6AA8CD15" w14:textId="77777777" w:rsidR="00A7742A" w:rsidRPr="00EE5F6D" w:rsidRDefault="00A7742A" w:rsidP="00944855">
            <w:r w:rsidRPr="00EE5F6D">
              <w:t>RCT</w:t>
            </w:r>
          </w:p>
        </w:tc>
        <w:tc>
          <w:tcPr>
            <w:tcW w:w="3437" w:type="dxa"/>
            <w:noWrap/>
            <w:hideMark/>
          </w:tcPr>
          <w:p w14:paraId="68D09B88" w14:textId="1A752990" w:rsidR="00A7742A" w:rsidRPr="00EE5F6D" w:rsidRDefault="00A7742A" w:rsidP="00944855">
            <w:r w:rsidRPr="00EE5F6D">
              <w:t>Binge eating; Binge Eating Scale; BIS-11 (Barratt Impulsiveness Scale, version 11); early termination; HAM-A (Hamilton Anxiety Rating Scale); MADRS (Montgomery-Åsberg Depression Rating Scale); SF-12 (12-Item Short Form Health Survey, version 2); TFEQ (Three-Factor Eating Questionnaire); Y</w:t>
            </w:r>
            <w:r w:rsidR="006F2DAC">
              <w:t>-</w:t>
            </w:r>
            <w:r w:rsidRPr="00EE5F6D">
              <w:t>BOCS-BE (Yale- Brown Obsessive Compulsive Scale modified for BE)</w:t>
            </w:r>
          </w:p>
        </w:tc>
      </w:tr>
      <w:tr w:rsidR="00A7742A" w:rsidRPr="00EE5F6D" w14:paraId="706A4CC3" w14:textId="77777777" w:rsidTr="00944855">
        <w:trPr>
          <w:trHeight w:val="312"/>
        </w:trPr>
        <w:tc>
          <w:tcPr>
            <w:tcW w:w="541" w:type="dxa"/>
            <w:noWrap/>
            <w:hideMark/>
          </w:tcPr>
          <w:p w14:paraId="5CB54FEC" w14:textId="77777777" w:rsidR="00A7742A" w:rsidRPr="00EE5F6D" w:rsidRDefault="00A7742A" w:rsidP="00944855">
            <w:r w:rsidRPr="00EE5F6D">
              <w:t>McElroy et al., 2015</w:t>
            </w:r>
          </w:p>
        </w:tc>
        <w:tc>
          <w:tcPr>
            <w:tcW w:w="281" w:type="dxa"/>
            <w:noWrap/>
            <w:hideMark/>
          </w:tcPr>
          <w:p w14:paraId="32C7F4D7" w14:textId="77777777" w:rsidR="00A7742A" w:rsidRPr="00EE5F6D" w:rsidRDefault="00A7742A" w:rsidP="00944855">
            <w:r w:rsidRPr="00EE5F6D">
              <w:t>USA</w:t>
            </w:r>
          </w:p>
        </w:tc>
        <w:tc>
          <w:tcPr>
            <w:tcW w:w="479" w:type="dxa"/>
            <w:noWrap/>
            <w:hideMark/>
          </w:tcPr>
          <w:p w14:paraId="3C08A95B" w14:textId="77777777" w:rsidR="00A7742A" w:rsidRPr="00EE5F6D" w:rsidRDefault="00A7742A" w:rsidP="00944855">
            <w:r w:rsidRPr="00EE5F6D">
              <w:t>60</w:t>
            </w:r>
          </w:p>
        </w:tc>
        <w:tc>
          <w:tcPr>
            <w:tcW w:w="593" w:type="dxa"/>
            <w:noWrap/>
            <w:hideMark/>
          </w:tcPr>
          <w:p w14:paraId="3355EC50" w14:textId="77777777" w:rsidR="00A7742A" w:rsidRPr="00EE5F6D" w:rsidRDefault="00A7742A" w:rsidP="00944855">
            <w:r w:rsidRPr="00EE5F6D">
              <w:t>Community (Adult, All Genders)</w:t>
            </w:r>
          </w:p>
        </w:tc>
        <w:tc>
          <w:tcPr>
            <w:tcW w:w="3437" w:type="dxa"/>
            <w:noWrap/>
            <w:hideMark/>
          </w:tcPr>
          <w:p w14:paraId="02579441" w14:textId="77777777" w:rsidR="00A7742A" w:rsidRPr="00EE5F6D" w:rsidRDefault="00A7742A" w:rsidP="00944855">
            <w:r w:rsidRPr="00EE5F6D">
              <w:t>To evaluate the efficacy, tolerability, and safety of armodafinil in the treatment of binge eating disorder (BED)</w:t>
            </w:r>
          </w:p>
        </w:tc>
        <w:tc>
          <w:tcPr>
            <w:tcW w:w="582" w:type="dxa"/>
            <w:noWrap/>
            <w:hideMark/>
          </w:tcPr>
          <w:p w14:paraId="74DF3742" w14:textId="77777777" w:rsidR="00A7742A" w:rsidRPr="00EE5F6D" w:rsidRDefault="00A7742A" w:rsidP="00944855">
            <w:r w:rsidRPr="00EE5F6D">
              <w:t>RCT</w:t>
            </w:r>
          </w:p>
        </w:tc>
        <w:tc>
          <w:tcPr>
            <w:tcW w:w="3437" w:type="dxa"/>
            <w:noWrap/>
            <w:hideMark/>
          </w:tcPr>
          <w:p w14:paraId="3257E148" w14:textId="302A83FA" w:rsidR="00A7742A" w:rsidRPr="00EE5F6D" w:rsidRDefault="00A7742A" w:rsidP="00944855">
            <w:r w:rsidRPr="00EE5F6D">
              <w:t xml:space="preserve">BE days/week, BE episodes/week, CGI-S and CGI-I scores, YBOCS-BE Scores, EI scores, BFI scores, IDA scores, </w:t>
            </w:r>
            <w:r w:rsidR="00872B1B">
              <w:t>Beck anxiety inventory (</w:t>
            </w:r>
            <w:r w:rsidRPr="00EE5F6D">
              <w:t>BAI</w:t>
            </w:r>
            <w:r w:rsidR="00872B1B">
              <w:t>)</w:t>
            </w:r>
            <w:r w:rsidRPr="00EE5F6D">
              <w:t xml:space="preserve"> scores, weight, BMI </w:t>
            </w:r>
          </w:p>
        </w:tc>
      </w:tr>
      <w:tr w:rsidR="00A7742A" w:rsidRPr="00EE5F6D" w14:paraId="4A758F62" w14:textId="77777777" w:rsidTr="00944855">
        <w:trPr>
          <w:trHeight w:val="312"/>
        </w:trPr>
        <w:tc>
          <w:tcPr>
            <w:tcW w:w="541" w:type="dxa"/>
            <w:noWrap/>
            <w:hideMark/>
          </w:tcPr>
          <w:p w14:paraId="390FCB3A" w14:textId="77777777" w:rsidR="00A7742A" w:rsidRPr="00EE5F6D" w:rsidRDefault="00A7742A" w:rsidP="00944855">
            <w:r w:rsidRPr="00EE5F6D">
              <w:t>McElroy et al., 2016</w:t>
            </w:r>
          </w:p>
        </w:tc>
        <w:tc>
          <w:tcPr>
            <w:tcW w:w="281" w:type="dxa"/>
            <w:noWrap/>
            <w:hideMark/>
          </w:tcPr>
          <w:p w14:paraId="2DF4499C" w14:textId="77777777" w:rsidR="00A7742A" w:rsidRPr="00EE5F6D" w:rsidRDefault="00A7742A" w:rsidP="00944855">
            <w:r w:rsidRPr="00EE5F6D">
              <w:t>USA</w:t>
            </w:r>
          </w:p>
        </w:tc>
        <w:tc>
          <w:tcPr>
            <w:tcW w:w="479" w:type="dxa"/>
            <w:noWrap/>
            <w:hideMark/>
          </w:tcPr>
          <w:p w14:paraId="0FB8C1D6" w14:textId="77777777" w:rsidR="00A7742A" w:rsidRPr="00EE5F6D" w:rsidRDefault="00A7742A" w:rsidP="00944855">
            <w:r w:rsidRPr="00EE5F6D">
              <w:t>Study 1 = 383, Study 2 = 390 (Total = 773)</w:t>
            </w:r>
          </w:p>
        </w:tc>
        <w:tc>
          <w:tcPr>
            <w:tcW w:w="593" w:type="dxa"/>
            <w:noWrap/>
            <w:hideMark/>
          </w:tcPr>
          <w:p w14:paraId="3DF0F241" w14:textId="77777777" w:rsidR="00A7742A" w:rsidRPr="00EE5F6D" w:rsidRDefault="00A7742A" w:rsidP="00944855">
            <w:r w:rsidRPr="00EE5F6D">
              <w:t>Community (Adult, All Genders)</w:t>
            </w:r>
          </w:p>
        </w:tc>
        <w:tc>
          <w:tcPr>
            <w:tcW w:w="3437" w:type="dxa"/>
            <w:noWrap/>
            <w:hideMark/>
          </w:tcPr>
          <w:p w14:paraId="5F8A7457" w14:textId="77777777" w:rsidR="00A7742A" w:rsidRPr="00EE5F6D" w:rsidRDefault="00A7742A" w:rsidP="00944855">
            <w:r w:rsidRPr="00EE5F6D">
              <w:t>To evaluate the efficacy of LDX vs Placebo in BED.</w:t>
            </w:r>
          </w:p>
        </w:tc>
        <w:tc>
          <w:tcPr>
            <w:tcW w:w="582" w:type="dxa"/>
            <w:noWrap/>
            <w:hideMark/>
          </w:tcPr>
          <w:p w14:paraId="5D9E0771" w14:textId="77777777" w:rsidR="00A7742A" w:rsidRPr="00EE5F6D" w:rsidRDefault="00A7742A" w:rsidP="00944855">
            <w:r w:rsidRPr="00EE5F6D">
              <w:t>RCT</w:t>
            </w:r>
          </w:p>
        </w:tc>
        <w:tc>
          <w:tcPr>
            <w:tcW w:w="3437" w:type="dxa"/>
            <w:noWrap/>
            <w:hideMark/>
          </w:tcPr>
          <w:p w14:paraId="12907217" w14:textId="2CA96A08" w:rsidR="00A7742A" w:rsidRPr="00EE5F6D" w:rsidRDefault="00A7742A" w:rsidP="00944855">
            <w:r w:rsidRPr="00EE5F6D">
              <w:t xml:space="preserve">Change in baseline BE days/week, CGI-I, proportion of participants with 4-week binge eating cessation at week 12/ET, </w:t>
            </w:r>
            <w:r w:rsidR="006F2DAC">
              <w:t>Y</w:t>
            </w:r>
            <w:r w:rsidRPr="00EE5F6D">
              <w:t>-BOCS-BE score, weight change</w:t>
            </w:r>
          </w:p>
        </w:tc>
      </w:tr>
      <w:tr w:rsidR="00A7742A" w:rsidRPr="00EE5F6D" w14:paraId="1704111E" w14:textId="77777777" w:rsidTr="00944855">
        <w:trPr>
          <w:trHeight w:val="312"/>
        </w:trPr>
        <w:tc>
          <w:tcPr>
            <w:tcW w:w="541" w:type="dxa"/>
            <w:noWrap/>
            <w:hideMark/>
          </w:tcPr>
          <w:p w14:paraId="1B0A70D4" w14:textId="77777777" w:rsidR="00A7742A" w:rsidRPr="00EE5F6D" w:rsidRDefault="00A7742A" w:rsidP="00944855">
            <w:r w:rsidRPr="00EE5F6D">
              <w:t>McElroy et al., 2017</w:t>
            </w:r>
          </w:p>
        </w:tc>
        <w:tc>
          <w:tcPr>
            <w:tcW w:w="281" w:type="dxa"/>
            <w:noWrap/>
            <w:hideMark/>
          </w:tcPr>
          <w:p w14:paraId="7A9740C4" w14:textId="77777777" w:rsidR="00A7742A" w:rsidRPr="00EE5F6D" w:rsidRDefault="00A7742A" w:rsidP="00944855">
            <w:r w:rsidRPr="00EE5F6D">
              <w:t>USA</w:t>
            </w:r>
          </w:p>
        </w:tc>
        <w:tc>
          <w:tcPr>
            <w:tcW w:w="479" w:type="dxa"/>
            <w:noWrap/>
            <w:hideMark/>
          </w:tcPr>
          <w:p w14:paraId="179C918C" w14:textId="77777777" w:rsidR="00A7742A" w:rsidRPr="00EE5F6D" w:rsidRDefault="00A7742A" w:rsidP="00944855">
            <w:r w:rsidRPr="00EE5F6D">
              <w:t>724</w:t>
            </w:r>
          </w:p>
        </w:tc>
        <w:tc>
          <w:tcPr>
            <w:tcW w:w="593" w:type="dxa"/>
            <w:noWrap/>
            <w:hideMark/>
          </w:tcPr>
          <w:p w14:paraId="6C886287" w14:textId="77777777" w:rsidR="00A7742A" w:rsidRPr="00EE5F6D" w:rsidRDefault="00A7742A" w:rsidP="00944855">
            <w:r w:rsidRPr="00EE5F6D">
              <w:t xml:space="preserve">Community (Adult, All </w:t>
            </w:r>
            <w:r w:rsidRPr="00EE5F6D">
              <w:lastRenderedPageBreak/>
              <w:t>Genders)</w:t>
            </w:r>
          </w:p>
        </w:tc>
        <w:tc>
          <w:tcPr>
            <w:tcW w:w="3437" w:type="dxa"/>
            <w:noWrap/>
            <w:hideMark/>
          </w:tcPr>
          <w:p w14:paraId="4738B780" w14:textId="77777777" w:rsidR="00A7742A" w:rsidRPr="00EE5F6D" w:rsidRDefault="00A7742A" w:rsidP="00944855">
            <w:r w:rsidRPr="00EE5F6D">
              <w:lastRenderedPageBreak/>
              <w:t xml:space="preserve">To examine the time course of efficacy-related endpoints for lisdexamfetamine dimesylate (LDX) </w:t>
            </w:r>
            <w:r w:rsidRPr="00EE5F6D">
              <w:lastRenderedPageBreak/>
              <w:t>versus placebo in adults with protocol-defined moderate to severe binge-eating disorder (BED).</w:t>
            </w:r>
          </w:p>
        </w:tc>
        <w:tc>
          <w:tcPr>
            <w:tcW w:w="582" w:type="dxa"/>
            <w:noWrap/>
            <w:hideMark/>
          </w:tcPr>
          <w:p w14:paraId="65E4770C" w14:textId="77777777" w:rsidR="00A7742A" w:rsidRPr="00EE5F6D" w:rsidRDefault="00A7742A" w:rsidP="00944855">
            <w:r w:rsidRPr="00EE5F6D">
              <w:lastRenderedPageBreak/>
              <w:t>RCT</w:t>
            </w:r>
          </w:p>
        </w:tc>
        <w:tc>
          <w:tcPr>
            <w:tcW w:w="3437" w:type="dxa"/>
            <w:noWrap/>
            <w:hideMark/>
          </w:tcPr>
          <w:p w14:paraId="08B8077E" w14:textId="7A5592A3" w:rsidR="00A7742A" w:rsidRPr="00EE5F6D" w:rsidRDefault="00A7742A" w:rsidP="00944855">
            <w:r w:rsidRPr="00EE5F6D">
              <w:t xml:space="preserve">Self-reports (binge eating days/week, binge eating episodes/week, and 1-week binge eating </w:t>
            </w:r>
            <w:r w:rsidRPr="00EE5F6D">
              <w:lastRenderedPageBreak/>
              <w:t xml:space="preserve">response), CGI-I (from the perspective of BED symptoms), </w:t>
            </w:r>
            <w:r w:rsidR="006F2DAC">
              <w:t>Y</w:t>
            </w:r>
            <w:r w:rsidRPr="00EE5F6D">
              <w:t>-BOCS-BE (at weeks 4, 8, 12), Body weight.</w:t>
            </w:r>
          </w:p>
        </w:tc>
      </w:tr>
      <w:tr w:rsidR="00A7742A" w:rsidRPr="00EE5F6D" w14:paraId="24CFD5EE" w14:textId="77777777" w:rsidTr="00944855">
        <w:trPr>
          <w:trHeight w:val="312"/>
        </w:trPr>
        <w:tc>
          <w:tcPr>
            <w:tcW w:w="541" w:type="dxa"/>
            <w:noWrap/>
            <w:hideMark/>
          </w:tcPr>
          <w:p w14:paraId="1211630C" w14:textId="77777777" w:rsidR="00A7742A" w:rsidRPr="00EE5F6D" w:rsidRDefault="00A7742A" w:rsidP="00944855">
            <w:r w:rsidRPr="00EE5F6D">
              <w:lastRenderedPageBreak/>
              <w:t xml:space="preserve">McElroy et al., 2020 </w:t>
            </w:r>
          </w:p>
        </w:tc>
        <w:tc>
          <w:tcPr>
            <w:tcW w:w="281" w:type="dxa"/>
            <w:noWrap/>
            <w:hideMark/>
          </w:tcPr>
          <w:p w14:paraId="40119136" w14:textId="77777777" w:rsidR="00A7742A" w:rsidRPr="00EE5F6D" w:rsidRDefault="00A7742A" w:rsidP="00944855">
            <w:r w:rsidRPr="00EE5F6D">
              <w:t>USA</w:t>
            </w:r>
          </w:p>
        </w:tc>
        <w:tc>
          <w:tcPr>
            <w:tcW w:w="479" w:type="dxa"/>
            <w:hideMark/>
          </w:tcPr>
          <w:p w14:paraId="7CFC93E3" w14:textId="77777777" w:rsidR="00A7742A" w:rsidRPr="00EE5F6D" w:rsidRDefault="00A7742A" w:rsidP="00944855">
            <w:r w:rsidRPr="00EE5F6D">
              <w:t>315</w:t>
            </w:r>
          </w:p>
        </w:tc>
        <w:tc>
          <w:tcPr>
            <w:tcW w:w="593" w:type="dxa"/>
            <w:noWrap/>
            <w:hideMark/>
          </w:tcPr>
          <w:p w14:paraId="00C2726A" w14:textId="77777777" w:rsidR="00A7742A" w:rsidRPr="00EE5F6D" w:rsidRDefault="00A7742A" w:rsidP="00944855">
            <w:r w:rsidRPr="00EE5F6D">
              <w:t>Community (Adult, All Genders)</w:t>
            </w:r>
          </w:p>
        </w:tc>
        <w:tc>
          <w:tcPr>
            <w:tcW w:w="3437" w:type="dxa"/>
            <w:hideMark/>
          </w:tcPr>
          <w:p w14:paraId="3EAC053B" w14:textId="77777777" w:rsidR="00A7742A" w:rsidRPr="00EE5F6D" w:rsidRDefault="00A7742A" w:rsidP="00944855">
            <w:r w:rsidRPr="00EE5F6D">
              <w:t>To evaluate the efficacy and safety of dasotraline, a novel dopamine and norepinephrine reuptake inhibitor, in adults with BED.</w:t>
            </w:r>
          </w:p>
        </w:tc>
        <w:tc>
          <w:tcPr>
            <w:tcW w:w="582" w:type="dxa"/>
            <w:noWrap/>
            <w:hideMark/>
          </w:tcPr>
          <w:p w14:paraId="68516F2A" w14:textId="77777777" w:rsidR="00A7742A" w:rsidRPr="00EE5F6D" w:rsidRDefault="00A7742A" w:rsidP="00944855">
            <w:r w:rsidRPr="00EE5F6D">
              <w:t>RCT</w:t>
            </w:r>
          </w:p>
        </w:tc>
        <w:tc>
          <w:tcPr>
            <w:tcW w:w="3437" w:type="dxa"/>
            <w:noWrap/>
            <w:hideMark/>
          </w:tcPr>
          <w:p w14:paraId="1722958C" w14:textId="16ACE7CC" w:rsidR="00A7742A" w:rsidRPr="00EE5F6D" w:rsidRDefault="00A7742A" w:rsidP="00944855">
            <w:r w:rsidRPr="00EE5F6D">
              <w:t>Primary outcome: Change in the number of binge-eating days per week. Secondary outcomes: Y</w:t>
            </w:r>
            <w:r w:rsidR="006F2DAC">
              <w:t>-</w:t>
            </w:r>
            <w:r w:rsidRPr="00EE5F6D">
              <w:t xml:space="preserve">BOCS-BE, percentage of subjects with cessation of binge eating in the final 4 weeks </w:t>
            </w:r>
          </w:p>
        </w:tc>
      </w:tr>
      <w:tr w:rsidR="00A7742A" w:rsidRPr="00EE5F6D" w14:paraId="4DCE07EC" w14:textId="77777777" w:rsidTr="00944855">
        <w:trPr>
          <w:trHeight w:val="312"/>
        </w:trPr>
        <w:tc>
          <w:tcPr>
            <w:tcW w:w="541" w:type="dxa"/>
            <w:noWrap/>
            <w:hideMark/>
          </w:tcPr>
          <w:p w14:paraId="544EDC88" w14:textId="77777777" w:rsidR="00A7742A" w:rsidRPr="00EE5F6D" w:rsidRDefault="00A7742A" w:rsidP="00944855">
            <w:r w:rsidRPr="00EE5F6D">
              <w:t xml:space="preserve">McKnight and Park, 2010 </w:t>
            </w:r>
          </w:p>
        </w:tc>
        <w:tc>
          <w:tcPr>
            <w:tcW w:w="281" w:type="dxa"/>
            <w:noWrap/>
            <w:hideMark/>
          </w:tcPr>
          <w:p w14:paraId="706F3BC6" w14:textId="77777777" w:rsidR="00A7742A" w:rsidRPr="00EE5F6D" w:rsidRDefault="00A7742A" w:rsidP="00944855">
            <w:r w:rsidRPr="00EE5F6D">
              <w:t>Worldwide</w:t>
            </w:r>
          </w:p>
        </w:tc>
        <w:tc>
          <w:tcPr>
            <w:tcW w:w="479" w:type="dxa"/>
            <w:noWrap/>
            <w:hideMark/>
          </w:tcPr>
          <w:p w14:paraId="76550A1F" w14:textId="77777777" w:rsidR="00A7742A" w:rsidRPr="00EE5F6D" w:rsidRDefault="00A7742A" w:rsidP="00944855">
            <w:r w:rsidRPr="00EE5F6D">
              <w:t>N/A</w:t>
            </w:r>
          </w:p>
        </w:tc>
        <w:tc>
          <w:tcPr>
            <w:tcW w:w="593" w:type="dxa"/>
            <w:noWrap/>
            <w:hideMark/>
          </w:tcPr>
          <w:p w14:paraId="37723662" w14:textId="77777777" w:rsidR="00A7742A" w:rsidRPr="00EE5F6D" w:rsidRDefault="00A7742A" w:rsidP="00944855">
            <w:r w:rsidRPr="00EE5F6D">
              <w:t>Mixed (All Genders)</w:t>
            </w:r>
          </w:p>
        </w:tc>
        <w:tc>
          <w:tcPr>
            <w:tcW w:w="3437" w:type="dxa"/>
            <w:noWrap/>
            <w:hideMark/>
          </w:tcPr>
          <w:p w14:paraId="339D0F77" w14:textId="77777777" w:rsidR="00A7742A" w:rsidRPr="00EE5F6D" w:rsidRDefault="00A7742A" w:rsidP="00944855">
            <w:r w:rsidRPr="00EE5F6D">
              <w:t>To evaluate the literature on the use of atypical antipsychotics in AN.</w:t>
            </w:r>
          </w:p>
        </w:tc>
        <w:tc>
          <w:tcPr>
            <w:tcW w:w="582" w:type="dxa"/>
            <w:noWrap/>
            <w:hideMark/>
          </w:tcPr>
          <w:p w14:paraId="2B67151C" w14:textId="77777777" w:rsidR="00A7742A" w:rsidRPr="00EE5F6D" w:rsidRDefault="00A7742A" w:rsidP="00944855">
            <w:r w:rsidRPr="00EE5F6D">
              <w:t>Review (Other)</w:t>
            </w:r>
          </w:p>
        </w:tc>
        <w:tc>
          <w:tcPr>
            <w:tcW w:w="3437" w:type="dxa"/>
            <w:noWrap/>
            <w:hideMark/>
          </w:tcPr>
          <w:p w14:paraId="2CA19496" w14:textId="77777777" w:rsidR="00A7742A" w:rsidRPr="00EE5F6D" w:rsidRDefault="00A7742A" w:rsidP="00944855">
            <w:r w:rsidRPr="00EE5F6D">
              <w:t>BMI, anxiety and depression symptoms, ED symptoms</w:t>
            </w:r>
          </w:p>
        </w:tc>
      </w:tr>
      <w:tr w:rsidR="00A7742A" w:rsidRPr="00EE5F6D" w14:paraId="3B10B9F8" w14:textId="77777777" w:rsidTr="00944855">
        <w:trPr>
          <w:trHeight w:val="312"/>
        </w:trPr>
        <w:tc>
          <w:tcPr>
            <w:tcW w:w="541" w:type="dxa"/>
            <w:noWrap/>
            <w:hideMark/>
          </w:tcPr>
          <w:p w14:paraId="7412C2DF" w14:textId="77777777" w:rsidR="00A7742A" w:rsidRPr="00EE5F6D" w:rsidRDefault="00A7742A" w:rsidP="00944855">
            <w:r w:rsidRPr="00EE5F6D">
              <w:t>Miniati et al., 2016</w:t>
            </w:r>
          </w:p>
        </w:tc>
        <w:tc>
          <w:tcPr>
            <w:tcW w:w="281" w:type="dxa"/>
            <w:noWrap/>
            <w:hideMark/>
          </w:tcPr>
          <w:p w14:paraId="0ECAD28F" w14:textId="77777777" w:rsidR="00A7742A" w:rsidRPr="00EE5F6D" w:rsidRDefault="00A7742A" w:rsidP="00944855">
            <w:r w:rsidRPr="00EE5F6D">
              <w:t>Worldwide</w:t>
            </w:r>
          </w:p>
        </w:tc>
        <w:tc>
          <w:tcPr>
            <w:tcW w:w="479" w:type="dxa"/>
            <w:noWrap/>
            <w:hideMark/>
          </w:tcPr>
          <w:p w14:paraId="15FC8102" w14:textId="77777777" w:rsidR="00A7742A" w:rsidRPr="00EE5F6D" w:rsidRDefault="00A7742A" w:rsidP="00944855">
            <w:r w:rsidRPr="00EE5F6D">
              <w:t>N/A</w:t>
            </w:r>
          </w:p>
        </w:tc>
        <w:tc>
          <w:tcPr>
            <w:tcW w:w="593" w:type="dxa"/>
            <w:noWrap/>
            <w:hideMark/>
          </w:tcPr>
          <w:p w14:paraId="12EDE107" w14:textId="77777777" w:rsidR="00A7742A" w:rsidRPr="00EE5F6D" w:rsidRDefault="00A7742A" w:rsidP="00944855">
            <w:r w:rsidRPr="00EE5F6D">
              <w:t>Community (Adult, All Genders)</w:t>
            </w:r>
          </w:p>
        </w:tc>
        <w:tc>
          <w:tcPr>
            <w:tcW w:w="3437" w:type="dxa"/>
            <w:noWrap/>
            <w:hideMark/>
          </w:tcPr>
          <w:p w14:paraId="4ADE7EF7" w14:textId="77777777" w:rsidR="00A7742A" w:rsidRPr="00EE5F6D" w:rsidRDefault="00A7742A" w:rsidP="00944855">
            <w:r w:rsidRPr="00EE5F6D">
              <w:t>To summarize evidence from research on psychopharmacological options for adult patients with anorexia nervosa (AN)</w:t>
            </w:r>
          </w:p>
        </w:tc>
        <w:tc>
          <w:tcPr>
            <w:tcW w:w="582" w:type="dxa"/>
            <w:noWrap/>
            <w:hideMark/>
          </w:tcPr>
          <w:p w14:paraId="54B9B720" w14:textId="77777777" w:rsidR="00A7742A" w:rsidRPr="00EE5F6D" w:rsidRDefault="00A7742A" w:rsidP="00944855">
            <w:r w:rsidRPr="00EE5F6D">
              <w:t>Review (Critical)</w:t>
            </w:r>
          </w:p>
        </w:tc>
        <w:tc>
          <w:tcPr>
            <w:tcW w:w="3437" w:type="dxa"/>
            <w:noWrap/>
            <w:hideMark/>
          </w:tcPr>
          <w:p w14:paraId="73B327F4" w14:textId="77777777" w:rsidR="00A7742A" w:rsidRPr="00EE5F6D" w:rsidRDefault="00A7742A" w:rsidP="00944855">
            <w:r w:rsidRPr="00EE5F6D">
              <w:t>Effect of psychopharmacological options (antidepressants, antipsychotics, lithium, other) in treating EDs</w:t>
            </w:r>
          </w:p>
        </w:tc>
      </w:tr>
      <w:tr w:rsidR="00A7742A" w:rsidRPr="00EE5F6D" w14:paraId="5D34102B" w14:textId="77777777" w:rsidTr="00944855">
        <w:trPr>
          <w:trHeight w:val="312"/>
        </w:trPr>
        <w:tc>
          <w:tcPr>
            <w:tcW w:w="541" w:type="dxa"/>
            <w:noWrap/>
            <w:hideMark/>
          </w:tcPr>
          <w:p w14:paraId="0BBB4287" w14:textId="77777777" w:rsidR="00A7742A" w:rsidRPr="00EE5F6D" w:rsidRDefault="00A7742A" w:rsidP="00944855">
            <w:r w:rsidRPr="00EE5F6D">
              <w:t>Misra et al., 2014</w:t>
            </w:r>
          </w:p>
        </w:tc>
        <w:tc>
          <w:tcPr>
            <w:tcW w:w="281" w:type="dxa"/>
            <w:noWrap/>
            <w:hideMark/>
          </w:tcPr>
          <w:p w14:paraId="29F3E9F2" w14:textId="77777777" w:rsidR="00A7742A" w:rsidRPr="00EE5F6D" w:rsidRDefault="00A7742A" w:rsidP="00944855">
            <w:r w:rsidRPr="00EE5F6D">
              <w:t>USA</w:t>
            </w:r>
          </w:p>
        </w:tc>
        <w:tc>
          <w:tcPr>
            <w:tcW w:w="479" w:type="dxa"/>
            <w:noWrap/>
            <w:hideMark/>
          </w:tcPr>
          <w:p w14:paraId="0D62A589" w14:textId="77777777" w:rsidR="00A7742A" w:rsidRPr="00EE5F6D" w:rsidRDefault="00A7742A" w:rsidP="00944855">
            <w:r w:rsidRPr="00EE5F6D">
              <w:t>72</w:t>
            </w:r>
          </w:p>
        </w:tc>
        <w:tc>
          <w:tcPr>
            <w:tcW w:w="593" w:type="dxa"/>
            <w:noWrap/>
            <w:hideMark/>
          </w:tcPr>
          <w:p w14:paraId="1C752A3A" w14:textId="77777777" w:rsidR="00A7742A" w:rsidRPr="00EE5F6D" w:rsidRDefault="00A7742A" w:rsidP="00944855">
            <w:r w:rsidRPr="00EE5F6D">
              <w:t>Outpatient and Inpatient (Young adult, women)</w:t>
            </w:r>
          </w:p>
        </w:tc>
        <w:tc>
          <w:tcPr>
            <w:tcW w:w="3437" w:type="dxa"/>
            <w:noWrap/>
            <w:hideMark/>
          </w:tcPr>
          <w:p w14:paraId="55E1A20D" w14:textId="77777777" w:rsidR="00A7742A" w:rsidRPr="00EE5F6D" w:rsidRDefault="00A7742A" w:rsidP="00944855">
            <w:r w:rsidRPr="00EE5F6D">
              <w:t>To look at impacts of Estrogen replacement on AN's eating attitudes, anxiety and body image</w:t>
            </w:r>
          </w:p>
        </w:tc>
        <w:tc>
          <w:tcPr>
            <w:tcW w:w="582" w:type="dxa"/>
            <w:noWrap/>
            <w:hideMark/>
          </w:tcPr>
          <w:p w14:paraId="4C12A24A" w14:textId="77777777" w:rsidR="00A7742A" w:rsidRPr="00EE5F6D" w:rsidRDefault="00A7742A" w:rsidP="00944855">
            <w:r w:rsidRPr="00EE5F6D">
              <w:t>RCT</w:t>
            </w:r>
          </w:p>
        </w:tc>
        <w:tc>
          <w:tcPr>
            <w:tcW w:w="3437" w:type="dxa"/>
            <w:noWrap/>
            <w:hideMark/>
          </w:tcPr>
          <w:p w14:paraId="01E8DB5C" w14:textId="77777777" w:rsidR="00A7742A" w:rsidRPr="00EE5F6D" w:rsidRDefault="00A7742A" w:rsidP="00944855">
            <w:r w:rsidRPr="00EE5F6D">
              <w:t>Anxiety, eating behaviour, body image</w:t>
            </w:r>
          </w:p>
        </w:tc>
      </w:tr>
      <w:tr w:rsidR="00A7742A" w:rsidRPr="00EE5F6D" w14:paraId="795AC9D6" w14:textId="77777777" w:rsidTr="00944855">
        <w:trPr>
          <w:trHeight w:val="312"/>
        </w:trPr>
        <w:tc>
          <w:tcPr>
            <w:tcW w:w="541" w:type="dxa"/>
            <w:noWrap/>
            <w:hideMark/>
          </w:tcPr>
          <w:p w14:paraId="315D20DC" w14:textId="77777777" w:rsidR="00A7742A" w:rsidRPr="00EE5F6D" w:rsidRDefault="00A7742A" w:rsidP="00944855">
            <w:r w:rsidRPr="00EE5F6D">
              <w:t xml:space="preserve">Mitchell, Roerig and Steffen, 2013 </w:t>
            </w:r>
          </w:p>
        </w:tc>
        <w:tc>
          <w:tcPr>
            <w:tcW w:w="281" w:type="dxa"/>
            <w:noWrap/>
            <w:hideMark/>
          </w:tcPr>
          <w:p w14:paraId="5CC25D3B" w14:textId="77777777" w:rsidR="00A7742A" w:rsidRPr="00EE5F6D" w:rsidRDefault="00A7742A" w:rsidP="00944855">
            <w:r w:rsidRPr="00EE5F6D">
              <w:t>Worldwide</w:t>
            </w:r>
          </w:p>
        </w:tc>
        <w:tc>
          <w:tcPr>
            <w:tcW w:w="479" w:type="dxa"/>
            <w:noWrap/>
            <w:hideMark/>
          </w:tcPr>
          <w:p w14:paraId="277F7AF3" w14:textId="77777777" w:rsidR="00A7742A" w:rsidRPr="00EE5F6D" w:rsidRDefault="00A7742A" w:rsidP="00944855">
            <w:r w:rsidRPr="00EE5F6D">
              <w:t>N/A</w:t>
            </w:r>
          </w:p>
        </w:tc>
        <w:tc>
          <w:tcPr>
            <w:tcW w:w="593" w:type="dxa"/>
            <w:noWrap/>
            <w:hideMark/>
          </w:tcPr>
          <w:p w14:paraId="609C7FF0" w14:textId="77777777" w:rsidR="00A7742A" w:rsidRPr="00EE5F6D" w:rsidRDefault="00A7742A" w:rsidP="00944855">
            <w:r w:rsidRPr="00EE5F6D">
              <w:t>Community (Adult, All Genders)</w:t>
            </w:r>
          </w:p>
        </w:tc>
        <w:tc>
          <w:tcPr>
            <w:tcW w:w="3437" w:type="dxa"/>
            <w:noWrap/>
            <w:hideMark/>
          </w:tcPr>
          <w:p w14:paraId="6EE4F4D9" w14:textId="77777777" w:rsidR="00A7742A" w:rsidRPr="00EE5F6D" w:rsidRDefault="00A7742A" w:rsidP="00944855">
            <w:r w:rsidRPr="00EE5F6D">
              <w:t>To provide a comprehensive review of pharmacotherapy and other biological treatments for eating disorders.</w:t>
            </w:r>
          </w:p>
        </w:tc>
        <w:tc>
          <w:tcPr>
            <w:tcW w:w="582" w:type="dxa"/>
            <w:noWrap/>
            <w:hideMark/>
          </w:tcPr>
          <w:p w14:paraId="609220CA" w14:textId="77777777" w:rsidR="00A7742A" w:rsidRPr="00EE5F6D" w:rsidRDefault="00A7742A" w:rsidP="00944855">
            <w:r w:rsidRPr="00EE5F6D">
              <w:t>Review (Critical)</w:t>
            </w:r>
          </w:p>
        </w:tc>
        <w:tc>
          <w:tcPr>
            <w:tcW w:w="3437" w:type="dxa"/>
            <w:noWrap/>
            <w:hideMark/>
          </w:tcPr>
          <w:p w14:paraId="6100DE3E" w14:textId="77777777" w:rsidR="00A7742A" w:rsidRPr="00EE5F6D" w:rsidRDefault="00A7742A" w:rsidP="00944855">
            <w:r w:rsidRPr="00EE5F6D">
              <w:t>Pharmacological treatment of EDs</w:t>
            </w:r>
          </w:p>
        </w:tc>
      </w:tr>
      <w:tr w:rsidR="00A7742A" w:rsidRPr="00EE5F6D" w14:paraId="5603A738" w14:textId="77777777" w:rsidTr="00944855">
        <w:trPr>
          <w:trHeight w:val="312"/>
        </w:trPr>
        <w:tc>
          <w:tcPr>
            <w:tcW w:w="541" w:type="dxa"/>
            <w:noWrap/>
            <w:hideMark/>
          </w:tcPr>
          <w:p w14:paraId="2AFE045D" w14:textId="77777777" w:rsidR="00A7742A" w:rsidRPr="00EE5F6D" w:rsidRDefault="00A7742A" w:rsidP="00944855">
            <w:r w:rsidRPr="00EE5F6D">
              <w:t xml:space="preserve">Mond and Calogero, 2009 </w:t>
            </w:r>
          </w:p>
        </w:tc>
        <w:tc>
          <w:tcPr>
            <w:tcW w:w="281" w:type="dxa"/>
            <w:noWrap/>
            <w:hideMark/>
          </w:tcPr>
          <w:p w14:paraId="6DFA33BB" w14:textId="77777777" w:rsidR="00A7742A" w:rsidRPr="00EE5F6D" w:rsidRDefault="00A7742A" w:rsidP="00944855">
            <w:r w:rsidRPr="00EE5F6D">
              <w:t>Australia</w:t>
            </w:r>
          </w:p>
        </w:tc>
        <w:tc>
          <w:tcPr>
            <w:tcW w:w="479" w:type="dxa"/>
            <w:noWrap/>
            <w:hideMark/>
          </w:tcPr>
          <w:p w14:paraId="329F85DE" w14:textId="77777777" w:rsidR="00A7742A" w:rsidRPr="00EE5F6D" w:rsidRDefault="00A7742A" w:rsidP="00944855">
            <w:r w:rsidRPr="00EE5F6D">
              <w:t>286</w:t>
            </w:r>
          </w:p>
        </w:tc>
        <w:tc>
          <w:tcPr>
            <w:tcW w:w="593" w:type="dxa"/>
            <w:noWrap/>
            <w:hideMark/>
          </w:tcPr>
          <w:p w14:paraId="2CDF7615" w14:textId="77777777" w:rsidR="00A7742A" w:rsidRPr="00EE5F6D" w:rsidRDefault="00A7742A" w:rsidP="00944855">
            <w:r w:rsidRPr="00EE5F6D">
              <w:t xml:space="preserve">Outpatient (Adult, All </w:t>
            </w:r>
            <w:r w:rsidRPr="00EE5F6D">
              <w:lastRenderedPageBreak/>
              <w:t>Genders)</w:t>
            </w:r>
          </w:p>
        </w:tc>
        <w:tc>
          <w:tcPr>
            <w:tcW w:w="3437" w:type="dxa"/>
            <w:noWrap/>
            <w:hideMark/>
          </w:tcPr>
          <w:p w14:paraId="13C1D4B4" w14:textId="77777777" w:rsidR="00A7742A" w:rsidRPr="00EE5F6D" w:rsidRDefault="00A7742A" w:rsidP="00944855">
            <w:r w:rsidRPr="00EE5F6D">
              <w:lastRenderedPageBreak/>
              <w:t xml:space="preserve">To (1) compare eating disorder patients and healthy women on measures </w:t>
            </w:r>
            <w:r w:rsidRPr="00EE5F6D">
              <w:lastRenderedPageBreak/>
              <w:t>of obligatory exercise, motivation for exercise, and frequency of hard exercise for weight or shape reasons, in order to elucidate the nature of excessive exercise among individuals with eating disorders; (2) compare excessive exercise behaviour between subgroups of eating disorder patients.</w:t>
            </w:r>
          </w:p>
        </w:tc>
        <w:tc>
          <w:tcPr>
            <w:tcW w:w="582" w:type="dxa"/>
            <w:noWrap/>
            <w:hideMark/>
          </w:tcPr>
          <w:p w14:paraId="0E09C566" w14:textId="77777777" w:rsidR="00A7742A" w:rsidRPr="00EE5F6D" w:rsidRDefault="00A7742A" w:rsidP="00944855">
            <w:r w:rsidRPr="00EE5F6D">
              <w:lastRenderedPageBreak/>
              <w:t xml:space="preserve">Quasi-experimental </w:t>
            </w:r>
            <w:r w:rsidRPr="00EE5F6D">
              <w:lastRenderedPageBreak/>
              <w:t>(intervention)</w:t>
            </w:r>
          </w:p>
        </w:tc>
        <w:tc>
          <w:tcPr>
            <w:tcW w:w="3437" w:type="dxa"/>
            <w:noWrap/>
            <w:hideMark/>
          </w:tcPr>
          <w:p w14:paraId="27E6A2E3" w14:textId="77777777" w:rsidR="00A7742A" w:rsidRPr="00EE5F6D" w:rsidRDefault="00A7742A" w:rsidP="00944855">
            <w:r w:rsidRPr="00EE5F6D">
              <w:lastRenderedPageBreak/>
              <w:t xml:space="preserve">Self-report measures - Commitment to Exercise Scale, Reasons for </w:t>
            </w:r>
            <w:r w:rsidRPr="00EE5F6D">
              <w:lastRenderedPageBreak/>
              <w:t>Exercise Inventory, Frequency of 'hard exercise for weight and shape reasons'</w:t>
            </w:r>
          </w:p>
        </w:tc>
      </w:tr>
      <w:tr w:rsidR="00A7742A" w:rsidRPr="00EE5F6D" w14:paraId="58D1A75B" w14:textId="77777777" w:rsidTr="00944855">
        <w:trPr>
          <w:trHeight w:val="312"/>
        </w:trPr>
        <w:tc>
          <w:tcPr>
            <w:tcW w:w="541" w:type="dxa"/>
            <w:noWrap/>
            <w:hideMark/>
          </w:tcPr>
          <w:p w14:paraId="6532F77E" w14:textId="77777777" w:rsidR="00A7742A" w:rsidRPr="00EE5F6D" w:rsidRDefault="00A7742A" w:rsidP="00944855">
            <w:r w:rsidRPr="00EE5F6D">
              <w:lastRenderedPageBreak/>
              <w:t>Monge et al., 2015</w:t>
            </w:r>
          </w:p>
        </w:tc>
        <w:tc>
          <w:tcPr>
            <w:tcW w:w="281" w:type="dxa"/>
            <w:noWrap/>
            <w:hideMark/>
          </w:tcPr>
          <w:p w14:paraId="6F4D890B" w14:textId="77777777" w:rsidR="00A7742A" w:rsidRPr="00EE5F6D" w:rsidRDefault="00A7742A" w:rsidP="00944855">
            <w:r w:rsidRPr="00EE5F6D">
              <w:t>USA</w:t>
            </w:r>
          </w:p>
        </w:tc>
        <w:tc>
          <w:tcPr>
            <w:tcW w:w="479" w:type="dxa"/>
            <w:noWrap/>
            <w:hideMark/>
          </w:tcPr>
          <w:p w14:paraId="0C8F56E5" w14:textId="77777777" w:rsidR="00A7742A" w:rsidRPr="00EE5F6D" w:rsidRDefault="00A7742A" w:rsidP="00944855">
            <w:r w:rsidRPr="00EE5F6D">
              <w:t>635</w:t>
            </w:r>
          </w:p>
        </w:tc>
        <w:tc>
          <w:tcPr>
            <w:tcW w:w="593" w:type="dxa"/>
            <w:noWrap/>
            <w:hideMark/>
          </w:tcPr>
          <w:p w14:paraId="7205583E" w14:textId="77777777" w:rsidR="00A7742A" w:rsidRPr="00EE5F6D" w:rsidRDefault="00A7742A" w:rsidP="00944855">
            <w:r w:rsidRPr="00EE5F6D">
              <w:t>Community (Adolescents, All Genders)</w:t>
            </w:r>
          </w:p>
        </w:tc>
        <w:tc>
          <w:tcPr>
            <w:tcW w:w="3437" w:type="dxa"/>
            <w:noWrap/>
            <w:hideMark/>
          </w:tcPr>
          <w:p w14:paraId="5217468C" w14:textId="77777777" w:rsidR="00A7742A" w:rsidRPr="00EE5F6D" w:rsidRDefault="00A7742A" w:rsidP="00944855">
            <w:r w:rsidRPr="00EE5F6D">
              <w:t>To examine the use of psychopharmacologic medications in adolescents referred for treatment of restrictive ED, potential factors associated with their use, and reported psychiatric comorbidities</w:t>
            </w:r>
          </w:p>
        </w:tc>
        <w:tc>
          <w:tcPr>
            <w:tcW w:w="582" w:type="dxa"/>
            <w:noWrap/>
            <w:hideMark/>
          </w:tcPr>
          <w:p w14:paraId="61FA44CB" w14:textId="77777777" w:rsidR="00A7742A" w:rsidRPr="00EE5F6D" w:rsidRDefault="00A7742A" w:rsidP="00944855">
            <w:r w:rsidRPr="00EE5F6D">
              <w:t>Longitudinal (&lt;5yr)</w:t>
            </w:r>
          </w:p>
        </w:tc>
        <w:tc>
          <w:tcPr>
            <w:tcW w:w="3437" w:type="dxa"/>
            <w:noWrap/>
            <w:hideMark/>
          </w:tcPr>
          <w:p w14:paraId="592E1B14" w14:textId="77777777" w:rsidR="00A7742A" w:rsidRPr="00EE5F6D" w:rsidRDefault="00A7742A" w:rsidP="00944855">
            <w:r w:rsidRPr="00EE5F6D">
              <w:t>Reported psychopharmacologic medication use</w:t>
            </w:r>
          </w:p>
        </w:tc>
      </w:tr>
      <w:tr w:rsidR="00A7742A" w:rsidRPr="00EE5F6D" w14:paraId="418565B4" w14:textId="77777777" w:rsidTr="00944855">
        <w:trPr>
          <w:trHeight w:val="312"/>
        </w:trPr>
        <w:tc>
          <w:tcPr>
            <w:tcW w:w="541" w:type="dxa"/>
            <w:noWrap/>
            <w:hideMark/>
          </w:tcPr>
          <w:p w14:paraId="7E0E26C5" w14:textId="77777777" w:rsidR="00A7742A" w:rsidRPr="00EE5F6D" w:rsidRDefault="00A7742A" w:rsidP="00944855">
            <w:r w:rsidRPr="00EE5F6D">
              <w:t>Moola et al., 2013</w:t>
            </w:r>
          </w:p>
        </w:tc>
        <w:tc>
          <w:tcPr>
            <w:tcW w:w="281" w:type="dxa"/>
            <w:noWrap/>
            <w:hideMark/>
          </w:tcPr>
          <w:p w14:paraId="7FF2562A" w14:textId="77777777" w:rsidR="00A7742A" w:rsidRPr="00EE5F6D" w:rsidRDefault="00A7742A" w:rsidP="00944855">
            <w:r w:rsidRPr="00EE5F6D">
              <w:t>Worldwide</w:t>
            </w:r>
          </w:p>
        </w:tc>
        <w:tc>
          <w:tcPr>
            <w:tcW w:w="479" w:type="dxa"/>
            <w:noWrap/>
            <w:hideMark/>
          </w:tcPr>
          <w:p w14:paraId="0EE07A2E" w14:textId="77777777" w:rsidR="00A7742A" w:rsidRPr="00EE5F6D" w:rsidRDefault="00A7742A" w:rsidP="00944855">
            <w:r w:rsidRPr="00EE5F6D">
              <w:t>10</w:t>
            </w:r>
          </w:p>
        </w:tc>
        <w:tc>
          <w:tcPr>
            <w:tcW w:w="593" w:type="dxa"/>
            <w:noWrap/>
            <w:hideMark/>
          </w:tcPr>
          <w:p w14:paraId="54BBDFFF" w14:textId="77777777" w:rsidR="00A7742A" w:rsidRPr="00EE5F6D" w:rsidRDefault="00A7742A" w:rsidP="00944855">
            <w:r w:rsidRPr="00EE5F6D">
              <w:t>Community (Adult, All Genders)</w:t>
            </w:r>
          </w:p>
        </w:tc>
        <w:tc>
          <w:tcPr>
            <w:tcW w:w="3437" w:type="dxa"/>
            <w:noWrap/>
            <w:hideMark/>
          </w:tcPr>
          <w:p w14:paraId="468D16B3" w14:textId="77777777" w:rsidR="00A7742A" w:rsidRPr="00EE5F6D" w:rsidRDefault="00A7742A" w:rsidP="00944855">
            <w:r w:rsidRPr="00EE5F6D">
              <w:t>To review literature on the impact of exercise training interventions for patients living with AN.</w:t>
            </w:r>
          </w:p>
        </w:tc>
        <w:tc>
          <w:tcPr>
            <w:tcW w:w="582" w:type="dxa"/>
            <w:noWrap/>
            <w:hideMark/>
          </w:tcPr>
          <w:p w14:paraId="2DAC9B6F" w14:textId="77777777" w:rsidR="00A7742A" w:rsidRPr="00EE5F6D" w:rsidRDefault="00A7742A" w:rsidP="00944855">
            <w:r w:rsidRPr="00EE5F6D">
              <w:t>Review (Systematic)</w:t>
            </w:r>
          </w:p>
        </w:tc>
        <w:tc>
          <w:tcPr>
            <w:tcW w:w="3437" w:type="dxa"/>
            <w:noWrap/>
            <w:hideMark/>
          </w:tcPr>
          <w:p w14:paraId="51D3B2F6" w14:textId="77777777" w:rsidR="00A7742A" w:rsidRPr="00EE5F6D" w:rsidRDefault="00A7742A" w:rsidP="00944855">
            <w:r w:rsidRPr="00EE5F6D">
              <w:t>BMI, eating disorder symptoms, quality of life, psychological wellbeing, compliance to treatment, fitness and strength.</w:t>
            </w:r>
          </w:p>
        </w:tc>
      </w:tr>
      <w:tr w:rsidR="00A7742A" w:rsidRPr="00EE5F6D" w14:paraId="19275A80" w14:textId="77777777" w:rsidTr="00944855">
        <w:trPr>
          <w:trHeight w:val="312"/>
        </w:trPr>
        <w:tc>
          <w:tcPr>
            <w:tcW w:w="541" w:type="dxa"/>
            <w:noWrap/>
            <w:hideMark/>
          </w:tcPr>
          <w:p w14:paraId="359B782B" w14:textId="77777777" w:rsidR="00A7742A" w:rsidRPr="00EE5F6D" w:rsidRDefault="00A7742A" w:rsidP="00944855">
            <w:r w:rsidRPr="00EE5F6D">
              <w:t>Murray et al., 2021</w:t>
            </w:r>
          </w:p>
        </w:tc>
        <w:tc>
          <w:tcPr>
            <w:tcW w:w="281" w:type="dxa"/>
            <w:noWrap/>
            <w:hideMark/>
          </w:tcPr>
          <w:p w14:paraId="285DD1EE" w14:textId="77777777" w:rsidR="00A7742A" w:rsidRPr="00EE5F6D" w:rsidRDefault="00A7742A" w:rsidP="00944855">
            <w:r w:rsidRPr="00EE5F6D">
              <w:t>Worldwide</w:t>
            </w:r>
          </w:p>
        </w:tc>
        <w:tc>
          <w:tcPr>
            <w:tcW w:w="479" w:type="dxa"/>
            <w:noWrap/>
            <w:hideMark/>
          </w:tcPr>
          <w:p w14:paraId="324B55CD" w14:textId="77777777" w:rsidR="00A7742A" w:rsidRPr="00EE5F6D" w:rsidRDefault="00A7742A" w:rsidP="00944855">
            <w:r w:rsidRPr="00EE5F6D">
              <w:t>20</w:t>
            </w:r>
          </w:p>
        </w:tc>
        <w:tc>
          <w:tcPr>
            <w:tcW w:w="593" w:type="dxa"/>
            <w:noWrap/>
            <w:hideMark/>
          </w:tcPr>
          <w:p w14:paraId="0F27781C" w14:textId="77777777" w:rsidR="00A7742A" w:rsidRPr="00EE5F6D" w:rsidRDefault="00A7742A" w:rsidP="00944855">
            <w:r w:rsidRPr="00EE5F6D">
              <w:t>Community (Adult, All Genders)</w:t>
            </w:r>
          </w:p>
        </w:tc>
        <w:tc>
          <w:tcPr>
            <w:tcW w:w="3437" w:type="dxa"/>
            <w:noWrap/>
            <w:hideMark/>
          </w:tcPr>
          <w:p w14:paraId="78378D74" w14:textId="77777777" w:rsidR="00A7742A" w:rsidRPr="00EE5F6D" w:rsidRDefault="00A7742A" w:rsidP="00944855">
            <w:r w:rsidRPr="00EE5F6D">
              <w:t xml:space="preserve">To extend the scope of earlier reviews by (i) systematically assessing all neurosurgical and neuromodulatory treatments for AN, (ii) aggregating novel evidence not included in previous reviews, (iii) offering alternative findings from recent </w:t>
            </w:r>
            <w:r w:rsidRPr="00EE5F6D">
              <w:lastRenderedPageBreak/>
              <w:t>interpretations of the existing data, and (iv) outlining key initiatives for future research.</w:t>
            </w:r>
          </w:p>
        </w:tc>
        <w:tc>
          <w:tcPr>
            <w:tcW w:w="582" w:type="dxa"/>
            <w:noWrap/>
            <w:hideMark/>
          </w:tcPr>
          <w:p w14:paraId="063A9FB1" w14:textId="77777777" w:rsidR="00A7742A" w:rsidRPr="00EE5F6D" w:rsidRDefault="00A7742A" w:rsidP="00944855">
            <w:r w:rsidRPr="00EE5F6D">
              <w:lastRenderedPageBreak/>
              <w:t>Review (Systematic)</w:t>
            </w:r>
          </w:p>
        </w:tc>
        <w:tc>
          <w:tcPr>
            <w:tcW w:w="3437" w:type="dxa"/>
            <w:noWrap/>
            <w:hideMark/>
          </w:tcPr>
          <w:p w14:paraId="120D0938" w14:textId="77777777" w:rsidR="00A7742A" w:rsidRPr="00EE5F6D" w:rsidRDefault="00A7742A" w:rsidP="00944855">
            <w:r w:rsidRPr="00EE5F6D">
              <w:t>Weight symptoms, psychological symptoms</w:t>
            </w:r>
          </w:p>
        </w:tc>
      </w:tr>
      <w:tr w:rsidR="00A7742A" w:rsidRPr="00EE5F6D" w14:paraId="35DF80C3" w14:textId="77777777" w:rsidTr="00944855">
        <w:trPr>
          <w:trHeight w:val="312"/>
        </w:trPr>
        <w:tc>
          <w:tcPr>
            <w:tcW w:w="541" w:type="dxa"/>
            <w:noWrap/>
            <w:hideMark/>
          </w:tcPr>
          <w:p w14:paraId="15C799F9" w14:textId="77777777" w:rsidR="00A7742A" w:rsidRPr="00EE5F6D" w:rsidRDefault="00A7742A" w:rsidP="00944855">
            <w:r w:rsidRPr="00EE5F6D">
              <w:t>Nazar et al., 2017</w:t>
            </w:r>
          </w:p>
        </w:tc>
        <w:tc>
          <w:tcPr>
            <w:tcW w:w="281" w:type="dxa"/>
            <w:noWrap/>
            <w:hideMark/>
          </w:tcPr>
          <w:p w14:paraId="256AA526" w14:textId="77777777" w:rsidR="00A7742A" w:rsidRPr="00EE5F6D" w:rsidRDefault="00A7742A" w:rsidP="00944855">
            <w:r w:rsidRPr="00EE5F6D">
              <w:t>Worldwide</w:t>
            </w:r>
          </w:p>
        </w:tc>
        <w:tc>
          <w:tcPr>
            <w:tcW w:w="479" w:type="dxa"/>
            <w:noWrap/>
            <w:hideMark/>
          </w:tcPr>
          <w:p w14:paraId="074E656B" w14:textId="77777777" w:rsidR="00A7742A" w:rsidRPr="00EE5F6D" w:rsidRDefault="00A7742A" w:rsidP="00944855">
            <w:r w:rsidRPr="00EE5F6D">
              <w:t>24</w:t>
            </w:r>
          </w:p>
        </w:tc>
        <w:tc>
          <w:tcPr>
            <w:tcW w:w="593" w:type="dxa"/>
            <w:noWrap/>
            <w:hideMark/>
          </w:tcPr>
          <w:p w14:paraId="65957FB4" w14:textId="77777777" w:rsidR="00A7742A" w:rsidRPr="00EE5F6D" w:rsidRDefault="00A7742A" w:rsidP="00944855">
            <w:r w:rsidRPr="00EE5F6D">
              <w:t>Community (Adult, All Genders)</w:t>
            </w:r>
          </w:p>
        </w:tc>
        <w:tc>
          <w:tcPr>
            <w:tcW w:w="3437" w:type="dxa"/>
            <w:noWrap/>
            <w:hideMark/>
          </w:tcPr>
          <w:p w14:paraId="33510152" w14:textId="77777777" w:rsidR="00A7742A" w:rsidRPr="00EE5F6D" w:rsidRDefault="00A7742A" w:rsidP="00944855">
            <w:r w:rsidRPr="00EE5F6D">
              <w:t>To collate the literature relating to the early response to treatment in eating disorders and conduct a meta-analysis using diagnostic test accuracy methodology to examine the robustness of the early response concept as a predictor of outcome.</w:t>
            </w:r>
          </w:p>
        </w:tc>
        <w:tc>
          <w:tcPr>
            <w:tcW w:w="582" w:type="dxa"/>
            <w:noWrap/>
            <w:hideMark/>
          </w:tcPr>
          <w:p w14:paraId="45AC73F7" w14:textId="77777777" w:rsidR="00A7742A" w:rsidRPr="00EE5F6D" w:rsidRDefault="00A7742A" w:rsidP="00944855">
            <w:r w:rsidRPr="00EE5F6D">
              <w:t>Systematic Review/ Meta-Analysis (combined)</w:t>
            </w:r>
          </w:p>
        </w:tc>
        <w:tc>
          <w:tcPr>
            <w:tcW w:w="3437" w:type="dxa"/>
            <w:noWrap/>
            <w:hideMark/>
          </w:tcPr>
          <w:p w14:paraId="03E9A805" w14:textId="77777777" w:rsidR="00A7742A" w:rsidRPr="00EE5F6D" w:rsidRDefault="00A7742A" w:rsidP="00944855">
            <w:r w:rsidRPr="00EE5F6D">
              <w:t>Accuracy measures (sensitivity, specificity, positive likelihood ratios and negative likelihood ratios)</w:t>
            </w:r>
          </w:p>
        </w:tc>
      </w:tr>
      <w:tr w:rsidR="00A7742A" w:rsidRPr="00EE5F6D" w14:paraId="45E6EA32" w14:textId="77777777" w:rsidTr="00944855">
        <w:trPr>
          <w:trHeight w:val="312"/>
        </w:trPr>
        <w:tc>
          <w:tcPr>
            <w:tcW w:w="541" w:type="dxa"/>
            <w:noWrap/>
            <w:hideMark/>
          </w:tcPr>
          <w:p w14:paraId="5A5B947A" w14:textId="77777777" w:rsidR="00A7742A" w:rsidRPr="00EE5F6D" w:rsidRDefault="00A7742A" w:rsidP="00944855">
            <w:r w:rsidRPr="00EE5F6D">
              <w:t>Ng,  Ng and Wong, 2013</w:t>
            </w:r>
          </w:p>
        </w:tc>
        <w:tc>
          <w:tcPr>
            <w:tcW w:w="281" w:type="dxa"/>
            <w:noWrap/>
            <w:hideMark/>
          </w:tcPr>
          <w:p w14:paraId="065BEBC8" w14:textId="77777777" w:rsidR="00A7742A" w:rsidRPr="00EE5F6D" w:rsidRDefault="00A7742A" w:rsidP="00944855">
            <w:r w:rsidRPr="00EE5F6D">
              <w:t>Worldwide</w:t>
            </w:r>
          </w:p>
        </w:tc>
        <w:tc>
          <w:tcPr>
            <w:tcW w:w="479" w:type="dxa"/>
            <w:noWrap/>
            <w:hideMark/>
          </w:tcPr>
          <w:p w14:paraId="0F711ADF" w14:textId="77777777" w:rsidR="00A7742A" w:rsidRPr="00EE5F6D" w:rsidRDefault="00A7742A" w:rsidP="00944855">
            <w:r w:rsidRPr="00EE5F6D">
              <w:t>9</w:t>
            </w:r>
          </w:p>
        </w:tc>
        <w:tc>
          <w:tcPr>
            <w:tcW w:w="593" w:type="dxa"/>
            <w:noWrap/>
            <w:hideMark/>
          </w:tcPr>
          <w:p w14:paraId="01208DDE" w14:textId="77777777" w:rsidR="00A7742A" w:rsidRPr="00EE5F6D" w:rsidRDefault="00A7742A" w:rsidP="00944855">
            <w:r w:rsidRPr="00EE5F6D">
              <w:t>Community (Adult, All Genders)</w:t>
            </w:r>
          </w:p>
        </w:tc>
        <w:tc>
          <w:tcPr>
            <w:tcW w:w="3437" w:type="dxa"/>
            <w:noWrap/>
            <w:hideMark/>
          </w:tcPr>
          <w:p w14:paraId="58EF419B" w14:textId="77777777" w:rsidR="00A7742A" w:rsidRPr="00EE5F6D" w:rsidRDefault="00A7742A" w:rsidP="00944855">
            <w:r w:rsidRPr="00EE5F6D">
              <w:t>To examine the effects of supervised exercise training in patients with anorexia nervosa.</w:t>
            </w:r>
          </w:p>
        </w:tc>
        <w:tc>
          <w:tcPr>
            <w:tcW w:w="582" w:type="dxa"/>
            <w:noWrap/>
            <w:hideMark/>
          </w:tcPr>
          <w:p w14:paraId="6DB4CDD8" w14:textId="77777777" w:rsidR="00A7742A" w:rsidRPr="00EE5F6D" w:rsidRDefault="00A7742A" w:rsidP="00944855">
            <w:r w:rsidRPr="00EE5F6D">
              <w:t>Meta-Analysis</w:t>
            </w:r>
          </w:p>
        </w:tc>
        <w:tc>
          <w:tcPr>
            <w:tcW w:w="3437" w:type="dxa"/>
            <w:noWrap/>
            <w:hideMark/>
          </w:tcPr>
          <w:p w14:paraId="4C49CA69" w14:textId="77777777" w:rsidR="00A7742A" w:rsidRPr="00EE5F6D" w:rsidRDefault="00A7742A" w:rsidP="00944855">
            <w:r w:rsidRPr="00EE5F6D">
              <w:t>Anthropometric measurements, weight, body fat, cardiovascular fitness, feelings about food and exercise</w:t>
            </w:r>
          </w:p>
        </w:tc>
      </w:tr>
      <w:tr w:rsidR="00A7742A" w:rsidRPr="00EE5F6D" w14:paraId="6EF2E933" w14:textId="77777777" w:rsidTr="00944855">
        <w:trPr>
          <w:trHeight w:val="312"/>
        </w:trPr>
        <w:tc>
          <w:tcPr>
            <w:tcW w:w="541" w:type="dxa"/>
            <w:noWrap/>
            <w:hideMark/>
          </w:tcPr>
          <w:p w14:paraId="46B36804" w14:textId="77777777" w:rsidR="00A7742A" w:rsidRPr="00EE5F6D" w:rsidRDefault="00A7742A" w:rsidP="00944855">
            <w:r w:rsidRPr="00EE5F6D">
              <w:t>Norris et al., 2011</w:t>
            </w:r>
          </w:p>
        </w:tc>
        <w:tc>
          <w:tcPr>
            <w:tcW w:w="281" w:type="dxa"/>
            <w:noWrap/>
            <w:hideMark/>
          </w:tcPr>
          <w:p w14:paraId="6BAA31D9" w14:textId="77777777" w:rsidR="00A7742A" w:rsidRPr="00EE5F6D" w:rsidRDefault="00A7742A" w:rsidP="00944855">
            <w:r w:rsidRPr="00EE5F6D">
              <w:t>Canada</w:t>
            </w:r>
          </w:p>
        </w:tc>
        <w:tc>
          <w:tcPr>
            <w:tcW w:w="479" w:type="dxa"/>
            <w:noWrap/>
            <w:hideMark/>
          </w:tcPr>
          <w:p w14:paraId="7B474E36" w14:textId="77777777" w:rsidR="00A7742A" w:rsidRPr="00EE5F6D" w:rsidRDefault="00A7742A" w:rsidP="00944855">
            <w:r w:rsidRPr="00EE5F6D">
              <w:t>86</w:t>
            </w:r>
          </w:p>
        </w:tc>
        <w:tc>
          <w:tcPr>
            <w:tcW w:w="593" w:type="dxa"/>
            <w:noWrap/>
            <w:hideMark/>
          </w:tcPr>
          <w:p w14:paraId="79905B89" w14:textId="77777777" w:rsidR="00A7742A" w:rsidRPr="00EE5F6D" w:rsidRDefault="00A7742A" w:rsidP="00944855">
            <w:r w:rsidRPr="00EE5F6D">
              <w:t>Outpatient (Young Adult, Women)</w:t>
            </w:r>
          </w:p>
        </w:tc>
        <w:tc>
          <w:tcPr>
            <w:tcW w:w="3437" w:type="dxa"/>
            <w:noWrap/>
            <w:hideMark/>
          </w:tcPr>
          <w:p w14:paraId="32148298" w14:textId="77777777" w:rsidR="00A7742A" w:rsidRPr="00EE5F6D" w:rsidRDefault="00A7742A" w:rsidP="00944855">
            <w:r w:rsidRPr="00EE5F6D">
              <w:t>To examine assessment and treatment profiles of adolescent patients with anorexia nervosa and eating disorder not otherwise specified who received olanzapine as compared with an untreated matched sample.</w:t>
            </w:r>
          </w:p>
        </w:tc>
        <w:tc>
          <w:tcPr>
            <w:tcW w:w="582" w:type="dxa"/>
            <w:noWrap/>
            <w:hideMark/>
          </w:tcPr>
          <w:p w14:paraId="57E2C361" w14:textId="77777777" w:rsidR="00A7742A" w:rsidRPr="00EE5F6D" w:rsidRDefault="00A7742A" w:rsidP="00944855">
            <w:r w:rsidRPr="00EE5F6D">
              <w:t>Quasi-experimental (intervention)</w:t>
            </w:r>
          </w:p>
        </w:tc>
        <w:tc>
          <w:tcPr>
            <w:tcW w:w="3437" w:type="dxa"/>
            <w:noWrap/>
            <w:hideMark/>
          </w:tcPr>
          <w:p w14:paraId="316E48FD" w14:textId="77777777" w:rsidR="00A7742A" w:rsidRPr="00EE5F6D" w:rsidRDefault="00A7742A" w:rsidP="00944855">
            <w:r w:rsidRPr="00EE5F6D">
              <w:t xml:space="preserve">Drive for thinness, body satisfaction, BMI, Children’s Depression Inventory; Multidimensional Anxiety Scale for Children; ED </w:t>
            </w:r>
          </w:p>
        </w:tc>
      </w:tr>
      <w:tr w:rsidR="00A7742A" w:rsidRPr="00EE5F6D" w14:paraId="6D8AC5F4" w14:textId="77777777" w:rsidTr="00944855">
        <w:trPr>
          <w:trHeight w:val="312"/>
        </w:trPr>
        <w:tc>
          <w:tcPr>
            <w:tcW w:w="541" w:type="dxa"/>
            <w:noWrap/>
            <w:hideMark/>
          </w:tcPr>
          <w:p w14:paraId="77E93AD1" w14:textId="77777777" w:rsidR="00A7742A" w:rsidRPr="00EE5F6D" w:rsidRDefault="00A7742A" w:rsidP="00944855">
            <w:r w:rsidRPr="00EE5F6D">
              <w:t>Nourredine et al., 2020</w:t>
            </w:r>
          </w:p>
        </w:tc>
        <w:tc>
          <w:tcPr>
            <w:tcW w:w="281" w:type="dxa"/>
            <w:noWrap/>
            <w:hideMark/>
          </w:tcPr>
          <w:p w14:paraId="49825657" w14:textId="77777777" w:rsidR="00A7742A" w:rsidRPr="00EE5F6D" w:rsidRDefault="00A7742A" w:rsidP="00944855">
            <w:r w:rsidRPr="00EE5F6D">
              <w:t>Worldwide</w:t>
            </w:r>
          </w:p>
        </w:tc>
        <w:tc>
          <w:tcPr>
            <w:tcW w:w="479" w:type="dxa"/>
            <w:noWrap/>
            <w:hideMark/>
          </w:tcPr>
          <w:p w14:paraId="28372F88" w14:textId="77777777" w:rsidR="00A7742A" w:rsidRPr="00EE5F6D" w:rsidRDefault="00A7742A" w:rsidP="00944855">
            <w:r w:rsidRPr="00EE5F6D">
              <w:t>3</w:t>
            </w:r>
          </w:p>
        </w:tc>
        <w:tc>
          <w:tcPr>
            <w:tcW w:w="593" w:type="dxa"/>
            <w:noWrap/>
            <w:hideMark/>
          </w:tcPr>
          <w:p w14:paraId="68274BC5" w14:textId="77777777" w:rsidR="00A7742A" w:rsidRPr="00EE5F6D" w:rsidRDefault="00A7742A" w:rsidP="00944855">
            <w:r w:rsidRPr="00EE5F6D">
              <w:t>Community (Adult, All Genders)</w:t>
            </w:r>
          </w:p>
        </w:tc>
        <w:tc>
          <w:tcPr>
            <w:tcW w:w="3437" w:type="dxa"/>
            <w:noWrap/>
            <w:hideMark/>
          </w:tcPr>
          <w:p w14:paraId="4692BCD4" w14:textId="77777777" w:rsidR="00A7742A" w:rsidRPr="00EE5F6D" w:rsidRDefault="00A7742A" w:rsidP="00944855">
            <w:r w:rsidRPr="00EE5F6D">
              <w:t xml:space="preserve">To assess the efficacy and safety of topiramate in treating binge eating disorder (BED), using a systematic review and meta-analysis of the available </w:t>
            </w:r>
            <w:r w:rsidRPr="00EE5F6D">
              <w:lastRenderedPageBreak/>
              <w:t>randomized clinical trials (RCTs).</w:t>
            </w:r>
          </w:p>
        </w:tc>
        <w:tc>
          <w:tcPr>
            <w:tcW w:w="582" w:type="dxa"/>
            <w:noWrap/>
            <w:hideMark/>
          </w:tcPr>
          <w:p w14:paraId="0662D8F3" w14:textId="77777777" w:rsidR="00A7742A" w:rsidRPr="00EE5F6D" w:rsidRDefault="00A7742A" w:rsidP="00944855">
            <w:r w:rsidRPr="00EE5F6D">
              <w:lastRenderedPageBreak/>
              <w:t>Systematic Review/ Meta-Analysis (combined)</w:t>
            </w:r>
          </w:p>
        </w:tc>
        <w:tc>
          <w:tcPr>
            <w:tcW w:w="3437" w:type="dxa"/>
            <w:noWrap/>
            <w:hideMark/>
          </w:tcPr>
          <w:p w14:paraId="1929A424" w14:textId="77777777" w:rsidR="00A7742A" w:rsidRPr="00EE5F6D" w:rsidRDefault="00A7742A" w:rsidP="00944855">
            <w:r w:rsidRPr="00EE5F6D">
              <w:t xml:space="preserve">Primary outcomes: (1) change in binge frequency (2) change in quality of life (3) change in weight or BMI; Secondary outcomes: (1) change in </w:t>
            </w:r>
            <w:r w:rsidRPr="00EE5F6D">
              <w:lastRenderedPageBreak/>
              <w:t>obsessive–compulsive symptoms and impulsivity outcomes (2) changes in depression (3) treatment retention measured through dropout rates (4) safety features measured using the number of participants reporting serious adverse events or adverse events reported as the cause of a drop out.</w:t>
            </w:r>
          </w:p>
        </w:tc>
      </w:tr>
      <w:tr w:rsidR="00A7742A" w:rsidRPr="00EE5F6D" w14:paraId="09B66A42" w14:textId="77777777" w:rsidTr="00944855">
        <w:trPr>
          <w:trHeight w:val="312"/>
        </w:trPr>
        <w:tc>
          <w:tcPr>
            <w:tcW w:w="541" w:type="dxa"/>
            <w:noWrap/>
            <w:hideMark/>
          </w:tcPr>
          <w:p w14:paraId="7FD9096A" w14:textId="77777777" w:rsidR="00A7742A" w:rsidRPr="00EE5F6D" w:rsidRDefault="00A7742A" w:rsidP="00944855">
            <w:r w:rsidRPr="00EE5F6D">
              <w:lastRenderedPageBreak/>
              <w:t xml:space="preserve">Nourredine et al., 2021 </w:t>
            </w:r>
          </w:p>
        </w:tc>
        <w:tc>
          <w:tcPr>
            <w:tcW w:w="281" w:type="dxa"/>
            <w:noWrap/>
            <w:hideMark/>
          </w:tcPr>
          <w:p w14:paraId="444B1760" w14:textId="77777777" w:rsidR="00A7742A" w:rsidRPr="00EE5F6D" w:rsidRDefault="00A7742A" w:rsidP="00944855">
            <w:r w:rsidRPr="00EE5F6D">
              <w:t>Worldwide</w:t>
            </w:r>
          </w:p>
        </w:tc>
        <w:tc>
          <w:tcPr>
            <w:tcW w:w="479" w:type="dxa"/>
            <w:noWrap/>
            <w:hideMark/>
          </w:tcPr>
          <w:p w14:paraId="0FCC9F0F" w14:textId="77777777" w:rsidR="00A7742A" w:rsidRPr="00EE5F6D" w:rsidRDefault="00A7742A" w:rsidP="00944855">
            <w:r w:rsidRPr="00EE5F6D">
              <w:t>62</w:t>
            </w:r>
          </w:p>
        </w:tc>
        <w:tc>
          <w:tcPr>
            <w:tcW w:w="593" w:type="dxa"/>
            <w:noWrap/>
            <w:hideMark/>
          </w:tcPr>
          <w:p w14:paraId="37FECC7B" w14:textId="77777777" w:rsidR="00A7742A" w:rsidRPr="00EE5F6D" w:rsidRDefault="00A7742A" w:rsidP="00944855">
            <w:r w:rsidRPr="00EE5F6D">
              <w:t>Community (Adult, All Genders)</w:t>
            </w:r>
          </w:p>
        </w:tc>
        <w:tc>
          <w:tcPr>
            <w:tcW w:w="3437" w:type="dxa"/>
            <w:hideMark/>
          </w:tcPr>
          <w:p w14:paraId="44F74FD8" w14:textId="77777777" w:rsidR="00A7742A" w:rsidRPr="00EE5F6D" w:rsidRDefault="00A7742A" w:rsidP="00944855">
            <w:r w:rsidRPr="00EE5F6D">
              <w:t>To fill the research gap by reviewing data on the use of topiramate in addictive and eating disorders, and to assist in defining its role in the management of these disorders.</w:t>
            </w:r>
          </w:p>
        </w:tc>
        <w:tc>
          <w:tcPr>
            <w:tcW w:w="582" w:type="dxa"/>
            <w:noWrap/>
            <w:hideMark/>
          </w:tcPr>
          <w:p w14:paraId="5EBEDE0B" w14:textId="77777777" w:rsidR="00A7742A" w:rsidRPr="00EE5F6D" w:rsidRDefault="00A7742A" w:rsidP="00944855">
            <w:r w:rsidRPr="00EE5F6D">
              <w:t>Review (Systematic)</w:t>
            </w:r>
          </w:p>
        </w:tc>
        <w:tc>
          <w:tcPr>
            <w:tcW w:w="3437" w:type="dxa"/>
            <w:noWrap/>
            <w:hideMark/>
          </w:tcPr>
          <w:p w14:paraId="5B593E43" w14:textId="77777777" w:rsidR="00A7742A" w:rsidRPr="00EE5F6D" w:rsidRDefault="00A7742A" w:rsidP="00944855">
            <w:r w:rsidRPr="00EE5F6D">
              <w:t>Treatment schemes, efficacy, and safety features</w:t>
            </w:r>
          </w:p>
        </w:tc>
      </w:tr>
      <w:tr w:rsidR="00A7742A" w:rsidRPr="00EE5F6D" w14:paraId="07BB00E6" w14:textId="77777777" w:rsidTr="00944855">
        <w:trPr>
          <w:trHeight w:val="312"/>
        </w:trPr>
        <w:tc>
          <w:tcPr>
            <w:tcW w:w="541" w:type="dxa"/>
            <w:noWrap/>
            <w:hideMark/>
          </w:tcPr>
          <w:p w14:paraId="36171841" w14:textId="77777777" w:rsidR="00A7742A" w:rsidRPr="00EE5F6D" w:rsidRDefault="00A7742A" w:rsidP="00944855">
            <w:r w:rsidRPr="00EE5F6D">
              <w:t>Ostermann et al., 2019</w:t>
            </w:r>
          </w:p>
        </w:tc>
        <w:tc>
          <w:tcPr>
            <w:tcW w:w="281" w:type="dxa"/>
            <w:noWrap/>
            <w:hideMark/>
          </w:tcPr>
          <w:p w14:paraId="2F0A4AE2" w14:textId="77777777" w:rsidR="00A7742A" w:rsidRPr="00EE5F6D" w:rsidRDefault="00A7742A" w:rsidP="00944855">
            <w:r w:rsidRPr="00EE5F6D">
              <w:t>Worldwide</w:t>
            </w:r>
          </w:p>
        </w:tc>
        <w:tc>
          <w:tcPr>
            <w:tcW w:w="479" w:type="dxa"/>
            <w:noWrap/>
            <w:hideMark/>
          </w:tcPr>
          <w:p w14:paraId="38E78EB4" w14:textId="77777777" w:rsidR="00A7742A" w:rsidRPr="00EE5F6D" w:rsidRDefault="00A7742A" w:rsidP="00944855">
            <w:r w:rsidRPr="00EE5F6D">
              <w:t>8</w:t>
            </w:r>
          </w:p>
        </w:tc>
        <w:tc>
          <w:tcPr>
            <w:tcW w:w="593" w:type="dxa"/>
            <w:noWrap/>
            <w:hideMark/>
          </w:tcPr>
          <w:p w14:paraId="265A57A0" w14:textId="77777777" w:rsidR="00A7742A" w:rsidRPr="00EE5F6D" w:rsidRDefault="00A7742A" w:rsidP="00944855">
            <w:r w:rsidRPr="00EE5F6D">
              <w:t>Community (Adult, All Genders)</w:t>
            </w:r>
          </w:p>
        </w:tc>
        <w:tc>
          <w:tcPr>
            <w:tcW w:w="3437" w:type="dxa"/>
            <w:noWrap/>
            <w:hideMark/>
          </w:tcPr>
          <w:p w14:paraId="72E04C7F" w14:textId="77777777" w:rsidR="00A7742A" w:rsidRPr="00EE5F6D" w:rsidRDefault="00A7742A" w:rsidP="00944855">
            <w:r w:rsidRPr="00EE5F6D">
              <w:t>To systematically assess and the effectiveness and safety of yoga in patients with eating disorders.</w:t>
            </w:r>
          </w:p>
        </w:tc>
        <w:tc>
          <w:tcPr>
            <w:tcW w:w="582" w:type="dxa"/>
            <w:noWrap/>
            <w:hideMark/>
          </w:tcPr>
          <w:p w14:paraId="21E386E5" w14:textId="77777777" w:rsidR="00A7742A" w:rsidRPr="00EE5F6D" w:rsidRDefault="00A7742A" w:rsidP="00944855">
            <w:r w:rsidRPr="00EE5F6D">
              <w:t>Review (Systematic)</w:t>
            </w:r>
          </w:p>
        </w:tc>
        <w:tc>
          <w:tcPr>
            <w:tcW w:w="3437" w:type="dxa"/>
            <w:noWrap/>
            <w:hideMark/>
          </w:tcPr>
          <w:p w14:paraId="30BAC241" w14:textId="77777777" w:rsidR="00A7742A" w:rsidRPr="00EE5F6D" w:rsidRDefault="00A7742A" w:rsidP="00944855">
            <w:r w:rsidRPr="00EE5F6D">
              <w:t>Primary outcomes: Improvements in disorder-specific or general eating-related symptoms, BMI. Secondary outcome: safety.</w:t>
            </w:r>
          </w:p>
        </w:tc>
      </w:tr>
      <w:tr w:rsidR="00A7742A" w:rsidRPr="00EE5F6D" w14:paraId="368C3D0F" w14:textId="77777777" w:rsidTr="00944855">
        <w:trPr>
          <w:trHeight w:val="312"/>
        </w:trPr>
        <w:tc>
          <w:tcPr>
            <w:tcW w:w="541" w:type="dxa"/>
            <w:noWrap/>
            <w:hideMark/>
          </w:tcPr>
          <w:p w14:paraId="2C1E1D65" w14:textId="77777777" w:rsidR="00A7742A" w:rsidRPr="00EE5F6D" w:rsidRDefault="00A7742A" w:rsidP="00944855">
            <w:r w:rsidRPr="00EE5F6D">
              <w:t>Pacanowski et al., 2017</w:t>
            </w:r>
          </w:p>
        </w:tc>
        <w:tc>
          <w:tcPr>
            <w:tcW w:w="281" w:type="dxa"/>
            <w:noWrap/>
            <w:hideMark/>
          </w:tcPr>
          <w:p w14:paraId="1A5A7B1E" w14:textId="77777777" w:rsidR="00A7742A" w:rsidRPr="00EE5F6D" w:rsidRDefault="00A7742A" w:rsidP="00944855">
            <w:r w:rsidRPr="00EE5F6D">
              <w:t>USA</w:t>
            </w:r>
          </w:p>
        </w:tc>
        <w:tc>
          <w:tcPr>
            <w:tcW w:w="479" w:type="dxa"/>
            <w:noWrap/>
            <w:hideMark/>
          </w:tcPr>
          <w:p w14:paraId="1C31F60F" w14:textId="77777777" w:rsidR="00A7742A" w:rsidRPr="00EE5F6D" w:rsidRDefault="00A7742A" w:rsidP="00944855">
            <w:r w:rsidRPr="00EE5F6D">
              <w:t>38</w:t>
            </w:r>
          </w:p>
        </w:tc>
        <w:tc>
          <w:tcPr>
            <w:tcW w:w="593" w:type="dxa"/>
            <w:noWrap/>
            <w:hideMark/>
          </w:tcPr>
          <w:p w14:paraId="43B94DDA" w14:textId="77777777" w:rsidR="00A7742A" w:rsidRPr="00EE5F6D" w:rsidRDefault="00A7742A" w:rsidP="00944855">
            <w:r w:rsidRPr="00EE5F6D">
              <w:t>Inpatient (Adult, All Genders)</w:t>
            </w:r>
          </w:p>
        </w:tc>
        <w:tc>
          <w:tcPr>
            <w:tcW w:w="3437" w:type="dxa"/>
            <w:noWrap/>
            <w:hideMark/>
          </w:tcPr>
          <w:p w14:paraId="36EC8B13" w14:textId="77777777" w:rsidR="00A7742A" w:rsidRPr="00EE5F6D" w:rsidRDefault="00A7742A" w:rsidP="00944855">
            <w:r w:rsidRPr="00EE5F6D">
              <w:t>To investigate the effect of yoga on mealtime negative affect and eating disorder symptoms, using a randomized, controlled study design, during residential eating disorder treatment.</w:t>
            </w:r>
          </w:p>
        </w:tc>
        <w:tc>
          <w:tcPr>
            <w:tcW w:w="582" w:type="dxa"/>
            <w:noWrap/>
            <w:hideMark/>
          </w:tcPr>
          <w:p w14:paraId="2BA01A71" w14:textId="77777777" w:rsidR="00A7742A" w:rsidRPr="00EE5F6D" w:rsidRDefault="00A7742A" w:rsidP="00944855">
            <w:r w:rsidRPr="00EE5F6D">
              <w:t>RCT</w:t>
            </w:r>
          </w:p>
        </w:tc>
        <w:tc>
          <w:tcPr>
            <w:tcW w:w="3437" w:type="dxa"/>
            <w:noWrap/>
            <w:hideMark/>
          </w:tcPr>
          <w:p w14:paraId="38231FEB" w14:textId="22ADE241" w:rsidR="00A7742A" w:rsidRPr="00EE5F6D" w:rsidRDefault="00A7742A" w:rsidP="00944855">
            <w:r w:rsidRPr="00EE5F6D">
              <w:t xml:space="preserve">Primary outcomes: EAQ, EDE-Q, PANAS, </w:t>
            </w:r>
            <w:r w:rsidR="006F2DAC">
              <w:t>Hamilton Anxiety Scale (</w:t>
            </w:r>
            <w:r w:rsidRPr="00EE5F6D">
              <w:t>HAS</w:t>
            </w:r>
            <w:r w:rsidR="006F2DAC">
              <w:t>)</w:t>
            </w:r>
            <w:r w:rsidRPr="00EE5F6D">
              <w:t>. Secondary outcomes: observer ratings of participant's anxiety, scores on measures assessing distress tolerance and ED symptoms.</w:t>
            </w:r>
          </w:p>
        </w:tc>
      </w:tr>
      <w:tr w:rsidR="00A7742A" w:rsidRPr="00EE5F6D" w14:paraId="129C4B02" w14:textId="77777777" w:rsidTr="00944855">
        <w:trPr>
          <w:trHeight w:val="312"/>
        </w:trPr>
        <w:tc>
          <w:tcPr>
            <w:tcW w:w="541" w:type="dxa"/>
            <w:noWrap/>
            <w:hideMark/>
          </w:tcPr>
          <w:p w14:paraId="3D0F3540" w14:textId="77777777" w:rsidR="00A7742A" w:rsidRPr="00EE5F6D" w:rsidRDefault="00A7742A" w:rsidP="00944855">
            <w:r w:rsidRPr="00EE5F6D">
              <w:lastRenderedPageBreak/>
              <w:t xml:space="preserve">Park, Godier and Cowdrey, 2014 </w:t>
            </w:r>
          </w:p>
        </w:tc>
        <w:tc>
          <w:tcPr>
            <w:tcW w:w="281" w:type="dxa"/>
            <w:noWrap/>
            <w:hideMark/>
          </w:tcPr>
          <w:p w14:paraId="0B7AB910" w14:textId="77777777" w:rsidR="00A7742A" w:rsidRPr="00EE5F6D" w:rsidRDefault="00A7742A" w:rsidP="00944855">
            <w:r w:rsidRPr="00EE5F6D">
              <w:t>Worldwide</w:t>
            </w:r>
          </w:p>
        </w:tc>
        <w:tc>
          <w:tcPr>
            <w:tcW w:w="479" w:type="dxa"/>
            <w:noWrap/>
            <w:hideMark/>
          </w:tcPr>
          <w:p w14:paraId="7E1A41FF" w14:textId="77777777" w:rsidR="00A7742A" w:rsidRPr="00EE5F6D" w:rsidRDefault="00A7742A" w:rsidP="00944855">
            <w:r w:rsidRPr="00EE5F6D">
              <w:t>N/A</w:t>
            </w:r>
          </w:p>
        </w:tc>
        <w:tc>
          <w:tcPr>
            <w:tcW w:w="593" w:type="dxa"/>
            <w:noWrap/>
            <w:hideMark/>
          </w:tcPr>
          <w:p w14:paraId="5062D3C3" w14:textId="77777777" w:rsidR="00A7742A" w:rsidRPr="00EE5F6D" w:rsidRDefault="00A7742A" w:rsidP="00944855">
            <w:r w:rsidRPr="00EE5F6D">
              <w:t>Community (Adult, All Genders)</w:t>
            </w:r>
          </w:p>
        </w:tc>
        <w:tc>
          <w:tcPr>
            <w:tcW w:w="3437" w:type="dxa"/>
            <w:noWrap/>
            <w:hideMark/>
          </w:tcPr>
          <w:p w14:paraId="7A62D10E" w14:textId="77777777" w:rsidR="00A7742A" w:rsidRPr="00EE5F6D" w:rsidRDefault="00A7742A" w:rsidP="00944855">
            <w:r w:rsidRPr="00EE5F6D">
              <w:t>To explore the neuroscientific basis of aberrant reward in AN, with the aim of generating novel hypotheses for translational investigation and elucidate disease mechanisms to inform the development of targeted interventions.</w:t>
            </w:r>
          </w:p>
        </w:tc>
        <w:tc>
          <w:tcPr>
            <w:tcW w:w="582" w:type="dxa"/>
            <w:noWrap/>
            <w:hideMark/>
          </w:tcPr>
          <w:p w14:paraId="3BFAF189" w14:textId="77777777" w:rsidR="00A7742A" w:rsidRPr="00EE5F6D" w:rsidRDefault="00A7742A" w:rsidP="00944855">
            <w:r w:rsidRPr="00EE5F6D">
              <w:t>Review (Other)</w:t>
            </w:r>
          </w:p>
        </w:tc>
        <w:tc>
          <w:tcPr>
            <w:tcW w:w="3437" w:type="dxa"/>
            <w:noWrap/>
            <w:hideMark/>
          </w:tcPr>
          <w:p w14:paraId="2510DA88" w14:textId="77777777" w:rsidR="00A7742A" w:rsidRPr="00EE5F6D" w:rsidRDefault="00A7742A" w:rsidP="00944855">
            <w:r w:rsidRPr="00EE5F6D">
              <w:t>Neural basis of aberrant reward in AN.</w:t>
            </w:r>
          </w:p>
        </w:tc>
      </w:tr>
      <w:tr w:rsidR="00A7742A" w:rsidRPr="00EE5F6D" w14:paraId="3CA96770" w14:textId="77777777" w:rsidTr="00944855">
        <w:trPr>
          <w:trHeight w:val="312"/>
        </w:trPr>
        <w:tc>
          <w:tcPr>
            <w:tcW w:w="541" w:type="dxa"/>
            <w:noWrap/>
            <w:hideMark/>
          </w:tcPr>
          <w:p w14:paraId="10F636AA" w14:textId="77777777" w:rsidR="00A7742A" w:rsidRPr="00EE5F6D" w:rsidRDefault="00A7742A" w:rsidP="00944855">
            <w:r w:rsidRPr="00EE5F6D">
              <w:t>Paslakis et al., 2018</w:t>
            </w:r>
          </w:p>
        </w:tc>
        <w:tc>
          <w:tcPr>
            <w:tcW w:w="281" w:type="dxa"/>
            <w:noWrap/>
            <w:hideMark/>
          </w:tcPr>
          <w:p w14:paraId="509BCE4E" w14:textId="77777777" w:rsidR="00A7742A" w:rsidRPr="00EE5F6D" w:rsidRDefault="00A7742A" w:rsidP="00944855">
            <w:r w:rsidRPr="00EE5F6D">
              <w:t>Germany</w:t>
            </w:r>
          </w:p>
        </w:tc>
        <w:tc>
          <w:tcPr>
            <w:tcW w:w="479" w:type="dxa"/>
            <w:noWrap/>
            <w:hideMark/>
          </w:tcPr>
          <w:p w14:paraId="0446692C" w14:textId="77777777" w:rsidR="00A7742A" w:rsidRPr="00EE5F6D" w:rsidRDefault="00A7742A" w:rsidP="00944855">
            <w:r w:rsidRPr="00EE5F6D">
              <w:t>50</w:t>
            </w:r>
          </w:p>
        </w:tc>
        <w:tc>
          <w:tcPr>
            <w:tcW w:w="593" w:type="dxa"/>
            <w:noWrap/>
            <w:hideMark/>
          </w:tcPr>
          <w:p w14:paraId="1C3D6081" w14:textId="77777777" w:rsidR="00A7742A" w:rsidRPr="00EE5F6D" w:rsidRDefault="00A7742A" w:rsidP="00944855">
            <w:r w:rsidRPr="00EE5F6D">
              <w:t>Inpatient (adult, women)</w:t>
            </w:r>
          </w:p>
        </w:tc>
        <w:tc>
          <w:tcPr>
            <w:tcW w:w="3437" w:type="dxa"/>
            <w:noWrap/>
            <w:hideMark/>
          </w:tcPr>
          <w:p w14:paraId="79ABEC15" w14:textId="77777777" w:rsidR="00A7742A" w:rsidRPr="00EE5F6D" w:rsidRDefault="00A7742A" w:rsidP="00944855">
            <w:r w:rsidRPr="00EE5F6D">
              <w:t>To implement estrogen replacement in AN patients, in order to examine its effects upon AN-associated and general psychopathology, neuropsychological performance and concentrations of peptide components of the hypothalamus-pituitary-adrenal (HPA) axis and within appetite-regulating circuits.</w:t>
            </w:r>
          </w:p>
        </w:tc>
        <w:tc>
          <w:tcPr>
            <w:tcW w:w="582" w:type="dxa"/>
            <w:noWrap/>
            <w:hideMark/>
          </w:tcPr>
          <w:p w14:paraId="538CDCCF" w14:textId="77777777" w:rsidR="00A7742A" w:rsidRPr="00EE5F6D" w:rsidRDefault="00A7742A" w:rsidP="00944855">
            <w:r w:rsidRPr="00EE5F6D">
              <w:t>RCT</w:t>
            </w:r>
          </w:p>
        </w:tc>
        <w:tc>
          <w:tcPr>
            <w:tcW w:w="3437" w:type="dxa"/>
            <w:noWrap/>
            <w:hideMark/>
          </w:tcPr>
          <w:p w14:paraId="5DFFE2B7" w14:textId="5A11157D" w:rsidR="00A7742A" w:rsidRPr="00EE5F6D" w:rsidRDefault="00A7742A" w:rsidP="00944855">
            <w:r w:rsidRPr="00EE5F6D">
              <w:t xml:space="preserve">Primary: change in neuro- psychological performance, secondary: a) incidence of treatment-emergent adverse events (AEs) (safety/tolerability) mirrored by the number of AEs (including AEs, adverse reactions [ARs], serious AEs, serious ARs and suspected unexpected serious ARs [SUSARs]), b) changes in psychopathology (EDE-Q, EDI-2, STAI, </w:t>
            </w:r>
            <w:r w:rsidR="0025103F">
              <w:t>Patient health questionnaire (</w:t>
            </w:r>
            <w:r w:rsidRPr="00EE5F6D">
              <w:t>PHQ-9</w:t>
            </w:r>
            <w:r w:rsidR="0025103F">
              <w:t>)</w:t>
            </w:r>
            <w:r w:rsidRPr="00EE5F6D">
              <w:t xml:space="preserve">, </w:t>
            </w:r>
            <w:r w:rsidR="0025103F">
              <w:t>eating disorder quality of life (</w:t>
            </w:r>
            <w:r w:rsidRPr="00EE5F6D">
              <w:t>EDQOL</w:t>
            </w:r>
            <w:r w:rsidR="0025103F">
              <w:t>)</w:t>
            </w:r>
            <w:r w:rsidRPr="00EE5F6D">
              <w:t xml:space="preserve">) mirrored by changes in sum scores, c) changes in cortisol mirrored by changes in plasma cortisol levels during a dexamethasone suppression test as well as changes in </w:t>
            </w:r>
            <w:r w:rsidRPr="00EE5F6D">
              <w:lastRenderedPageBreak/>
              <w:t>plasma concentrations of the appetite-regulating peptides ghrelin, leptin, insulin and glucose during an OGTT and d) changes in antidepressant medication mirrored by changes in their use.</w:t>
            </w:r>
          </w:p>
        </w:tc>
      </w:tr>
      <w:tr w:rsidR="00A7742A" w:rsidRPr="00EE5F6D" w14:paraId="72D0CEC9" w14:textId="77777777" w:rsidTr="00944855">
        <w:trPr>
          <w:trHeight w:val="312"/>
        </w:trPr>
        <w:tc>
          <w:tcPr>
            <w:tcW w:w="541" w:type="dxa"/>
            <w:noWrap/>
            <w:hideMark/>
          </w:tcPr>
          <w:p w14:paraId="49F20F2D" w14:textId="77777777" w:rsidR="00A7742A" w:rsidRPr="00EE5F6D" w:rsidRDefault="00A7742A" w:rsidP="00944855">
            <w:r w:rsidRPr="00EE5F6D">
              <w:lastRenderedPageBreak/>
              <w:t>Pataky et al., 2013</w:t>
            </w:r>
          </w:p>
        </w:tc>
        <w:tc>
          <w:tcPr>
            <w:tcW w:w="281" w:type="dxa"/>
            <w:noWrap/>
            <w:hideMark/>
          </w:tcPr>
          <w:p w14:paraId="663D02DE" w14:textId="77777777" w:rsidR="00A7742A" w:rsidRPr="00EE5F6D" w:rsidRDefault="00A7742A" w:rsidP="00944855">
            <w:r w:rsidRPr="00EE5F6D">
              <w:t>Italy</w:t>
            </w:r>
          </w:p>
        </w:tc>
        <w:tc>
          <w:tcPr>
            <w:tcW w:w="479" w:type="dxa"/>
            <w:noWrap/>
            <w:hideMark/>
          </w:tcPr>
          <w:p w14:paraId="4DA3F077" w14:textId="77777777" w:rsidR="00A7742A" w:rsidRPr="00EE5F6D" w:rsidRDefault="00A7742A" w:rsidP="00944855">
            <w:r w:rsidRPr="00EE5F6D">
              <w:t>289</w:t>
            </w:r>
          </w:p>
        </w:tc>
        <w:tc>
          <w:tcPr>
            <w:tcW w:w="593" w:type="dxa"/>
            <w:noWrap/>
            <w:hideMark/>
          </w:tcPr>
          <w:p w14:paraId="254CDBB3" w14:textId="77777777" w:rsidR="00A7742A" w:rsidRPr="00EE5F6D" w:rsidRDefault="00A7742A" w:rsidP="00944855">
            <w:r w:rsidRPr="00EE5F6D">
              <w:t>Community (Adult, All Genders)</w:t>
            </w:r>
          </w:p>
        </w:tc>
        <w:tc>
          <w:tcPr>
            <w:tcW w:w="3437" w:type="dxa"/>
            <w:noWrap/>
            <w:hideMark/>
          </w:tcPr>
          <w:p w14:paraId="10952D09" w14:textId="77777777" w:rsidR="00A7742A" w:rsidRPr="00EE5F6D" w:rsidRDefault="00A7742A" w:rsidP="00944855">
            <w:r w:rsidRPr="00EE5F6D">
              <w:t>To evaluate the effects of rimonabant on body weight in obese patients with binge eating disorders.</w:t>
            </w:r>
          </w:p>
        </w:tc>
        <w:tc>
          <w:tcPr>
            <w:tcW w:w="582" w:type="dxa"/>
            <w:noWrap/>
            <w:hideMark/>
          </w:tcPr>
          <w:p w14:paraId="45ED5EED" w14:textId="77777777" w:rsidR="00A7742A" w:rsidRPr="00EE5F6D" w:rsidRDefault="00A7742A" w:rsidP="00944855">
            <w:r w:rsidRPr="00EE5F6D">
              <w:t>RCT</w:t>
            </w:r>
          </w:p>
        </w:tc>
        <w:tc>
          <w:tcPr>
            <w:tcW w:w="3437" w:type="dxa"/>
            <w:noWrap/>
            <w:hideMark/>
          </w:tcPr>
          <w:p w14:paraId="3E5F8DD4" w14:textId="77777777" w:rsidR="00A7742A" w:rsidRPr="00EE5F6D" w:rsidRDefault="00A7742A" w:rsidP="00944855">
            <w:r w:rsidRPr="00EE5F6D">
              <w:t>BE scale total score, Body weight</w:t>
            </w:r>
          </w:p>
        </w:tc>
      </w:tr>
      <w:tr w:rsidR="00A7742A" w:rsidRPr="00EE5F6D" w14:paraId="60D26FC5" w14:textId="77777777" w:rsidTr="00944855">
        <w:trPr>
          <w:trHeight w:val="312"/>
        </w:trPr>
        <w:tc>
          <w:tcPr>
            <w:tcW w:w="541" w:type="dxa"/>
            <w:noWrap/>
            <w:hideMark/>
          </w:tcPr>
          <w:p w14:paraId="4F99EDE1" w14:textId="77777777" w:rsidR="00A7742A" w:rsidRPr="00EE5F6D" w:rsidRDefault="00A7742A" w:rsidP="00944855">
            <w:r w:rsidRPr="00EE5F6D">
              <w:t>Potes et al., 2021</w:t>
            </w:r>
          </w:p>
        </w:tc>
        <w:tc>
          <w:tcPr>
            <w:tcW w:w="281" w:type="dxa"/>
            <w:noWrap/>
            <w:hideMark/>
          </w:tcPr>
          <w:p w14:paraId="5F47AA20" w14:textId="77777777" w:rsidR="00A7742A" w:rsidRPr="00EE5F6D" w:rsidRDefault="00A7742A" w:rsidP="00944855">
            <w:r w:rsidRPr="00EE5F6D">
              <w:t>Worldwide</w:t>
            </w:r>
          </w:p>
        </w:tc>
        <w:tc>
          <w:tcPr>
            <w:tcW w:w="479" w:type="dxa"/>
            <w:noWrap/>
            <w:hideMark/>
          </w:tcPr>
          <w:p w14:paraId="5B568236" w14:textId="77777777" w:rsidR="00A7742A" w:rsidRPr="00EE5F6D" w:rsidRDefault="00A7742A" w:rsidP="00944855">
            <w:r w:rsidRPr="00EE5F6D">
              <w:t>11</w:t>
            </w:r>
          </w:p>
        </w:tc>
        <w:tc>
          <w:tcPr>
            <w:tcW w:w="593" w:type="dxa"/>
            <w:noWrap/>
            <w:hideMark/>
          </w:tcPr>
          <w:p w14:paraId="20CE43BC" w14:textId="77777777" w:rsidR="00A7742A" w:rsidRPr="00EE5F6D" w:rsidRDefault="00A7742A" w:rsidP="00944855">
            <w:r w:rsidRPr="00EE5F6D">
              <w:t>Community (Adult, All Genders)</w:t>
            </w:r>
          </w:p>
        </w:tc>
        <w:tc>
          <w:tcPr>
            <w:tcW w:w="3437" w:type="dxa"/>
            <w:noWrap/>
            <w:hideMark/>
          </w:tcPr>
          <w:p w14:paraId="24094F47" w14:textId="77777777" w:rsidR="00A7742A" w:rsidRPr="00EE5F6D" w:rsidRDefault="00A7742A" w:rsidP="00944855">
            <w:r w:rsidRPr="00EE5F6D">
              <w:t>To assess the use of DBS in treating eating disorders (EDs) to determine its utility and the extent of adverse effects.</w:t>
            </w:r>
          </w:p>
        </w:tc>
        <w:tc>
          <w:tcPr>
            <w:tcW w:w="582" w:type="dxa"/>
            <w:noWrap/>
            <w:hideMark/>
          </w:tcPr>
          <w:p w14:paraId="14331151" w14:textId="77777777" w:rsidR="00A7742A" w:rsidRPr="00EE5F6D" w:rsidRDefault="00A7742A" w:rsidP="00944855">
            <w:r w:rsidRPr="00EE5F6D">
              <w:t>Review (Systematic)</w:t>
            </w:r>
          </w:p>
        </w:tc>
        <w:tc>
          <w:tcPr>
            <w:tcW w:w="3437" w:type="dxa"/>
            <w:noWrap/>
            <w:hideMark/>
          </w:tcPr>
          <w:p w14:paraId="062BFE96" w14:textId="77777777" w:rsidR="00A7742A" w:rsidRPr="00EE5F6D" w:rsidRDefault="00A7742A" w:rsidP="00944855">
            <w:r w:rsidRPr="00EE5F6D">
              <w:t>BMI, therapeutic outcomes (based on reports of successful treatment of AN symptom, attenuation of a normal menstrual cycle, decrease in binge behaviour, performance on neuropsychological tests, and metabolic rate changes)</w:t>
            </w:r>
          </w:p>
        </w:tc>
      </w:tr>
      <w:tr w:rsidR="00A7742A" w:rsidRPr="00EE5F6D" w14:paraId="6924BA37" w14:textId="77777777" w:rsidTr="00944855">
        <w:trPr>
          <w:trHeight w:val="672"/>
        </w:trPr>
        <w:tc>
          <w:tcPr>
            <w:tcW w:w="541" w:type="dxa"/>
            <w:noWrap/>
            <w:hideMark/>
          </w:tcPr>
          <w:p w14:paraId="0416CA03" w14:textId="77777777" w:rsidR="00A7742A" w:rsidRPr="00EE5F6D" w:rsidRDefault="00A7742A" w:rsidP="00944855">
            <w:r w:rsidRPr="00EE5F6D">
              <w:t xml:space="preserve">Powers, Klabunde and Kaye, 2012 </w:t>
            </w:r>
          </w:p>
        </w:tc>
        <w:tc>
          <w:tcPr>
            <w:tcW w:w="281" w:type="dxa"/>
            <w:noWrap/>
            <w:hideMark/>
          </w:tcPr>
          <w:p w14:paraId="795088B6" w14:textId="77777777" w:rsidR="00A7742A" w:rsidRPr="00EE5F6D" w:rsidRDefault="00A7742A" w:rsidP="00944855">
            <w:r w:rsidRPr="00EE5F6D">
              <w:t>USA</w:t>
            </w:r>
          </w:p>
        </w:tc>
        <w:tc>
          <w:tcPr>
            <w:tcW w:w="479" w:type="dxa"/>
            <w:noWrap/>
            <w:hideMark/>
          </w:tcPr>
          <w:p w14:paraId="2199B417" w14:textId="77777777" w:rsidR="00A7742A" w:rsidRPr="00EE5F6D" w:rsidRDefault="00A7742A" w:rsidP="00944855">
            <w:r w:rsidRPr="00EE5F6D">
              <w:t>21</w:t>
            </w:r>
          </w:p>
        </w:tc>
        <w:tc>
          <w:tcPr>
            <w:tcW w:w="593" w:type="dxa"/>
            <w:noWrap/>
            <w:hideMark/>
          </w:tcPr>
          <w:p w14:paraId="209EA781" w14:textId="77777777" w:rsidR="00A7742A" w:rsidRPr="00EE5F6D" w:rsidRDefault="00A7742A" w:rsidP="00944855">
            <w:r w:rsidRPr="00EE5F6D">
              <w:t>College (Adult, All Genders)</w:t>
            </w:r>
          </w:p>
        </w:tc>
        <w:tc>
          <w:tcPr>
            <w:tcW w:w="3437" w:type="dxa"/>
            <w:hideMark/>
          </w:tcPr>
          <w:p w14:paraId="018CCED8" w14:textId="77777777" w:rsidR="00A7742A" w:rsidRPr="00EE5F6D" w:rsidRDefault="00A7742A" w:rsidP="00944855">
            <w:r w:rsidRPr="00EE5F6D">
              <w:t xml:space="preserve">To (1) determine the effect of quetiapine compared with placebo in terms of reducing core eating disorder symptoms on the Yale–Brown–Cornell Eating Disorder Scale (YBC-EDS) and the Eating Disorder Inventory-2 (EDI-2); (2) determine if quetiapine is superior to placebo in reducing anxiety, depression and obsessionality assessed with the </w:t>
            </w:r>
            <w:r w:rsidRPr="00EE5F6D">
              <w:lastRenderedPageBreak/>
              <w:t>State Trait Anxiety Inventory (STAI), Hamilton Depression Rating Scale (HAM D) and Yale–Brown Obsessive Compulsive Scale, respectively; Other:  to determine if quetiapine is superior to placebo in terms of weight gain</w:t>
            </w:r>
          </w:p>
        </w:tc>
        <w:tc>
          <w:tcPr>
            <w:tcW w:w="582" w:type="dxa"/>
            <w:noWrap/>
            <w:hideMark/>
          </w:tcPr>
          <w:p w14:paraId="11E7D2D1" w14:textId="77777777" w:rsidR="00A7742A" w:rsidRPr="00EE5F6D" w:rsidRDefault="00A7742A" w:rsidP="00944855">
            <w:r w:rsidRPr="00EE5F6D">
              <w:lastRenderedPageBreak/>
              <w:t>RCT</w:t>
            </w:r>
          </w:p>
        </w:tc>
        <w:tc>
          <w:tcPr>
            <w:tcW w:w="3437" w:type="dxa"/>
            <w:noWrap/>
            <w:hideMark/>
          </w:tcPr>
          <w:p w14:paraId="058F6510" w14:textId="1E8AD0F5" w:rsidR="00A7742A" w:rsidRPr="00EE5F6D" w:rsidRDefault="00A7742A" w:rsidP="00944855">
            <w:r w:rsidRPr="00EE5F6D">
              <w:t>Weight, vital signs, assessment of symptoms, HAM D, Yale–Brown Obsessive Compulsive Scale, YBC-EDS, The Positive and Negative Syndrome Scale</w:t>
            </w:r>
            <w:r w:rsidR="006F2DAC">
              <w:t xml:space="preserve"> (PANSS)</w:t>
            </w:r>
            <w:r w:rsidRPr="00EE5F6D">
              <w:t>, EDI-2, STAI.</w:t>
            </w:r>
          </w:p>
        </w:tc>
      </w:tr>
      <w:tr w:rsidR="00A7742A" w:rsidRPr="00EE5F6D" w14:paraId="3B358141" w14:textId="77777777" w:rsidTr="00944855">
        <w:trPr>
          <w:trHeight w:val="312"/>
        </w:trPr>
        <w:tc>
          <w:tcPr>
            <w:tcW w:w="541" w:type="dxa"/>
            <w:noWrap/>
            <w:hideMark/>
          </w:tcPr>
          <w:p w14:paraId="4108B64C" w14:textId="77777777" w:rsidR="00A7742A" w:rsidRPr="00EE5F6D" w:rsidRDefault="00A7742A" w:rsidP="00944855">
            <w:r w:rsidRPr="00EE5F6D">
              <w:t>Quilty et al., 2013</w:t>
            </w:r>
          </w:p>
        </w:tc>
        <w:tc>
          <w:tcPr>
            <w:tcW w:w="281" w:type="dxa"/>
            <w:noWrap/>
            <w:hideMark/>
          </w:tcPr>
          <w:p w14:paraId="06464965" w14:textId="77777777" w:rsidR="00A7742A" w:rsidRPr="00EE5F6D" w:rsidRDefault="00A7742A" w:rsidP="00944855">
            <w:r w:rsidRPr="00EE5F6D">
              <w:t>USA</w:t>
            </w:r>
          </w:p>
        </w:tc>
        <w:tc>
          <w:tcPr>
            <w:tcW w:w="479" w:type="dxa"/>
            <w:noWrap/>
            <w:hideMark/>
          </w:tcPr>
          <w:p w14:paraId="517A5B9E" w14:textId="77777777" w:rsidR="00A7742A" w:rsidRPr="00EE5F6D" w:rsidRDefault="00A7742A" w:rsidP="00944855">
            <w:r w:rsidRPr="00EE5F6D">
              <w:t>49</w:t>
            </w:r>
          </w:p>
        </w:tc>
        <w:tc>
          <w:tcPr>
            <w:tcW w:w="593" w:type="dxa"/>
            <w:noWrap/>
            <w:hideMark/>
          </w:tcPr>
          <w:p w14:paraId="5E199184" w14:textId="77777777" w:rsidR="00A7742A" w:rsidRPr="00EE5F6D" w:rsidRDefault="00A7742A" w:rsidP="00944855">
            <w:r w:rsidRPr="00EE5F6D">
              <w:t>Outpatient (Adult, Women)</w:t>
            </w:r>
          </w:p>
        </w:tc>
        <w:tc>
          <w:tcPr>
            <w:tcW w:w="3437" w:type="dxa"/>
            <w:noWrap/>
            <w:hideMark/>
          </w:tcPr>
          <w:p w14:paraId="15F05BFB" w14:textId="77777777" w:rsidR="00A7742A" w:rsidRPr="00EE5F6D" w:rsidRDefault="00A7742A" w:rsidP="00944855">
            <w:r w:rsidRPr="00EE5F6D">
              <w:t>To evaluate the efficacy of psychostimulant medication versus current best practices in the treatment of BED symptoms, in a randomized trial of methylphenidate versus CBT for BED.</w:t>
            </w:r>
          </w:p>
        </w:tc>
        <w:tc>
          <w:tcPr>
            <w:tcW w:w="582" w:type="dxa"/>
            <w:noWrap/>
            <w:hideMark/>
          </w:tcPr>
          <w:p w14:paraId="41057CA8" w14:textId="77777777" w:rsidR="00A7742A" w:rsidRPr="00EE5F6D" w:rsidRDefault="00A7742A" w:rsidP="00944855">
            <w:r w:rsidRPr="00EE5F6D">
              <w:t>RCT</w:t>
            </w:r>
          </w:p>
        </w:tc>
        <w:tc>
          <w:tcPr>
            <w:tcW w:w="3437" w:type="dxa"/>
            <w:noWrap/>
            <w:hideMark/>
          </w:tcPr>
          <w:p w14:paraId="0A8C1605" w14:textId="77777777" w:rsidR="00A7742A" w:rsidRPr="00EE5F6D" w:rsidRDefault="00A7742A" w:rsidP="00944855">
            <w:r w:rsidRPr="00EE5F6D">
              <w:t>Objective binge episode frequency; Subjective binge episode frequency; BMI; Eating Disorder Inventory – Interview; Binge Eating Scale; Quality of Life Inventory</w:t>
            </w:r>
          </w:p>
        </w:tc>
      </w:tr>
      <w:tr w:rsidR="00A7742A" w:rsidRPr="00EE5F6D" w14:paraId="7F9C7F87" w14:textId="77777777" w:rsidTr="00944855">
        <w:trPr>
          <w:trHeight w:val="312"/>
        </w:trPr>
        <w:tc>
          <w:tcPr>
            <w:tcW w:w="541" w:type="dxa"/>
            <w:noWrap/>
            <w:hideMark/>
          </w:tcPr>
          <w:p w14:paraId="0EAC6060" w14:textId="77777777" w:rsidR="00A7742A" w:rsidRPr="00EE5F6D" w:rsidRDefault="00A7742A" w:rsidP="00944855">
            <w:r w:rsidRPr="00EE5F6D">
              <w:t>Rachid, 2018</w:t>
            </w:r>
          </w:p>
        </w:tc>
        <w:tc>
          <w:tcPr>
            <w:tcW w:w="281" w:type="dxa"/>
            <w:noWrap/>
            <w:hideMark/>
          </w:tcPr>
          <w:p w14:paraId="05F9FA7A" w14:textId="77777777" w:rsidR="00A7742A" w:rsidRPr="00EE5F6D" w:rsidRDefault="00A7742A" w:rsidP="00944855">
            <w:r w:rsidRPr="00EE5F6D">
              <w:t>Worldwide</w:t>
            </w:r>
          </w:p>
        </w:tc>
        <w:tc>
          <w:tcPr>
            <w:tcW w:w="479" w:type="dxa"/>
            <w:noWrap/>
            <w:hideMark/>
          </w:tcPr>
          <w:p w14:paraId="620AC541" w14:textId="77777777" w:rsidR="00A7742A" w:rsidRPr="00EE5F6D" w:rsidRDefault="00A7742A" w:rsidP="00944855">
            <w:r w:rsidRPr="00EE5F6D">
              <w:t>N/A</w:t>
            </w:r>
          </w:p>
        </w:tc>
        <w:tc>
          <w:tcPr>
            <w:tcW w:w="593" w:type="dxa"/>
            <w:noWrap/>
            <w:hideMark/>
          </w:tcPr>
          <w:p w14:paraId="523E2B86" w14:textId="77777777" w:rsidR="00A7742A" w:rsidRPr="00EE5F6D" w:rsidRDefault="00A7742A" w:rsidP="00944855">
            <w:r w:rsidRPr="00EE5F6D">
              <w:t>Community (Adult, All Genders)</w:t>
            </w:r>
          </w:p>
        </w:tc>
        <w:tc>
          <w:tcPr>
            <w:tcW w:w="3437" w:type="dxa"/>
            <w:noWrap/>
            <w:hideMark/>
          </w:tcPr>
          <w:p w14:paraId="36189683" w14:textId="77777777" w:rsidR="00A7742A" w:rsidRPr="00EE5F6D" w:rsidRDefault="00A7742A" w:rsidP="00944855">
            <w:r w:rsidRPr="00EE5F6D">
              <w:t>To review the literature on the safety and efficacy of repetitive transcranial magnetic stimulation and its modified stimulation paradigms (deep TMS and theta-burst stimulation) as a treatment for eating disorders, and discuss results and future directions for research in this growing area of attention.</w:t>
            </w:r>
          </w:p>
        </w:tc>
        <w:tc>
          <w:tcPr>
            <w:tcW w:w="582" w:type="dxa"/>
            <w:noWrap/>
            <w:hideMark/>
          </w:tcPr>
          <w:p w14:paraId="6852E978" w14:textId="77777777" w:rsidR="00A7742A" w:rsidRPr="00EE5F6D" w:rsidRDefault="00A7742A" w:rsidP="00944855">
            <w:r w:rsidRPr="00EE5F6D">
              <w:t>Review (Other)</w:t>
            </w:r>
          </w:p>
        </w:tc>
        <w:tc>
          <w:tcPr>
            <w:tcW w:w="3437" w:type="dxa"/>
            <w:noWrap/>
            <w:hideMark/>
          </w:tcPr>
          <w:p w14:paraId="4FD37E2E" w14:textId="77777777" w:rsidR="00A7742A" w:rsidRPr="00EE5F6D" w:rsidRDefault="00A7742A" w:rsidP="00944855">
            <w:r w:rsidRPr="00EE5F6D">
              <w:t>Safety and efficacy of TMS for treating EDs (considered psychological and physiological responses)</w:t>
            </w:r>
          </w:p>
        </w:tc>
      </w:tr>
      <w:tr w:rsidR="00A7742A" w:rsidRPr="00EE5F6D" w14:paraId="021AB4CE" w14:textId="77777777" w:rsidTr="00944855">
        <w:trPr>
          <w:trHeight w:val="312"/>
        </w:trPr>
        <w:tc>
          <w:tcPr>
            <w:tcW w:w="541" w:type="dxa"/>
            <w:noWrap/>
            <w:hideMark/>
          </w:tcPr>
          <w:p w14:paraId="31D54F8F" w14:textId="77777777" w:rsidR="00A7742A" w:rsidRPr="00EE5F6D" w:rsidRDefault="00A7742A" w:rsidP="00944855">
            <w:r w:rsidRPr="00EE5F6D">
              <w:t>Ramacciotti et al., 2013</w:t>
            </w:r>
          </w:p>
        </w:tc>
        <w:tc>
          <w:tcPr>
            <w:tcW w:w="281" w:type="dxa"/>
            <w:noWrap/>
            <w:hideMark/>
          </w:tcPr>
          <w:p w14:paraId="5F5A01FB" w14:textId="77777777" w:rsidR="00A7742A" w:rsidRPr="00EE5F6D" w:rsidRDefault="00A7742A" w:rsidP="00944855">
            <w:r w:rsidRPr="00EE5F6D">
              <w:t>Worldwide</w:t>
            </w:r>
          </w:p>
        </w:tc>
        <w:tc>
          <w:tcPr>
            <w:tcW w:w="479" w:type="dxa"/>
            <w:noWrap/>
            <w:hideMark/>
          </w:tcPr>
          <w:p w14:paraId="1B0ADCA4" w14:textId="77777777" w:rsidR="00A7742A" w:rsidRPr="00EE5F6D" w:rsidRDefault="00A7742A" w:rsidP="00944855">
            <w:r w:rsidRPr="00EE5F6D">
              <w:t>N/A</w:t>
            </w:r>
          </w:p>
        </w:tc>
        <w:tc>
          <w:tcPr>
            <w:tcW w:w="593" w:type="dxa"/>
            <w:noWrap/>
            <w:hideMark/>
          </w:tcPr>
          <w:p w14:paraId="0ABF4CFC" w14:textId="77777777" w:rsidR="00A7742A" w:rsidRPr="00EE5F6D" w:rsidRDefault="00A7742A" w:rsidP="00944855">
            <w:r w:rsidRPr="00EE5F6D">
              <w:t>N/A</w:t>
            </w:r>
          </w:p>
        </w:tc>
        <w:tc>
          <w:tcPr>
            <w:tcW w:w="3437" w:type="dxa"/>
            <w:noWrap/>
            <w:hideMark/>
          </w:tcPr>
          <w:p w14:paraId="67F90502" w14:textId="5851479D" w:rsidR="00A7742A" w:rsidRPr="00EE5F6D" w:rsidRDefault="00A7742A" w:rsidP="00944855">
            <w:r w:rsidRPr="00EE5F6D">
              <w:t>To address the state of the art concerning the treatment of BED</w:t>
            </w:r>
          </w:p>
        </w:tc>
        <w:tc>
          <w:tcPr>
            <w:tcW w:w="582" w:type="dxa"/>
            <w:noWrap/>
            <w:hideMark/>
          </w:tcPr>
          <w:p w14:paraId="57421709" w14:textId="77777777" w:rsidR="00A7742A" w:rsidRPr="00EE5F6D" w:rsidRDefault="00A7742A" w:rsidP="00944855">
            <w:r w:rsidRPr="00EE5F6D">
              <w:t>Review (Narrative)</w:t>
            </w:r>
          </w:p>
        </w:tc>
        <w:tc>
          <w:tcPr>
            <w:tcW w:w="3437" w:type="dxa"/>
            <w:noWrap/>
            <w:hideMark/>
          </w:tcPr>
          <w:p w14:paraId="1D7A9108" w14:textId="77777777" w:rsidR="00A7742A" w:rsidRPr="00EE5F6D" w:rsidRDefault="00A7742A" w:rsidP="00944855">
            <w:r w:rsidRPr="00EE5F6D">
              <w:t>Binge eating and body weight</w:t>
            </w:r>
          </w:p>
        </w:tc>
      </w:tr>
      <w:tr w:rsidR="00A7742A" w:rsidRPr="00EE5F6D" w14:paraId="0CA8BB2B" w14:textId="77777777" w:rsidTr="00944855">
        <w:trPr>
          <w:trHeight w:val="324"/>
        </w:trPr>
        <w:tc>
          <w:tcPr>
            <w:tcW w:w="541" w:type="dxa"/>
            <w:noWrap/>
            <w:hideMark/>
          </w:tcPr>
          <w:p w14:paraId="5596EE98" w14:textId="77777777" w:rsidR="00A7742A" w:rsidRPr="00EE5F6D" w:rsidRDefault="00A7742A" w:rsidP="00944855">
            <w:r w:rsidRPr="00EE5F6D">
              <w:lastRenderedPageBreak/>
              <w:t xml:space="preserve">Reas and Grilo, 2014 </w:t>
            </w:r>
          </w:p>
        </w:tc>
        <w:tc>
          <w:tcPr>
            <w:tcW w:w="281" w:type="dxa"/>
            <w:noWrap/>
            <w:hideMark/>
          </w:tcPr>
          <w:p w14:paraId="1A4C1A0F" w14:textId="77777777" w:rsidR="00A7742A" w:rsidRPr="00EE5F6D" w:rsidRDefault="00A7742A" w:rsidP="00944855">
            <w:r w:rsidRPr="00EE5F6D">
              <w:t>Worldwide</w:t>
            </w:r>
          </w:p>
        </w:tc>
        <w:tc>
          <w:tcPr>
            <w:tcW w:w="479" w:type="dxa"/>
            <w:noWrap/>
            <w:hideMark/>
          </w:tcPr>
          <w:p w14:paraId="74907DF3" w14:textId="77777777" w:rsidR="00A7742A" w:rsidRPr="00EE5F6D" w:rsidRDefault="00A7742A" w:rsidP="00944855">
            <w:r w:rsidRPr="00EE5F6D">
              <w:t>26</w:t>
            </w:r>
          </w:p>
        </w:tc>
        <w:tc>
          <w:tcPr>
            <w:tcW w:w="593" w:type="dxa"/>
            <w:noWrap/>
            <w:hideMark/>
          </w:tcPr>
          <w:p w14:paraId="663CBE93" w14:textId="77777777" w:rsidR="00A7742A" w:rsidRPr="00EE5F6D" w:rsidRDefault="00A7742A" w:rsidP="00944855">
            <w:r w:rsidRPr="00EE5F6D">
              <w:t>N/A</w:t>
            </w:r>
          </w:p>
        </w:tc>
        <w:tc>
          <w:tcPr>
            <w:tcW w:w="3437" w:type="dxa"/>
            <w:noWrap/>
            <w:hideMark/>
          </w:tcPr>
          <w:p w14:paraId="4367EB70" w14:textId="77777777" w:rsidR="00A7742A" w:rsidRPr="00EE5F6D" w:rsidRDefault="00A7742A" w:rsidP="00944855">
            <w:r w:rsidRPr="00EE5F6D">
              <w:t>To evaluate the controlled treatment studies of pharmacotherapy for binge eating disorder (BED)</w:t>
            </w:r>
          </w:p>
        </w:tc>
        <w:tc>
          <w:tcPr>
            <w:tcW w:w="582" w:type="dxa"/>
            <w:noWrap/>
            <w:hideMark/>
          </w:tcPr>
          <w:p w14:paraId="04BFFFF5" w14:textId="77777777" w:rsidR="00A7742A" w:rsidRPr="00EE5F6D" w:rsidRDefault="00A7742A" w:rsidP="00944855">
            <w:r w:rsidRPr="00EE5F6D">
              <w:t>Review (Systematic)</w:t>
            </w:r>
          </w:p>
        </w:tc>
        <w:tc>
          <w:tcPr>
            <w:tcW w:w="3437" w:type="dxa"/>
            <w:noWrap/>
            <w:hideMark/>
          </w:tcPr>
          <w:p w14:paraId="54CB0C6E" w14:textId="23EEC960" w:rsidR="00A7742A" w:rsidRPr="00EE5F6D" w:rsidRDefault="00A7742A" w:rsidP="00944855">
            <w:r w:rsidRPr="00EE5F6D">
              <w:t xml:space="preserve">Binge eating frequency, remission, weight loss, CGI scores, </w:t>
            </w:r>
            <w:r w:rsidR="006F2DAC">
              <w:t>objective bulimic episodes (</w:t>
            </w:r>
            <w:r w:rsidRPr="00EE5F6D">
              <w:t>OBE</w:t>
            </w:r>
            <w:r w:rsidR="006F2DAC">
              <w:t>)</w:t>
            </w:r>
            <w:r w:rsidRPr="00EE5F6D">
              <w:t xml:space="preserve"> frequency, </w:t>
            </w:r>
          </w:p>
        </w:tc>
      </w:tr>
      <w:tr w:rsidR="00A7742A" w:rsidRPr="00EE5F6D" w14:paraId="42C8C314" w14:textId="77777777" w:rsidTr="00944855">
        <w:trPr>
          <w:trHeight w:val="312"/>
        </w:trPr>
        <w:tc>
          <w:tcPr>
            <w:tcW w:w="541" w:type="dxa"/>
            <w:noWrap/>
            <w:hideMark/>
          </w:tcPr>
          <w:p w14:paraId="402126FB" w14:textId="77777777" w:rsidR="00A7742A" w:rsidRPr="00EE5F6D" w:rsidRDefault="00A7742A" w:rsidP="00944855">
            <w:r w:rsidRPr="00EE5F6D">
              <w:t>Reas, &amp; Grilo, 2021</w:t>
            </w:r>
          </w:p>
        </w:tc>
        <w:tc>
          <w:tcPr>
            <w:tcW w:w="281" w:type="dxa"/>
            <w:noWrap/>
            <w:hideMark/>
          </w:tcPr>
          <w:p w14:paraId="52E1342A" w14:textId="77777777" w:rsidR="00A7742A" w:rsidRPr="00EE5F6D" w:rsidRDefault="00A7742A" w:rsidP="00944855">
            <w:r w:rsidRPr="00EE5F6D">
              <w:t>Worldwide</w:t>
            </w:r>
          </w:p>
        </w:tc>
        <w:tc>
          <w:tcPr>
            <w:tcW w:w="479" w:type="dxa"/>
            <w:hideMark/>
          </w:tcPr>
          <w:p w14:paraId="249B05F4" w14:textId="77777777" w:rsidR="00A7742A" w:rsidRPr="00EE5F6D" w:rsidRDefault="00A7742A" w:rsidP="00944855">
            <w:r w:rsidRPr="00EE5F6D">
              <w:t>N/A</w:t>
            </w:r>
          </w:p>
        </w:tc>
        <w:tc>
          <w:tcPr>
            <w:tcW w:w="593" w:type="dxa"/>
            <w:noWrap/>
            <w:hideMark/>
          </w:tcPr>
          <w:p w14:paraId="6A401B2F" w14:textId="77777777" w:rsidR="00A7742A" w:rsidRPr="00EE5F6D" w:rsidRDefault="00A7742A" w:rsidP="00944855">
            <w:r w:rsidRPr="00EE5F6D">
              <w:t>Community (Adult, All Genders)</w:t>
            </w:r>
          </w:p>
        </w:tc>
        <w:tc>
          <w:tcPr>
            <w:tcW w:w="3437" w:type="dxa"/>
            <w:hideMark/>
          </w:tcPr>
          <w:p w14:paraId="385FC718" w14:textId="77777777" w:rsidR="00A7742A" w:rsidRPr="00EE5F6D" w:rsidRDefault="00A7742A" w:rsidP="00944855">
            <w:r w:rsidRPr="00EE5F6D">
              <w:t>To provide a brief state-of-the-art review of randomized controlled trials (RCTs) for combined psychological and pharmacological treatment of AN, BN, and BED.</w:t>
            </w:r>
          </w:p>
        </w:tc>
        <w:tc>
          <w:tcPr>
            <w:tcW w:w="582" w:type="dxa"/>
            <w:noWrap/>
            <w:hideMark/>
          </w:tcPr>
          <w:p w14:paraId="4D65C892" w14:textId="77777777" w:rsidR="00A7742A" w:rsidRPr="00EE5F6D" w:rsidRDefault="00A7742A" w:rsidP="00944855">
            <w:r w:rsidRPr="00EE5F6D">
              <w:t>Review (Critical)</w:t>
            </w:r>
          </w:p>
        </w:tc>
        <w:tc>
          <w:tcPr>
            <w:tcW w:w="3437" w:type="dxa"/>
            <w:noWrap/>
            <w:hideMark/>
          </w:tcPr>
          <w:p w14:paraId="54CC759C" w14:textId="77777777" w:rsidR="00A7742A" w:rsidRPr="00EE5F6D" w:rsidRDefault="00A7742A" w:rsidP="00944855">
            <w:r w:rsidRPr="00EE5F6D">
              <w:t>Efficacy of combined treatments for AN, BN and BED. For AN: percentages of ideal body weight over time, psychological functioning, weight restoration, AN severity rating, depression BMI, obsessional symptoms, compulsive symptoms, depressive symptoms. For BN: purging frequency, binge-eating frequency, depression, abstinence/remission. For BED: percent binge abstinent, binge-eating frequency, weight loss, depression, eating pathology.</w:t>
            </w:r>
          </w:p>
        </w:tc>
      </w:tr>
      <w:tr w:rsidR="00A7742A" w:rsidRPr="00EE5F6D" w14:paraId="0255D72E" w14:textId="77777777" w:rsidTr="00944855">
        <w:trPr>
          <w:trHeight w:val="420"/>
        </w:trPr>
        <w:tc>
          <w:tcPr>
            <w:tcW w:w="541" w:type="dxa"/>
            <w:noWrap/>
            <w:hideMark/>
          </w:tcPr>
          <w:p w14:paraId="2AF0B534" w14:textId="77777777" w:rsidR="00A7742A" w:rsidRPr="00EE5F6D" w:rsidRDefault="00A7742A" w:rsidP="00944855">
            <w:r w:rsidRPr="00EE5F6D">
              <w:t>Robert et al., 2015</w:t>
            </w:r>
          </w:p>
        </w:tc>
        <w:tc>
          <w:tcPr>
            <w:tcW w:w="281" w:type="dxa"/>
            <w:noWrap/>
            <w:hideMark/>
          </w:tcPr>
          <w:p w14:paraId="6F6444AF" w14:textId="77777777" w:rsidR="00A7742A" w:rsidRPr="00EE5F6D" w:rsidRDefault="00A7742A" w:rsidP="00944855">
            <w:r w:rsidRPr="00EE5F6D">
              <w:t>Malaysia</w:t>
            </w:r>
          </w:p>
        </w:tc>
        <w:tc>
          <w:tcPr>
            <w:tcW w:w="479" w:type="dxa"/>
            <w:noWrap/>
            <w:hideMark/>
          </w:tcPr>
          <w:p w14:paraId="74ABE1A3" w14:textId="77777777" w:rsidR="00A7742A" w:rsidRPr="00EE5F6D" w:rsidRDefault="00A7742A" w:rsidP="00944855">
            <w:r w:rsidRPr="00EE5F6D">
              <w:t>44</w:t>
            </w:r>
          </w:p>
        </w:tc>
        <w:tc>
          <w:tcPr>
            <w:tcW w:w="593" w:type="dxa"/>
            <w:noWrap/>
            <w:hideMark/>
          </w:tcPr>
          <w:p w14:paraId="00FC11FF" w14:textId="77777777" w:rsidR="00A7742A" w:rsidRPr="00EE5F6D" w:rsidRDefault="00A7742A" w:rsidP="00944855">
            <w:r w:rsidRPr="00EE5F6D">
              <w:t>Community (Adult, All Genders)</w:t>
            </w:r>
          </w:p>
        </w:tc>
        <w:tc>
          <w:tcPr>
            <w:tcW w:w="3437" w:type="dxa"/>
            <w:noWrap/>
            <w:hideMark/>
          </w:tcPr>
          <w:p w14:paraId="614B06C7" w14:textId="77777777" w:rsidR="00A7742A" w:rsidRPr="00EE5F6D" w:rsidRDefault="00A7742A" w:rsidP="00944855">
            <w:r w:rsidRPr="00EE5F6D">
              <w:t xml:space="preserve">To examine the efficacy of liraglutide on appetite and plasma ghrelin in non-diabetic obese participants with BE. </w:t>
            </w:r>
          </w:p>
        </w:tc>
        <w:tc>
          <w:tcPr>
            <w:tcW w:w="582" w:type="dxa"/>
            <w:noWrap/>
            <w:hideMark/>
          </w:tcPr>
          <w:p w14:paraId="164FE167" w14:textId="77777777" w:rsidR="00A7742A" w:rsidRPr="00EE5F6D" w:rsidRDefault="00A7742A" w:rsidP="00944855">
            <w:r w:rsidRPr="00EE5F6D">
              <w:t>RCT</w:t>
            </w:r>
          </w:p>
        </w:tc>
        <w:tc>
          <w:tcPr>
            <w:tcW w:w="3437" w:type="dxa"/>
            <w:noWrap/>
            <w:hideMark/>
          </w:tcPr>
          <w:p w14:paraId="1186FAF2" w14:textId="77777777" w:rsidR="00A7742A" w:rsidRPr="00EE5F6D" w:rsidRDefault="00A7742A" w:rsidP="00944855">
            <w:r w:rsidRPr="00EE5F6D">
              <w:t>BES, ghrelin levels, other anthropometric variables</w:t>
            </w:r>
          </w:p>
        </w:tc>
      </w:tr>
      <w:tr w:rsidR="00A7742A" w:rsidRPr="00EE5F6D" w14:paraId="47035AF7" w14:textId="77777777" w:rsidTr="00944855">
        <w:trPr>
          <w:trHeight w:val="312"/>
        </w:trPr>
        <w:tc>
          <w:tcPr>
            <w:tcW w:w="541" w:type="dxa"/>
            <w:noWrap/>
            <w:hideMark/>
          </w:tcPr>
          <w:p w14:paraId="322CBB35" w14:textId="77777777" w:rsidR="00A7742A" w:rsidRPr="00EE5F6D" w:rsidRDefault="00A7742A" w:rsidP="00944855">
            <w:r w:rsidRPr="00EE5F6D">
              <w:t xml:space="preserve">Rosager, Moller, &amp; Sjogren, 2021 </w:t>
            </w:r>
          </w:p>
        </w:tc>
        <w:tc>
          <w:tcPr>
            <w:tcW w:w="281" w:type="dxa"/>
            <w:noWrap/>
            <w:hideMark/>
          </w:tcPr>
          <w:p w14:paraId="79169C45" w14:textId="77777777" w:rsidR="00A7742A" w:rsidRPr="00EE5F6D" w:rsidRDefault="00A7742A" w:rsidP="00944855">
            <w:r w:rsidRPr="00EE5F6D">
              <w:t>Worldwide</w:t>
            </w:r>
          </w:p>
        </w:tc>
        <w:tc>
          <w:tcPr>
            <w:tcW w:w="479" w:type="dxa"/>
            <w:hideMark/>
          </w:tcPr>
          <w:p w14:paraId="737606DD" w14:textId="77777777" w:rsidR="00A7742A" w:rsidRPr="00EE5F6D" w:rsidRDefault="00A7742A" w:rsidP="00944855">
            <w:r w:rsidRPr="00EE5F6D">
              <w:t>4</w:t>
            </w:r>
          </w:p>
        </w:tc>
        <w:tc>
          <w:tcPr>
            <w:tcW w:w="593" w:type="dxa"/>
            <w:noWrap/>
            <w:hideMark/>
          </w:tcPr>
          <w:p w14:paraId="11F2399C" w14:textId="77777777" w:rsidR="00A7742A" w:rsidRPr="00EE5F6D" w:rsidRDefault="00A7742A" w:rsidP="00944855">
            <w:r w:rsidRPr="00EE5F6D">
              <w:t>Community (Adult, All Genders)</w:t>
            </w:r>
          </w:p>
        </w:tc>
        <w:tc>
          <w:tcPr>
            <w:tcW w:w="3437" w:type="dxa"/>
            <w:noWrap/>
            <w:hideMark/>
          </w:tcPr>
          <w:p w14:paraId="1498C9C0" w14:textId="77777777" w:rsidR="00A7742A" w:rsidRPr="00EE5F6D" w:rsidRDefault="00A7742A" w:rsidP="00944855">
            <w:r w:rsidRPr="00EE5F6D">
              <w:t>To review treatment studies with cannabinoids in anorexia nervosa</w:t>
            </w:r>
          </w:p>
        </w:tc>
        <w:tc>
          <w:tcPr>
            <w:tcW w:w="582" w:type="dxa"/>
            <w:noWrap/>
            <w:hideMark/>
          </w:tcPr>
          <w:p w14:paraId="44808771" w14:textId="77777777" w:rsidR="00A7742A" w:rsidRPr="00EE5F6D" w:rsidRDefault="00A7742A" w:rsidP="00944855">
            <w:r w:rsidRPr="00EE5F6D">
              <w:t>Review (Systematic)</w:t>
            </w:r>
          </w:p>
        </w:tc>
        <w:tc>
          <w:tcPr>
            <w:tcW w:w="3437" w:type="dxa"/>
            <w:noWrap/>
            <w:hideMark/>
          </w:tcPr>
          <w:p w14:paraId="11D8D8D7" w14:textId="77777777" w:rsidR="00A7742A" w:rsidRPr="00EE5F6D" w:rsidRDefault="00A7742A" w:rsidP="00944855">
            <w:r w:rsidRPr="00EE5F6D">
              <w:t xml:space="preserve">Effect on weight. Secondary outcomes: affective symptoms, eating disorder related personality changes, </w:t>
            </w:r>
            <w:r w:rsidRPr="00EE5F6D">
              <w:lastRenderedPageBreak/>
              <w:t>physical activity (PA) and blood pressure.</w:t>
            </w:r>
          </w:p>
        </w:tc>
      </w:tr>
      <w:tr w:rsidR="00A7742A" w:rsidRPr="00EE5F6D" w14:paraId="2B43E262" w14:textId="77777777" w:rsidTr="00944855">
        <w:trPr>
          <w:trHeight w:val="312"/>
        </w:trPr>
        <w:tc>
          <w:tcPr>
            <w:tcW w:w="541" w:type="dxa"/>
            <w:noWrap/>
            <w:hideMark/>
          </w:tcPr>
          <w:p w14:paraId="66C58BAC" w14:textId="77777777" w:rsidR="00A7742A" w:rsidRPr="00EE5F6D" w:rsidRDefault="00A7742A" w:rsidP="00944855">
            <w:r w:rsidRPr="00EE5F6D">
              <w:lastRenderedPageBreak/>
              <w:t>Russell et al., 2018</w:t>
            </w:r>
          </w:p>
        </w:tc>
        <w:tc>
          <w:tcPr>
            <w:tcW w:w="281" w:type="dxa"/>
            <w:noWrap/>
            <w:hideMark/>
          </w:tcPr>
          <w:p w14:paraId="438C2C70" w14:textId="77777777" w:rsidR="00A7742A" w:rsidRPr="00EE5F6D" w:rsidRDefault="00A7742A" w:rsidP="00944855">
            <w:r w:rsidRPr="00EE5F6D">
              <w:t>Australia</w:t>
            </w:r>
          </w:p>
        </w:tc>
        <w:tc>
          <w:tcPr>
            <w:tcW w:w="479" w:type="dxa"/>
            <w:noWrap/>
            <w:hideMark/>
          </w:tcPr>
          <w:p w14:paraId="73918E30" w14:textId="77777777" w:rsidR="00A7742A" w:rsidRPr="00EE5F6D" w:rsidRDefault="00A7742A" w:rsidP="00944855">
            <w:r w:rsidRPr="00EE5F6D">
              <w:t>41</w:t>
            </w:r>
          </w:p>
        </w:tc>
        <w:tc>
          <w:tcPr>
            <w:tcW w:w="593" w:type="dxa"/>
            <w:noWrap/>
            <w:hideMark/>
          </w:tcPr>
          <w:p w14:paraId="3208CEE9" w14:textId="77777777" w:rsidR="00A7742A" w:rsidRPr="00EE5F6D" w:rsidRDefault="00A7742A" w:rsidP="00944855">
            <w:r w:rsidRPr="00EE5F6D">
              <w:t>Inpatient (young adult, women)</w:t>
            </w:r>
          </w:p>
        </w:tc>
        <w:tc>
          <w:tcPr>
            <w:tcW w:w="3437" w:type="dxa"/>
            <w:noWrap/>
            <w:hideMark/>
          </w:tcPr>
          <w:p w14:paraId="16F683B5" w14:textId="77777777" w:rsidR="00A7742A" w:rsidRPr="00EE5F6D" w:rsidRDefault="00A7742A" w:rsidP="00944855">
            <w:r w:rsidRPr="00EE5F6D">
              <w:t>To ascertain whether repeated doses of IN-OT enhance treatment outcomes in AN</w:t>
            </w:r>
          </w:p>
        </w:tc>
        <w:tc>
          <w:tcPr>
            <w:tcW w:w="582" w:type="dxa"/>
            <w:noWrap/>
            <w:hideMark/>
          </w:tcPr>
          <w:p w14:paraId="0A27800A" w14:textId="77777777" w:rsidR="00A7742A" w:rsidRPr="00EE5F6D" w:rsidRDefault="00A7742A" w:rsidP="00944855">
            <w:r w:rsidRPr="00EE5F6D">
              <w:t>RCT</w:t>
            </w:r>
          </w:p>
        </w:tc>
        <w:tc>
          <w:tcPr>
            <w:tcW w:w="3437" w:type="dxa"/>
            <w:noWrap/>
            <w:hideMark/>
          </w:tcPr>
          <w:p w14:paraId="2867A579" w14:textId="77777777" w:rsidR="00A7742A" w:rsidRPr="00EE5F6D" w:rsidRDefault="00A7742A" w:rsidP="00944855">
            <w:r w:rsidRPr="00EE5F6D">
              <w:t>Weight gain, EDE eating scale, social anxiety, morning plasma OT levels, anticipation of an afternoon snack</w:t>
            </w:r>
          </w:p>
        </w:tc>
      </w:tr>
      <w:tr w:rsidR="00A7742A" w:rsidRPr="00EE5F6D" w14:paraId="400A0AD3" w14:textId="77777777" w:rsidTr="00944855">
        <w:trPr>
          <w:trHeight w:val="312"/>
        </w:trPr>
        <w:tc>
          <w:tcPr>
            <w:tcW w:w="541" w:type="dxa"/>
            <w:noWrap/>
            <w:hideMark/>
          </w:tcPr>
          <w:p w14:paraId="665091C1" w14:textId="77777777" w:rsidR="00A7742A" w:rsidRPr="00EE5F6D" w:rsidRDefault="00A7742A" w:rsidP="00944855">
            <w:r w:rsidRPr="00EE5F6D">
              <w:t>Sala et al., 2016</w:t>
            </w:r>
          </w:p>
        </w:tc>
        <w:tc>
          <w:tcPr>
            <w:tcW w:w="281" w:type="dxa"/>
            <w:noWrap/>
            <w:hideMark/>
          </w:tcPr>
          <w:p w14:paraId="3BF4963E" w14:textId="77777777" w:rsidR="00A7742A" w:rsidRPr="00EE5F6D" w:rsidRDefault="00A7742A" w:rsidP="00944855">
            <w:r w:rsidRPr="00EE5F6D">
              <w:t>USA</w:t>
            </w:r>
          </w:p>
        </w:tc>
        <w:tc>
          <w:tcPr>
            <w:tcW w:w="479" w:type="dxa"/>
            <w:noWrap/>
            <w:hideMark/>
          </w:tcPr>
          <w:p w14:paraId="3134AF67" w14:textId="77777777" w:rsidR="00A7742A" w:rsidRPr="00EE5F6D" w:rsidRDefault="00A7742A" w:rsidP="00944855">
            <w:r w:rsidRPr="00EE5F6D">
              <w:t>24</w:t>
            </w:r>
          </w:p>
        </w:tc>
        <w:tc>
          <w:tcPr>
            <w:tcW w:w="593" w:type="dxa"/>
            <w:noWrap/>
            <w:hideMark/>
          </w:tcPr>
          <w:p w14:paraId="4D39C4F4" w14:textId="77777777" w:rsidR="00A7742A" w:rsidRPr="00EE5F6D" w:rsidRDefault="00A7742A" w:rsidP="00944855">
            <w:r w:rsidRPr="00EE5F6D">
              <w:t>Community (Adult, All Genders)</w:t>
            </w:r>
          </w:p>
        </w:tc>
        <w:tc>
          <w:tcPr>
            <w:tcW w:w="3437" w:type="dxa"/>
            <w:noWrap/>
            <w:hideMark/>
          </w:tcPr>
          <w:p w14:paraId="3C45A9DF" w14:textId="77777777" w:rsidR="00A7742A" w:rsidRPr="00EE5F6D" w:rsidRDefault="00A7742A" w:rsidP="00944855">
            <w:r w:rsidRPr="00EE5F6D">
              <w:t>To evaluate whether chromium picolinate (CrPic) supplementation improves glucose regulation in overweight individuals with binge-eating disorder (BED)</w:t>
            </w:r>
          </w:p>
        </w:tc>
        <w:tc>
          <w:tcPr>
            <w:tcW w:w="582" w:type="dxa"/>
            <w:noWrap/>
            <w:hideMark/>
          </w:tcPr>
          <w:p w14:paraId="579292B2" w14:textId="77777777" w:rsidR="00A7742A" w:rsidRPr="00EE5F6D" w:rsidRDefault="00A7742A" w:rsidP="00944855">
            <w:r w:rsidRPr="00EE5F6D">
              <w:t>RCT</w:t>
            </w:r>
          </w:p>
        </w:tc>
        <w:tc>
          <w:tcPr>
            <w:tcW w:w="3437" w:type="dxa"/>
            <w:noWrap/>
            <w:hideMark/>
          </w:tcPr>
          <w:p w14:paraId="2D12A9D5" w14:textId="77777777" w:rsidR="00A7742A" w:rsidRPr="00EE5F6D" w:rsidRDefault="00A7742A" w:rsidP="00944855">
            <w:r w:rsidRPr="00EE5F6D">
              <w:t>Change in glucose, Change in Insulin, Change in ISI</w:t>
            </w:r>
          </w:p>
        </w:tc>
      </w:tr>
      <w:tr w:rsidR="00A7742A" w:rsidRPr="00EE5F6D" w14:paraId="5D7A745A" w14:textId="77777777" w:rsidTr="00944855">
        <w:trPr>
          <w:trHeight w:val="312"/>
        </w:trPr>
        <w:tc>
          <w:tcPr>
            <w:tcW w:w="541" w:type="dxa"/>
            <w:noWrap/>
            <w:hideMark/>
          </w:tcPr>
          <w:p w14:paraId="5C4E0E34" w14:textId="77777777" w:rsidR="00A7742A" w:rsidRPr="00EE5F6D" w:rsidRDefault="00A7742A" w:rsidP="00944855">
            <w:r w:rsidRPr="00EE5F6D">
              <w:t xml:space="preserve">Sauchelli et al., 2015 </w:t>
            </w:r>
          </w:p>
        </w:tc>
        <w:tc>
          <w:tcPr>
            <w:tcW w:w="281" w:type="dxa"/>
            <w:noWrap/>
            <w:hideMark/>
          </w:tcPr>
          <w:p w14:paraId="3983BAA8" w14:textId="77777777" w:rsidR="00A7742A" w:rsidRPr="00EE5F6D" w:rsidRDefault="00A7742A" w:rsidP="00944855">
            <w:r w:rsidRPr="00EE5F6D">
              <w:t>Spain</w:t>
            </w:r>
          </w:p>
        </w:tc>
        <w:tc>
          <w:tcPr>
            <w:tcW w:w="479" w:type="dxa"/>
            <w:noWrap/>
            <w:hideMark/>
          </w:tcPr>
          <w:p w14:paraId="0D9C89BD" w14:textId="77777777" w:rsidR="00A7742A" w:rsidRPr="00EE5F6D" w:rsidRDefault="00A7742A" w:rsidP="00944855">
            <w:r w:rsidRPr="00EE5F6D">
              <w:t>88</w:t>
            </w:r>
          </w:p>
        </w:tc>
        <w:tc>
          <w:tcPr>
            <w:tcW w:w="593" w:type="dxa"/>
            <w:noWrap/>
            <w:hideMark/>
          </w:tcPr>
          <w:p w14:paraId="495CCECF" w14:textId="77777777" w:rsidR="00A7742A" w:rsidRPr="00EE5F6D" w:rsidRDefault="00A7742A" w:rsidP="00944855">
            <w:r w:rsidRPr="00EE5F6D">
              <w:t>Community (Adult, Women)</w:t>
            </w:r>
          </w:p>
        </w:tc>
        <w:tc>
          <w:tcPr>
            <w:tcW w:w="3437" w:type="dxa"/>
            <w:noWrap/>
            <w:hideMark/>
          </w:tcPr>
          <w:p w14:paraId="0876A90E" w14:textId="77777777" w:rsidR="00A7742A" w:rsidRPr="00EE5F6D" w:rsidRDefault="00A7742A" w:rsidP="00944855">
            <w:r w:rsidRPr="00EE5F6D">
              <w:t>To examine objectively measured physical activity in this clinical population and how it might be related to a partial hospitalization therapy response, after considering potential confounders</w:t>
            </w:r>
          </w:p>
        </w:tc>
        <w:tc>
          <w:tcPr>
            <w:tcW w:w="582" w:type="dxa"/>
            <w:noWrap/>
            <w:hideMark/>
          </w:tcPr>
          <w:p w14:paraId="4B4026FF" w14:textId="77777777" w:rsidR="00A7742A" w:rsidRPr="00EE5F6D" w:rsidRDefault="00A7742A" w:rsidP="00944855">
            <w:r w:rsidRPr="00EE5F6D">
              <w:t>Quasi-experimental (intervention)</w:t>
            </w:r>
          </w:p>
        </w:tc>
        <w:tc>
          <w:tcPr>
            <w:tcW w:w="3437" w:type="dxa"/>
            <w:noWrap/>
            <w:hideMark/>
          </w:tcPr>
          <w:p w14:paraId="7724E537" w14:textId="77777777" w:rsidR="00A7742A" w:rsidRPr="00EE5F6D" w:rsidRDefault="00A7742A" w:rsidP="00944855">
            <w:r w:rsidRPr="00EE5F6D">
              <w:t>Physical activity, daytime PA, time in MVPA, high vs low PA levels, BMI and body composition, depression symptoms.</w:t>
            </w:r>
          </w:p>
        </w:tc>
      </w:tr>
      <w:tr w:rsidR="00A7742A" w:rsidRPr="00EE5F6D" w14:paraId="6F3B4908" w14:textId="77777777" w:rsidTr="00944855">
        <w:trPr>
          <w:trHeight w:val="312"/>
        </w:trPr>
        <w:tc>
          <w:tcPr>
            <w:tcW w:w="541" w:type="dxa"/>
            <w:noWrap/>
            <w:hideMark/>
          </w:tcPr>
          <w:p w14:paraId="3DCE86D3" w14:textId="77777777" w:rsidR="00A7742A" w:rsidRPr="00EE5F6D" w:rsidRDefault="00A7742A" w:rsidP="00944855">
            <w:r w:rsidRPr="00EE5F6D">
              <w:t>Schlegel et al., 2015</w:t>
            </w:r>
          </w:p>
        </w:tc>
        <w:tc>
          <w:tcPr>
            <w:tcW w:w="281" w:type="dxa"/>
            <w:noWrap/>
            <w:hideMark/>
          </w:tcPr>
          <w:p w14:paraId="3717163C" w14:textId="77777777" w:rsidR="00A7742A" w:rsidRPr="00EE5F6D" w:rsidRDefault="00A7742A" w:rsidP="00944855">
            <w:r w:rsidRPr="00EE5F6D">
              <w:t>Germany</w:t>
            </w:r>
          </w:p>
        </w:tc>
        <w:tc>
          <w:tcPr>
            <w:tcW w:w="479" w:type="dxa"/>
            <w:noWrap/>
            <w:hideMark/>
          </w:tcPr>
          <w:p w14:paraId="0BBCBD83" w14:textId="77777777" w:rsidR="00A7742A" w:rsidRPr="00EE5F6D" w:rsidRDefault="00A7742A" w:rsidP="00944855">
            <w:r w:rsidRPr="00EE5F6D">
              <w:t>36</w:t>
            </w:r>
          </w:p>
        </w:tc>
        <w:tc>
          <w:tcPr>
            <w:tcW w:w="593" w:type="dxa"/>
            <w:noWrap/>
            <w:hideMark/>
          </w:tcPr>
          <w:p w14:paraId="62BF0987" w14:textId="77777777" w:rsidR="00A7742A" w:rsidRPr="00EE5F6D" w:rsidRDefault="00A7742A" w:rsidP="00944855">
            <w:r w:rsidRPr="00EE5F6D">
              <w:t>Outpatient (Adult, All Genders)</w:t>
            </w:r>
          </w:p>
        </w:tc>
        <w:tc>
          <w:tcPr>
            <w:tcW w:w="3437" w:type="dxa"/>
            <w:noWrap/>
            <w:hideMark/>
          </w:tcPr>
          <w:p w14:paraId="55DD700F" w14:textId="77777777" w:rsidR="00A7742A" w:rsidRPr="00EE5F6D" w:rsidRDefault="00A7742A" w:rsidP="00944855">
            <w:r w:rsidRPr="00EE5F6D">
              <w:t>To develop a sport therapy program for ED outpatients aiming (a) to reduce dysfunctional attitudes toward physical exercise as well as unhealthy exercise behaviour and (b) to use positive effects of physical activity on body experience, emotion regulation and self-esteem.</w:t>
            </w:r>
          </w:p>
        </w:tc>
        <w:tc>
          <w:tcPr>
            <w:tcW w:w="582" w:type="dxa"/>
            <w:noWrap/>
            <w:hideMark/>
          </w:tcPr>
          <w:p w14:paraId="2B20DE7F" w14:textId="77777777" w:rsidR="00A7742A" w:rsidRPr="00EE5F6D" w:rsidRDefault="00A7742A" w:rsidP="00944855">
            <w:r w:rsidRPr="00EE5F6D">
              <w:t>Quasi-experimental (intervention)</w:t>
            </w:r>
          </w:p>
        </w:tc>
        <w:tc>
          <w:tcPr>
            <w:tcW w:w="3437" w:type="dxa"/>
            <w:noWrap/>
            <w:hideMark/>
          </w:tcPr>
          <w:p w14:paraId="270468F5" w14:textId="77777777" w:rsidR="00A7742A" w:rsidRPr="00EE5F6D" w:rsidRDefault="00A7742A" w:rsidP="00944855">
            <w:r w:rsidRPr="00EE5F6D">
              <w:t>Primary outcome: Commitment to Exercise Scale (CES) score. Secondary outcomes: EDI-2 scale drive for thinness, and body dissatisfaction. Other: eating pathology (EDE-Q), quality of life (SF-12), body weight, BMI, amount of physical activity.</w:t>
            </w:r>
          </w:p>
        </w:tc>
      </w:tr>
      <w:tr w:rsidR="00A7742A" w:rsidRPr="00EE5F6D" w14:paraId="2565F942" w14:textId="77777777" w:rsidTr="00944855">
        <w:trPr>
          <w:trHeight w:val="312"/>
        </w:trPr>
        <w:tc>
          <w:tcPr>
            <w:tcW w:w="541" w:type="dxa"/>
            <w:noWrap/>
            <w:hideMark/>
          </w:tcPr>
          <w:p w14:paraId="506DA36D" w14:textId="77777777" w:rsidR="00A7742A" w:rsidRPr="00EE5F6D" w:rsidRDefault="00A7742A" w:rsidP="00944855">
            <w:r w:rsidRPr="00EE5F6D">
              <w:t>Shih et al., 2017</w:t>
            </w:r>
          </w:p>
        </w:tc>
        <w:tc>
          <w:tcPr>
            <w:tcW w:w="281" w:type="dxa"/>
            <w:noWrap/>
            <w:hideMark/>
          </w:tcPr>
          <w:p w14:paraId="19237F9E" w14:textId="77777777" w:rsidR="00A7742A" w:rsidRPr="00EE5F6D" w:rsidRDefault="00A7742A" w:rsidP="00944855">
            <w:r w:rsidRPr="00EE5F6D">
              <w:t>N/A</w:t>
            </w:r>
          </w:p>
        </w:tc>
        <w:tc>
          <w:tcPr>
            <w:tcW w:w="479" w:type="dxa"/>
            <w:noWrap/>
            <w:hideMark/>
          </w:tcPr>
          <w:p w14:paraId="01E37CE9" w14:textId="77777777" w:rsidR="00A7742A" w:rsidRPr="00EE5F6D" w:rsidRDefault="00A7742A" w:rsidP="00944855">
            <w:r w:rsidRPr="00EE5F6D">
              <w:t>N/A</w:t>
            </w:r>
          </w:p>
        </w:tc>
        <w:tc>
          <w:tcPr>
            <w:tcW w:w="593" w:type="dxa"/>
            <w:noWrap/>
            <w:hideMark/>
          </w:tcPr>
          <w:p w14:paraId="0F3BA614" w14:textId="77777777" w:rsidR="00A7742A" w:rsidRPr="00EE5F6D" w:rsidRDefault="00A7742A" w:rsidP="00944855">
            <w:r w:rsidRPr="00EE5F6D">
              <w:t>N/A</w:t>
            </w:r>
          </w:p>
        </w:tc>
        <w:tc>
          <w:tcPr>
            <w:tcW w:w="3437" w:type="dxa"/>
            <w:hideMark/>
          </w:tcPr>
          <w:p w14:paraId="7E5EFFEB" w14:textId="77777777" w:rsidR="00A7742A" w:rsidRPr="00EE5F6D" w:rsidRDefault="00A7742A" w:rsidP="00944855">
            <w:r w:rsidRPr="00EE5F6D">
              <w:t xml:space="preserve">To review the clinical benefits PUFA treatments exert in other </w:t>
            </w:r>
            <w:r w:rsidRPr="00EE5F6D">
              <w:lastRenderedPageBreak/>
              <w:t>psychiatric diseases, on weight and appetite regulation, and for resolution of inflammation, all of which are relevant in the disease course and outcome of AN</w:t>
            </w:r>
          </w:p>
        </w:tc>
        <w:tc>
          <w:tcPr>
            <w:tcW w:w="582" w:type="dxa"/>
            <w:noWrap/>
            <w:hideMark/>
          </w:tcPr>
          <w:p w14:paraId="1D8CC320" w14:textId="77777777" w:rsidR="00A7742A" w:rsidRPr="00EE5F6D" w:rsidRDefault="00A7742A" w:rsidP="00944855">
            <w:r w:rsidRPr="00EE5F6D">
              <w:lastRenderedPageBreak/>
              <w:t>Review (Narrative)</w:t>
            </w:r>
          </w:p>
        </w:tc>
        <w:tc>
          <w:tcPr>
            <w:tcW w:w="3437" w:type="dxa"/>
            <w:noWrap/>
            <w:hideMark/>
          </w:tcPr>
          <w:p w14:paraId="3C2653B4" w14:textId="77777777" w:rsidR="00A7742A" w:rsidRPr="00EE5F6D" w:rsidRDefault="00A7742A" w:rsidP="00944855">
            <w:r w:rsidRPr="00EE5F6D">
              <w:t>Benefits of PUFA</w:t>
            </w:r>
          </w:p>
        </w:tc>
      </w:tr>
      <w:tr w:rsidR="00A7742A" w:rsidRPr="00EE5F6D" w14:paraId="651A403B" w14:textId="77777777" w:rsidTr="00944855">
        <w:trPr>
          <w:trHeight w:val="312"/>
        </w:trPr>
        <w:tc>
          <w:tcPr>
            <w:tcW w:w="541" w:type="dxa"/>
            <w:noWrap/>
            <w:hideMark/>
          </w:tcPr>
          <w:p w14:paraId="54181CC9" w14:textId="77777777" w:rsidR="00A7742A" w:rsidRPr="00EE5F6D" w:rsidRDefault="00A7742A" w:rsidP="00944855">
            <w:r w:rsidRPr="00EE5F6D">
              <w:t>Sysko et al., 2010</w:t>
            </w:r>
          </w:p>
        </w:tc>
        <w:tc>
          <w:tcPr>
            <w:tcW w:w="281" w:type="dxa"/>
            <w:noWrap/>
            <w:hideMark/>
          </w:tcPr>
          <w:p w14:paraId="3C15339F" w14:textId="77777777" w:rsidR="00A7742A" w:rsidRPr="00EE5F6D" w:rsidRDefault="00A7742A" w:rsidP="00944855">
            <w:r w:rsidRPr="00EE5F6D">
              <w:t>Worldwide</w:t>
            </w:r>
          </w:p>
        </w:tc>
        <w:tc>
          <w:tcPr>
            <w:tcW w:w="479" w:type="dxa"/>
            <w:noWrap/>
            <w:hideMark/>
          </w:tcPr>
          <w:p w14:paraId="146A241F" w14:textId="77777777" w:rsidR="00A7742A" w:rsidRPr="00EE5F6D" w:rsidRDefault="00A7742A" w:rsidP="00944855">
            <w:r w:rsidRPr="00EE5F6D">
              <w:t>785</w:t>
            </w:r>
          </w:p>
        </w:tc>
        <w:tc>
          <w:tcPr>
            <w:tcW w:w="593" w:type="dxa"/>
            <w:noWrap/>
            <w:hideMark/>
          </w:tcPr>
          <w:p w14:paraId="46F86612" w14:textId="77777777" w:rsidR="00A7742A" w:rsidRPr="00EE5F6D" w:rsidRDefault="00A7742A" w:rsidP="00944855">
            <w:r w:rsidRPr="00EE5F6D">
              <w:t>Community (Adult, All Genders)</w:t>
            </w:r>
          </w:p>
        </w:tc>
        <w:tc>
          <w:tcPr>
            <w:tcW w:w="3437" w:type="dxa"/>
            <w:noWrap/>
            <w:hideMark/>
          </w:tcPr>
          <w:p w14:paraId="42708BD8" w14:textId="77777777" w:rsidR="00A7742A" w:rsidRPr="00EE5F6D" w:rsidRDefault="00A7742A" w:rsidP="00944855">
            <w:r w:rsidRPr="00EE5F6D">
              <w:t>To examine the relationship between initial and later response to fluoxetine</w:t>
            </w:r>
          </w:p>
        </w:tc>
        <w:tc>
          <w:tcPr>
            <w:tcW w:w="582" w:type="dxa"/>
            <w:noWrap/>
            <w:hideMark/>
          </w:tcPr>
          <w:p w14:paraId="72B1A5FF" w14:textId="77777777" w:rsidR="00A7742A" w:rsidRPr="00EE5F6D" w:rsidRDefault="00A7742A" w:rsidP="00944855">
            <w:r w:rsidRPr="00EE5F6D">
              <w:t>Modelling (Statistical)</w:t>
            </w:r>
          </w:p>
        </w:tc>
        <w:tc>
          <w:tcPr>
            <w:tcW w:w="3437" w:type="dxa"/>
            <w:noWrap/>
            <w:hideMark/>
          </w:tcPr>
          <w:p w14:paraId="243A213F" w14:textId="77777777" w:rsidR="00A7742A" w:rsidRPr="00EE5F6D" w:rsidRDefault="00A7742A" w:rsidP="00944855">
            <w:r w:rsidRPr="00EE5F6D">
              <w:t>Treatment efficacy, compliance, ED symptoms</w:t>
            </w:r>
          </w:p>
        </w:tc>
      </w:tr>
      <w:tr w:rsidR="00A7742A" w:rsidRPr="00EE5F6D" w14:paraId="7E06C044" w14:textId="77777777" w:rsidTr="00944855">
        <w:trPr>
          <w:trHeight w:val="324"/>
        </w:trPr>
        <w:tc>
          <w:tcPr>
            <w:tcW w:w="541" w:type="dxa"/>
            <w:noWrap/>
            <w:hideMark/>
          </w:tcPr>
          <w:p w14:paraId="3B1F092D" w14:textId="77777777" w:rsidR="00A7742A" w:rsidRPr="00EE5F6D" w:rsidRDefault="00A7742A" w:rsidP="00944855">
            <w:r w:rsidRPr="00EE5F6D">
              <w:t>Val-Laillet et al., 2015</w:t>
            </w:r>
          </w:p>
        </w:tc>
        <w:tc>
          <w:tcPr>
            <w:tcW w:w="281" w:type="dxa"/>
            <w:noWrap/>
            <w:hideMark/>
          </w:tcPr>
          <w:p w14:paraId="30AFD2D9" w14:textId="77777777" w:rsidR="00A7742A" w:rsidRPr="00EE5F6D" w:rsidRDefault="00A7742A" w:rsidP="00944855">
            <w:r w:rsidRPr="00EE5F6D">
              <w:t>Worldwide</w:t>
            </w:r>
          </w:p>
        </w:tc>
        <w:tc>
          <w:tcPr>
            <w:tcW w:w="479" w:type="dxa"/>
            <w:noWrap/>
            <w:hideMark/>
          </w:tcPr>
          <w:p w14:paraId="64389DF4" w14:textId="77777777" w:rsidR="00A7742A" w:rsidRPr="00EE5F6D" w:rsidRDefault="00A7742A" w:rsidP="00944855">
            <w:r w:rsidRPr="00EE5F6D">
              <w:t>N/A</w:t>
            </w:r>
          </w:p>
        </w:tc>
        <w:tc>
          <w:tcPr>
            <w:tcW w:w="593" w:type="dxa"/>
            <w:noWrap/>
            <w:hideMark/>
          </w:tcPr>
          <w:p w14:paraId="6B1092A6" w14:textId="77777777" w:rsidR="00A7742A" w:rsidRPr="00EE5F6D" w:rsidRDefault="00A7742A" w:rsidP="00944855">
            <w:r w:rsidRPr="00EE5F6D">
              <w:t>Community (Adult, All Genders)</w:t>
            </w:r>
          </w:p>
        </w:tc>
        <w:tc>
          <w:tcPr>
            <w:tcW w:w="3437" w:type="dxa"/>
            <w:noWrap/>
            <w:hideMark/>
          </w:tcPr>
          <w:p w14:paraId="75D6D18E" w14:textId="77777777" w:rsidR="00A7742A" w:rsidRPr="00EE5F6D" w:rsidRDefault="00A7742A" w:rsidP="00944855">
            <w:r w:rsidRPr="00EE5F6D">
              <w:t>To (1) discuss the possibility to identify new biological markers of brain functions; (2) highlight the potential of neuroimaging and neuromodulation in individualized medicine; (3) To introduce the ethical questions that are concomitant to the emergence of new neuromodulation therapies.</w:t>
            </w:r>
          </w:p>
        </w:tc>
        <w:tc>
          <w:tcPr>
            <w:tcW w:w="582" w:type="dxa"/>
            <w:noWrap/>
            <w:hideMark/>
          </w:tcPr>
          <w:p w14:paraId="4D321A1D" w14:textId="77777777" w:rsidR="00A7742A" w:rsidRPr="00EE5F6D" w:rsidRDefault="00A7742A" w:rsidP="00944855">
            <w:r w:rsidRPr="00EE5F6D">
              <w:t>Review (Other)</w:t>
            </w:r>
          </w:p>
        </w:tc>
        <w:tc>
          <w:tcPr>
            <w:tcW w:w="3437" w:type="dxa"/>
            <w:noWrap/>
            <w:hideMark/>
          </w:tcPr>
          <w:p w14:paraId="1620A92C" w14:textId="77777777" w:rsidR="00A7742A" w:rsidRPr="00EE5F6D" w:rsidRDefault="00A7742A" w:rsidP="00944855">
            <w:r w:rsidRPr="00EE5F6D">
              <w:t>Neuroimaging and neuromodulation approaches are assessed in terms of technical challenges, applicability and ethics</w:t>
            </w:r>
          </w:p>
        </w:tc>
      </w:tr>
      <w:tr w:rsidR="00A7742A" w:rsidRPr="00EE5F6D" w14:paraId="645C49E9" w14:textId="77777777" w:rsidTr="00944855">
        <w:trPr>
          <w:trHeight w:val="312"/>
        </w:trPr>
        <w:tc>
          <w:tcPr>
            <w:tcW w:w="541" w:type="dxa"/>
            <w:noWrap/>
            <w:hideMark/>
          </w:tcPr>
          <w:p w14:paraId="640AF540" w14:textId="77777777" w:rsidR="00A7742A" w:rsidRPr="00EE5F6D" w:rsidRDefault="00A7742A" w:rsidP="00944855">
            <w:r w:rsidRPr="00EE5F6D">
              <w:t>Vander Wal et al., 2012</w:t>
            </w:r>
          </w:p>
        </w:tc>
        <w:tc>
          <w:tcPr>
            <w:tcW w:w="281" w:type="dxa"/>
            <w:noWrap/>
            <w:hideMark/>
          </w:tcPr>
          <w:p w14:paraId="136F7E88" w14:textId="77777777" w:rsidR="00A7742A" w:rsidRPr="00EE5F6D" w:rsidRDefault="00A7742A" w:rsidP="00944855">
            <w:r w:rsidRPr="00EE5F6D">
              <w:t xml:space="preserve">England </w:t>
            </w:r>
          </w:p>
        </w:tc>
        <w:tc>
          <w:tcPr>
            <w:tcW w:w="479" w:type="dxa"/>
            <w:noWrap/>
            <w:hideMark/>
          </w:tcPr>
          <w:p w14:paraId="3755D88F" w14:textId="77777777" w:rsidR="00A7742A" w:rsidRPr="00EE5F6D" w:rsidRDefault="00A7742A" w:rsidP="00944855">
            <w:r w:rsidRPr="00EE5F6D">
              <w:t>40</w:t>
            </w:r>
          </w:p>
        </w:tc>
        <w:tc>
          <w:tcPr>
            <w:tcW w:w="593" w:type="dxa"/>
            <w:noWrap/>
            <w:hideMark/>
          </w:tcPr>
          <w:p w14:paraId="7361C5C8" w14:textId="77777777" w:rsidR="00A7742A" w:rsidRPr="00EE5F6D" w:rsidRDefault="00A7742A" w:rsidP="00944855">
            <w:r w:rsidRPr="00EE5F6D">
              <w:t>Community (Adult, All Genders)</w:t>
            </w:r>
          </w:p>
        </w:tc>
        <w:tc>
          <w:tcPr>
            <w:tcW w:w="3437" w:type="dxa"/>
            <w:noWrap/>
            <w:hideMark/>
          </w:tcPr>
          <w:p w14:paraId="08ED6FB6" w14:textId="3395975F" w:rsidR="00A7742A" w:rsidRPr="00EE5F6D" w:rsidRDefault="00A7742A" w:rsidP="00944855">
            <w:r w:rsidRPr="00EE5F6D">
              <w:t>To examine the short-term effects of escitalopram on symptoms of NES</w:t>
            </w:r>
            <w:r w:rsidR="00872B1B">
              <w:t xml:space="preserve"> </w:t>
            </w:r>
            <w:r w:rsidRPr="00EE5F6D">
              <w:t>in a randomized controlled clinical trial</w:t>
            </w:r>
          </w:p>
        </w:tc>
        <w:tc>
          <w:tcPr>
            <w:tcW w:w="582" w:type="dxa"/>
            <w:noWrap/>
            <w:hideMark/>
          </w:tcPr>
          <w:p w14:paraId="17E35BE2" w14:textId="77777777" w:rsidR="00A7742A" w:rsidRPr="00EE5F6D" w:rsidRDefault="00A7742A" w:rsidP="00944855">
            <w:r w:rsidRPr="00EE5F6D">
              <w:t>RCT</w:t>
            </w:r>
          </w:p>
        </w:tc>
        <w:tc>
          <w:tcPr>
            <w:tcW w:w="3437" w:type="dxa"/>
            <w:noWrap/>
            <w:hideMark/>
          </w:tcPr>
          <w:p w14:paraId="08489A83" w14:textId="0CDCDFAC" w:rsidR="00A7742A" w:rsidRPr="00EE5F6D" w:rsidRDefault="00A7742A" w:rsidP="00944855">
            <w:r w:rsidRPr="00EE5F6D">
              <w:t>Change in</w:t>
            </w:r>
            <w:r w:rsidR="00872B1B">
              <w:t xml:space="preserve"> night eating questionnaire (</w:t>
            </w:r>
            <w:r w:rsidRPr="00EE5F6D">
              <w:t>NEQ</w:t>
            </w:r>
            <w:r w:rsidR="00872B1B">
              <w:t>)</w:t>
            </w:r>
          </w:p>
        </w:tc>
      </w:tr>
      <w:tr w:rsidR="00A7742A" w:rsidRPr="00EE5F6D" w14:paraId="56FE992C" w14:textId="77777777" w:rsidTr="00944855">
        <w:trPr>
          <w:trHeight w:val="312"/>
        </w:trPr>
        <w:tc>
          <w:tcPr>
            <w:tcW w:w="541" w:type="dxa"/>
            <w:noWrap/>
            <w:hideMark/>
          </w:tcPr>
          <w:p w14:paraId="438C63EF" w14:textId="77777777" w:rsidR="00A7742A" w:rsidRPr="00EE5F6D" w:rsidRDefault="00A7742A" w:rsidP="00944855">
            <w:r w:rsidRPr="00EE5F6D">
              <w:t>Vander Wal et al., 2015</w:t>
            </w:r>
          </w:p>
        </w:tc>
        <w:tc>
          <w:tcPr>
            <w:tcW w:w="281" w:type="dxa"/>
            <w:noWrap/>
            <w:hideMark/>
          </w:tcPr>
          <w:p w14:paraId="7BE29E10" w14:textId="77777777" w:rsidR="00A7742A" w:rsidRPr="00EE5F6D" w:rsidRDefault="00A7742A" w:rsidP="00944855">
            <w:r w:rsidRPr="00EE5F6D">
              <w:t>USA</w:t>
            </w:r>
          </w:p>
        </w:tc>
        <w:tc>
          <w:tcPr>
            <w:tcW w:w="479" w:type="dxa"/>
            <w:noWrap/>
            <w:hideMark/>
          </w:tcPr>
          <w:p w14:paraId="3FD6CEA3" w14:textId="77777777" w:rsidR="00A7742A" w:rsidRPr="00EE5F6D" w:rsidRDefault="00A7742A" w:rsidP="00944855">
            <w:r w:rsidRPr="00EE5F6D">
              <w:t>44</w:t>
            </w:r>
          </w:p>
        </w:tc>
        <w:tc>
          <w:tcPr>
            <w:tcW w:w="593" w:type="dxa"/>
            <w:noWrap/>
            <w:hideMark/>
          </w:tcPr>
          <w:p w14:paraId="2EC222C0" w14:textId="77777777" w:rsidR="00A7742A" w:rsidRPr="00EE5F6D" w:rsidRDefault="00A7742A" w:rsidP="00944855">
            <w:r w:rsidRPr="00EE5F6D">
              <w:t>Community (Adult, All Genders)</w:t>
            </w:r>
          </w:p>
        </w:tc>
        <w:tc>
          <w:tcPr>
            <w:tcW w:w="3437" w:type="dxa"/>
            <w:noWrap/>
            <w:hideMark/>
          </w:tcPr>
          <w:p w14:paraId="68BBE9ED" w14:textId="77777777" w:rsidR="00A7742A" w:rsidRPr="00EE5F6D" w:rsidRDefault="00A7742A" w:rsidP="00944855">
            <w:r w:rsidRPr="00EE5F6D">
              <w:t>To test a novel, brief intervention for NES and to evaluate the feasibility of recruitment, randomization, retention, and intervention implementation</w:t>
            </w:r>
          </w:p>
        </w:tc>
        <w:tc>
          <w:tcPr>
            <w:tcW w:w="582" w:type="dxa"/>
            <w:noWrap/>
            <w:hideMark/>
          </w:tcPr>
          <w:p w14:paraId="0C0A228F" w14:textId="77777777" w:rsidR="00A7742A" w:rsidRPr="00EE5F6D" w:rsidRDefault="00A7742A" w:rsidP="00944855">
            <w:r w:rsidRPr="00EE5F6D">
              <w:t>RCT</w:t>
            </w:r>
          </w:p>
        </w:tc>
        <w:tc>
          <w:tcPr>
            <w:tcW w:w="3437" w:type="dxa"/>
            <w:noWrap/>
            <w:hideMark/>
          </w:tcPr>
          <w:p w14:paraId="7BDC8C48" w14:textId="107D79E4" w:rsidR="00A7742A" w:rsidRPr="00EE5F6D" w:rsidRDefault="00A7742A" w:rsidP="00944855">
            <w:r w:rsidRPr="00EE5F6D">
              <w:t>NEQ scores, BDI scores, BAI scores,</w:t>
            </w:r>
            <w:r w:rsidR="0025103F">
              <w:t xml:space="preserve"> perceived stress scale (</w:t>
            </w:r>
            <w:r w:rsidRPr="00EE5F6D">
              <w:t>PSS</w:t>
            </w:r>
            <w:r w:rsidR="0025103F">
              <w:t>)</w:t>
            </w:r>
            <w:r w:rsidRPr="00EE5F6D">
              <w:t xml:space="preserve"> scores, </w:t>
            </w:r>
            <w:r w:rsidR="00872B1B">
              <w:t>night eating diagnostic questionanire (</w:t>
            </w:r>
            <w:r w:rsidRPr="00EE5F6D">
              <w:t>NEDQ</w:t>
            </w:r>
            <w:r w:rsidR="00872B1B">
              <w:t>)</w:t>
            </w:r>
            <w:r w:rsidRPr="00EE5F6D">
              <w:t xml:space="preserve"> symptoms, Sleep logs</w:t>
            </w:r>
          </w:p>
        </w:tc>
      </w:tr>
      <w:tr w:rsidR="00A7742A" w:rsidRPr="00EE5F6D" w14:paraId="7E5E3BA2" w14:textId="77777777" w:rsidTr="00944855">
        <w:trPr>
          <w:trHeight w:val="312"/>
        </w:trPr>
        <w:tc>
          <w:tcPr>
            <w:tcW w:w="541" w:type="dxa"/>
            <w:noWrap/>
            <w:hideMark/>
          </w:tcPr>
          <w:p w14:paraId="0046FFEF" w14:textId="77777777" w:rsidR="00A7742A" w:rsidRPr="00EE5F6D" w:rsidRDefault="00A7742A" w:rsidP="00944855">
            <w:r w:rsidRPr="00EE5F6D">
              <w:t>Vander Wal, 2012</w:t>
            </w:r>
          </w:p>
        </w:tc>
        <w:tc>
          <w:tcPr>
            <w:tcW w:w="281" w:type="dxa"/>
            <w:noWrap/>
            <w:hideMark/>
          </w:tcPr>
          <w:p w14:paraId="3ED52A39" w14:textId="77777777" w:rsidR="00A7742A" w:rsidRPr="00EE5F6D" w:rsidRDefault="00A7742A" w:rsidP="00944855">
            <w:r w:rsidRPr="00EE5F6D">
              <w:t>Worldwide</w:t>
            </w:r>
          </w:p>
        </w:tc>
        <w:tc>
          <w:tcPr>
            <w:tcW w:w="479" w:type="dxa"/>
            <w:noWrap/>
            <w:hideMark/>
          </w:tcPr>
          <w:p w14:paraId="12C1A19B" w14:textId="77777777" w:rsidR="00A7742A" w:rsidRPr="00EE5F6D" w:rsidRDefault="00A7742A" w:rsidP="00944855">
            <w:r w:rsidRPr="00EE5F6D">
              <w:t>N/A</w:t>
            </w:r>
          </w:p>
        </w:tc>
        <w:tc>
          <w:tcPr>
            <w:tcW w:w="593" w:type="dxa"/>
            <w:noWrap/>
            <w:hideMark/>
          </w:tcPr>
          <w:p w14:paraId="29617174" w14:textId="77777777" w:rsidR="00A7742A" w:rsidRPr="00EE5F6D" w:rsidRDefault="00A7742A" w:rsidP="00944855">
            <w:r w:rsidRPr="00EE5F6D">
              <w:t xml:space="preserve">Community (Adult, </w:t>
            </w:r>
            <w:r w:rsidRPr="00EE5F6D">
              <w:lastRenderedPageBreak/>
              <w:t>All Genders)</w:t>
            </w:r>
          </w:p>
        </w:tc>
        <w:tc>
          <w:tcPr>
            <w:tcW w:w="3437" w:type="dxa"/>
            <w:noWrap/>
            <w:hideMark/>
          </w:tcPr>
          <w:p w14:paraId="1A4A472F" w14:textId="77777777" w:rsidR="00A7742A" w:rsidRPr="00EE5F6D" w:rsidRDefault="00A7742A" w:rsidP="00944855">
            <w:r w:rsidRPr="00EE5F6D">
              <w:lastRenderedPageBreak/>
              <w:t xml:space="preserve">To provide an introduction to NES, including diagnosis, </w:t>
            </w:r>
            <w:r w:rsidRPr="00EE5F6D">
              <w:lastRenderedPageBreak/>
              <w:t>clinical presentation, assessment, comorbidities, clinical implications, and pharmacological and psychological treatment approaches</w:t>
            </w:r>
          </w:p>
        </w:tc>
        <w:tc>
          <w:tcPr>
            <w:tcW w:w="582" w:type="dxa"/>
            <w:noWrap/>
            <w:hideMark/>
          </w:tcPr>
          <w:p w14:paraId="2E9999F6" w14:textId="77777777" w:rsidR="00A7742A" w:rsidRPr="00EE5F6D" w:rsidRDefault="00A7742A" w:rsidP="00944855">
            <w:r w:rsidRPr="00EE5F6D">
              <w:lastRenderedPageBreak/>
              <w:t>Review (Critical)</w:t>
            </w:r>
          </w:p>
        </w:tc>
        <w:tc>
          <w:tcPr>
            <w:tcW w:w="3437" w:type="dxa"/>
            <w:noWrap/>
            <w:hideMark/>
          </w:tcPr>
          <w:p w14:paraId="55B43B92" w14:textId="77777777" w:rsidR="00A7742A" w:rsidRPr="00EE5F6D" w:rsidRDefault="00A7742A" w:rsidP="00944855">
            <w:r w:rsidRPr="00EE5F6D">
              <w:t xml:space="preserve">Information reviewed includes diagnosis, clinical </w:t>
            </w:r>
            <w:r w:rsidRPr="00EE5F6D">
              <w:lastRenderedPageBreak/>
              <w:t>presentation, assessment, comorbidities, clinical implications, and pharmacological and psychological treatment approaches</w:t>
            </w:r>
          </w:p>
        </w:tc>
      </w:tr>
      <w:tr w:rsidR="00A7742A" w:rsidRPr="00EE5F6D" w14:paraId="2DD54838" w14:textId="77777777" w:rsidTr="00944855">
        <w:trPr>
          <w:trHeight w:val="312"/>
        </w:trPr>
        <w:tc>
          <w:tcPr>
            <w:tcW w:w="541" w:type="dxa"/>
            <w:noWrap/>
            <w:hideMark/>
          </w:tcPr>
          <w:p w14:paraId="0022AFC4" w14:textId="77777777" w:rsidR="00A7742A" w:rsidRPr="00EE5F6D" w:rsidRDefault="00A7742A" w:rsidP="00944855">
            <w:r w:rsidRPr="00EE5F6D">
              <w:lastRenderedPageBreak/>
              <w:t>Ward and Citrome, 2018</w:t>
            </w:r>
          </w:p>
        </w:tc>
        <w:tc>
          <w:tcPr>
            <w:tcW w:w="281" w:type="dxa"/>
            <w:noWrap/>
            <w:hideMark/>
          </w:tcPr>
          <w:p w14:paraId="4DBD93B2" w14:textId="77777777" w:rsidR="00A7742A" w:rsidRPr="00EE5F6D" w:rsidRDefault="00A7742A" w:rsidP="00944855">
            <w:r w:rsidRPr="00EE5F6D">
              <w:t>Worldwide</w:t>
            </w:r>
          </w:p>
        </w:tc>
        <w:tc>
          <w:tcPr>
            <w:tcW w:w="479" w:type="dxa"/>
            <w:noWrap/>
            <w:hideMark/>
          </w:tcPr>
          <w:p w14:paraId="7CD7F4EB" w14:textId="77777777" w:rsidR="00A7742A" w:rsidRPr="00EE5F6D" w:rsidRDefault="00A7742A" w:rsidP="00944855">
            <w:r w:rsidRPr="00EE5F6D">
              <w:t>N/A</w:t>
            </w:r>
          </w:p>
        </w:tc>
        <w:tc>
          <w:tcPr>
            <w:tcW w:w="593" w:type="dxa"/>
            <w:noWrap/>
            <w:hideMark/>
          </w:tcPr>
          <w:p w14:paraId="03DBE11F" w14:textId="77777777" w:rsidR="00A7742A" w:rsidRPr="00EE5F6D" w:rsidRDefault="00A7742A" w:rsidP="00944855">
            <w:r w:rsidRPr="00EE5F6D">
              <w:t>N/A</w:t>
            </w:r>
          </w:p>
        </w:tc>
        <w:tc>
          <w:tcPr>
            <w:tcW w:w="3437" w:type="dxa"/>
            <w:noWrap/>
            <w:hideMark/>
          </w:tcPr>
          <w:p w14:paraId="25581E95" w14:textId="77777777" w:rsidR="00A7742A" w:rsidRPr="00EE5F6D" w:rsidRDefault="00A7742A" w:rsidP="00944855">
            <w:r w:rsidRPr="00EE5F6D">
              <w:t>To describe the chemistry and pharmacology of LDX, as well as the clinical trials investigating the efficacy and safety of this medication for the management of BED.</w:t>
            </w:r>
          </w:p>
        </w:tc>
        <w:tc>
          <w:tcPr>
            <w:tcW w:w="582" w:type="dxa"/>
            <w:noWrap/>
            <w:hideMark/>
          </w:tcPr>
          <w:p w14:paraId="4099F612" w14:textId="77777777" w:rsidR="00A7742A" w:rsidRPr="00EE5F6D" w:rsidRDefault="00A7742A" w:rsidP="00944855">
            <w:r w:rsidRPr="00EE5F6D">
              <w:t>Review (Narrative)</w:t>
            </w:r>
          </w:p>
        </w:tc>
        <w:tc>
          <w:tcPr>
            <w:tcW w:w="3437" w:type="dxa"/>
            <w:noWrap/>
            <w:hideMark/>
          </w:tcPr>
          <w:p w14:paraId="6D81F65D" w14:textId="77777777" w:rsidR="00A7742A" w:rsidRPr="00EE5F6D" w:rsidRDefault="00A7742A" w:rsidP="00944855">
            <w:r w:rsidRPr="00EE5F6D">
              <w:t xml:space="preserve">Absorption, distribution, excretion, metabolism, pharmacogenetics, efficacy </w:t>
            </w:r>
          </w:p>
        </w:tc>
      </w:tr>
      <w:tr w:rsidR="00A7742A" w:rsidRPr="00EE5F6D" w14:paraId="3D2743B1" w14:textId="77777777" w:rsidTr="00944855">
        <w:trPr>
          <w:trHeight w:val="312"/>
        </w:trPr>
        <w:tc>
          <w:tcPr>
            <w:tcW w:w="541" w:type="dxa"/>
            <w:noWrap/>
            <w:hideMark/>
          </w:tcPr>
          <w:p w14:paraId="6A405EB0" w14:textId="77777777" w:rsidR="00A7742A" w:rsidRPr="00EE5F6D" w:rsidRDefault="00A7742A" w:rsidP="00944855">
            <w:r w:rsidRPr="00EE5F6D">
              <w:t xml:space="preserve">Watson et al., 2019 </w:t>
            </w:r>
          </w:p>
        </w:tc>
        <w:tc>
          <w:tcPr>
            <w:tcW w:w="281" w:type="dxa"/>
            <w:noWrap/>
            <w:hideMark/>
          </w:tcPr>
          <w:p w14:paraId="427D77AE" w14:textId="77777777" w:rsidR="00A7742A" w:rsidRPr="00EE5F6D" w:rsidRDefault="00A7742A" w:rsidP="00944855">
            <w:r w:rsidRPr="00EE5F6D">
              <w:t>Worldwide</w:t>
            </w:r>
          </w:p>
        </w:tc>
        <w:tc>
          <w:tcPr>
            <w:tcW w:w="479" w:type="dxa"/>
            <w:noWrap/>
            <w:hideMark/>
          </w:tcPr>
          <w:p w14:paraId="62651DB5" w14:textId="77777777" w:rsidR="00A7742A" w:rsidRPr="00EE5F6D" w:rsidRDefault="00A7742A" w:rsidP="00944855">
            <w:r w:rsidRPr="00EE5F6D">
              <w:t>33</w:t>
            </w:r>
          </w:p>
        </w:tc>
        <w:tc>
          <w:tcPr>
            <w:tcW w:w="593" w:type="dxa"/>
            <w:noWrap/>
            <w:hideMark/>
          </w:tcPr>
          <w:p w14:paraId="5C319E3D" w14:textId="77777777" w:rsidR="00A7742A" w:rsidRPr="00EE5F6D" w:rsidRDefault="00A7742A" w:rsidP="00944855">
            <w:r w:rsidRPr="00EE5F6D">
              <w:t>Community (Adult, All Genders)</w:t>
            </w:r>
          </w:p>
        </w:tc>
        <w:tc>
          <w:tcPr>
            <w:tcW w:w="3437" w:type="dxa"/>
            <w:hideMark/>
          </w:tcPr>
          <w:p w14:paraId="7690832B" w14:textId="77777777" w:rsidR="00A7742A" w:rsidRPr="00EE5F6D" w:rsidRDefault="00A7742A" w:rsidP="00944855">
            <w:r w:rsidRPr="00EE5F6D">
              <w:t>To combine data from the Anorexia Nervosa Genetics Initiative (ANGI) and the Eating Disorders Working Group of the Psychiatric Genomics Consortium (PGC-ED) and conduct a genome-wide association study, identifying eight significant loci.</w:t>
            </w:r>
          </w:p>
        </w:tc>
        <w:tc>
          <w:tcPr>
            <w:tcW w:w="582" w:type="dxa"/>
            <w:noWrap/>
            <w:hideMark/>
          </w:tcPr>
          <w:p w14:paraId="2104EFE0" w14:textId="77777777" w:rsidR="00A7742A" w:rsidRPr="00EE5F6D" w:rsidRDefault="00A7742A" w:rsidP="00944855">
            <w:r w:rsidRPr="00EE5F6D">
              <w:t>Meta-Analysis</w:t>
            </w:r>
          </w:p>
        </w:tc>
        <w:tc>
          <w:tcPr>
            <w:tcW w:w="3437" w:type="dxa"/>
            <w:noWrap/>
            <w:hideMark/>
          </w:tcPr>
          <w:p w14:paraId="5573238A" w14:textId="77777777" w:rsidR="00A7742A" w:rsidRPr="00EE5F6D" w:rsidRDefault="00A7742A" w:rsidP="00944855">
            <w:r w:rsidRPr="00EE5F6D">
              <w:t>Analysis of chromosome X, Female-only GWAS, Distance- and LD-based clumping, Conditional and joint analyses, multi-trait based conditional and joint analyses, eQTL and chromosome conformation capture (Hi-C) interactions, SNP-based heritability estimation, Polygenic risk scoring for within-trait predictions, Anorexia nervosa subtype analysis, Genetic correlations in the cross-trait analysis, GWAS of related traits, GSMR analyses, Gene-wise analysis, Partitioned heritability.</w:t>
            </w:r>
          </w:p>
        </w:tc>
      </w:tr>
      <w:tr w:rsidR="00A7742A" w:rsidRPr="00EE5F6D" w14:paraId="0B49045D" w14:textId="77777777" w:rsidTr="00944855">
        <w:trPr>
          <w:trHeight w:val="312"/>
        </w:trPr>
        <w:tc>
          <w:tcPr>
            <w:tcW w:w="541" w:type="dxa"/>
            <w:noWrap/>
            <w:hideMark/>
          </w:tcPr>
          <w:p w14:paraId="265CBFFC" w14:textId="77777777" w:rsidR="00A7742A" w:rsidRPr="00EE5F6D" w:rsidRDefault="00A7742A" w:rsidP="00944855">
            <w:r w:rsidRPr="00EE5F6D">
              <w:t xml:space="preserve">White and </w:t>
            </w:r>
            <w:r w:rsidRPr="00EE5F6D">
              <w:lastRenderedPageBreak/>
              <w:t xml:space="preserve">Grilo, 2013 </w:t>
            </w:r>
          </w:p>
        </w:tc>
        <w:tc>
          <w:tcPr>
            <w:tcW w:w="281" w:type="dxa"/>
            <w:noWrap/>
            <w:hideMark/>
          </w:tcPr>
          <w:p w14:paraId="4F3DE27D" w14:textId="77777777" w:rsidR="00A7742A" w:rsidRPr="00EE5F6D" w:rsidRDefault="00A7742A" w:rsidP="00944855">
            <w:r w:rsidRPr="00EE5F6D">
              <w:lastRenderedPageBreak/>
              <w:t>USA</w:t>
            </w:r>
          </w:p>
        </w:tc>
        <w:tc>
          <w:tcPr>
            <w:tcW w:w="479" w:type="dxa"/>
            <w:noWrap/>
            <w:hideMark/>
          </w:tcPr>
          <w:p w14:paraId="1426BB3E" w14:textId="77777777" w:rsidR="00A7742A" w:rsidRPr="00EE5F6D" w:rsidRDefault="00A7742A" w:rsidP="00944855">
            <w:r w:rsidRPr="00EE5F6D">
              <w:t>61</w:t>
            </w:r>
          </w:p>
        </w:tc>
        <w:tc>
          <w:tcPr>
            <w:tcW w:w="593" w:type="dxa"/>
            <w:noWrap/>
            <w:hideMark/>
          </w:tcPr>
          <w:p w14:paraId="2CE9E73B" w14:textId="77777777" w:rsidR="00A7742A" w:rsidRPr="00EE5F6D" w:rsidRDefault="00A7742A" w:rsidP="00944855">
            <w:r w:rsidRPr="00EE5F6D">
              <w:t xml:space="preserve">Community </w:t>
            </w:r>
            <w:r w:rsidRPr="00EE5F6D">
              <w:lastRenderedPageBreak/>
              <w:t>(Adult, Women)</w:t>
            </w:r>
          </w:p>
        </w:tc>
        <w:tc>
          <w:tcPr>
            <w:tcW w:w="3437" w:type="dxa"/>
            <w:noWrap/>
            <w:hideMark/>
          </w:tcPr>
          <w:p w14:paraId="245894A2" w14:textId="77777777" w:rsidR="00A7742A" w:rsidRPr="00EE5F6D" w:rsidRDefault="00A7742A" w:rsidP="00944855">
            <w:r w:rsidRPr="00EE5F6D">
              <w:lastRenderedPageBreak/>
              <w:t xml:space="preserve">To perform a randomized </w:t>
            </w:r>
            <w:r w:rsidRPr="00EE5F6D">
              <w:lastRenderedPageBreak/>
              <w:t>placebo-controlled trial to evaluate the short-term efficacy of bupropion for the treatment of BED in overweight and obese women.</w:t>
            </w:r>
          </w:p>
        </w:tc>
        <w:tc>
          <w:tcPr>
            <w:tcW w:w="582" w:type="dxa"/>
            <w:noWrap/>
            <w:hideMark/>
          </w:tcPr>
          <w:p w14:paraId="754AC84A" w14:textId="77777777" w:rsidR="00A7742A" w:rsidRPr="00EE5F6D" w:rsidRDefault="00A7742A" w:rsidP="00944855">
            <w:r w:rsidRPr="00EE5F6D">
              <w:lastRenderedPageBreak/>
              <w:t>RCT</w:t>
            </w:r>
          </w:p>
        </w:tc>
        <w:tc>
          <w:tcPr>
            <w:tcW w:w="3437" w:type="dxa"/>
            <w:noWrap/>
            <w:hideMark/>
          </w:tcPr>
          <w:p w14:paraId="50F2BCFD" w14:textId="77777777" w:rsidR="00A7742A" w:rsidRPr="00EE5F6D" w:rsidRDefault="00A7742A" w:rsidP="00944855">
            <w:r w:rsidRPr="00EE5F6D">
              <w:t xml:space="preserve">Primary: binge eating frequency </w:t>
            </w:r>
            <w:r w:rsidRPr="00EE5F6D">
              <w:lastRenderedPageBreak/>
              <w:t>(self-report diaries), percent BMI loss. Secondary: eating disorder psychopathology, food craving (FCI), depression levels (BDI).</w:t>
            </w:r>
          </w:p>
        </w:tc>
      </w:tr>
      <w:tr w:rsidR="00A7742A" w:rsidRPr="00EE5F6D" w14:paraId="6EE21AC6" w14:textId="77777777" w:rsidTr="00944855">
        <w:trPr>
          <w:trHeight w:val="312"/>
        </w:trPr>
        <w:tc>
          <w:tcPr>
            <w:tcW w:w="541" w:type="dxa"/>
            <w:noWrap/>
            <w:hideMark/>
          </w:tcPr>
          <w:p w14:paraId="0B391E15" w14:textId="77777777" w:rsidR="00A7742A" w:rsidRPr="00EE5F6D" w:rsidRDefault="00A7742A" w:rsidP="00944855">
            <w:r w:rsidRPr="00EE5F6D">
              <w:lastRenderedPageBreak/>
              <w:t>Yu et al., 2011</w:t>
            </w:r>
          </w:p>
        </w:tc>
        <w:tc>
          <w:tcPr>
            <w:tcW w:w="281" w:type="dxa"/>
            <w:noWrap/>
            <w:hideMark/>
          </w:tcPr>
          <w:p w14:paraId="2943CB3F" w14:textId="77777777" w:rsidR="00A7742A" w:rsidRPr="00EE5F6D" w:rsidRDefault="00A7742A" w:rsidP="00944855">
            <w:r w:rsidRPr="00EE5F6D">
              <w:t>USA</w:t>
            </w:r>
          </w:p>
        </w:tc>
        <w:tc>
          <w:tcPr>
            <w:tcW w:w="479" w:type="dxa"/>
            <w:noWrap/>
            <w:hideMark/>
          </w:tcPr>
          <w:p w14:paraId="28D8EB88" w14:textId="77777777" w:rsidR="00A7742A" w:rsidRPr="00EE5F6D" w:rsidRDefault="00A7742A" w:rsidP="00944855">
            <w:r w:rsidRPr="00EE5F6D">
              <w:t>122</w:t>
            </w:r>
          </w:p>
        </w:tc>
        <w:tc>
          <w:tcPr>
            <w:tcW w:w="593" w:type="dxa"/>
            <w:noWrap/>
            <w:hideMark/>
          </w:tcPr>
          <w:p w14:paraId="24D08A5D" w14:textId="77777777" w:rsidR="00A7742A" w:rsidRPr="00EE5F6D" w:rsidRDefault="00A7742A" w:rsidP="00944855">
            <w:r w:rsidRPr="00EE5F6D">
              <w:t>Community (Adult, All Genders)</w:t>
            </w:r>
          </w:p>
        </w:tc>
        <w:tc>
          <w:tcPr>
            <w:tcW w:w="3437" w:type="dxa"/>
            <w:noWrap/>
            <w:hideMark/>
          </w:tcPr>
          <w:p w14:paraId="6F58CFF9" w14:textId="77777777" w:rsidR="00A7742A" w:rsidRPr="00EE5F6D" w:rsidRDefault="00A7742A" w:rsidP="00944855">
            <w:r w:rsidRPr="00EE5F6D">
              <w:t>To examine maintenance of recovery following treatment in an adult anorexia nervosa (AN) population</w:t>
            </w:r>
          </w:p>
        </w:tc>
        <w:tc>
          <w:tcPr>
            <w:tcW w:w="582" w:type="dxa"/>
            <w:noWrap/>
            <w:hideMark/>
          </w:tcPr>
          <w:p w14:paraId="3D2F7A85" w14:textId="77777777" w:rsidR="00A7742A" w:rsidRPr="00EE5F6D" w:rsidRDefault="00A7742A" w:rsidP="00944855">
            <w:r w:rsidRPr="00EE5F6D">
              <w:t>RCT</w:t>
            </w:r>
          </w:p>
        </w:tc>
        <w:tc>
          <w:tcPr>
            <w:tcW w:w="3437" w:type="dxa"/>
            <w:noWrap/>
            <w:hideMark/>
          </w:tcPr>
          <w:p w14:paraId="617C0BEB" w14:textId="77777777" w:rsidR="00A7742A" w:rsidRPr="00EE5F6D" w:rsidRDefault="00A7742A" w:rsidP="00944855">
            <w:r w:rsidRPr="00EE5F6D">
              <w:t>The primary outcomes were weight and the global scores from the Eating Disorder Examination (EDE) separately and combined.</w:t>
            </w:r>
          </w:p>
        </w:tc>
      </w:tr>
    </w:tbl>
    <w:p w14:paraId="43422D0D" w14:textId="77777777" w:rsidR="00E650CF" w:rsidRPr="00EE5F6D" w:rsidRDefault="00E650CF" w:rsidP="00604A5B"/>
    <w:sectPr w:rsidR="00E650CF" w:rsidRPr="00EE5F6D" w:rsidSect="00944855">
      <w:footerReference w:type="even" r:id="rId8"/>
      <w:footerReference w:type="default" r:id="rId9"/>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1622" w14:textId="77777777" w:rsidR="001C2389" w:rsidRDefault="001C2389">
      <w:r>
        <w:separator/>
      </w:r>
    </w:p>
  </w:endnote>
  <w:endnote w:type="continuationSeparator" w:id="0">
    <w:p w14:paraId="00943367" w14:textId="77777777" w:rsidR="001C2389" w:rsidRDefault="001C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5911" w14:textId="7852BCE1" w:rsidR="00944855" w:rsidRDefault="00A7742A" w:rsidP="009448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64B2">
      <w:rPr>
        <w:rStyle w:val="PageNumber"/>
        <w:noProof/>
      </w:rPr>
      <w:t>20</w:t>
    </w:r>
    <w:r>
      <w:rPr>
        <w:rStyle w:val="PageNumber"/>
      </w:rPr>
      <w:fldChar w:fldCharType="end"/>
    </w:r>
  </w:p>
  <w:p w14:paraId="631AC9B3" w14:textId="77777777" w:rsidR="00944855" w:rsidRDefault="00944855" w:rsidP="009448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4749142"/>
      <w:docPartObj>
        <w:docPartGallery w:val="Page Numbers (Bottom of Page)"/>
        <w:docPartUnique/>
      </w:docPartObj>
    </w:sdtPr>
    <w:sdtEndPr>
      <w:rPr>
        <w:rStyle w:val="PageNumber"/>
        <w:rFonts w:ascii="Times New Roman" w:hAnsi="Times New Roman" w:cs="Times New Roman"/>
        <w:sz w:val="22"/>
        <w:szCs w:val="22"/>
      </w:rPr>
    </w:sdtEndPr>
    <w:sdtContent>
      <w:p w14:paraId="6BCB4974" w14:textId="77777777" w:rsidR="00944855" w:rsidRPr="0066251E" w:rsidRDefault="00A7742A" w:rsidP="00944855">
        <w:pPr>
          <w:pStyle w:val="Footer"/>
          <w:framePr w:wrap="none" w:vAnchor="text" w:hAnchor="margin" w:xAlign="right" w:y="1"/>
          <w:rPr>
            <w:rStyle w:val="PageNumber"/>
            <w:rFonts w:ascii="Times New Roman" w:hAnsi="Times New Roman" w:cs="Times New Roman"/>
            <w:sz w:val="22"/>
            <w:szCs w:val="22"/>
          </w:rPr>
        </w:pPr>
        <w:r w:rsidRPr="0066251E">
          <w:rPr>
            <w:rStyle w:val="PageNumber"/>
            <w:rFonts w:ascii="Times New Roman" w:hAnsi="Times New Roman" w:cs="Times New Roman"/>
            <w:sz w:val="22"/>
            <w:szCs w:val="22"/>
          </w:rPr>
          <w:fldChar w:fldCharType="begin"/>
        </w:r>
        <w:r w:rsidRPr="0066251E">
          <w:rPr>
            <w:rStyle w:val="PageNumber"/>
            <w:rFonts w:ascii="Times New Roman" w:hAnsi="Times New Roman" w:cs="Times New Roman"/>
            <w:sz w:val="22"/>
            <w:szCs w:val="22"/>
          </w:rPr>
          <w:instrText xml:space="preserve"> PAGE </w:instrText>
        </w:r>
        <w:r w:rsidRPr="0066251E">
          <w:rPr>
            <w:rStyle w:val="PageNumber"/>
            <w:rFonts w:ascii="Times New Roman" w:hAnsi="Times New Roman" w:cs="Times New Roman"/>
            <w:sz w:val="22"/>
            <w:szCs w:val="22"/>
          </w:rPr>
          <w:fldChar w:fldCharType="separate"/>
        </w:r>
        <w:r w:rsidR="00604A5B">
          <w:rPr>
            <w:rStyle w:val="PageNumber"/>
            <w:rFonts w:ascii="Times New Roman" w:hAnsi="Times New Roman" w:cs="Times New Roman"/>
            <w:noProof/>
            <w:sz w:val="22"/>
            <w:szCs w:val="22"/>
          </w:rPr>
          <w:t>2</w:t>
        </w:r>
        <w:r w:rsidRPr="0066251E">
          <w:rPr>
            <w:rStyle w:val="PageNumber"/>
            <w:rFonts w:ascii="Times New Roman" w:hAnsi="Times New Roman" w:cs="Times New Roman"/>
            <w:sz w:val="22"/>
            <w:szCs w:val="22"/>
          </w:rPr>
          <w:fldChar w:fldCharType="end"/>
        </w:r>
      </w:p>
    </w:sdtContent>
  </w:sdt>
  <w:p w14:paraId="70CDD44F" w14:textId="77777777" w:rsidR="00944855" w:rsidRDefault="00944855" w:rsidP="00944855">
    <w:pPr>
      <w:pStyle w:val="Footer"/>
      <w:ind w:right="360"/>
      <w:jc w:val="center"/>
    </w:pPr>
  </w:p>
  <w:p w14:paraId="2356CD91" w14:textId="77777777" w:rsidR="00944855" w:rsidRDefault="00944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2C6E1" w14:textId="77777777" w:rsidR="001C2389" w:rsidRDefault="001C2389">
      <w:r>
        <w:separator/>
      </w:r>
    </w:p>
  </w:footnote>
  <w:footnote w:type="continuationSeparator" w:id="0">
    <w:p w14:paraId="780D7BA3" w14:textId="77777777" w:rsidR="001C2389" w:rsidRDefault="001C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75F"/>
    <w:multiLevelType w:val="multilevel"/>
    <w:tmpl w:val="E7228820"/>
    <w:styleLink w:val="TableBullets"/>
    <w:lvl w:ilvl="0">
      <w:start w:val="1"/>
      <w:numFmt w:val="bullet"/>
      <w:pStyle w:val="TableBullets1"/>
      <w:lvlText w:val="•"/>
      <w:lvlJc w:val="left"/>
      <w:pPr>
        <w:ind w:left="227" w:hanging="170"/>
      </w:pPr>
      <w:rPr>
        <w:rFonts w:ascii="Garamond" w:hAnsi="Garamond" w:hint="default"/>
        <w:color w:val="000000" w:themeColor="text1"/>
        <w:sz w:val="22"/>
      </w:rPr>
    </w:lvl>
    <w:lvl w:ilvl="1">
      <w:start w:val="1"/>
      <w:numFmt w:val="bullet"/>
      <w:pStyle w:val="TableBullets2"/>
      <w:lvlText w:val="–"/>
      <w:lvlJc w:val="left"/>
      <w:pPr>
        <w:ind w:left="454" w:hanging="227"/>
      </w:pPr>
      <w:rPr>
        <w:rFonts w:ascii="Garamond" w:hAnsi="Garamond" w:hint="default"/>
        <w:color w:val="44546A" w:themeColor="text2"/>
      </w:rPr>
    </w:lvl>
    <w:lvl w:ilvl="2">
      <w:start w:val="1"/>
      <w:numFmt w:val="bullet"/>
      <w:lvlText w:val="–"/>
      <w:lvlJc w:val="left"/>
      <w:pPr>
        <w:ind w:left="624" w:hanging="170"/>
      </w:pPr>
      <w:rPr>
        <w:rFonts w:ascii="Garamond" w:hAnsi="Garamond" w:hint="default"/>
        <w:color w:val="44546A" w:themeColor="text2"/>
      </w:rPr>
    </w:lvl>
    <w:lvl w:ilvl="3">
      <w:start w:val="1"/>
      <w:numFmt w:val="bullet"/>
      <w:lvlText w:val="-"/>
      <w:lvlJc w:val="left"/>
      <w:pPr>
        <w:ind w:left="765" w:hanging="141"/>
      </w:pPr>
      <w:rPr>
        <w:rFonts w:ascii="Garamond" w:hAnsi="Garamond" w:hint="default"/>
        <w:color w:val="44546A" w:themeColor="text2"/>
      </w:rPr>
    </w:lvl>
    <w:lvl w:ilvl="4">
      <w:start w:val="1"/>
      <w:numFmt w:val="bullet"/>
      <w:pStyle w:val="TableBulletssmall1"/>
      <w:lvlText w:val="•"/>
      <w:lvlJc w:val="left"/>
      <w:pPr>
        <w:ind w:left="227" w:hanging="170"/>
      </w:pPr>
      <w:rPr>
        <w:rFonts w:ascii="Garamond" w:hAnsi="Garamond" w:hint="default"/>
        <w:color w:val="000000" w:themeColor="text1"/>
      </w:rPr>
    </w:lvl>
    <w:lvl w:ilvl="5">
      <w:start w:val="1"/>
      <w:numFmt w:val="bullet"/>
      <w:pStyle w:val="TableBulletssmall2"/>
      <w:lvlText w:val="–"/>
      <w:lvlJc w:val="left"/>
      <w:pPr>
        <w:ind w:left="454" w:hanging="227"/>
      </w:pPr>
      <w:rPr>
        <w:rFonts w:ascii="Garamond" w:hAnsi="Garamond" w:hint="default"/>
        <w:color w:val="44546A" w:themeColor="text2"/>
      </w:rPr>
    </w:lvl>
    <w:lvl w:ilvl="6">
      <w:start w:val="1"/>
      <w:numFmt w:val="bullet"/>
      <w:lvlText w:val="–"/>
      <w:lvlJc w:val="left"/>
      <w:pPr>
        <w:ind w:left="624" w:hanging="170"/>
      </w:pPr>
      <w:rPr>
        <w:rFonts w:ascii="Garamond" w:hAnsi="Garamond" w:hint="default"/>
        <w:color w:val="44546A" w:themeColor="text2"/>
      </w:rPr>
    </w:lvl>
    <w:lvl w:ilvl="7">
      <w:start w:val="1"/>
      <w:numFmt w:val="bullet"/>
      <w:lvlText w:val="-"/>
      <w:lvlJc w:val="left"/>
      <w:pPr>
        <w:ind w:left="765" w:hanging="141"/>
      </w:pPr>
      <w:rPr>
        <w:rFonts w:ascii="Garamond" w:hAnsi="Garamond" w:hint="default"/>
        <w:color w:val="44546A" w:themeColor="text2"/>
      </w:rPr>
    </w:lvl>
    <w:lvl w:ilvl="8">
      <w:start w:val="1"/>
      <w:numFmt w:val="bullet"/>
      <w:lvlText w:val="•"/>
      <w:lvlJc w:val="left"/>
      <w:pPr>
        <w:ind w:left="170" w:hanging="170"/>
      </w:pPr>
      <w:rPr>
        <w:rFonts w:ascii="Garamond" w:hAnsi="Garamond" w:hint="default"/>
        <w:color w:val="000000" w:themeColor="text1"/>
      </w:rPr>
    </w:lvl>
  </w:abstractNum>
  <w:abstractNum w:abstractNumId="1" w15:restartNumberingAfterBreak="0">
    <w:nsid w:val="01914011"/>
    <w:multiLevelType w:val="hybridMultilevel"/>
    <w:tmpl w:val="33EC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A77FE"/>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20523B"/>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F37EA"/>
    <w:multiLevelType w:val="multilevel"/>
    <w:tmpl w:val="05DE4E62"/>
    <w:styleLink w:val="Numbering"/>
    <w:lvl w:ilvl="0">
      <w:start w:val="1"/>
      <w:numFmt w:val="decimal"/>
      <w:pStyle w:val="ListNumber"/>
      <w:lvlText w:val="%1."/>
      <w:lvlJc w:val="left"/>
      <w:pPr>
        <w:tabs>
          <w:tab w:val="num" w:pos="284"/>
        </w:tabs>
        <w:ind w:left="567" w:hanging="567"/>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12F678D"/>
    <w:multiLevelType w:val="hybridMultilevel"/>
    <w:tmpl w:val="B3A6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83306"/>
    <w:multiLevelType w:val="hybridMultilevel"/>
    <w:tmpl w:val="3A761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F59B4"/>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B76C6E"/>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D024C4"/>
    <w:multiLevelType w:val="hybridMultilevel"/>
    <w:tmpl w:val="74F2D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6601E3"/>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2805FC"/>
    <w:multiLevelType w:val="multilevel"/>
    <w:tmpl w:val="9D1E108E"/>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D15581"/>
    <w:multiLevelType w:val="hybridMultilevel"/>
    <w:tmpl w:val="C9DC956C"/>
    <w:lvl w:ilvl="0" w:tplc="48C638A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D62240"/>
    <w:multiLevelType w:val="hybridMultilevel"/>
    <w:tmpl w:val="6496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B6A11"/>
    <w:multiLevelType w:val="multilevel"/>
    <w:tmpl w:val="D0001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9E1151"/>
    <w:multiLevelType w:val="hybridMultilevel"/>
    <w:tmpl w:val="0174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E7F9B"/>
    <w:multiLevelType w:val="hybridMultilevel"/>
    <w:tmpl w:val="528C5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A44D99"/>
    <w:multiLevelType w:val="hybridMultilevel"/>
    <w:tmpl w:val="5D7E1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2A6586"/>
    <w:multiLevelType w:val="multilevel"/>
    <w:tmpl w:val="1B7835B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AE3D56"/>
    <w:multiLevelType w:val="hybridMultilevel"/>
    <w:tmpl w:val="8E92F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3169CD"/>
    <w:multiLevelType w:val="hybridMultilevel"/>
    <w:tmpl w:val="EF6A3452"/>
    <w:lvl w:ilvl="0" w:tplc="0C090001">
      <w:start w:val="1"/>
      <w:numFmt w:val="bullet"/>
      <w:lvlText w:val=""/>
      <w:lvlJc w:val="left"/>
      <w:pPr>
        <w:ind w:left="720" w:hanging="360"/>
      </w:pPr>
      <w:rPr>
        <w:rFonts w:ascii="Symbol" w:hAnsi="Symbol" w:hint="default"/>
      </w:rPr>
    </w:lvl>
    <w:lvl w:ilvl="1" w:tplc="8206B408">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BE7AC1"/>
    <w:multiLevelType w:val="hybridMultilevel"/>
    <w:tmpl w:val="2AC4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91443C"/>
    <w:multiLevelType w:val="multilevel"/>
    <w:tmpl w:val="05DE4E62"/>
    <w:numStyleLink w:val="Numbering"/>
  </w:abstractNum>
  <w:abstractNum w:abstractNumId="23" w15:restartNumberingAfterBreak="0">
    <w:nsid w:val="714D5954"/>
    <w:multiLevelType w:val="hybridMultilevel"/>
    <w:tmpl w:val="69FA283E"/>
    <w:lvl w:ilvl="0" w:tplc="5586510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DA5E27"/>
    <w:multiLevelType w:val="multilevel"/>
    <w:tmpl w:val="95C66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1"/>
  </w:num>
  <w:num w:numId="3">
    <w:abstractNumId w:val="14"/>
  </w:num>
  <w:num w:numId="4">
    <w:abstractNumId w:val="10"/>
  </w:num>
  <w:num w:numId="5">
    <w:abstractNumId w:val="6"/>
  </w:num>
  <w:num w:numId="6">
    <w:abstractNumId w:val="1"/>
  </w:num>
  <w:num w:numId="7">
    <w:abstractNumId w:val="20"/>
  </w:num>
  <w:num w:numId="8">
    <w:abstractNumId w:val="16"/>
  </w:num>
  <w:num w:numId="9">
    <w:abstractNumId w:val="17"/>
  </w:num>
  <w:num w:numId="10">
    <w:abstractNumId w:val="19"/>
  </w:num>
  <w:num w:numId="11">
    <w:abstractNumId w:val="13"/>
  </w:num>
  <w:num w:numId="12">
    <w:abstractNumId w:val="21"/>
  </w:num>
  <w:num w:numId="13">
    <w:abstractNumId w:val="5"/>
  </w:num>
  <w:num w:numId="14">
    <w:abstractNumId w:val="23"/>
  </w:num>
  <w:num w:numId="15">
    <w:abstractNumId w:val="12"/>
  </w:num>
  <w:num w:numId="16">
    <w:abstractNumId w:val="4"/>
  </w:num>
  <w:num w:numId="17">
    <w:abstractNumId w:val="22"/>
  </w:num>
  <w:num w:numId="18">
    <w:abstractNumId w:val="9"/>
  </w:num>
  <w:num w:numId="19">
    <w:abstractNumId w:val="15"/>
  </w:num>
  <w:num w:numId="20">
    <w:abstractNumId w:val="2"/>
  </w:num>
  <w:num w:numId="21">
    <w:abstractNumId w:val="8"/>
  </w:num>
  <w:num w:numId="22">
    <w:abstractNumId w:val="7"/>
  </w:num>
  <w:num w:numId="23">
    <w:abstractNumId w:val="3"/>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pveprz9dwpwzedzt2x9wfn5vrepz255020&quot;&gt;My EndNote Library&lt;record-ids&gt;&lt;item&gt;40&lt;/item&gt;&lt;item&gt;62&lt;/item&gt;&lt;item&gt;63&lt;/item&gt;&lt;item&gt;67&lt;/item&gt;&lt;item&gt;68&lt;/item&gt;&lt;item&gt;69&lt;/item&gt;&lt;item&gt;71&lt;/item&gt;&lt;item&gt;72&lt;/item&gt;&lt;item&gt;201&lt;/item&gt;&lt;item&gt;251&lt;/item&gt;&lt;item&gt;281&lt;/item&gt;&lt;item&gt;282&lt;/item&gt;&lt;item&gt;376&lt;/item&gt;&lt;item&gt;377&lt;/item&gt;&lt;item&gt;378&lt;/item&gt;&lt;item&gt;379&lt;/item&gt;&lt;item&gt;382&lt;/item&gt;&lt;item&gt;383&lt;/item&gt;&lt;item&gt;384&lt;/item&gt;&lt;item&gt;387&lt;/item&gt;&lt;item&gt;389&lt;/item&gt;&lt;item&gt;390&lt;/item&gt;&lt;item&gt;391&lt;/item&gt;&lt;item&gt;392&lt;/item&gt;&lt;item&gt;393&lt;/item&gt;&lt;item&gt;394&lt;/item&gt;&lt;item&gt;395&lt;/item&gt;&lt;item&gt;396&lt;/item&gt;&lt;item&gt;397&lt;/item&gt;&lt;item&gt;398&lt;/item&gt;&lt;item&gt;400&lt;/item&gt;&lt;item&gt;401&lt;/item&gt;&lt;item&gt;402&lt;/item&gt;&lt;item&gt;403&lt;/item&gt;&lt;item&gt;404&lt;/item&gt;&lt;item&gt;405&lt;/item&gt;&lt;item&gt;406&lt;/item&gt;&lt;item&gt;407&lt;/item&gt;&lt;item&gt;408&lt;/item&gt;&lt;item&gt;409&lt;/item&gt;&lt;item&gt;410&lt;/item&gt;&lt;item&gt;411&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7&lt;/item&gt;&lt;item&gt;448&lt;/item&gt;&lt;item&gt;449&lt;/item&gt;&lt;item&gt;450&lt;/item&gt;&lt;item&gt;451&lt;/item&gt;&lt;item&gt;452&lt;/item&gt;&lt;item&gt;453&lt;/item&gt;&lt;item&gt;454&lt;/item&gt;&lt;item&gt;455&lt;/item&gt;&lt;item&gt;456&lt;/item&gt;&lt;item&gt;457&lt;/item&gt;&lt;item&gt;458&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527&lt;/item&gt;&lt;item&gt;528&lt;/item&gt;&lt;item&gt;530&lt;/item&gt;&lt;item&gt;535&lt;/item&gt;&lt;item&gt;539&lt;/item&gt;&lt;item&gt;540&lt;/item&gt;&lt;item&gt;541&lt;/item&gt;&lt;item&gt;542&lt;/item&gt;&lt;item&gt;543&lt;/item&gt;&lt;item&gt;544&lt;/item&gt;&lt;item&gt;545&lt;/item&gt;&lt;item&gt;546&lt;/item&gt;&lt;item&gt;547&lt;/item&gt;&lt;item&gt;548&lt;/item&gt;&lt;item&gt;549&lt;/item&gt;&lt;item&gt;550&lt;/item&gt;&lt;item&gt;551&lt;/item&gt;&lt;item&gt;553&lt;/item&gt;&lt;/record-ids&gt;&lt;/item&gt;&lt;/Libraries&gt;"/>
  </w:docVars>
  <w:rsids>
    <w:rsidRoot w:val="00A7742A"/>
    <w:rsid w:val="0000066D"/>
    <w:rsid w:val="000016D2"/>
    <w:rsid w:val="00007841"/>
    <w:rsid w:val="00011921"/>
    <w:rsid w:val="0001233B"/>
    <w:rsid w:val="00012A14"/>
    <w:rsid w:val="000155EA"/>
    <w:rsid w:val="00021B2C"/>
    <w:rsid w:val="000243FD"/>
    <w:rsid w:val="00024FC3"/>
    <w:rsid w:val="00026083"/>
    <w:rsid w:val="00030A11"/>
    <w:rsid w:val="00040852"/>
    <w:rsid w:val="00040A3E"/>
    <w:rsid w:val="00041734"/>
    <w:rsid w:val="000451CE"/>
    <w:rsid w:val="00047F49"/>
    <w:rsid w:val="00051CB6"/>
    <w:rsid w:val="00053990"/>
    <w:rsid w:val="00056747"/>
    <w:rsid w:val="00061896"/>
    <w:rsid w:val="00065EAC"/>
    <w:rsid w:val="0007516B"/>
    <w:rsid w:val="00080799"/>
    <w:rsid w:val="00081D7E"/>
    <w:rsid w:val="000830A1"/>
    <w:rsid w:val="000848B2"/>
    <w:rsid w:val="0008762B"/>
    <w:rsid w:val="000879E9"/>
    <w:rsid w:val="00091680"/>
    <w:rsid w:val="000937AC"/>
    <w:rsid w:val="00093C8C"/>
    <w:rsid w:val="00095B61"/>
    <w:rsid w:val="000A1C93"/>
    <w:rsid w:val="000A4118"/>
    <w:rsid w:val="000A4D3D"/>
    <w:rsid w:val="000B6A88"/>
    <w:rsid w:val="000C60E4"/>
    <w:rsid w:val="000C6294"/>
    <w:rsid w:val="000D47BF"/>
    <w:rsid w:val="000D4B01"/>
    <w:rsid w:val="000E2359"/>
    <w:rsid w:val="000E2E5D"/>
    <w:rsid w:val="000E2E69"/>
    <w:rsid w:val="000E42F2"/>
    <w:rsid w:val="000E6AD0"/>
    <w:rsid w:val="000E7FC8"/>
    <w:rsid w:val="000F04F5"/>
    <w:rsid w:val="000F4309"/>
    <w:rsid w:val="000F69D8"/>
    <w:rsid w:val="00101442"/>
    <w:rsid w:val="00103144"/>
    <w:rsid w:val="00105172"/>
    <w:rsid w:val="001079D5"/>
    <w:rsid w:val="00112568"/>
    <w:rsid w:val="00115823"/>
    <w:rsid w:val="001179FA"/>
    <w:rsid w:val="001210DD"/>
    <w:rsid w:val="00122118"/>
    <w:rsid w:val="00122C19"/>
    <w:rsid w:val="00124E37"/>
    <w:rsid w:val="001309BB"/>
    <w:rsid w:val="00133279"/>
    <w:rsid w:val="0013336D"/>
    <w:rsid w:val="00133DB4"/>
    <w:rsid w:val="0013605B"/>
    <w:rsid w:val="0013777E"/>
    <w:rsid w:val="00140B96"/>
    <w:rsid w:val="001410CB"/>
    <w:rsid w:val="0014204E"/>
    <w:rsid w:val="00146E03"/>
    <w:rsid w:val="0015164E"/>
    <w:rsid w:val="00151CDF"/>
    <w:rsid w:val="00151D0F"/>
    <w:rsid w:val="00164043"/>
    <w:rsid w:val="001708DE"/>
    <w:rsid w:val="00171C1F"/>
    <w:rsid w:val="00172097"/>
    <w:rsid w:val="0018351F"/>
    <w:rsid w:val="00184EE4"/>
    <w:rsid w:val="001859F1"/>
    <w:rsid w:val="001922D0"/>
    <w:rsid w:val="00196918"/>
    <w:rsid w:val="00197940"/>
    <w:rsid w:val="001979BF"/>
    <w:rsid w:val="001A0898"/>
    <w:rsid w:val="001A47A8"/>
    <w:rsid w:val="001B68B7"/>
    <w:rsid w:val="001C125B"/>
    <w:rsid w:val="001C2223"/>
    <w:rsid w:val="001C2389"/>
    <w:rsid w:val="001C4506"/>
    <w:rsid w:val="001C5281"/>
    <w:rsid w:val="001D59CF"/>
    <w:rsid w:val="001D6D1F"/>
    <w:rsid w:val="001E24DE"/>
    <w:rsid w:val="001F001B"/>
    <w:rsid w:val="001F037D"/>
    <w:rsid w:val="001F1536"/>
    <w:rsid w:val="001F3378"/>
    <w:rsid w:val="001F6678"/>
    <w:rsid w:val="001F69F7"/>
    <w:rsid w:val="0020097F"/>
    <w:rsid w:val="00201498"/>
    <w:rsid w:val="002070CF"/>
    <w:rsid w:val="00210D12"/>
    <w:rsid w:val="00210EE8"/>
    <w:rsid w:val="00212C7C"/>
    <w:rsid w:val="0021472D"/>
    <w:rsid w:val="00215BB1"/>
    <w:rsid w:val="002177D6"/>
    <w:rsid w:val="00217BDC"/>
    <w:rsid w:val="002213A7"/>
    <w:rsid w:val="0022200C"/>
    <w:rsid w:val="002234A5"/>
    <w:rsid w:val="0022784A"/>
    <w:rsid w:val="002307EC"/>
    <w:rsid w:val="002316EA"/>
    <w:rsid w:val="00231E0D"/>
    <w:rsid w:val="00232666"/>
    <w:rsid w:val="00232B0D"/>
    <w:rsid w:val="00236277"/>
    <w:rsid w:val="00236289"/>
    <w:rsid w:val="002373B2"/>
    <w:rsid w:val="00237B75"/>
    <w:rsid w:val="00244662"/>
    <w:rsid w:val="0025103F"/>
    <w:rsid w:val="00251D60"/>
    <w:rsid w:val="00252279"/>
    <w:rsid w:val="00252C02"/>
    <w:rsid w:val="002548D3"/>
    <w:rsid w:val="002700F4"/>
    <w:rsid w:val="002714C6"/>
    <w:rsid w:val="00272428"/>
    <w:rsid w:val="00272CC8"/>
    <w:rsid w:val="002747AA"/>
    <w:rsid w:val="002829AC"/>
    <w:rsid w:val="00284AAD"/>
    <w:rsid w:val="002855EF"/>
    <w:rsid w:val="00285B97"/>
    <w:rsid w:val="00287A12"/>
    <w:rsid w:val="0029102D"/>
    <w:rsid w:val="002958B6"/>
    <w:rsid w:val="002A29F6"/>
    <w:rsid w:val="002A6531"/>
    <w:rsid w:val="002B41BC"/>
    <w:rsid w:val="002B5085"/>
    <w:rsid w:val="002B50FD"/>
    <w:rsid w:val="002B7336"/>
    <w:rsid w:val="002C320E"/>
    <w:rsid w:val="002C4E07"/>
    <w:rsid w:val="002C6A38"/>
    <w:rsid w:val="002D1E83"/>
    <w:rsid w:val="002D24A3"/>
    <w:rsid w:val="002D30A5"/>
    <w:rsid w:val="002F1813"/>
    <w:rsid w:val="002F4933"/>
    <w:rsid w:val="002F4BBB"/>
    <w:rsid w:val="002F4DCD"/>
    <w:rsid w:val="002F683E"/>
    <w:rsid w:val="002F7FEC"/>
    <w:rsid w:val="003012B9"/>
    <w:rsid w:val="003021CE"/>
    <w:rsid w:val="003072E0"/>
    <w:rsid w:val="00310935"/>
    <w:rsid w:val="00315201"/>
    <w:rsid w:val="00315BC2"/>
    <w:rsid w:val="0031664B"/>
    <w:rsid w:val="0031670F"/>
    <w:rsid w:val="00327237"/>
    <w:rsid w:val="00327A41"/>
    <w:rsid w:val="0033729F"/>
    <w:rsid w:val="00337CB1"/>
    <w:rsid w:val="003415B3"/>
    <w:rsid w:val="00343451"/>
    <w:rsid w:val="00346D7F"/>
    <w:rsid w:val="003505CD"/>
    <w:rsid w:val="00350AB4"/>
    <w:rsid w:val="00352A7C"/>
    <w:rsid w:val="003546A8"/>
    <w:rsid w:val="00354915"/>
    <w:rsid w:val="00354D20"/>
    <w:rsid w:val="00354F9C"/>
    <w:rsid w:val="0035556C"/>
    <w:rsid w:val="003620E1"/>
    <w:rsid w:val="003642C1"/>
    <w:rsid w:val="00364A40"/>
    <w:rsid w:val="00367D3B"/>
    <w:rsid w:val="00373873"/>
    <w:rsid w:val="0037397A"/>
    <w:rsid w:val="003745B1"/>
    <w:rsid w:val="003751C2"/>
    <w:rsid w:val="00375A8F"/>
    <w:rsid w:val="00375AB7"/>
    <w:rsid w:val="0038344F"/>
    <w:rsid w:val="00383A32"/>
    <w:rsid w:val="00383CFC"/>
    <w:rsid w:val="003848DC"/>
    <w:rsid w:val="00392683"/>
    <w:rsid w:val="0039279E"/>
    <w:rsid w:val="0039293C"/>
    <w:rsid w:val="00393FD1"/>
    <w:rsid w:val="003960AD"/>
    <w:rsid w:val="003A340F"/>
    <w:rsid w:val="003B06D0"/>
    <w:rsid w:val="003B0B44"/>
    <w:rsid w:val="003B6885"/>
    <w:rsid w:val="003B744B"/>
    <w:rsid w:val="003C1266"/>
    <w:rsid w:val="003C18E9"/>
    <w:rsid w:val="003C5341"/>
    <w:rsid w:val="003D31CC"/>
    <w:rsid w:val="003D3FB7"/>
    <w:rsid w:val="003D4058"/>
    <w:rsid w:val="003E03AC"/>
    <w:rsid w:val="003F09C3"/>
    <w:rsid w:val="003F2389"/>
    <w:rsid w:val="003F25C6"/>
    <w:rsid w:val="003F35A5"/>
    <w:rsid w:val="003F5B11"/>
    <w:rsid w:val="0040024F"/>
    <w:rsid w:val="00400AF3"/>
    <w:rsid w:val="004036A5"/>
    <w:rsid w:val="004038D0"/>
    <w:rsid w:val="0040430B"/>
    <w:rsid w:val="0041150A"/>
    <w:rsid w:val="00411F7A"/>
    <w:rsid w:val="004164B3"/>
    <w:rsid w:val="004209DC"/>
    <w:rsid w:val="00425392"/>
    <w:rsid w:val="00426EFA"/>
    <w:rsid w:val="00435224"/>
    <w:rsid w:val="004353E9"/>
    <w:rsid w:val="00436B2B"/>
    <w:rsid w:val="00440892"/>
    <w:rsid w:val="00442E4B"/>
    <w:rsid w:val="004438F4"/>
    <w:rsid w:val="004439D0"/>
    <w:rsid w:val="004443CE"/>
    <w:rsid w:val="00445235"/>
    <w:rsid w:val="00445BE6"/>
    <w:rsid w:val="00451438"/>
    <w:rsid w:val="0045301B"/>
    <w:rsid w:val="00456071"/>
    <w:rsid w:val="0045779A"/>
    <w:rsid w:val="00457FCB"/>
    <w:rsid w:val="00461708"/>
    <w:rsid w:val="00462702"/>
    <w:rsid w:val="00473CFA"/>
    <w:rsid w:val="0047437E"/>
    <w:rsid w:val="00476903"/>
    <w:rsid w:val="00477AF5"/>
    <w:rsid w:val="00480B3B"/>
    <w:rsid w:val="00481999"/>
    <w:rsid w:val="00481D21"/>
    <w:rsid w:val="0048264B"/>
    <w:rsid w:val="00484CDC"/>
    <w:rsid w:val="004878F5"/>
    <w:rsid w:val="004912B8"/>
    <w:rsid w:val="00492E50"/>
    <w:rsid w:val="00493D54"/>
    <w:rsid w:val="004A0878"/>
    <w:rsid w:val="004A37F0"/>
    <w:rsid w:val="004B10CC"/>
    <w:rsid w:val="004B310B"/>
    <w:rsid w:val="004B565D"/>
    <w:rsid w:val="004C0382"/>
    <w:rsid w:val="004C06E5"/>
    <w:rsid w:val="004C65B3"/>
    <w:rsid w:val="004D041A"/>
    <w:rsid w:val="004D2525"/>
    <w:rsid w:val="004D2E15"/>
    <w:rsid w:val="004F1099"/>
    <w:rsid w:val="004F18E5"/>
    <w:rsid w:val="004F40C0"/>
    <w:rsid w:val="004F7186"/>
    <w:rsid w:val="00504FD4"/>
    <w:rsid w:val="0051183B"/>
    <w:rsid w:val="00511B18"/>
    <w:rsid w:val="005128DF"/>
    <w:rsid w:val="00514FD4"/>
    <w:rsid w:val="005164B2"/>
    <w:rsid w:val="00517170"/>
    <w:rsid w:val="0052187D"/>
    <w:rsid w:val="0052316A"/>
    <w:rsid w:val="005266DD"/>
    <w:rsid w:val="00527447"/>
    <w:rsid w:val="00531242"/>
    <w:rsid w:val="00531B18"/>
    <w:rsid w:val="00531C1B"/>
    <w:rsid w:val="005331B8"/>
    <w:rsid w:val="0053558A"/>
    <w:rsid w:val="00541185"/>
    <w:rsid w:val="00541516"/>
    <w:rsid w:val="005417A0"/>
    <w:rsid w:val="00546A3A"/>
    <w:rsid w:val="005518E3"/>
    <w:rsid w:val="005518F8"/>
    <w:rsid w:val="0055357E"/>
    <w:rsid w:val="005535C5"/>
    <w:rsid w:val="0055686B"/>
    <w:rsid w:val="00561C13"/>
    <w:rsid w:val="00566173"/>
    <w:rsid w:val="00570F55"/>
    <w:rsid w:val="00572336"/>
    <w:rsid w:val="00575FBC"/>
    <w:rsid w:val="00581EC8"/>
    <w:rsid w:val="00585EC6"/>
    <w:rsid w:val="00586884"/>
    <w:rsid w:val="00594935"/>
    <w:rsid w:val="00595CA3"/>
    <w:rsid w:val="00596D2C"/>
    <w:rsid w:val="005A1D74"/>
    <w:rsid w:val="005A1F4A"/>
    <w:rsid w:val="005A4FD4"/>
    <w:rsid w:val="005A5A2E"/>
    <w:rsid w:val="005B2553"/>
    <w:rsid w:val="005B2E16"/>
    <w:rsid w:val="005C115F"/>
    <w:rsid w:val="005C30F3"/>
    <w:rsid w:val="005C7EAF"/>
    <w:rsid w:val="005D036B"/>
    <w:rsid w:val="005D3B1B"/>
    <w:rsid w:val="005D5ECF"/>
    <w:rsid w:val="005D615B"/>
    <w:rsid w:val="005D65BB"/>
    <w:rsid w:val="005D6856"/>
    <w:rsid w:val="005D6F0C"/>
    <w:rsid w:val="005E0646"/>
    <w:rsid w:val="005E064C"/>
    <w:rsid w:val="005E0AE3"/>
    <w:rsid w:val="005E3759"/>
    <w:rsid w:val="005E437C"/>
    <w:rsid w:val="005E5BCB"/>
    <w:rsid w:val="005F2845"/>
    <w:rsid w:val="005F5450"/>
    <w:rsid w:val="005F6D24"/>
    <w:rsid w:val="00604A5B"/>
    <w:rsid w:val="00604CF9"/>
    <w:rsid w:val="0060754C"/>
    <w:rsid w:val="00615F6C"/>
    <w:rsid w:val="00624A33"/>
    <w:rsid w:val="00624A52"/>
    <w:rsid w:val="00630A55"/>
    <w:rsid w:val="00631719"/>
    <w:rsid w:val="00631916"/>
    <w:rsid w:val="006338CE"/>
    <w:rsid w:val="00633CAA"/>
    <w:rsid w:val="00635BB9"/>
    <w:rsid w:val="00645C18"/>
    <w:rsid w:val="00646D2D"/>
    <w:rsid w:val="00646E4C"/>
    <w:rsid w:val="00647366"/>
    <w:rsid w:val="00647DD3"/>
    <w:rsid w:val="00651B65"/>
    <w:rsid w:val="00651EBC"/>
    <w:rsid w:val="00652C2E"/>
    <w:rsid w:val="006535BD"/>
    <w:rsid w:val="00657989"/>
    <w:rsid w:val="00662157"/>
    <w:rsid w:val="00667308"/>
    <w:rsid w:val="00667E7C"/>
    <w:rsid w:val="00670EAB"/>
    <w:rsid w:val="00675030"/>
    <w:rsid w:val="00677E59"/>
    <w:rsid w:val="00684653"/>
    <w:rsid w:val="006863A2"/>
    <w:rsid w:val="006873DD"/>
    <w:rsid w:val="00690519"/>
    <w:rsid w:val="00691DAB"/>
    <w:rsid w:val="00695CDC"/>
    <w:rsid w:val="0069660F"/>
    <w:rsid w:val="006970A9"/>
    <w:rsid w:val="0069753D"/>
    <w:rsid w:val="006A0D7B"/>
    <w:rsid w:val="006A0F50"/>
    <w:rsid w:val="006A2F8A"/>
    <w:rsid w:val="006A4050"/>
    <w:rsid w:val="006A46BC"/>
    <w:rsid w:val="006A48BC"/>
    <w:rsid w:val="006A51F6"/>
    <w:rsid w:val="006A7F69"/>
    <w:rsid w:val="006B61FF"/>
    <w:rsid w:val="006B763D"/>
    <w:rsid w:val="006C2725"/>
    <w:rsid w:val="006C38CD"/>
    <w:rsid w:val="006C5073"/>
    <w:rsid w:val="006C7484"/>
    <w:rsid w:val="006C7CA2"/>
    <w:rsid w:val="006D0222"/>
    <w:rsid w:val="006D3C2C"/>
    <w:rsid w:val="006D4449"/>
    <w:rsid w:val="006D4DD6"/>
    <w:rsid w:val="006D5ED7"/>
    <w:rsid w:val="006E0483"/>
    <w:rsid w:val="006E4464"/>
    <w:rsid w:val="006E4ADA"/>
    <w:rsid w:val="006E5929"/>
    <w:rsid w:val="006E639F"/>
    <w:rsid w:val="006E7C19"/>
    <w:rsid w:val="006F174E"/>
    <w:rsid w:val="006F2DAC"/>
    <w:rsid w:val="006F5F62"/>
    <w:rsid w:val="00701AE5"/>
    <w:rsid w:val="00702ED8"/>
    <w:rsid w:val="0070332E"/>
    <w:rsid w:val="007061F9"/>
    <w:rsid w:val="00706F67"/>
    <w:rsid w:val="007073E0"/>
    <w:rsid w:val="00710AEF"/>
    <w:rsid w:val="007118FF"/>
    <w:rsid w:val="00711A6D"/>
    <w:rsid w:val="00716A8D"/>
    <w:rsid w:val="00721BA4"/>
    <w:rsid w:val="007232E1"/>
    <w:rsid w:val="007271D0"/>
    <w:rsid w:val="007278AD"/>
    <w:rsid w:val="00731A7F"/>
    <w:rsid w:val="00733953"/>
    <w:rsid w:val="00735E1F"/>
    <w:rsid w:val="00737FDE"/>
    <w:rsid w:val="00740A9A"/>
    <w:rsid w:val="0074560A"/>
    <w:rsid w:val="007464CF"/>
    <w:rsid w:val="007473E9"/>
    <w:rsid w:val="00750494"/>
    <w:rsid w:val="00754448"/>
    <w:rsid w:val="00756AB7"/>
    <w:rsid w:val="007606B5"/>
    <w:rsid w:val="007644B8"/>
    <w:rsid w:val="0077147C"/>
    <w:rsid w:val="0077198D"/>
    <w:rsid w:val="00771E56"/>
    <w:rsid w:val="00777BD0"/>
    <w:rsid w:val="00782E23"/>
    <w:rsid w:val="007844D0"/>
    <w:rsid w:val="00784AAB"/>
    <w:rsid w:val="0078642B"/>
    <w:rsid w:val="00790FAB"/>
    <w:rsid w:val="0079164F"/>
    <w:rsid w:val="00793838"/>
    <w:rsid w:val="007961FE"/>
    <w:rsid w:val="00796EF5"/>
    <w:rsid w:val="007A129A"/>
    <w:rsid w:val="007A29E4"/>
    <w:rsid w:val="007A5CDC"/>
    <w:rsid w:val="007A6A6E"/>
    <w:rsid w:val="007B5253"/>
    <w:rsid w:val="007B65C3"/>
    <w:rsid w:val="007B689A"/>
    <w:rsid w:val="007B7316"/>
    <w:rsid w:val="007C2A05"/>
    <w:rsid w:val="007C2AFC"/>
    <w:rsid w:val="007C466D"/>
    <w:rsid w:val="007C75BA"/>
    <w:rsid w:val="007D3141"/>
    <w:rsid w:val="007D5553"/>
    <w:rsid w:val="007D5A2C"/>
    <w:rsid w:val="007E0BDF"/>
    <w:rsid w:val="007E0CE5"/>
    <w:rsid w:val="007E47FD"/>
    <w:rsid w:val="007E538E"/>
    <w:rsid w:val="007E752C"/>
    <w:rsid w:val="007F08F4"/>
    <w:rsid w:val="007F4D77"/>
    <w:rsid w:val="008012CA"/>
    <w:rsid w:val="0080217F"/>
    <w:rsid w:val="00803BCD"/>
    <w:rsid w:val="008041A4"/>
    <w:rsid w:val="00804328"/>
    <w:rsid w:val="008059FE"/>
    <w:rsid w:val="0080676A"/>
    <w:rsid w:val="00813873"/>
    <w:rsid w:val="00821ED5"/>
    <w:rsid w:val="0082478C"/>
    <w:rsid w:val="00826980"/>
    <w:rsid w:val="00831999"/>
    <w:rsid w:val="00834276"/>
    <w:rsid w:val="0083699F"/>
    <w:rsid w:val="008373E3"/>
    <w:rsid w:val="008412DA"/>
    <w:rsid w:val="0084627B"/>
    <w:rsid w:val="00850A6D"/>
    <w:rsid w:val="00850F5B"/>
    <w:rsid w:val="008525BF"/>
    <w:rsid w:val="008536C8"/>
    <w:rsid w:val="0085399D"/>
    <w:rsid w:val="008541C1"/>
    <w:rsid w:val="00854272"/>
    <w:rsid w:val="0085445C"/>
    <w:rsid w:val="0085446F"/>
    <w:rsid w:val="00856CE6"/>
    <w:rsid w:val="008604E2"/>
    <w:rsid w:val="00863CA4"/>
    <w:rsid w:val="008676F8"/>
    <w:rsid w:val="00872B1B"/>
    <w:rsid w:val="00881BAD"/>
    <w:rsid w:val="00883580"/>
    <w:rsid w:val="00884A2C"/>
    <w:rsid w:val="00885C4B"/>
    <w:rsid w:val="00886433"/>
    <w:rsid w:val="00887E21"/>
    <w:rsid w:val="00895750"/>
    <w:rsid w:val="00897209"/>
    <w:rsid w:val="008972CF"/>
    <w:rsid w:val="008A3CE4"/>
    <w:rsid w:val="008A40CE"/>
    <w:rsid w:val="008A463F"/>
    <w:rsid w:val="008A4F31"/>
    <w:rsid w:val="008A507A"/>
    <w:rsid w:val="008A5D4D"/>
    <w:rsid w:val="008A7A40"/>
    <w:rsid w:val="008B01BA"/>
    <w:rsid w:val="008B0816"/>
    <w:rsid w:val="008B25A7"/>
    <w:rsid w:val="008C0795"/>
    <w:rsid w:val="008C1080"/>
    <w:rsid w:val="008C1C99"/>
    <w:rsid w:val="008C2385"/>
    <w:rsid w:val="008C2BA1"/>
    <w:rsid w:val="008C35D9"/>
    <w:rsid w:val="008C5398"/>
    <w:rsid w:val="008D10CD"/>
    <w:rsid w:val="008D5651"/>
    <w:rsid w:val="008D7D1E"/>
    <w:rsid w:val="008E6047"/>
    <w:rsid w:val="008F0544"/>
    <w:rsid w:val="008F29D3"/>
    <w:rsid w:val="008F3072"/>
    <w:rsid w:val="008F72D9"/>
    <w:rsid w:val="008F7A9F"/>
    <w:rsid w:val="009012CA"/>
    <w:rsid w:val="00903295"/>
    <w:rsid w:val="009041E1"/>
    <w:rsid w:val="00904540"/>
    <w:rsid w:val="009107D6"/>
    <w:rsid w:val="0091638A"/>
    <w:rsid w:val="009215C1"/>
    <w:rsid w:val="00921CB3"/>
    <w:rsid w:val="0092228C"/>
    <w:rsid w:val="009228E9"/>
    <w:rsid w:val="009251EC"/>
    <w:rsid w:val="009253B1"/>
    <w:rsid w:val="009254A1"/>
    <w:rsid w:val="00930502"/>
    <w:rsid w:val="009340E2"/>
    <w:rsid w:val="009345CA"/>
    <w:rsid w:val="0093460D"/>
    <w:rsid w:val="00935C5E"/>
    <w:rsid w:val="00940F0B"/>
    <w:rsid w:val="009438E9"/>
    <w:rsid w:val="009440A1"/>
    <w:rsid w:val="00944855"/>
    <w:rsid w:val="00947DAE"/>
    <w:rsid w:val="00947F3C"/>
    <w:rsid w:val="0095089E"/>
    <w:rsid w:val="009523D0"/>
    <w:rsid w:val="009532A7"/>
    <w:rsid w:val="009548AD"/>
    <w:rsid w:val="00955D29"/>
    <w:rsid w:val="009575B8"/>
    <w:rsid w:val="009636E7"/>
    <w:rsid w:val="0097082F"/>
    <w:rsid w:val="00970866"/>
    <w:rsid w:val="00970D01"/>
    <w:rsid w:val="00975AC5"/>
    <w:rsid w:val="009803B3"/>
    <w:rsid w:val="00985A42"/>
    <w:rsid w:val="00985A6A"/>
    <w:rsid w:val="0099167F"/>
    <w:rsid w:val="00994600"/>
    <w:rsid w:val="009A0414"/>
    <w:rsid w:val="009A0C0E"/>
    <w:rsid w:val="009A14B5"/>
    <w:rsid w:val="009A5213"/>
    <w:rsid w:val="009A676F"/>
    <w:rsid w:val="009A7C80"/>
    <w:rsid w:val="009B0185"/>
    <w:rsid w:val="009B179E"/>
    <w:rsid w:val="009B17FD"/>
    <w:rsid w:val="009B34F4"/>
    <w:rsid w:val="009B4D11"/>
    <w:rsid w:val="009C0997"/>
    <w:rsid w:val="009C403E"/>
    <w:rsid w:val="009C43C6"/>
    <w:rsid w:val="009C47C1"/>
    <w:rsid w:val="009C66B3"/>
    <w:rsid w:val="009D45C5"/>
    <w:rsid w:val="009D7E25"/>
    <w:rsid w:val="009E2E5A"/>
    <w:rsid w:val="009E5178"/>
    <w:rsid w:val="009F06D4"/>
    <w:rsid w:val="009F36DF"/>
    <w:rsid w:val="009F3E94"/>
    <w:rsid w:val="00A00367"/>
    <w:rsid w:val="00A0555D"/>
    <w:rsid w:val="00A05C14"/>
    <w:rsid w:val="00A07E8B"/>
    <w:rsid w:val="00A112B4"/>
    <w:rsid w:val="00A11848"/>
    <w:rsid w:val="00A1253F"/>
    <w:rsid w:val="00A200C9"/>
    <w:rsid w:val="00A21718"/>
    <w:rsid w:val="00A2498B"/>
    <w:rsid w:val="00A26D39"/>
    <w:rsid w:val="00A27913"/>
    <w:rsid w:val="00A32471"/>
    <w:rsid w:val="00A32CA5"/>
    <w:rsid w:val="00A34F44"/>
    <w:rsid w:val="00A357AB"/>
    <w:rsid w:val="00A37A09"/>
    <w:rsid w:val="00A37CD7"/>
    <w:rsid w:val="00A425A8"/>
    <w:rsid w:val="00A54B9F"/>
    <w:rsid w:val="00A56D77"/>
    <w:rsid w:val="00A5725D"/>
    <w:rsid w:val="00A636FF"/>
    <w:rsid w:val="00A63DF4"/>
    <w:rsid w:val="00A66A04"/>
    <w:rsid w:val="00A717BA"/>
    <w:rsid w:val="00A75202"/>
    <w:rsid w:val="00A7742A"/>
    <w:rsid w:val="00A8175C"/>
    <w:rsid w:val="00A828C6"/>
    <w:rsid w:val="00A83A92"/>
    <w:rsid w:val="00A83BA0"/>
    <w:rsid w:val="00A8495A"/>
    <w:rsid w:val="00A8618D"/>
    <w:rsid w:val="00A87E97"/>
    <w:rsid w:val="00A9069E"/>
    <w:rsid w:val="00AA0A06"/>
    <w:rsid w:val="00AA28BC"/>
    <w:rsid w:val="00AB0720"/>
    <w:rsid w:val="00AB240E"/>
    <w:rsid w:val="00AB6A9D"/>
    <w:rsid w:val="00AC3C72"/>
    <w:rsid w:val="00AD0485"/>
    <w:rsid w:val="00AD2FCC"/>
    <w:rsid w:val="00AE19F7"/>
    <w:rsid w:val="00AE2D27"/>
    <w:rsid w:val="00AE55EF"/>
    <w:rsid w:val="00AF19AD"/>
    <w:rsid w:val="00AF2AA8"/>
    <w:rsid w:val="00AF7BF5"/>
    <w:rsid w:val="00B018AF"/>
    <w:rsid w:val="00B02BA3"/>
    <w:rsid w:val="00B03504"/>
    <w:rsid w:val="00B06504"/>
    <w:rsid w:val="00B13769"/>
    <w:rsid w:val="00B15393"/>
    <w:rsid w:val="00B15D60"/>
    <w:rsid w:val="00B20BFD"/>
    <w:rsid w:val="00B20CC7"/>
    <w:rsid w:val="00B21BE9"/>
    <w:rsid w:val="00B21CB5"/>
    <w:rsid w:val="00B26329"/>
    <w:rsid w:val="00B31566"/>
    <w:rsid w:val="00B32E88"/>
    <w:rsid w:val="00B345AD"/>
    <w:rsid w:val="00B369D2"/>
    <w:rsid w:val="00B37937"/>
    <w:rsid w:val="00B416FA"/>
    <w:rsid w:val="00B43246"/>
    <w:rsid w:val="00B450FC"/>
    <w:rsid w:val="00B452C4"/>
    <w:rsid w:val="00B468A8"/>
    <w:rsid w:val="00B47D38"/>
    <w:rsid w:val="00B519F6"/>
    <w:rsid w:val="00B537BA"/>
    <w:rsid w:val="00B55565"/>
    <w:rsid w:val="00B55EA9"/>
    <w:rsid w:val="00B57565"/>
    <w:rsid w:val="00B579B1"/>
    <w:rsid w:val="00B6314E"/>
    <w:rsid w:val="00B63479"/>
    <w:rsid w:val="00B67157"/>
    <w:rsid w:val="00B71F9B"/>
    <w:rsid w:val="00B744B6"/>
    <w:rsid w:val="00B76E32"/>
    <w:rsid w:val="00B80336"/>
    <w:rsid w:val="00B80477"/>
    <w:rsid w:val="00B8209E"/>
    <w:rsid w:val="00B82783"/>
    <w:rsid w:val="00B854E3"/>
    <w:rsid w:val="00B856D8"/>
    <w:rsid w:val="00B868B6"/>
    <w:rsid w:val="00B86A03"/>
    <w:rsid w:val="00B90686"/>
    <w:rsid w:val="00B926A1"/>
    <w:rsid w:val="00BB1754"/>
    <w:rsid w:val="00BB553A"/>
    <w:rsid w:val="00BD2285"/>
    <w:rsid w:val="00BD3899"/>
    <w:rsid w:val="00BE563F"/>
    <w:rsid w:val="00BE6F4C"/>
    <w:rsid w:val="00BE7307"/>
    <w:rsid w:val="00BE74DA"/>
    <w:rsid w:val="00BF04A5"/>
    <w:rsid w:val="00BF5BA6"/>
    <w:rsid w:val="00BF6236"/>
    <w:rsid w:val="00BF64E4"/>
    <w:rsid w:val="00BF6E08"/>
    <w:rsid w:val="00C03E1A"/>
    <w:rsid w:val="00C0678E"/>
    <w:rsid w:val="00C12FC4"/>
    <w:rsid w:val="00C14DAF"/>
    <w:rsid w:val="00C16B86"/>
    <w:rsid w:val="00C17947"/>
    <w:rsid w:val="00C20F09"/>
    <w:rsid w:val="00C24A36"/>
    <w:rsid w:val="00C350B0"/>
    <w:rsid w:val="00C40314"/>
    <w:rsid w:val="00C40895"/>
    <w:rsid w:val="00C41654"/>
    <w:rsid w:val="00C417A1"/>
    <w:rsid w:val="00C41889"/>
    <w:rsid w:val="00C42062"/>
    <w:rsid w:val="00C43EA3"/>
    <w:rsid w:val="00C453DD"/>
    <w:rsid w:val="00C45C24"/>
    <w:rsid w:val="00C47585"/>
    <w:rsid w:val="00C5063D"/>
    <w:rsid w:val="00C50FB6"/>
    <w:rsid w:val="00C61FA7"/>
    <w:rsid w:val="00C64BB0"/>
    <w:rsid w:val="00C65B91"/>
    <w:rsid w:val="00C67A4C"/>
    <w:rsid w:val="00C70D06"/>
    <w:rsid w:val="00C711A8"/>
    <w:rsid w:val="00C711B7"/>
    <w:rsid w:val="00C72A0E"/>
    <w:rsid w:val="00C765EB"/>
    <w:rsid w:val="00C80C52"/>
    <w:rsid w:val="00C815BF"/>
    <w:rsid w:val="00C82ABA"/>
    <w:rsid w:val="00C84991"/>
    <w:rsid w:val="00C8537E"/>
    <w:rsid w:val="00C857F4"/>
    <w:rsid w:val="00C87AA8"/>
    <w:rsid w:val="00C9342C"/>
    <w:rsid w:val="00C965EF"/>
    <w:rsid w:val="00CA4C66"/>
    <w:rsid w:val="00CB43E9"/>
    <w:rsid w:val="00CB719D"/>
    <w:rsid w:val="00CC3103"/>
    <w:rsid w:val="00CD1534"/>
    <w:rsid w:val="00CD6D8A"/>
    <w:rsid w:val="00CE0357"/>
    <w:rsid w:val="00CE0D3F"/>
    <w:rsid w:val="00CE1DB5"/>
    <w:rsid w:val="00CF0F33"/>
    <w:rsid w:val="00CF1618"/>
    <w:rsid w:val="00CF4416"/>
    <w:rsid w:val="00CF635B"/>
    <w:rsid w:val="00D12676"/>
    <w:rsid w:val="00D25918"/>
    <w:rsid w:val="00D26EBE"/>
    <w:rsid w:val="00D406FA"/>
    <w:rsid w:val="00D40BF1"/>
    <w:rsid w:val="00D41E0F"/>
    <w:rsid w:val="00D42398"/>
    <w:rsid w:val="00D43453"/>
    <w:rsid w:val="00D51A2A"/>
    <w:rsid w:val="00D543D8"/>
    <w:rsid w:val="00D65466"/>
    <w:rsid w:val="00D672D6"/>
    <w:rsid w:val="00D727FD"/>
    <w:rsid w:val="00D733D8"/>
    <w:rsid w:val="00D7485C"/>
    <w:rsid w:val="00D74C78"/>
    <w:rsid w:val="00D770C2"/>
    <w:rsid w:val="00D7748B"/>
    <w:rsid w:val="00D806CE"/>
    <w:rsid w:val="00D8084B"/>
    <w:rsid w:val="00D82021"/>
    <w:rsid w:val="00D9070D"/>
    <w:rsid w:val="00D94552"/>
    <w:rsid w:val="00D94F97"/>
    <w:rsid w:val="00D95B01"/>
    <w:rsid w:val="00DA395C"/>
    <w:rsid w:val="00DA53C5"/>
    <w:rsid w:val="00DA6D40"/>
    <w:rsid w:val="00DA70EA"/>
    <w:rsid w:val="00DB07D5"/>
    <w:rsid w:val="00DB6049"/>
    <w:rsid w:val="00DB797D"/>
    <w:rsid w:val="00DC4A84"/>
    <w:rsid w:val="00DC4E94"/>
    <w:rsid w:val="00DC6194"/>
    <w:rsid w:val="00DC66EC"/>
    <w:rsid w:val="00DC673F"/>
    <w:rsid w:val="00DD0004"/>
    <w:rsid w:val="00DD3D64"/>
    <w:rsid w:val="00DD47F2"/>
    <w:rsid w:val="00DD4C4C"/>
    <w:rsid w:val="00DE2A79"/>
    <w:rsid w:val="00DE6E78"/>
    <w:rsid w:val="00DF0EC5"/>
    <w:rsid w:val="00DF12E5"/>
    <w:rsid w:val="00DF6CA0"/>
    <w:rsid w:val="00DF6D1B"/>
    <w:rsid w:val="00E02C64"/>
    <w:rsid w:val="00E0656C"/>
    <w:rsid w:val="00E106F4"/>
    <w:rsid w:val="00E169BE"/>
    <w:rsid w:val="00E1701A"/>
    <w:rsid w:val="00E17A5B"/>
    <w:rsid w:val="00E21AD7"/>
    <w:rsid w:val="00E31B01"/>
    <w:rsid w:val="00E375D8"/>
    <w:rsid w:val="00E40464"/>
    <w:rsid w:val="00E50E7F"/>
    <w:rsid w:val="00E5141E"/>
    <w:rsid w:val="00E5220F"/>
    <w:rsid w:val="00E53E17"/>
    <w:rsid w:val="00E53F96"/>
    <w:rsid w:val="00E54A2C"/>
    <w:rsid w:val="00E5652A"/>
    <w:rsid w:val="00E609D3"/>
    <w:rsid w:val="00E61F1C"/>
    <w:rsid w:val="00E632C1"/>
    <w:rsid w:val="00E650CF"/>
    <w:rsid w:val="00E65A1E"/>
    <w:rsid w:val="00E67008"/>
    <w:rsid w:val="00E72377"/>
    <w:rsid w:val="00E76D1A"/>
    <w:rsid w:val="00E77B06"/>
    <w:rsid w:val="00E80DA0"/>
    <w:rsid w:val="00E8392A"/>
    <w:rsid w:val="00E85A5C"/>
    <w:rsid w:val="00E8666D"/>
    <w:rsid w:val="00E8721D"/>
    <w:rsid w:val="00E92143"/>
    <w:rsid w:val="00E92545"/>
    <w:rsid w:val="00E929CB"/>
    <w:rsid w:val="00E931C0"/>
    <w:rsid w:val="00E939C4"/>
    <w:rsid w:val="00E95E65"/>
    <w:rsid w:val="00E97789"/>
    <w:rsid w:val="00E97CF2"/>
    <w:rsid w:val="00EA1E5B"/>
    <w:rsid w:val="00EA36ED"/>
    <w:rsid w:val="00EA4184"/>
    <w:rsid w:val="00EA4342"/>
    <w:rsid w:val="00EB3FC4"/>
    <w:rsid w:val="00EC0585"/>
    <w:rsid w:val="00EC0C0F"/>
    <w:rsid w:val="00EC1FCB"/>
    <w:rsid w:val="00EC7556"/>
    <w:rsid w:val="00ED053A"/>
    <w:rsid w:val="00ED0D34"/>
    <w:rsid w:val="00ED22DA"/>
    <w:rsid w:val="00ED32A4"/>
    <w:rsid w:val="00ED588A"/>
    <w:rsid w:val="00EE24BB"/>
    <w:rsid w:val="00EE5F6D"/>
    <w:rsid w:val="00EE6D69"/>
    <w:rsid w:val="00EE7AD5"/>
    <w:rsid w:val="00EF01C0"/>
    <w:rsid w:val="00EF0D92"/>
    <w:rsid w:val="00EF5CC6"/>
    <w:rsid w:val="00F00E31"/>
    <w:rsid w:val="00F0103D"/>
    <w:rsid w:val="00F03990"/>
    <w:rsid w:val="00F05C71"/>
    <w:rsid w:val="00F10005"/>
    <w:rsid w:val="00F12191"/>
    <w:rsid w:val="00F1306D"/>
    <w:rsid w:val="00F14AFF"/>
    <w:rsid w:val="00F15F6D"/>
    <w:rsid w:val="00F2475D"/>
    <w:rsid w:val="00F24F32"/>
    <w:rsid w:val="00F25381"/>
    <w:rsid w:val="00F264B2"/>
    <w:rsid w:val="00F30EA2"/>
    <w:rsid w:val="00F34661"/>
    <w:rsid w:val="00F34752"/>
    <w:rsid w:val="00F34C9F"/>
    <w:rsid w:val="00F37E98"/>
    <w:rsid w:val="00F4110D"/>
    <w:rsid w:val="00F43AD7"/>
    <w:rsid w:val="00F44B82"/>
    <w:rsid w:val="00F44CD1"/>
    <w:rsid w:val="00F465BF"/>
    <w:rsid w:val="00F52931"/>
    <w:rsid w:val="00F5729C"/>
    <w:rsid w:val="00F66F45"/>
    <w:rsid w:val="00F73B3B"/>
    <w:rsid w:val="00F757AC"/>
    <w:rsid w:val="00F81EC3"/>
    <w:rsid w:val="00F826A4"/>
    <w:rsid w:val="00F82E16"/>
    <w:rsid w:val="00F83919"/>
    <w:rsid w:val="00F94297"/>
    <w:rsid w:val="00F955CD"/>
    <w:rsid w:val="00FA03C5"/>
    <w:rsid w:val="00FA353B"/>
    <w:rsid w:val="00FA4701"/>
    <w:rsid w:val="00FA6951"/>
    <w:rsid w:val="00FB0285"/>
    <w:rsid w:val="00FB4F59"/>
    <w:rsid w:val="00FB65DB"/>
    <w:rsid w:val="00FC2B8C"/>
    <w:rsid w:val="00FC4607"/>
    <w:rsid w:val="00FC535F"/>
    <w:rsid w:val="00FD3529"/>
    <w:rsid w:val="00FD3E57"/>
    <w:rsid w:val="00FD4571"/>
    <w:rsid w:val="00FD7ADD"/>
    <w:rsid w:val="00FE13F4"/>
    <w:rsid w:val="00FE2B98"/>
    <w:rsid w:val="00FE62C4"/>
    <w:rsid w:val="00FE6A24"/>
    <w:rsid w:val="00FF0B71"/>
    <w:rsid w:val="00FF26EF"/>
    <w:rsid w:val="00FF4666"/>
    <w:rsid w:val="00FF494B"/>
    <w:rsid w:val="00FF4C46"/>
    <w:rsid w:val="00FF5305"/>
    <w:rsid w:val="00FF64FD"/>
    <w:rsid w:val="00FF7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D5F3"/>
  <w15:docId w15:val="{20F59C55-84E7-1D47-AB8A-EE5B098B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3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7742A"/>
    <w:pPr>
      <w:keepNext/>
      <w:keepLines/>
      <w:pageBreakBefore/>
      <w:framePr w:w="14799" w:h="1304" w:vSpace="680" w:wrap="around" w:vAnchor="page" w:hAnchor="margin" w:y="982"/>
      <w:numPr>
        <w:numId w:val="2"/>
      </w:numPr>
      <w:pBdr>
        <w:top w:val="single" w:sz="8" w:space="31" w:color="FFFFFF" w:themeColor="background1"/>
        <w:bottom w:val="single" w:sz="8" w:space="0" w:color="4472C4" w:themeColor="accent1"/>
      </w:pBdr>
      <w:shd w:val="clear" w:color="auto" w:fill="FFFFFF" w:themeFill="background1"/>
      <w:outlineLvl w:val="0"/>
    </w:pPr>
    <w:rPr>
      <w:rFonts w:asciiTheme="majorHAnsi" w:eastAsiaTheme="majorEastAsia" w:hAnsiTheme="majorHAnsi" w:cstheme="majorBidi"/>
      <w:b/>
      <w:caps/>
      <w:color w:val="000000" w:themeColor="text1"/>
      <w:spacing w:val="-2"/>
      <w:sz w:val="52"/>
      <w:szCs w:val="28"/>
      <w:lang w:eastAsia="en-AU"/>
    </w:rPr>
  </w:style>
  <w:style w:type="paragraph" w:styleId="Heading2">
    <w:name w:val="heading 2"/>
    <w:basedOn w:val="Normal"/>
    <w:next w:val="Normal"/>
    <w:link w:val="Heading2Char"/>
    <w:uiPriority w:val="9"/>
    <w:semiHidden/>
    <w:unhideWhenUsed/>
    <w:qFormat/>
    <w:rsid w:val="00A7742A"/>
    <w:pPr>
      <w:keepNext/>
      <w:keepLines/>
      <w:numPr>
        <w:ilvl w:val="1"/>
        <w:numId w:val="2"/>
      </w:numPr>
      <w:spacing w:before="400" w:after="240"/>
      <w:outlineLvl w:val="1"/>
    </w:pPr>
    <w:rPr>
      <w:rFonts w:ascii="Franklin Gothic Book" w:hAnsi="Franklin Gothic Book"/>
      <w:b/>
      <w:bCs/>
      <w:caps/>
      <w:color w:val="000000"/>
      <w:spacing w:val="-3"/>
      <w:sz w:val="32"/>
      <w:szCs w:val="26"/>
      <w:u w:val="single"/>
      <w:lang w:eastAsia="en-AU"/>
    </w:rPr>
  </w:style>
  <w:style w:type="paragraph" w:styleId="Heading3">
    <w:name w:val="heading 3"/>
    <w:basedOn w:val="Normal"/>
    <w:next w:val="Normal"/>
    <w:link w:val="Heading3Char"/>
    <w:uiPriority w:val="9"/>
    <w:semiHidden/>
    <w:unhideWhenUsed/>
    <w:qFormat/>
    <w:rsid w:val="00A7742A"/>
    <w:pPr>
      <w:keepNext/>
      <w:keepLines/>
      <w:numPr>
        <w:ilvl w:val="2"/>
        <w:numId w:val="2"/>
      </w:numPr>
      <w:spacing w:before="320" w:after="240"/>
      <w:outlineLvl w:val="2"/>
    </w:pPr>
    <w:rPr>
      <w:rFonts w:ascii="Franklin Gothic Demi" w:hAnsi="Franklin Gothic Demi"/>
      <w:bCs/>
      <w:color w:val="000000"/>
      <w:spacing w:val="-6"/>
      <w:sz w:val="28"/>
      <w:szCs w:val="20"/>
      <w:lang w:eastAsia="en-AU"/>
    </w:rPr>
  </w:style>
  <w:style w:type="paragraph" w:styleId="Heading4">
    <w:name w:val="heading 4"/>
    <w:basedOn w:val="Normal"/>
    <w:next w:val="Normal"/>
    <w:link w:val="Heading4Char"/>
    <w:uiPriority w:val="9"/>
    <w:semiHidden/>
    <w:unhideWhenUsed/>
    <w:qFormat/>
    <w:rsid w:val="00A7742A"/>
    <w:pPr>
      <w:keepNext/>
      <w:keepLines/>
      <w:spacing w:before="240" w:after="40"/>
      <w:outlineLvl w:val="3"/>
    </w:pPr>
    <w:rPr>
      <w:rFonts w:ascii="Calibri" w:eastAsia="Calibri" w:hAnsi="Calibri" w:cs="Calibri"/>
      <w:b/>
      <w:lang w:eastAsia="en-AU"/>
    </w:rPr>
  </w:style>
  <w:style w:type="paragraph" w:styleId="Heading5">
    <w:name w:val="heading 5"/>
    <w:basedOn w:val="Normal"/>
    <w:next w:val="Normal"/>
    <w:link w:val="Heading5Char"/>
    <w:uiPriority w:val="9"/>
    <w:semiHidden/>
    <w:unhideWhenUsed/>
    <w:qFormat/>
    <w:rsid w:val="00A7742A"/>
    <w:pPr>
      <w:keepNext/>
      <w:keepLines/>
      <w:spacing w:before="220" w:after="40"/>
      <w:outlineLvl w:val="4"/>
    </w:pPr>
    <w:rPr>
      <w:rFonts w:ascii="Calibri" w:eastAsia="Calibri" w:hAnsi="Calibri" w:cs="Calibri"/>
      <w:b/>
      <w:sz w:val="22"/>
      <w:szCs w:val="22"/>
      <w:lang w:eastAsia="en-AU"/>
    </w:rPr>
  </w:style>
  <w:style w:type="paragraph" w:styleId="Heading6">
    <w:name w:val="heading 6"/>
    <w:basedOn w:val="Normal"/>
    <w:next w:val="Normal"/>
    <w:link w:val="Heading6Char"/>
    <w:uiPriority w:val="9"/>
    <w:semiHidden/>
    <w:unhideWhenUsed/>
    <w:qFormat/>
    <w:rsid w:val="00A7742A"/>
    <w:pPr>
      <w:keepNext/>
      <w:keepLines/>
      <w:spacing w:before="200" w:after="40"/>
      <w:outlineLvl w:val="5"/>
    </w:pPr>
    <w:rPr>
      <w:rFonts w:ascii="Calibri" w:eastAsia="Calibri" w:hAnsi="Calibri" w:cs="Calibri"/>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42A"/>
    <w:rPr>
      <w:rFonts w:asciiTheme="majorHAnsi" w:eastAsiaTheme="majorEastAsia" w:hAnsiTheme="majorHAnsi" w:cstheme="majorBidi"/>
      <w:b/>
      <w:caps/>
      <w:color w:val="000000" w:themeColor="text1"/>
      <w:spacing w:val="-2"/>
      <w:sz w:val="52"/>
      <w:szCs w:val="28"/>
      <w:shd w:val="clear" w:color="auto" w:fill="FFFFFF" w:themeFill="background1"/>
      <w:lang w:val="en-AU" w:eastAsia="en-AU"/>
    </w:rPr>
  </w:style>
  <w:style w:type="character" w:customStyle="1" w:styleId="Heading2Char">
    <w:name w:val="Heading 2 Char"/>
    <w:basedOn w:val="DefaultParagraphFont"/>
    <w:link w:val="Heading2"/>
    <w:uiPriority w:val="9"/>
    <w:semiHidden/>
    <w:rsid w:val="00A7742A"/>
    <w:rPr>
      <w:rFonts w:ascii="Franklin Gothic Book" w:eastAsia="Times New Roman" w:hAnsi="Franklin Gothic Book" w:cs="Times New Roman"/>
      <w:b/>
      <w:bCs/>
      <w:caps/>
      <w:color w:val="000000"/>
      <w:spacing w:val="-3"/>
      <w:sz w:val="32"/>
      <w:szCs w:val="26"/>
      <w:u w:val="single"/>
      <w:lang w:val="en-AU" w:eastAsia="en-AU"/>
    </w:rPr>
  </w:style>
  <w:style w:type="character" w:customStyle="1" w:styleId="Heading3Char">
    <w:name w:val="Heading 3 Char"/>
    <w:basedOn w:val="DefaultParagraphFont"/>
    <w:link w:val="Heading3"/>
    <w:uiPriority w:val="9"/>
    <w:semiHidden/>
    <w:rsid w:val="00A7742A"/>
    <w:rPr>
      <w:rFonts w:ascii="Franklin Gothic Demi" w:eastAsia="Times New Roman" w:hAnsi="Franklin Gothic Demi" w:cs="Times New Roman"/>
      <w:bCs/>
      <w:color w:val="000000"/>
      <w:spacing w:val="-6"/>
      <w:sz w:val="28"/>
      <w:szCs w:val="20"/>
      <w:lang w:val="en-AU" w:eastAsia="en-AU"/>
    </w:rPr>
  </w:style>
  <w:style w:type="character" w:customStyle="1" w:styleId="Heading4Char">
    <w:name w:val="Heading 4 Char"/>
    <w:basedOn w:val="DefaultParagraphFont"/>
    <w:link w:val="Heading4"/>
    <w:uiPriority w:val="9"/>
    <w:semiHidden/>
    <w:rsid w:val="00A7742A"/>
    <w:rPr>
      <w:rFonts w:ascii="Calibri" w:eastAsia="Calibri" w:hAnsi="Calibri" w:cs="Calibri"/>
      <w:b/>
      <w:lang w:val="en-AU" w:eastAsia="en-AU"/>
    </w:rPr>
  </w:style>
  <w:style w:type="character" w:customStyle="1" w:styleId="Heading5Char">
    <w:name w:val="Heading 5 Char"/>
    <w:basedOn w:val="DefaultParagraphFont"/>
    <w:link w:val="Heading5"/>
    <w:uiPriority w:val="9"/>
    <w:semiHidden/>
    <w:rsid w:val="00A7742A"/>
    <w:rPr>
      <w:rFonts w:ascii="Calibri" w:eastAsia="Calibri" w:hAnsi="Calibri" w:cs="Calibri"/>
      <w:b/>
      <w:sz w:val="22"/>
      <w:szCs w:val="22"/>
      <w:lang w:val="en-AU" w:eastAsia="en-AU"/>
    </w:rPr>
  </w:style>
  <w:style w:type="character" w:customStyle="1" w:styleId="Heading6Char">
    <w:name w:val="Heading 6 Char"/>
    <w:basedOn w:val="DefaultParagraphFont"/>
    <w:link w:val="Heading6"/>
    <w:uiPriority w:val="9"/>
    <w:semiHidden/>
    <w:rsid w:val="00A7742A"/>
    <w:rPr>
      <w:rFonts w:ascii="Calibri" w:eastAsia="Calibri" w:hAnsi="Calibri" w:cs="Calibri"/>
      <w:b/>
      <w:sz w:val="20"/>
      <w:szCs w:val="20"/>
      <w:lang w:val="en-AU" w:eastAsia="en-AU"/>
    </w:rPr>
  </w:style>
  <w:style w:type="paragraph" w:styleId="Title">
    <w:name w:val="Title"/>
    <w:basedOn w:val="Normal"/>
    <w:next w:val="Normal"/>
    <w:link w:val="TitleChar"/>
    <w:uiPriority w:val="10"/>
    <w:qFormat/>
    <w:rsid w:val="00A7742A"/>
    <w:pPr>
      <w:keepNext/>
      <w:keepLines/>
      <w:spacing w:before="480" w:after="120"/>
    </w:pPr>
    <w:rPr>
      <w:rFonts w:ascii="Calibri" w:eastAsia="Calibri" w:hAnsi="Calibri" w:cs="Calibri"/>
      <w:b/>
      <w:sz w:val="72"/>
      <w:szCs w:val="72"/>
      <w:lang w:eastAsia="en-AU"/>
    </w:rPr>
  </w:style>
  <w:style w:type="character" w:customStyle="1" w:styleId="TitleChar">
    <w:name w:val="Title Char"/>
    <w:basedOn w:val="DefaultParagraphFont"/>
    <w:link w:val="Title"/>
    <w:uiPriority w:val="10"/>
    <w:rsid w:val="00A7742A"/>
    <w:rPr>
      <w:rFonts w:ascii="Calibri" w:eastAsia="Calibri" w:hAnsi="Calibri" w:cs="Calibri"/>
      <w:b/>
      <w:sz w:val="72"/>
      <w:szCs w:val="72"/>
      <w:lang w:val="en-AU" w:eastAsia="en-AU"/>
    </w:rPr>
  </w:style>
  <w:style w:type="paragraph" w:styleId="FootnoteText">
    <w:name w:val="footnote text"/>
    <w:basedOn w:val="Normal"/>
    <w:link w:val="FootnoteTextChar"/>
    <w:uiPriority w:val="99"/>
    <w:semiHidden/>
    <w:unhideWhenUsed/>
    <w:rsid w:val="00A7742A"/>
    <w:rPr>
      <w:rFonts w:ascii="Calibri" w:eastAsia="Calibri" w:hAnsi="Calibri" w:cs="Calibri"/>
      <w:sz w:val="20"/>
      <w:szCs w:val="20"/>
      <w:lang w:eastAsia="en-AU"/>
    </w:rPr>
  </w:style>
  <w:style w:type="character" w:customStyle="1" w:styleId="FootnoteTextChar">
    <w:name w:val="Footnote Text Char"/>
    <w:basedOn w:val="DefaultParagraphFont"/>
    <w:link w:val="FootnoteText"/>
    <w:uiPriority w:val="99"/>
    <w:semiHidden/>
    <w:rsid w:val="00A7742A"/>
    <w:rPr>
      <w:rFonts w:ascii="Calibri" w:eastAsia="Calibri" w:hAnsi="Calibri" w:cs="Calibri"/>
      <w:sz w:val="20"/>
      <w:szCs w:val="20"/>
      <w:lang w:val="en-AU" w:eastAsia="en-AU"/>
    </w:rPr>
  </w:style>
  <w:style w:type="character" w:styleId="FootnoteReference">
    <w:name w:val="footnote reference"/>
    <w:basedOn w:val="DefaultParagraphFont"/>
    <w:uiPriority w:val="99"/>
    <w:semiHidden/>
    <w:unhideWhenUsed/>
    <w:rsid w:val="00A7742A"/>
    <w:rPr>
      <w:vertAlign w:val="superscript"/>
    </w:rPr>
  </w:style>
  <w:style w:type="numbering" w:customStyle="1" w:styleId="ListHeadings">
    <w:name w:val="List Headings"/>
    <w:uiPriority w:val="99"/>
    <w:rsid w:val="00A7742A"/>
  </w:style>
  <w:style w:type="paragraph" w:styleId="ListBullet">
    <w:name w:val="List Bullet"/>
    <w:basedOn w:val="Normal"/>
    <w:uiPriority w:val="99"/>
    <w:unhideWhenUsed/>
    <w:qFormat/>
    <w:rsid w:val="00A7742A"/>
    <w:pPr>
      <w:spacing w:after="120"/>
      <w:contextualSpacing/>
    </w:pPr>
    <w:rPr>
      <w:rFonts w:ascii="Calibri" w:eastAsia="Calibri" w:hAnsi="Calibri" w:cs="Calibri"/>
      <w:spacing w:val="-2"/>
      <w:sz w:val="22"/>
      <w:szCs w:val="22"/>
      <w:lang w:eastAsia="en-AU"/>
    </w:rPr>
  </w:style>
  <w:style w:type="paragraph" w:styleId="ListBullet2">
    <w:name w:val="List Bullet 2"/>
    <w:basedOn w:val="Normal"/>
    <w:uiPriority w:val="99"/>
    <w:unhideWhenUsed/>
    <w:qFormat/>
    <w:rsid w:val="00A7742A"/>
    <w:pPr>
      <w:spacing w:after="120"/>
      <w:contextualSpacing/>
    </w:pPr>
    <w:rPr>
      <w:rFonts w:ascii="Calibri" w:eastAsia="Calibri" w:hAnsi="Calibri" w:cs="Calibri"/>
      <w:spacing w:val="-2"/>
      <w:sz w:val="22"/>
      <w:szCs w:val="22"/>
      <w:lang w:eastAsia="en-AU"/>
    </w:rPr>
  </w:style>
  <w:style w:type="numbering" w:customStyle="1" w:styleId="Bullets">
    <w:name w:val="Bullets"/>
    <w:uiPriority w:val="99"/>
    <w:rsid w:val="00A7742A"/>
  </w:style>
  <w:style w:type="paragraph" w:styleId="ListBullet3">
    <w:name w:val="List Bullet 3"/>
    <w:basedOn w:val="Normal"/>
    <w:uiPriority w:val="99"/>
    <w:unhideWhenUsed/>
    <w:rsid w:val="00A7742A"/>
    <w:pPr>
      <w:spacing w:after="120"/>
      <w:contextualSpacing/>
    </w:pPr>
    <w:rPr>
      <w:rFonts w:ascii="Calibri" w:eastAsia="Calibri" w:hAnsi="Calibri" w:cs="Calibri"/>
      <w:spacing w:val="-2"/>
      <w:sz w:val="22"/>
      <w:szCs w:val="22"/>
      <w:lang w:eastAsia="en-AU"/>
    </w:rPr>
  </w:style>
  <w:style w:type="paragraph" w:styleId="ListParagraph">
    <w:name w:val="List Paragraph"/>
    <w:basedOn w:val="Normal"/>
    <w:uiPriority w:val="34"/>
    <w:qFormat/>
    <w:rsid w:val="00A7742A"/>
    <w:pPr>
      <w:ind w:left="720"/>
      <w:contextualSpacing/>
    </w:pPr>
    <w:rPr>
      <w:rFonts w:ascii="Calibri" w:eastAsia="Calibri" w:hAnsi="Calibri" w:cs="Calibri"/>
      <w:lang w:eastAsia="en-AU"/>
    </w:rPr>
  </w:style>
  <w:style w:type="paragraph" w:styleId="Subtitle">
    <w:name w:val="Subtitle"/>
    <w:basedOn w:val="Normal"/>
    <w:next w:val="Normal"/>
    <w:link w:val="SubtitleChar"/>
    <w:uiPriority w:val="11"/>
    <w:qFormat/>
    <w:rsid w:val="00A7742A"/>
    <w:pPr>
      <w:keepNext/>
      <w:keepLines/>
      <w:spacing w:before="360" w:after="80"/>
    </w:pPr>
    <w:rPr>
      <w:rFonts w:ascii="Georgia" w:eastAsia="Georgia" w:hAnsi="Georgia" w:cs="Georgia"/>
      <w:i/>
      <w:color w:val="666666"/>
      <w:sz w:val="48"/>
      <w:szCs w:val="48"/>
      <w:lang w:eastAsia="en-AU"/>
    </w:rPr>
  </w:style>
  <w:style w:type="character" w:customStyle="1" w:styleId="SubtitleChar">
    <w:name w:val="Subtitle Char"/>
    <w:basedOn w:val="DefaultParagraphFont"/>
    <w:link w:val="Subtitle"/>
    <w:uiPriority w:val="11"/>
    <w:rsid w:val="00A7742A"/>
    <w:rPr>
      <w:rFonts w:ascii="Georgia" w:eastAsia="Georgia" w:hAnsi="Georgia" w:cs="Georgia"/>
      <w:i/>
      <w:color w:val="666666"/>
      <w:sz w:val="48"/>
      <w:szCs w:val="48"/>
      <w:lang w:val="en-AU" w:eastAsia="en-AU"/>
    </w:rPr>
  </w:style>
  <w:style w:type="paragraph" w:styleId="CommentText">
    <w:name w:val="annotation text"/>
    <w:basedOn w:val="Normal"/>
    <w:link w:val="CommentTextChar"/>
    <w:uiPriority w:val="99"/>
    <w:semiHidden/>
    <w:unhideWhenUsed/>
    <w:rsid w:val="00A7742A"/>
    <w:rPr>
      <w:rFonts w:ascii="Calibri" w:eastAsia="Calibri" w:hAnsi="Calibri" w:cs="Calibri"/>
      <w:sz w:val="20"/>
      <w:szCs w:val="20"/>
      <w:lang w:eastAsia="en-AU"/>
    </w:rPr>
  </w:style>
  <w:style w:type="character" w:customStyle="1" w:styleId="CommentTextChar">
    <w:name w:val="Comment Text Char"/>
    <w:basedOn w:val="DefaultParagraphFont"/>
    <w:link w:val="CommentText"/>
    <w:uiPriority w:val="99"/>
    <w:semiHidden/>
    <w:rsid w:val="00A7742A"/>
    <w:rPr>
      <w:rFonts w:ascii="Calibri" w:eastAsia="Calibri" w:hAnsi="Calibri" w:cs="Calibri"/>
      <w:sz w:val="20"/>
      <w:szCs w:val="20"/>
      <w:lang w:val="en-AU" w:eastAsia="en-AU"/>
    </w:rPr>
  </w:style>
  <w:style w:type="character" w:styleId="CommentReference">
    <w:name w:val="annotation reference"/>
    <w:basedOn w:val="DefaultParagraphFont"/>
    <w:uiPriority w:val="99"/>
    <w:semiHidden/>
    <w:unhideWhenUsed/>
    <w:rsid w:val="00A7742A"/>
    <w:rPr>
      <w:sz w:val="16"/>
      <w:szCs w:val="16"/>
    </w:rPr>
  </w:style>
  <w:style w:type="paragraph" w:styleId="BalloonText">
    <w:name w:val="Balloon Text"/>
    <w:basedOn w:val="Normal"/>
    <w:link w:val="BalloonTextChar"/>
    <w:uiPriority w:val="99"/>
    <w:semiHidden/>
    <w:unhideWhenUsed/>
    <w:rsid w:val="00A7742A"/>
    <w:rPr>
      <w:rFonts w:ascii="Segoe UI" w:eastAsia="Calibri" w:hAnsi="Segoe UI" w:cs="Segoe UI"/>
      <w:sz w:val="18"/>
      <w:szCs w:val="18"/>
      <w:lang w:eastAsia="en-AU"/>
    </w:rPr>
  </w:style>
  <w:style w:type="character" w:customStyle="1" w:styleId="BalloonTextChar">
    <w:name w:val="Balloon Text Char"/>
    <w:basedOn w:val="DefaultParagraphFont"/>
    <w:link w:val="BalloonText"/>
    <w:uiPriority w:val="99"/>
    <w:semiHidden/>
    <w:rsid w:val="00A7742A"/>
    <w:rPr>
      <w:rFonts w:ascii="Segoe UI" w:eastAsia="Calibri" w:hAnsi="Segoe UI" w:cs="Segoe UI"/>
      <w:sz w:val="18"/>
      <w:szCs w:val="18"/>
      <w:lang w:val="en-AU" w:eastAsia="en-AU"/>
    </w:rPr>
  </w:style>
  <w:style w:type="paragraph" w:styleId="Header">
    <w:name w:val="header"/>
    <w:basedOn w:val="Normal"/>
    <w:link w:val="HeaderChar"/>
    <w:uiPriority w:val="99"/>
    <w:unhideWhenUsed/>
    <w:rsid w:val="00A7742A"/>
    <w:pPr>
      <w:tabs>
        <w:tab w:val="center" w:pos="4513"/>
        <w:tab w:val="right" w:pos="9026"/>
      </w:tabs>
    </w:pPr>
    <w:rPr>
      <w:rFonts w:ascii="Calibri" w:eastAsia="Calibri" w:hAnsi="Calibri" w:cs="Calibri"/>
      <w:lang w:eastAsia="en-AU"/>
    </w:rPr>
  </w:style>
  <w:style w:type="character" w:customStyle="1" w:styleId="HeaderChar">
    <w:name w:val="Header Char"/>
    <w:basedOn w:val="DefaultParagraphFont"/>
    <w:link w:val="Header"/>
    <w:uiPriority w:val="99"/>
    <w:rsid w:val="00A7742A"/>
    <w:rPr>
      <w:rFonts w:ascii="Calibri" w:eastAsia="Calibri" w:hAnsi="Calibri" w:cs="Calibri"/>
      <w:lang w:val="en-AU" w:eastAsia="en-AU"/>
    </w:rPr>
  </w:style>
  <w:style w:type="paragraph" w:styleId="Footer">
    <w:name w:val="footer"/>
    <w:basedOn w:val="Normal"/>
    <w:link w:val="FooterChar"/>
    <w:uiPriority w:val="99"/>
    <w:unhideWhenUsed/>
    <w:rsid w:val="00A7742A"/>
    <w:pPr>
      <w:tabs>
        <w:tab w:val="center" w:pos="4513"/>
        <w:tab w:val="right" w:pos="9026"/>
      </w:tabs>
    </w:pPr>
    <w:rPr>
      <w:rFonts w:ascii="Calibri" w:eastAsia="Calibri" w:hAnsi="Calibri" w:cs="Calibri"/>
      <w:lang w:eastAsia="en-AU"/>
    </w:rPr>
  </w:style>
  <w:style w:type="character" w:customStyle="1" w:styleId="FooterChar">
    <w:name w:val="Footer Char"/>
    <w:basedOn w:val="DefaultParagraphFont"/>
    <w:link w:val="Footer"/>
    <w:uiPriority w:val="99"/>
    <w:rsid w:val="00A7742A"/>
    <w:rPr>
      <w:rFonts w:ascii="Calibri" w:eastAsia="Calibri" w:hAnsi="Calibri" w:cs="Calibri"/>
      <w:lang w:val="en-AU" w:eastAsia="en-AU"/>
    </w:rPr>
  </w:style>
  <w:style w:type="paragraph" w:customStyle="1" w:styleId="BodyCopy">
    <w:name w:val="Body Copy"/>
    <w:basedOn w:val="Normal"/>
    <w:link w:val="BodyCopyChar"/>
    <w:uiPriority w:val="1"/>
    <w:qFormat/>
    <w:rsid w:val="00A7742A"/>
    <w:pPr>
      <w:spacing w:after="120"/>
    </w:pPr>
    <w:rPr>
      <w:rFonts w:asciiTheme="minorHAnsi" w:eastAsiaTheme="minorHAnsi" w:hAnsiTheme="minorHAnsi"/>
      <w:color w:val="000000" w:themeColor="text1"/>
      <w:spacing w:val="-2"/>
      <w:sz w:val="22"/>
      <w:szCs w:val="20"/>
      <w:lang w:eastAsia="en-US"/>
    </w:rPr>
  </w:style>
  <w:style w:type="character" w:customStyle="1" w:styleId="BodyCopyChar">
    <w:name w:val="Body Copy Char"/>
    <w:basedOn w:val="DefaultParagraphFont"/>
    <w:link w:val="BodyCopy"/>
    <w:uiPriority w:val="1"/>
    <w:rsid w:val="00A7742A"/>
    <w:rPr>
      <w:rFonts w:cs="Times New Roman"/>
      <w:color w:val="000000" w:themeColor="text1"/>
      <w:spacing w:val="-2"/>
      <w:sz w:val="22"/>
      <w:szCs w:val="20"/>
      <w:lang w:val="en-AU"/>
    </w:rPr>
  </w:style>
  <w:style w:type="paragraph" w:customStyle="1" w:styleId="BodyCopyIndented">
    <w:name w:val="Body Copy Indented"/>
    <w:basedOn w:val="BodyCopy"/>
    <w:qFormat/>
    <w:rsid w:val="00A7742A"/>
    <w:pPr>
      <w:spacing w:before="85" w:after="85" w:line="264" w:lineRule="atLeast"/>
      <w:ind w:left="567"/>
    </w:pPr>
  </w:style>
  <w:style w:type="paragraph" w:styleId="ListNumber">
    <w:name w:val="List Number"/>
    <w:basedOn w:val="Normal"/>
    <w:uiPriority w:val="99"/>
    <w:unhideWhenUsed/>
    <w:qFormat/>
    <w:rsid w:val="00A7742A"/>
    <w:pPr>
      <w:numPr>
        <w:numId w:val="17"/>
      </w:numPr>
      <w:tabs>
        <w:tab w:val="clear" w:pos="284"/>
      </w:tabs>
      <w:spacing w:after="120"/>
      <w:contextualSpacing/>
    </w:pPr>
    <w:rPr>
      <w:rFonts w:asciiTheme="minorHAnsi" w:eastAsiaTheme="minorHAnsi" w:hAnsiTheme="minorHAnsi" w:cstheme="minorBidi"/>
      <w:spacing w:val="-2"/>
      <w:sz w:val="22"/>
      <w:szCs w:val="22"/>
      <w:lang w:eastAsia="en-US"/>
    </w:rPr>
  </w:style>
  <w:style w:type="paragraph" w:styleId="ListNumber2">
    <w:name w:val="List Number 2"/>
    <w:basedOn w:val="Normal"/>
    <w:uiPriority w:val="99"/>
    <w:unhideWhenUsed/>
    <w:qFormat/>
    <w:rsid w:val="00A7742A"/>
    <w:pPr>
      <w:numPr>
        <w:ilvl w:val="1"/>
        <w:numId w:val="17"/>
      </w:numPr>
      <w:spacing w:after="120"/>
      <w:contextualSpacing/>
    </w:pPr>
    <w:rPr>
      <w:rFonts w:asciiTheme="minorHAnsi" w:eastAsiaTheme="minorHAnsi" w:hAnsiTheme="minorHAnsi" w:cstheme="minorBidi"/>
      <w:spacing w:val="-2"/>
      <w:sz w:val="22"/>
      <w:szCs w:val="22"/>
      <w:lang w:eastAsia="en-US"/>
    </w:rPr>
  </w:style>
  <w:style w:type="numbering" w:customStyle="1" w:styleId="Numbering">
    <w:name w:val="Numbering"/>
    <w:uiPriority w:val="99"/>
    <w:rsid w:val="00A7742A"/>
    <w:pPr>
      <w:numPr>
        <w:numId w:val="16"/>
      </w:numPr>
    </w:pPr>
  </w:style>
  <w:style w:type="paragraph" w:styleId="ListNumber3">
    <w:name w:val="List Number 3"/>
    <w:basedOn w:val="Normal"/>
    <w:uiPriority w:val="99"/>
    <w:unhideWhenUsed/>
    <w:qFormat/>
    <w:rsid w:val="00A7742A"/>
    <w:pPr>
      <w:numPr>
        <w:ilvl w:val="2"/>
        <w:numId w:val="17"/>
      </w:numPr>
      <w:spacing w:after="120"/>
      <w:contextualSpacing/>
    </w:pPr>
    <w:rPr>
      <w:rFonts w:asciiTheme="minorHAnsi" w:eastAsiaTheme="minorHAnsi" w:hAnsiTheme="minorHAnsi" w:cstheme="minorBidi"/>
      <w:spacing w:val="-2"/>
      <w:sz w:val="22"/>
      <w:szCs w:val="22"/>
      <w:lang w:eastAsia="en-US"/>
    </w:rPr>
  </w:style>
  <w:style w:type="paragraph" w:styleId="ListNumber4">
    <w:name w:val="List Number 4"/>
    <w:basedOn w:val="Normal"/>
    <w:uiPriority w:val="99"/>
    <w:unhideWhenUsed/>
    <w:qFormat/>
    <w:rsid w:val="00A7742A"/>
    <w:pPr>
      <w:numPr>
        <w:ilvl w:val="3"/>
        <w:numId w:val="17"/>
      </w:numPr>
      <w:spacing w:after="120"/>
      <w:contextualSpacing/>
    </w:pPr>
    <w:rPr>
      <w:rFonts w:asciiTheme="minorHAnsi" w:eastAsiaTheme="minorHAnsi" w:hAnsiTheme="minorHAnsi" w:cstheme="minorBidi"/>
      <w:spacing w:val="-2"/>
      <w:sz w:val="22"/>
      <w:szCs w:val="22"/>
      <w:lang w:eastAsia="en-US"/>
    </w:rPr>
  </w:style>
  <w:style w:type="paragraph" w:styleId="ListNumber5">
    <w:name w:val="List Number 5"/>
    <w:basedOn w:val="Normal"/>
    <w:uiPriority w:val="99"/>
    <w:unhideWhenUsed/>
    <w:rsid w:val="00A7742A"/>
    <w:pPr>
      <w:numPr>
        <w:ilvl w:val="4"/>
        <w:numId w:val="17"/>
      </w:numPr>
      <w:spacing w:after="120"/>
      <w:contextualSpacing/>
    </w:pPr>
    <w:rPr>
      <w:rFonts w:asciiTheme="minorHAnsi" w:eastAsiaTheme="minorHAnsi" w:hAnsiTheme="minorHAnsi" w:cstheme="minorBidi"/>
      <w:spacing w:val="-2"/>
      <w:sz w:val="22"/>
      <w:szCs w:val="22"/>
      <w:lang w:eastAsia="en-US"/>
    </w:rPr>
  </w:style>
  <w:style w:type="table" w:customStyle="1" w:styleId="HMATableA">
    <w:name w:val="HMA Table A"/>
    <w:basedOn w:val="TableNormal"/>
    <w:uiPriority w:val="99"/>
    <w:rsid w:val="00A7742A"/>
    <w:pPr>
      <w:contextualSpacing/>
    </w:pPr>
    <w:rPr>
      <w:rFonts w:ascii="Garamond" w:eastAsia="Garamond" w:hAnsi="Garamond" w:cs="Times New Roman"/>
      <w:sz w:val="20"/>
      <w:szCs w:val="22"/>
    </w:rPr>
    <w:tblPr>
      <w:tblStyleRowBandSize w:val="1"/>
      <w:tblBorders>
        <w:top w:val="single" w:sz="4" w:space="0" w:color="auto"/>
        <w:bottom w:val="single" w:sz="4" w:space="0" w:color="auto"/>
        <w:insideH w:val="single" w:sz="4" w:space="0" w:color="auto"/>
        <w:insideV w:val="single" w:sz="4" w:space="0" w:color="FFFFFF"/>
      </w:tblBorders>
      <w:tblCellMar>
        <w:left w:w="85" w:type="dxa"/>
      </w:tblCellMar>
    </w:tblPr>
    <w:tcPr>
      <w:shd w:val="clear" w:color="auto" w:fill="F2F2F2"/>
    </w:tcPr>
    <w:tblStylePr w:type="firstRow">
      <w:pPr>
        <w:wordWrap/>
        <w:spacing w:line="0" w:lineRule="atLeast"/>
      </w:pPr>
      <w:rPr>
        <w:rFonts w:ascii="Yu Gothic UI Semibold" w:hAnsi="Yu Gothic UI Semibold"/>
        <w:b w:val="0"/>
        <w:caps w:val="0"/>
        <w:smallCaps w:val="0"/>
        <w:sz w:val="22"/>
      </w:rPr>
      <w:tblPr/>
      <w:tcPr>
        <w:shd w:val="clear" w:color="auto" w:fill="C6C6C6"/>
      </w:tcPr>
    </w:tblStylePr>
    <w:tblStylePr w:type="lastRow">
      <w:rPr>
        <w:rFonts w:ascii="Yu Gothic UI Semibold" w:hAnsi="Yu Gothic UI Semibold"/>
        <w:b/>
        <w:sz w:val="20"/>
      </w:rPr>
    </w:tblStylePr>
    <w:tblStylePr w:type="firstCol">
      <w:rPr>
        <w:b/>
      </w:rPr>
      <w:tblPr/>
      <w:tcPr>
        <w:shd w:val="clear" w:color="auto" w:fill="F2F2F2"/>
      </w:tcPr>
    </w:tblStylePr>
    <w:tblStylePr w:type="lastCol">
      <w:rPr>
        <w:rFonts w:ascii="Yu Gothic UI Semibold" w:hAnsi="Yu Gothic UI Semibold"/>
        <w:b/>
      </w:rPr>
    </w:tblStylePr>
    <w:tblStylePr w:type="band2Horz">
      <w:tblPr/>
      <w:tcPr>
        <w:tcBorders>
          <w:top w:val="single" w:sz="4" w:space="0" w:color="auto"/>
          <w:left w:val="nil"/>
          <w:bottom w:val="single" w:sz="4" w:space="0" w:color="auto"/>
          <w:right w:val="nil"/>
          <w:insideH w:val="nil"/>
          <w:insideV w:val="nil"/>
          <w:tl2br w:val="nil"/>
          <w:tr2bl w:val="nil"/>
        </w:tcBorders>
        <w:shd w:val="clear" w:color="auto" w:fill="FFFCCC"/>
      </w:tcPr>
    </w:tblStylePr>
  </w:style>
  <w:style w:type="paragraph" w:customStyle="1" w:styleId="TableNotes">
    <w:name w:val="Table Notes"/>
    <w:basedOn w:val="Normal"/>
    <w:uiPriority w:val="21"/>
    <w:qFormat/>
    <w:rsid w:val="00A7742A"/>
    <w:pPr>
      <w:spacing w:after="120"/>
    </w:pPr>
    <w:rPr>
      <w:rFonts w:asciiTheme="minorHAnsi" w:eastAsiaTheme="minorHAnsi" w:hAnsiTheme="minorHAnsi" w:cstheme="minorBidi"/>
      <w:spacing w:val="-2"/>
      <w:sz w:val="16"/>
      <w:szCs w:val="22"/>
      <w:lang w:eastAsia="en-US"/>
    </w:rPr>
  </w:style>
  <w:style w:type="table" w:customStyle="1" w:styleId="HMATableD-Recommendations">
    <w:name w:val="HMA Table D-Recommendations"/>
    <w:basedOn w:val="TableNormal"/>
    <w:uiPriority w:val="99"/>
    <w:rsid w:val="00A7742A"/>
    <w:rPr>
      <w:rFonts w:ascii="Franklin Gothic Book" w:eastAsia="Garamond" w:hAnsi="Franklin Gothic Book" w:cs="Times New Roman"/>
      <w:sz w:val="20"/>
      <w:szCs w:val="22"/>
    </w:rPr>
    <w:tblPr>
      <w:tblStyleRowBandSize w:val="1"/>
      <w:tblBorders>
        <w:top w:val="single" w:sz="4" w:space="0" w:color="auto"/>
        <w:bottom w:val="single" w:sz="4" w:space="0" w:color="auto"/>
        <w:insideH w:val="single" w:sz="4" w:space="0" w:color="auto"/>
        <w:insideV w:val="single" w:sz="4" w:space="0" w:color="FFFFFF"/>
      </w:tblBorders>
      <w:tblCellMar>
        <w:top w:w="85" w:type="dxa"/>
        <w:left w:w="85" w:type="dxa"/>
      </w:tblCellMar>
    </w:tblPr>
    <w:tcPr>
      <w:shd w:val="clear" w:color="auto" w:fill="F2F2F2"/>
    </w:tcPr>
    <w:tblStylePr w:type="firstRow">
      <w:rPr>
        <w:rFonts w:ascii="Yu Gothic UI Semibold" w:hAnsi="Yu Gothic UI Semibold"/>
        <w:caps/>
        <w:smallCaps w:val="0"/>
      </w:rPr>
      <w:tblPr/>
      <w:tcPr>
        <w:shd w:val="clear" w:color="auto" w:fill="C9C9C9"/>
      </w:tcPr>
    </w:tblStylePr>
    <w:tblStylePr w:type="firstCol">
      <w:tblPr/>
      <w:tcPr>
        <w:shd w:val="clear" w:color="auto" w:fill="DCDCDC"/>
      </w:tcPr>
    </w:tblStylePr>
    <w:tblStylePr w:type="band2Horz">
      <w:tblPr/>
      <w:tcPr>
        <w:tcBorders>
          <w:top w:val="nil"/>
          <w:left w:val="nil"/>
          <w:bottom w:val="nil"/>
          <w:right w:val="nil"/>
          <w:insideH w:val="nil"/>
          <w:insideV w:val="nil"/>
          <w:tl2br w:val="nil"/>
          <w:tr2bl w:val="nil"/>
        </w:tcBorders>
        <w:shd w:val="clear" w:color="auto" w:fill="FFFCCC"/>
      </w:tcPr>
    </w:tblStylePr>
  </w:style>
  <w:style w:type="paragraph" w:customStyle="1" w:styleId="TableCopy">
    <w:name w:val="Table Copy"/>
    <w:link w:val="TableCopyChar"/>
    <w:uiPriority w:val="14"/>
    <w:qFormat/>
    <w:rsid w:val="00A7742A"/>
    <w:pPr>
      <w:spacing w:line="0" w:lineRule="atLeast"/>
      <w:ind w:left="57" w:right="57"/>
      <w:contextualSpacing/>
    </w:pPr>
    <w:rPr>
      <w:rFonts w:ascii="Garamond" w:hAnsi="Garamond" w:cs="Times New Roman"/>
      <w:color w:val="000000" w:themeColor="text1"/>
      <w:spacing w:val="-2"/>
      <w:sz w:val="20"/>
      <w:szCs w:val="20"/>
    </w:rPr>
  </w:style>
  <w:style w:type="numbering" w:customStyle="1" w:styleId="TableBullets">
    <w:name w:val="Table Bullets"/>
    <w:basedOn w:val="NoList"/>
    <w:uiPriority w:val="99"/>
    <w:rsid w:val="00A7742A"/>
    <w:pPr>
      <w:numPr>
        <w:numId w:val="25"/>
      </w:numPr>
    </w:pPr>
  </w:style>
  <w:style w:type="paragraph" w:customStyle="1" w:styleId="TableBullets1">
    <w:name w:val="Table Bullets 1"/>
    <w:basedOn w:val="TableCopy"/>
    <w:uiPriority w:val="21"/>
    <w:qFormat/>
    <w:rsid w:val="00A7742A"/>
    <w:pPr>
      <w:numPr>
        <w:numId w:val="25"/>
      </w:numPr>
      <w:ind w:left="720" w:hanging="360"/>
    </w:pPr>
  </w:style>
  <w:style w:type="paragraph" w:customStyle="1" w:styleId="TableBullets2">
    <w:name w:val="Table Bullets 2"/>
    <w:basedOn w:val="TableCopy"/>
    <w:uiPriority w:val="21"/>
    <w:qFormat/>
    <w:rsid w:val="00A7742A"/>
    <w:pPr>
      <w:numPr>
        <w:ilvl w:val="1"/>
        <w:numId w:val="25"/>
      </w:numPr>
      <w:ind w:left="1440" w:hanging="360"/>
    </w:pPr>
  </w:style>
  <w:style w:type="paragraph" w:customStyle="1" w:styleId="TableBulletssmall1">
    <w:name w:val="Table Bullets (small) 1"/>
    <w:basedOn w:val="Normal"/>
    <w:uiPriority w:val="21"/>
    <w:qFormat/>
    <w:rsid w:val="00A7742A"/>
    <w:pPr>
      <w:numPr>
        <w:ilvl w:val="4"/>
        <w:numId w:val="25"/>
      </w:numPr>
      <w:spacing w:line="166" w:lineRule="atLeast"/>
      <w:ind w:right="57"/>
    </w:pPr>
    <w:rPr>
      <w:rFonts w:ascii="Garamond" w:eastAsiaTheme="minorHAnsi" w:hAnsi="Garamond"/>
      <w:color w:val="000000" w:themeColor="text1"/>
      <w:spacing w:val="-2"/>
      <w:sz w:val="14"/>
      <w:szCs w:val="20"/>
      <w:lang w:eastAsia="en-US"/>
    </w:rPr>
  </w:style>
  <w:style w:type="paragraph" w:customStyle="1" w:styleId="TableBulletssmall2">
    <w:name w:val="Table Bullets (small) 2"/>
    <w:basedOn w:val="Normal"/>
    <w:uiPriority w:val="21"/>
    <w:qFormat/>
    <w:rsid w:val="00A7742A"/>
    <w:pPr>
      <w:numPr>
        <w:ilvl w:val="5"/>
        <w:numId w:val="25"/>
      </w:numPr>
      <w:spacing w:line="166" w:lineRule="atLeast"/>
      <w:ind w:right="57"/>
    </w:pPr>
    <w:rPr>
      <w:rFonts w:ascii="Garamond" w:eastAsiaTheme="minorHAnsi" w:hAnsi="Garamond"/>
      <w:color w:val="000000" w:themeColor="text1"/>
      <w:spacing w:val="-2"/>
      <w:sz w:val="14"/>
      <w:szCs w:val="20"/>
      <w:lang w:eastAsia="en-US"/>
    </w:rPr>
  </w:style>
  <w:style w:type="character" w:customStyle="1" w:styleId="TableCopyChar">
    <w:name w:val="Table Copy Char"/>
    <w:basedOn w:val="DefaultParagraphFont"/>
    <w:link w:val="TableCopy"/>
    <w:uiPriority w:val="14"/>
    <w:rsid w:val="00A7742A"/>
    <w:rPr>
      <w:rFonts w:ascii="Garamond" w:hAnsi="Garamond" w:cs="Times New Roman"/>
      <w:color w:val="000000" w:themeColor="text1"/>
      <w:spacing w:val="-2"/>
      <w:sz w:val="20"/>
      <w:szCs w:val="20"/>
      <w:lang w:val="en-AU"/>
    </w:rPr>
  </w:style>
  <w:style w:type="character" w:styleId="PageNumber">
    <w:name w:val="page number"/>
    <w:basedOn w:val="DefaultParagraphFont"/>
    <w:uiPriority w:val="99"/>
    <w:semiHidden/>
    <w:unhideWhenUsed/>
    <w:rsid w:val="00A7742A"/>
  </w:style>
  <w:style w:type="paragraph" w:customStyle="1" w:styleId="EndNoteBibliographyTitle">
    <w:name w:val="EndNote Bibliography Title"/>
    <w:basedOn w:val="Normal"/>
    <w:link w:val="EndNoteBibliographyTitleChar"/>
    <w:rsid w:val="00A7742A"/>
    <w:pPr>
      <w:jc w:val="center"/>
    </w:pPr>
    <w:rPr>
      <w:rFonts w:ascii="Calibri" w:eastAsia="Calibri" w:hAnsi="Calibri" w:cs="Calibri"/>
      <w:lang w:eastAsia="en-AU"/>
    </w:rPr>
  </w:style>
  <w:style w:type="character" w:customStyle="1" w:styleId="EndNoteBibliographyTitleChar">
    <w:name w:val="EndNote Bibliography Title Char"/>
    <w:basedOn w:val="DefaultParagraphFont"/>
    <w:link w:val="EndNoteBibliographyTitle"/>
    <w:rsid w:val="00A7742A"/>
    <w:rPr>
      <w:rFonts w:ascii="Calibri" w:eastAsia="Calibri" w:hAnsi="Calibri" w:cs="Calibri"/>
      <w:lang w:eastAsia="en-AU"/>
    </w:rPr>
  </w:style>
  <w:style w:type="paragraph" w:customStyle="1" w:styleId="EndNoteBibliography">
    <w:name w:val="EndNote Bibliography"/>
    <w:basedOn w:val="Normal"/>
    <w:link w:val="EndNoteBibliographyChar"/>
    <w:rsid w:val="00A7742A"/>
    <w:rPr>
      <w:rFonts w:ascii="Calibri" w:eastAsia="Calibri" w:hAnsi="Calibri" w:cs="Calibri"/>
      <w:lang w:eastAsia="en-AU"/>
    </w:rPr>
  </w:style>
  <w:style w:type="character" w:customStyle="1" w:styleId="EndNoteBibliographyChar">
    <w:name w:val="EndNote Bibliography Char"/>
    <w:basedOn w:val="DefaultParagraphFont"/>
    <w:link w:val="EndNoteBibliography"/>
    <w:rsid w:val="00A7742A"/>
    <w:rPr>
      <w:rFonts w:ascii="Calibri" w:eastAsia="Calibri" w:hAnsi="Calibri" w:cs="Calibri"/>
      <w:lang w:eastAsia="en-AU"/>
    </w:rPr>
  </w:style>
  <w:style w:type="character" w:styleId="Hyperlink">
    <w:name w:val="Hyperlink"/>
    <w:basedOn w:val="DefaultParagraphFont"/>
    <w:uiPriority w:val="99"/>
    <w:unhideWhenUsed/>
    <w:rsid w:val="00A7742A"/>
    <w:rPr>
      <w:color w:val="0563C1" w:themeColor="hyperlink"/>
      <w:u w:val="single"/>
    </w:rPr>
  </w:style>
  <w:style w:type="character" w:customStyle="1" w:styleId="UnresolvedMention">
    <w:name w:val="Unresolved Mention"/>
    <w:basedOn w:val="DefaultParagraphFont"/>
    <w:uiPriority w:val="99"/>
    <w:semiHidden/>
    <w:unhideWhenUsed/>
    <w:rsid w:val="00A7742A"/>
    <w:rPr>
      <w:color w:val="605E5C"/>
      <w:shd w:val="clear" w:color="auto" w:fill="E1DFDD"/>
    </w:rPr>
  </w:style>
  <w:style w:type="character" w:customStyle="1" w:styleId="ref-lnk">
    <w:name w:val="ref-lnk"/>
    <w:basedOn w:val="DefaultParagraphFont"/>
    <w:rsid w:val="00A7742A"/>
  </w:style>
  <w:style w:type="character" w:customStyle="1" w:styleId="normaltextrun">
    <w:name w:val="normaltextrun"/>
    <w:basedOn w:val="DefaultParagraphFont"/>
    <w:rsid w:val="00A7742A"/>
  </w:style>
  <w:style w:type="character" w:customStyle="1" w:styleId="eop">
    <w:name w:val="eop"/>
    <w:basedOn w:val="DefaultParagraphFont"/>
    <w:rsid w:val="00A7742A"/>
  </w:style>
  <w:style w:type="paragraph" w:customStyle="1" w:styleId="paragraph">
    <w:name w:val="paragraph"/>
    <w:basedOn w:val="Normal"/>
    <w:rsid w:val="00A7742A"/>
    <w:pPr>
      <w:spacing w:before="100" w:beforeAutospacing="1" w:after="100" w:afterAutospacing="1"/>
    </w:pPr>
  </w:style>
  <w:style w:type="table" w:styleId="TableGrid">
    <w:name w:val="Table Grid"/>
    <w:basedOn w:val="TableNormal"/>
    <w:uiPriority w:val="39"/>
    <w:rsid w:val="00A7742A"/>
    <w:rPr>
      <w:rFonts w:ascii="Calibri" w:eastAsia="Calibri" w:hAnsi="Calibri" w:cs="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7742A"/>
  </w:style>
  <w:style w:type="paragraph" w:styleId="CommentSubject">
    <w:name w:val="annotation subject"/>
    <w:basedOn w:val="CommentText"/>
    <w:next w:val="CommentText"/>
    <w:link w:val="CommentSubjectChar"/>
    <w:uiPriority w:val="99"/>
    <w:semiHidden/>
    <w:unhideWhenUsed/>
    <w:rsid w:val="00A7742A"/>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A7742A"/>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A7742A"/>
    <w:rPr>
      <w:rFonts w:ascii="Times New Roman" w:eastAsia="Times New Roman" w:hAnsi="Times New Roman" w:cs="Times New Roman"/>
      <w:lang w:eastAsia="en-GB"/>
    </w:rPr>
  </w:style>
  <w:style w:type="paragraph" w:styleId="NormalWeb">
    <w:name w:val="Normal (Web)"/>
    <w:basedOn w:val="Normal"/>
    <w:uiPriority w:val="99"/>
    <w:semiHidden/>
    <w:unhideWhenUsed/>
    <w:rsid w:val="00A7742A"/>
    <w:pPr>
      <w:spacing w:before="100" w:beforeAutospacing="1" w:after="100" w:afterAutospacing="1"/>
    </w:pPr>
  </w:style>
  <w:style w:type="character" w:styleId="FollowedHyperlink">
    <w:name w:val="FollowedHyperlink"/>
    <w:basedOn w:val="DefaultParagraphFont"/>
    <w:uiPriority w:val="99"/>
    <w:semiHidden/>
    <w:unhideWhenUsed/>
    <w:rsid w:val="00A7742A"/>
    <w:rPr>
      <w:color w:val="954F72"/>
      <w:u w:val="single"/>
    </w:rPr>
  </w:style>
  <w:style w:type="paragraph" w:customStyle="1" w:styleId="msonormal0">
    <w:name w:val="msonormal"/>
    <w:basedOn w:val="Normal"/>
    <w:rsid w:val="00A7742A"/>
    <w:pPr>
      <w:spacing w:before="100" w:beforeAutospacing="1" w:after="100" w:afterAutospacing="1"/>
    </w:pPr>
    <w:rPr>
      <w:lang w:eastAsia="en-AU"/>
    </w:rPr>
  </w:style>
  <w:style w:type="paragraph" w:customStyle="1" w:styleId="xl65">
    <w:name w:val="xl65"/>
    <w:basedOn w:val="Normal"/>
    <w:rsid w:val="00A7742A"/>
    <w:pPr>
      <w:spacing w:before="100" w:beforeAutospacing="1" w:after="100" w:afterAutospacing="1"/>
    </w:pPr>
    <w:rPr>
      <w:lang w:eastAsia="en-AU"/>
    </w:rPr>
  </w:style>
  <w:style w:type="paragraph" w:customStyle="1" w:styleId="xl66">
    <w:name w:val="xl66"/>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eastAsia="en-AU"/>
    </w:rPr>
  </w:style>
  <w:style w:type="paragraph" w:customStyle="1" w:styleId="xl67">
    <w:name w:val="xl67"/>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AU"/>
    </w:rPr>
  </w:style>
  <w:style w:type="paragraph" w:customStyle="1" w:styleId="xl68">
    <w:name w:val="xl68"/>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AU"/>
    </w:rPr>
  </w:style>
  <w:style w:type="paragraph" w:customStyle="1" w:styleId="xl69">
    <w:name w:val="xl69"/>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AU"/>
    </w:rPr>
  </w:style>
  <w:style w:type="paragraph" w:customStyle="1" w:styleId="xl70">
    <w:name w:val="xl70"/>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AU"/>
    </w:rPr>
  </w:style>
  <w:style w:type="paragraph" w:customStyle="1" w:styleId="xl71">
    <w:name w:val="xl71"/>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1C1D1E"/>
      <w:lang w:eastAsia="en-AU"/>
    </w:rPr>
  </w:style>
  <w:style w:type="paragraph" w:customStyle="1" w:styleId="xl72">
    <w:name w:val="xl72"/>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202020"/>
      <w:lang w:eastAsia="en-AU"/>
    </w:rPr>
  </w:style>
  <w:style w:type="paragraph" w:customStyle="1" w:styleId="xl73">
    <w:name w:val="xl73"/>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AU"/>
    </w:rPr>
  </w:style>
  <w:style w:type="paragraph" w:customStyle="1" w:styleId="xl74">
    <w:name w:val="xl74"/>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211E1E"/>
      <w:lang w:eastAsia="en-AU"/>
    </w:rPr>
  </w:style>
  <w:style w:type="paragraph" w:customStyle="1" w:styleId="xl75">
    <w:name w:val="xl75"/>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111111"/>
      <w:lang w:eastAsia="en-AU"/>
    </w:rPr>
  </w:style>
  <w:style w:type="paragraph" w:customStyle="1" w:styleId="xl76">
    <w:name w:val="xl76"/>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191619"/>
      <w:lang w:eastAsia="en-AU"/>
    </w:rPr>
  </w:style>
  <w:style w:type="paragraph" w:customStyle="1" w:styleId="xl77">
    <w:name w:val="xl77"/>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lang w:eastAsia="en-AU"/>
    </w:rPr>
  </w:style>
  <w:style w:type="paragraph" w:customStyle="1" w:styleId="xl78">
    <w:name w:val="xl78"/>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212121"/>
      <w:lang w:eastAsia="en-AU"/>
    </w:rPr>
  </w:style>
  <w:style w:type="paragraph" w:customStyle="1" w:styleId="xl79">
    <w:name w:val="xl79"/>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232323"/>
      <w:lang w:eastAsia="en-AU"/>
    </w:rPr>
  </w:style>
  <w:style w:type="paragraph" w:customStyle="1" w:styleId="xl80">
    <w:name w:val="xl80"/>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AU"/>
    </w:rPr>
  </w:style>
  <w:style w:type="paragraph" w:customStyle="1" w:styleId="xl81">
    <w:name w:val="xl81"/>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AU"/>
    </w:rPr>
  </w:style>
  <w:style w:type="paragraph" w:customStyle="1" w:styleId="xl82">
    <w:name w:val="xl82"/>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AU"/>
    </w:rPr>
  </w:style>
  <w:style w:type="paragraph" w:customStyle="1" w:styleId="xl83">
    <w:name w:val="xl83"/>
    <w:basedOn w:val="Normal"/>
    <w:rsid w:val="00A7742A"/>
    <w:pPr>
      <w:spacing w:before="100" w:beforeAutospacing="1" w:after="100" w:afterAutospacing="1"/>
    </w:pPr>
    <w:rPr>
      <w:lang w:eastAsia="en-AU"/>
    </w:rPr>
  </w:style>
  <w:style w:type="paragraph" w:customStyle="1" w:styleId="xl84">
    <w:name w:val="xl84"/>
    <w:basedOn w:val="Normal"/>
    <w:rsid w:val="00A7742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color w:val="000000"/>
      <w:lang w:eastAsia="en-AU"/>
    </w:rPr>
  </w:style>
  <w:style w:type="paragraph" w:customStyle="1" w:styleId="xl85">
    <w:name w:val="xl85"/>
    <w:basedOn w:val="Normal"/>
    <w:rsid w:val="00A7742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AU"/>
    </w:rPr>
  </w:style>
  <w:style w:type="character" w:styleId="Strong">
    <w:name w:val="Strong"/>
    <w:basedOn w:val="DefaultParagraphFont"/>
    <w:uiPriority w:val="22"/>
    <w:qFormat/>
    <w:rsid w:val="00570F55"/>
    <w:rPr>
      <w:b/>
      <w:bCs/>
    </w:rPr>
  </w:style>
  <w:style w:type="character" w:customStyle="1" w:styleId="apple-converted-space">
    <w:name w:val="apple-converted-space"/>
    <w:basedOn w:val="DefaultParagraphFont"/>
    <w:rsid w:val="000A4D3D"/>
  </w:style>
  <w:style w:type="character" w:styleId="Emphasis">
    <w:name w:val="Emphasis"/>
    <w:basedOn w:val="DefaultParagraphFont"/>
    <w:uiPriority w:val="20"/>
    <w:qFormat/>
    <w:rsid w:val="000A4D3D"/>
    <w:rPr>
      <w:i/>
      <w:iCs/>
    </w:rPr>
  </w:style>
  <w:style w:type="paragraph" w:customStyle="1" w:styleId="chapter-para">
    <w:name w:val="chapter-para"/>
    <w:basedOn w:val="Normal"/>
    <w:rsid w:val="00985A42"/>
    <w:pPr>
      <w:spacing w:before="100" w:beforeAutospacing="1" w:after="100" w:afterAutospacing="1"/>
    </w:pPr>
  </w:style>
  <w:style w:type="character" w:customStyle="1" w:styleId="ej-keyword">
    <w:name w:val="ej-keyword"/>
    <w:basedOn w:val="DefaultParagraphFont"/>
    <w:rsid w:val="005C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8560">
      <w:bodyDiv w:val="1"/>
      <w:marLeft w:val="0"/>
      <w:marRight w:val="0"/>
      <w:marTop w:val="0"/>
      <w:marBottom w:val="0"/>
      <w:divBdr>
        <w:top w:val="none" w:sz="0" w:space="0" w:color="auto"/>
        <w:left w:val="none" w:sz="0" w:space="0" w:color="auto"/>
        <w:bottom w:val="none" w:sz="0" w:space="0" w:color="auto"/>
        <w:right w:val="none" w:sz="0" w:space="0" w:color="auto"/>
      </w:divBdr>
    </w:div>
    <w:div w:id="174922240">
      <w:bodyDiv w:val="1"/>
      <w:marLeft w:val="0"/>
      <w:marRight w:val="0"/>
      <w:marTop w:val="0"/>
      <w:marBottom w:val="0"/>
      <w:divBdr>
        <w:top w:val="none" w:sz="0" w:space="0" w:color="auto"/>
        <w:left w:val="none" w:sz="0" w:space="0" w:color="auto"/>
        <w:bottom w:val="none" w:sz="0" w:space="0" w:color="auto"/>
        <w:right w:val="none" w:sz="0" w:space="0" w:color="auto"/>
      </w:divBdr>
    </w:div>
    <w:div w:id="275986205">
      <w:bodyDiv w:val="1"/>
      <w:marLeft w:val="0"/>
      <w:marRight w:val="0"/>
      <w:marTop w:val="0"/>
      <w:marBottom w:val="0"/>
      <w:divBdr>
        <w:top w:val="none" w:sz="0" w:space="0" w:color="auto"/>
        <w:left w:val="none" w:sz="0" w:space="0" w:color="auto"/>
        <w:bottom w:val="none" w:sz="0" w:space="0" w:color="auto"/>
        <w:right w:val="none" w:sz="0" w:space="0" w:color="auto"/>
      </w:divBdr>
    </w:div>
    <w:div w:id="345640021">
      <w:bodyDiv w:val="1"/>
      <w:marLeft w:val="0"/>
      <w:marRight w:val="0"/>
      <w:marTop w:val="0"/>
      <w:marBottom w:val="0"/>
      <w:divBdr>
        <w:top w:val="none" w:sz="0" w:space="0" w:color="auto"/>
        <w:left w:val="none" w:sz="0" w:space="0" w:color="auto"/>
        <w:bottom w:val="none" w:sz="0" w:space="0" w:color="auto"/>
        <w:right w:val="none" w:sz="0" w:space="0" w:color="auto"/>
      </w:divBdr>
    </w:div>
    <w:div w:id="361177618">
      <w:bodyDiv w:val="1"/>
      <w:marLeft w:val="0"/>
      <w:marRight w:val="0"/>
      <w:marTop w:val="0"/>
      <w:marBottom w:val="0"/>
      <w:divBdr>
        <w:top w:val="none" w:sz="0" w:space="0" w:color="auto"/>
        <w:left w:val="none" w:sz="0" w:space="0" w:color="auto"/>
        <w:bottom w:val="none" w:sz="0" w:space="0" w:color="auto"/>
        <w:right w:val="none" w:sz="0" w:space="0" w:color="auto"/>
      </w:divBdr>
    </w:div>
    <w:div w:id="411705798">
      <w:bodyDiv w:val="1"/>
      <w:marLeft w:val="0"/>
      <w:marRight w:val="0"/>
      <w:marTop w:val="0"/>
      <w:marBottom w:val="0"/>
      <w:divBdr>
        <w:top w:val="none" w:sz="0" w:space="0" w:color="auto"/>
        <w:left w:val="none" w:sz="0" w:space="0" w:color="auto"/>
        <w:bottom w:val="none" w:sz="0" w:space="0" w:color="auto"/>
        <w:right w:val="none" w:sz="0" w:space="0" w:color="auto"/>
      </w:divBdr>
    </w:div>
    <w:div w:id="679966227">
      <w:bodyDiv w:val="1"/>
      <w:marLeft w:val="0"/>
      <w:marRight w:val="0"/>
      <w:marTop w:val="0"/>
      <w:marBottom w:val="0"/>
      <w:divBdr>
        <w:top w:val="none" w:sz="0" w:space="0" w:color="auto"/>
        <w:left w:val="none" w:sz="0" w:space="0" w:color="auto"/>
        <w:bottom w:val="none" w:sz="0" w:space="0" w:color="auto"/>
        <w:right w:val="none" w:sz="0" w:space="0" w:color="auto"/>
      </w:divBdr>
    </w:div>
    <w:div w:id="686104063">
      <w:bodyDiv w:val="1"/>
      <w:marLeft w:val="0"/>
      <w:marRight w:val="0"/>
      <w:marTop w:val="0"/>
      <w:marBottom w:val="0"/>
      <w:divBdr>
        <w:top w:val="none" w:sz="0" w:space="0" w:color="auto"/>
        <w:left w:val="none" w:sz="0" w:space="0" w:color="auto"/>
        <w:bottom w:val="none" w:sz="0" w:space="0" w:color="auto"/>
        <w:right w:val="none" w:sz="0" w:space="0" w:color="auto"/>
      </w:divBdr>
    </w:div>
    <w:div w:id="921454210">
      <w:bodyDiv w:val="1"/>
      <w:marLeft w:val="0"/>
      <w:marRight w:val="0"/>
      <w:marTop w:val="0"/>
      <w:marBottom w:val="0"/>
      <w:divBdr>
        <w:top w:val="none" w:sz="0" w:space="0" w:color="auto"/>
        <w:left w:val="none" w:sz="0" w:space="0" w:color="auto"/>
        <w:bottom w:val="none" w:sz="0" w:space="0" w:color="auto"/>
        <w:right w:val="none" w:sz="0" w:space="0" w:color="auto"/>
      </w:divBdr>
    </w:div>
    <w:div w:id="1049232239">
      <w:bodyDiv w:val="1"/>
      <w:marLeft w:val="0"/>
      <w:marRight w:val="0"/>
      <w:marTop w:val="0"/>
      <w:marBottom w:val="0"/>
      <w:divBdr>
        <w:top w:val="none" w:sz="0" w:space="0" w:color="auto"/>
        <w:left w:val="none" w:sz="0" w:space="0" w:color="auto"/>
        <w:bottom w:val="none" w:sz="0" w:space="0" w:color="auto"/>
        <w:right w:val="none" w:sz="0" w:space="0" w:color="auto"/>
      </w:divBdr>
    </w:div>
    <w:div w:id="1049262305">
      <w:bodyDiv w:val="1"/>
      <w:marLeft w:val="0"/>
      <w:marRight w:val="0"/>
      <w:marTop w:val="0"/>
      <w:marBottom w:val="0"/>
      <w:divBdr>
        <w:top w:val="none" w:sz="0" w:space="0" w:color="auto"/>
        <w:left w:val="none" w:sz="0" w:space="0" w:color="auto"/>
        <w:bottom w:val="none" w:sz="0" w:space="0" w:color="auto"/>
        <w:right w:val="none" w:sz="0" w:space="0" w:color="auto"/>
      </w:divBdr>
    </w:div>
    <w:div w:id="1134446766">
      <w:bodyDiv w:val="1"/>
      <w:marLeft w:val="0"/>
      <w:marRight w:val="0"/>
      <w:marTop w:val="0"/>
      <w:marBottom w:val="0"/>
      <w:divBdr>
        <w:top w:val="none" w:sz="0" w:space="0" w:color="auto"/>
        <w:left w:val="none" w:sz="0" w:space="0" w:color="auto"/>
        <w:bottom w:val="none" w:sz="0" w:space="0" w:color="auto"/>
        <w:right w:val="none" w:sz="0" w:space="0" w:color="auto"/>
      </w:divBdr>
    </w:div>
    <w:div w:id="1341392707">
      <w:bodyDiv w:val="1"/>
      <w:marLeft w:val="0"/>
      <w:marRight w:val="0"/>
      <w:marTop w:val="0"/>
      <w:marBottom w:val="0"/>
      <w:divBdr>
        <w:top w:val="none" w:sz="0" w:space="0" w:color="auto"/>
        <w:left w:val="none" w:sz="0" w:space="0" w:color="auto"/>
        <w:bottom w:val="none" w:sz="0" w:space="0" w:color="auto"/>
        <w:right w:val="none" w:sz="0" w:space="0" w:color="auto"/>
      </w:divBdr>
    </w:div>
    <w:div w:id="1445884411">
      <w:bodyDiv w:val="1"/>
      <w:marLeft w:val="0"/>
      <w:marRight w:val="0"/>
      <w:marTop w:val="0"/>
      <w:marBottom w:val="0"/>
      <w:divBdr>
        <w:top w:val="none" w:sz="0" w:space="0" w:color="auto"/>
        <w:left w:val="none" w:sz="0" w:space="0" w:color="auto"/>
        <w:bottom w:val="none" w:sz="0" w:space="0" w:color="auto"/>
        <w:right w:val="none" w:sz="0" w:space="0" w:color="auto"/>
      </w:divBdr>
    </w:div>
    <w:div w:id="1865171661">
      <w:bodyDiv w:val="1"/>
      <w:marLeft w:val="0"/>
      <w:marRight w:val="0"/>
      <w:marTop w:val="0"/>
      <w:marBottom w:val="0"/>
      <w:divBdr>
        <w:top w:val="none" w:sz="0" w:space="0" w:color="auto"/>
        <w:left w:val="none" w:sz="0" w:space="0" w:color="auto"/>
        <w:bottom w:val="none" w:sz="0" w:space="0" w:color="auto"/>
        <w:right w:val="none" w:sz="0" w:space="0" w:color="auto"/>
      </w:divBdr>
    </w:div>
    <w:div w:id="1889757278">
      <w:bodyDiv w:val="1"/>
      <w:marLeft w:val="0"/>
      <w:marRight w:val="0"/>
      <w:marTop w:val="0"/>
      <w:marBottom w:val="0"/>
      <w:divBdr>
        <w:top w:val="none" w:sz="0" w:space="0" w:color="auto"/>
        <w:left w:val="none" w:sz="0" w:space="0" w:color="auto"/>
        <w:bottom w:val="none" w:sz="0" w:space="0" w:color="auto"/>
        <w:right w:val="none" w:sz="0" w:space="0" w:color="auto"/>
      </w:divBdr>
    </w:div>
    <w:div w:id="1896088614">
      <w:bodyDiv w:val="1"/>
      <w:marLeft w:val="0"/>
      <w:marRight w:val="0"/>
      <w:marTop w:val="0"/>
      <w:marBottom w:val="0"/>
      <w:divBdr>
        <w:top w:val="none" w:sz="0" w:space="0" w:color="auto"/>
        <w:left w:val="none" w:sz="0" w:space="0" w:color="auto"/>
        <w:bottom w:val="none" w:sz="0" w:space="0" w:color="auto"/>
        <w:right w:val="none" w:sz="0" w:space="0" w:color="auto"/>
      </w:divBdr>
    </w:div>
    <w:div w:id="1964534216">
      <w:bodyDiv w:val="1"/>
      <w:marLeft w:val="0"/>
      <w:marRight w:val="0"/>
      <w:marTop w:val="0"/>
      <w:marBottom w:val="0"/>
      <w:divBdr>
        <w:top w:val="none" w:sz="0" w:space="0" w:color="auto"/>
        <w:left w:val="none" w:sz="0" w:space="0" w:color="auto"/>
        <w:bottom w:val="none" w:sz="0" w:space="0" w:color="auto"/>
        <w:right w:val="none" w:sz="0" w:space="0" w:color="auto"/>
      </w:divBdr>
    </w:div>
    <w:div w:id="1968466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9853-EB49-45CC-9B5E-FE486D2D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6696</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Dhanalakshmi S.K.</cp:lastModifiedBy>
  <cp:revision>6</cp:revision>
  <cp:lastPrinted>2023-04-17T07:31:00Z</cp:lastPrinted>
  <dcterms:created xsi:type="dcterms:W3CDTF">2023-06-12T23:15:00Z</dcterms:created>
  <dcterms:modified xsi:type="dcterms:W3CDTF">2023-06-21T06:44:00Z</dcterms:modified>
</cp:coreProperties>
</file>