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DC6" w14:textId="1D4F9C44" w:rsidR="00364737" w:rsidRPr="000E712F" w:rsidRDefault="0040408F" w:rsidP="00364737">
      <w:pPr>
        <w:rPr>
          <w:rFonts w:ascii="Times" w:hAnsi="Times" w:cs="Times"/>
          <w:bCs/>
          <w:iCs/>
          <w:sz w:val="24"/>
          <w:szCs w:val="24"/>
        </w:rPr>
      </w:pPr>
      <w:r w:rsidRPr="000E712F">
        <w:rPr>
          <w:rFonts w:ascii="Times" w:hAnsi="Times" w:cs="Times"/>
          <w:bCs/>
          <w:iCs/>
          <w:noProof/>
          <w:sz w:val="24"/>
          <w:szCs w:val="24"/>
        </w:rPr>
        <w:drawing>
          <wp:inline distT="0" distB="0" distL="0" distR="0" wp14:anchorId="122AA563" wp14:editId="69405C6A">
            <wp:extent cx="5274310" cy="537754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1"/>
                    <a:stretch/>
                  </pic:blipFill>
                  <pic:spPr bwMode="auto">
                    <a:xfrm>
                      <a:off x="0" y="0"/>
                      <a:ext cx="5274310" cy="5377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51E37" w14:textId="4A4E558F" w:rsidR="00364737" w:rsidRPr="00102DB7" w:rsidRDefault="00364737" w:rsidP="00364737">
      <w:pPr>
        <w:spacing w:line="480" w:lineRule="auto"/>
        <w:rPr>
          <w:rFonts w:ascii="Times" w:hAnsi="Times" w:cs="Times"/>
          <w:sz w:val="24"/>
          <w:szCs w:val="24"/>
        </w:rPr>
      </w:pPr>
      <w:r w:rsidRPr="000E712F">
        <w:rPr>
          <w:rFonts w:ascii="Times" w:hAnsi="Times" w:cs="Times"/>
          <w:sz w:val="24"/>
          <w:szCs w:val="24"/>
        </w:rPr>
        <w:t xml:space="preserve">Supplementary Fig. 1 </w:t>
      </w:r>
      <w:bookmarkStart w:id="0" w:name="_Hlk111034987"/>
      <w:r w:rsidRPr="000E712F">
        <w:rPr>
          <w:rFonts w:ascii="Times" w:hAnsi="Times" w:cs="Times"/>
          <w:sz w:val="24"/>
          <w:szCs w:val="24"/>
        </w:rPr>
        <w:t xml:space="preserve">Effect of supplemental </w:t>
      </w:r>
      <w:r w:rsidRPr="000E712F">
        <w:rPr>
          <w:rFonts w:ascii="Times" w:hAnsi="Times" w:cs="Times"/>
          <w:i/>
          <w:iCs/>
          <w:sz w:val="24"/>
          <w:szCs w:val="24"/>
        </w:rPr>
        <w:t xml:space="preserve">C. </w:t>
      </w:r>
      <w:proofErr w:type="spellStart"/>
      <w:r w:rsidRPr="000E712F">
        <w:rPr>
          <w:rFonts w:ascii="Times" w:hAnsi="Times" w:cs="Times"/>
          <w:i/>
          <w:iCs/>
          <w:sz w:val="24"/>
          <w:szCs w:val="24"/>
        </w:rPr>
        <w:t>butyricum</w:t>
      </w:r>
      <w:proofErr w:type="spellEnd"/>
      <w:r w:rsidRPr="000E712F">
        <w:rPr>
          <w:rFonts w:ascii="Times" w:hAnsi="Times" w:cs="Times"/>
          <w:sz w:val="24"/>
          <w:szCs w:val="24"/>
        </w:rPr>
        <w:t xml:space="preserve"> on the microbial structure of the ileum in </w:t>
      </w:r>
      <w:proofErr w:type="spellStart"/>
      <w:r w:rsidRPr="000E712F">
        <w:rPr>
          <w:rFonts w:ascii="Times" w:hAnsi="Times" w:cs="Times"/>
          <w:sz w:val="24"/>
          <w:szCs w:val="24"/>
        </w:rPr>
        <w:t>IUGR</w:t>
      </w:r>
      <w:proofErr w:type="spellEnd"/>
      <w:r w:rsidRPr="000E712F">
        <w:rPr>
          <w:rFonts w:ascii="Times" w:hAnsi="Times" w:cs="Times"/>
          <w:sz w:val="24"/>
          <w:szCs w:val="24"/>
        </w:rPr>
        <w:t xml:space="preserve"> suckling piglets.</w:t>
      </w:r>
      <w:bookmarkEnd w:id="0"/>
      <w:r w:rsidRPr="000E712F">
        <w:rPr>
          <w:rFonts w:ascii="Times" w:hAnsi="Times" w:cs="Times" w:hint="eastAsia"/>
          <w:sz w:val="24"/>
          <w:szCs w:val="24"/>
        </w:rPr>
        <w:t xml:space="preserve"> </w:t>
      </w:r>
      <w:r w:rsidRPr="000E712F">
        <w:rPr>
          <w:rFonts w:ascii="Times" w:hAnsi="Times" w:cs="Times"/>
          <w:b/>
          <w:sz w:val="24"/>
          <w:szCs w:val="24"/>
        </w:rPr>
        <w:t>a</w:t>
      </w:r>
      <w:r w:rsidRPr="000E712F">
        <w:rPr>
          <w:rFonts w:ascii="Times" w:hAnsi="Times" w:cs="Times"/>
          <w:bCs/>
          <w:sz w:val="24"/>
          <w:szCs w:val="24"/>
        </w:rPr>
        <w:t xml:space="preserve"> Principal coordinate analysis (</w:t>
      </w:r>
      <w:proofErr w:type="spellStart"/>
      <w:r w:rsidRPr="000E712F">
        <w:rPr>
          <w:rFonts w:ascii="Times" w:hAnsi="Times" w:cs="Times"/>
          <w:bCs/>
          <w:sz w:val="24"/>
          <w:szCs w:val="24"/>
        </w:rPr>
        <w:t>PCoA</w:t>
      </w:r>
      <w:proofErr w:type="spellEnd"/>
      <w:r w:rsidRPr="000E712F">
        <w:rPr>
          <w:rFonts w:ascii="Times" w:hAnsi="Times" w:cs="Times"/>
          <w:bCs/>
          <w:sz w:val="24"/>
          <w:szCs w:val="24"/>
        </w:rPr>
        <w:t xml:space="preserve">) of all samples. </w:t>
      </w:r>
      <w:r w:rsidRPr="000E712F">
        <w:rPr>
          <w:rFonts w:ascii="Times" w:hAnsi="Times" w:cs="Times"/>
          <w:b/>
          <w:sz w:val="24"/>
          <w:szCs w:val="24"/>
        </w:rPr>
        <w:t>b</w:t>
      </w:r>
      <w:r w:rsidRPr="000E712F">
        <w:rPr>
          <w:rFonts w:ascii="Times" w:hAnsi="Times" w:cs="Times"/>
          <w:bCs/>
          <w:sz w:val="24"/>
          <w:szCs w:val="24"/>
        </w:rPr>
        <w:t xml:space="preserve"> Analysis of similarities (</w:t>
      </w:r>
      <w:proofErr w:type="spellStart"/>
      <w:r w:rsidRPr="000E712F">
        <w:rPr>
          <w:rFonts w:ascii="Times" w:hAnsi="Times" w:cs="Times"/>
          <w:bCs/>
          <w:sz w:val="24"/>
          <w:szCs w:val="24"/>
        </w:rPr>
        <w:t>ANOSIM</w:t>
      </w:r>
      <w:proofErr w:type="spellEnd"/>
      <w:r w:rsidRPr="000E712F">
        <w:rPr>
          <w:rFonts w:ascii="Times" w:hAnsi="Times" w:cs="Times"/>
          <w:bCs/>
          <w:sz w:val="24"/>
          <w:szCs w:val="24"/>
        </w:rPr>
        <w:t xml:space="preserve">) of the three treatments. </w:t>
      </w:r>
      <w:r w:rsidRPr="000E712F">
        <w:rPr>
          <w:rFonts w:ascii="Times" w:hAnsi="Times" w:cs="Times"/>
          <w:b/>
          <w:sz w:val="24"/>
          <w:szCs w:val="24"/>
        </w:rPr>
        <w:t>c</w:t>
      </w:r>
      <w:r w:rsidRPr="000E712F">
        <w:rPr>
          <w:rFonts w:ascii="Times" w:hAnsi="Times" w:cs="Times"/>
          <w:bCs/>
          <w:sz w:val="24"/>
          <w:szCs w:val="24"/>
        </w:rPr>
        <w:t xml:space="preserve"> The gut microbiota composition at the phylum level. </w:t>
      </w:r>
      <w:r w:rsidRPr="000E712F">
        <w:rPr>
          <w:rFonts w:ascii="Times" w:hAnsi="Times" w:cs="Times"/>
          <w:b/>
          <w:sz w:val="24"/>
          <w:szCs w:val="24"/>
        </w:rPr>
        <w:t>d</w:t>
      </w:r>
      <w:r w:rsidRPr="000E712F">
        <w:rPr>
          <w:rFonts w:ascii="Times" w:hAnsi="Times" w:cs="Times"/>
          <w:bCs/>
          <w:sz w:val="24"/>
          <w:szCs w:val="24"/>
        </w:rPr>
        <w:t xml:space="preserve"> The</w:t>
      </w:r>
      <w:r w:rsidRPr="000E712F">
        <w:rPr>
          <w:rFonts w:ascii="Times" w:hAnsi="Times" w:cs="Times"/>
          <w:sz w:val="24"/>
          <w:szCs w:val="24"/>
        </w:rPr>
        <w:t xml:space="preserve"> gut microbiota composition at the genus level. Data are shown as means, </w:t>
      </w:r>
      <w:r w:rsidRPr="000E712F">
        <w:rPr>
          <w:rFonts w:ascii="Times" w:hAnsi="Times" w:cs="Times"/>
          <w:i/>
          <w:iCs/>
          <w:sz w:val="24"/>
          <w:szCs w:val="24"/>
        </w:rPr>
        <w:t>n</w:t>
      </w:r>
      <w:r w:rsidRPr="000E712F">
        <w:rPr>
          <w:rFonts w:ascii="Times" w:hAnsi="Times" w:cs="Times"/>
          <w:sz w:val="24"/>
          <w:szCs w:val="24"/>
        </w:rPr>
        <w:t xml:space="preserve"> = 6. </w:t>
      </w:r>
      <w:proofErr w:type="spellStart"/>
      <w:r w:rsidRPr="000E712F">
        <w:rPr>
          <w:rFonts w:ascii="Times" w:hAnsi="Times" w:cs="Times"/>
          <w:sz w:val="24"/>
          <w:szCs w:val="24"/>
        </w:rPr>
        <w:t>NBW</w:t>
      </w:r>
      <w:proofErr w:type="spellEnd"/>
      <w:r w:rsidRPr="000E712F">
        <w:rPr>
          <w:rFonts w:ascii="Times" w:hAnsi="Times" w:cs="Times"/>
          <w:sz w:val="24"/>
          <w:szCs w:val="24"/>
        </w:rPr>
        <w:t xml:space="preserve">-CON, piglets with normal birth weight; </w:t>
      </w:r>
      <w:proofErr w:type="spellStart"/>
      <w:r w:rsidRPr="000E712F">
        <w:rPr>
          <w:rFonts w:ascii="Times" w:hAnsi="Times" w:cs="Times"/>
          <w:sz w:val="24"/>
          <w:szCs w:val="24"/>
        </w:rPr>
        <w:t>IUGR</w:t>
      </w:r>
      <w:proofErr w:type="spellEnd"/>
      <w:r w:rsidRPr="000E712F">
        <w:rPr>
          <w:rFonts w:ascii="Times" w:hAnsi="Times" w:cs="Times"/>
          <w:sz w:val="24"/>
          <w:szCs w:val="24"/>
        </w:rPr>
        <w:t xml:space="preserve">-CON, piglets with intrauterine growth restriction; </w:t>
      </w:r>
      <w:proofErr w:type="spellStart"/>
      <w:r w:rsidRPr="000E712F">
        <w:rPr>
          <w:rFonts w:ascii="Times" w:hAnsi="Times" w:cs="Times"/>
          <w:sz w:val="24"/>
          <w:szCs w:val="24"/>
        </w:rPr>
        <w:t>IUGR</w:t>
      </w:r>
      <w:proofErr w:type="spellEnd"/>
      <w:r w:rsidRPr="000E712F">
        <w:rPr>
          <w:rFonts w:ascii="Times" w:hAnsi="Times" w:cs="Times"/>
          <w:sz w:val="24"/>
          <w:szCs w:val="24"/>
        </w:rPr>
        <w:t xml:space="preserve">-CB, piglets with intrauterine growth restriction supplemented with </w:t>
      </w:r>
      <w:r w:rsidRPr="000E712F">
        <w:rPr>
          <w:rFonts w:ascii="Times" w:hAnsi="Times" w:cs="Times"/>
          <w:i/>
          <w:sz w:val="24"/>
          <w:szCs w:val="24"/>
        </w:rPr>
        <w:t xml:space="preserve">Clostridium </w:t>
      </w:r>
      <w:proofErr w:type="spellStart"/>
      <w:r w:rsidRPr="000E712F">
        <w:rPr>
          <w:rFonts w:ascii="Times" w:hAnsi="Times" w:cs="Times"/>
          <w:i/>
          <w:sz w:val="24"/>
          <w:szCs w:val="24"/>
        </w:rPr>
        <w:t>butyricum</w:t>
      </w:r>
      <w:proofErr w:type="spellEnd"/>
      <w:r w:rsidRPr="000E712F">
        <w:rPr>
          <w:rFonts w:ascii="Times" w:hAnsi="Times" w:cs="Times"/>
          <w:sz w:val="24"/>
          <w:szCs w:val="24"/>
        </w:rPr>
        <w:t>.</w:t>
      </w:r>
    </w:p>
    <w:p w14:paraId="46D53F01" w14:textId="77777777" w:rsidR="00202553" w:rsidRPr="00364737" w:rsidRDefault="00202553"/>
    <w:sectPr w:rsidR="00202553" w:rsidRPr="00364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69A8" w14:textId="77777777" w:rsidR="006E28B0" w:rsidRDefault="006E28B0" w:rsidP="00364737">
      <w:r>
        <w:separator/>
      </w:r>
    </w:p>
  </w:endnote>
  <w:endnote w:type="continuationSeparator" w:id="0">
    <w:p w14:paraId="6519BC96" w14:textId="77777777" w:rsidR="006E28B0" w:rsidRDefault="006E28B0" w:rsidP="0036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D520" w14:textId="77777777" w:rsidR="006E28B0" w:rsidRDefault="006E28B0" w:rsidP="00364737">
      <w:r>
        <w:separator/>
      </w:r>
    </w:p>
  </w:footnote>
  <w:footnote w:type="continuationSeparator" w:id="0">
    <w:p w14:paraId="595582E2" w14:textId="77777777" w:rsidR="006E28B0" w:rsidRDefault="006E28B0" w:rsidP="0036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00"/>
    <w:rsid w:val="00076A1C"/>
    <w:rsid w:val="000E712F"/>
    <w:rsid w:val="00133256"/>
    <w:rsid w:val="0014063C"/>
    <w:rsid w:val="00202553"/>
    <w:rsid w:val="00364737"/>
    <w:rsid w:val="0040408F"/>
    <w:rsid w:val="00413EF1"/>
    <w:rsid w:val="00666322"/>
    <w:rsid w:val="006A2F60"/>
    <w:rsid w:val="006E28B0"/>
    <w:rsid w:val="00896573"/>
    <w:rsid w:val="00B053A0"/>
    <w:rsid w:val="00B118F6"/>
    <w:rsid w:val="00BF6E0B"/>
    <w:rsid w:val="00DD3103"/>
    <w:rsid w:val="00DD6A00"/>
    <w:rsid w:val="00E9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D60E6"/>
  <w15:chartTrackingRefBased/>
  <w15:docId w15:val="{43051883-C283-4EA0-9CCB-940CE229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bCs/>
        <w:iCs/>
        <w:color w:val="000000" w:themeColor="text1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737"/>
    <w:pPr>
      <w:widowControl w:val="0"/>
      <w:jc w:val="both"/>
    </w:pPr>
    <w:rPr>
      <w:rFonts w:asciiTheme="minorHAnsi" w:eastAsiaTheme="minorEastAsia" w:hAnsiTheme="minorHAnsi" w:cstheme="minorBidi"/>
      <w:bCs w:val="0"/>
      <w:iCs w:val="0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bCs/>
      <w:iCs/>
      <w:color w:val="000000" w:themeColor="text1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4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473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bCs/>
      <w:iCs/>
      <w:color w:val="000000" w:themeColor="text1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4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鑫</dc:creator>
  <cp:keywords/>
  <dc:description/>
  <cp:lastModifiedBy>张 鑫</cp:lastModifiedBy>
  <cp:revision>9</cp:revision>
  <dcterms:created xsi:type="dcterms:W3CDTF">2022-08-10T07:57:00Z</dcterms:created>
  <dcterms:modified xsi:type="dcterms:W3CDTF">2023-01-06T09:38:00Z</dcterms:modified>
</cp:coreProperties>
</file>