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D76" w:rsidRDefault="001F7D76" w:rsidP="001F7D76">
      <w:pPr>
        <w:rPr>
          <w:rFonts w:ascii="Times New Roman" w:hAnsi="Times New Roman" w:cs="Times New Roman"/>
          <w:b/>
          <w:bCs/>
          <w:sz w:val="24"/>
          <w:szCs w:val="24"/>
        </w:rPr>
      </w:pPr>
      <w:r>
        <w:rPr>
          <w:rFonts w:ascii="Times New Roman" w:hAnsi="Times New Roman" w:cs="Times New Roman"/>
          <w:noProof/>
          <w:sz w:val="24"/>
          <w:szCs w:val="24"/>
          <w:lang w:eastAsia="en-US"/>
        </w:rPr>
        <w:drawing>
          <wp:inline distT="0" distB="0" distL="0" distR="0">
            <wp:extent cx="5270500" cy="7450455"/>
            <wp:effectExtent l="0" t="0" r="6350" b="0"/>
            <wp:docPr id="19499903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0500" cy="7450455"/>
                    </a:xfrm>
                    <a:prstGeom prst="rect">
                      <a:avLst/>
                    </a:prstGeom>
                    <a:noFill/>
                    <a:ln>
                      <a:noFill/>
                    </a:ln>
                  </pic:spPr>
                </pic:pic>
              </a:graphicData>
            </a:graphic>
          </wp:inline>
        </w:drawing>
      </w:r>
    </w:p>
    <w:p w:rsidR="001F7D76" w:rsidRDefault="00372B9A" w:rsidP="001F7D76">
      <w:pPr>
        <w:rPr>
          <w:rFonts w:ascii="Times New Roman" w:hAnsi="Times New Roman" w:cs="Times New Roman"/>
          <w:color w:val="231F20"/>
          <w:sz w:val="24"/>
          <w:szCs w:val="24"/>
        </w:rPr>
      </w:pPr>
      <w:r>
        <w:rPr>
          <w:rFonts w:ascii="Times New Roman" w:hAnsi="Times New Roman" w:cs="Times New Roman"/>
          <w:b/>
          <w:bCs/>
          <w:sz w:val="24"/>
          <w:szCs w:val="24"/>
        </w:rPr>
        <w:t xml:space="preserve">Additional file 1: </w:t>
      </w:r>
      <w:r w:rsidR="001F7D76">
        <w:rPr>
          <w:rFonts w:ascii="Times New Roman" w:hAnsi="Times New Roman" w:cs="Times New Roman"/>
          <w:b/>
          <w:bCs/>
          <w:sz w:val="24"/>
          <w:szCs w:val="24"/>
        </w:rPr>
        <w:t>Fig</w:t>
      </w:r>
      <w:r w:rsidR="001F7D76">
        <w:rPr>
          <w:rFonts w:ascii="Times New Roman" w:hAnsi="Times New Roman" w:cs="Times New Roman" w:hint="eastAsia"/>
          <w:b/>
          <w:bCs/>
          <w:sz w:val="24"/>
          <w:szCs w:val="24"/>
        </w:rPr>
        <w:t>ure</w:t>
      </w:r>
      <w:r w:rsidR="001F7D76">
        <w:rPr>
          <w:rFonts w:ascii="Times New Roman" w:hAnsi="Times New Roman" w:cs="Times New Roman"/>
          <w:b/>
          <w:bCs/>
          <w:sz w:val="24"/>
          <w:szCs w:val="24"/>
        </w:rPr>
        <w:t xml:space="preserve"> </w:t>
      </w:r>
      <w:r>
        <w:rPr>
          <w:rFonts w:ascii="Times New Roman" w:hAnsi="Times New Roman" w:cs="Times New Roman"/>
          <w:b/>
          <w:bCs/>
          <w:sz w:val="24"/>
          <w:szCs w:val="24"/>
        </w:rPr>
        <w:t>S</w:t>
      </w:r>
      <w:r w:rsidR="001F7D76">
        <w:rPr>
          <w:rFonts w:ascii="Times New Roman" w:hAnsi="Times New Roman" w:cs="Times New Roman"/>
          <w:b/>
          <w:bCs/>
          <w:sz w:val="24"/>
          <w:szCs w:val="24"/>
        </w:rPr>
        <w:t>1</w:t>
      </w:r>
      <w:r w:rsidR="001F7D76">
        <w:rPr>
          <w:rFonts w:ascii="Times New Roman" w:hAnsi="Times New Roman" w:cs="Times New Roman"/>
          <w:sz w:val="24"/>
          <w:szCs w:val="24"/>
        </w:rPr>
        <w:t xml:space="preserve"> </w:t>
      </w:r>
      <w:r w:rsidR="001F7D76" w:rsidRPr="004261A2">
        <w:rPr>
          <w:rFonts w:ascii="Times New Roman" w:hAnsi="Times New Roman" w:cs="Times New Roman"/>
          <w:sz w:val="24"/>
          <w:szCs w:val="24"/>
        </w:rPr>
        <w:t xml:space="preserve">The expression level of ACBD3. (A) In normal tissues, ACBD3 expressed highly in cerebral cortex, hippocampus, duodenum, small intestine, colon, gallbladder, pancreas, prostate, placenta, appendix, and bone marrow. Moreover, ACBD3 expressed lowly in oral mucosa, liver, ovary, soft tissue, and adipose tissue; (B) In tumor cell lines, The expression of ACBD3 ranks high in breast cancer, kidney cancer, and myeloma in tumor cell lines; (C-D) Intracellular ACBD3 is mainly </w:t>
      </w:r>
      <w:r w:rsidR="001F7D76" w:rsidRPr="004261A2">
        <w:rPr>
          <w:rFonts w:ascii="Times New Roman" w:hAnsi="Times New Roman" w:cs="Times New Roman"/>
          <w:sz w:val="24"/>
          <w:szCs w:val="24"/>
        </w:rPr>
        <w:lastRenderedPageBreak/>
        <w:t>distributed in Golgi; (E) ACBD3 expressed high in SKCM, BRCA, GBM, KIRC, LGG, and THCA in Cancer Cell Line Encyclopedia (CCLE) database.</w:t>
      </w:r>
      <w:r w:rsidR="001F7D76">
        <w:rPr>
          <w:rFonts w:ascii="Times New Roman" w:hAnsi="Times New Roman" w:cs="Times New Roman"/>
          <w:color w:val="231F20"/>
          <w:sz w:val="24"/>
          <w:szCs w:val="24"/>
        </w:rPr>
        <w:t xml:space="preserve"> Small cell lung cancer (SCLC), colon and rectal cancer (COADREAD), large b-cell lymphoma (DLBC), sarcoma (SARC), multiple myeloma (MM), acute myeloid leukemia (LAML), skin cutaneous melanoma (SKCM), breast cancer (BRCA), liver hepatocellular carcinoma (LIHC), mesothelioma (MESO), ovarian cancer (OV), esophageal cancer (ESCA), endometrioid cancer (UCEC), glioblastoma multiforme (GBM),</w:t>
      </w:r>
      <w:r w:rsidR="001F7D76">
        <w:t xml:space="preserve"> </w:t>
      </w:r>
      <w:r w:rsidR="001F7D76">
        <w:rPr>
          <w:rFonts w:ascii="Times New Roman" w:hAnsi="Times New Roman" w:cs="Times New Roman"/>
          <w:color w:val="231F20"/>
          <w:sz w:val="24"/>
          <w:szCs w:val="24"/>
        </w:rPr>
        <w:t>pancreatic adenocarcinoma (PAAD), neuroblastoma (NB), lung adenocarcinoma (LUAD), stomach adenocarcinoma (STAD), kidney clear cell carcinoma (KIRC), non-small cell lung carcinoma (NSC), acute lymphoeytic leukemia (ALL), lung squamous cell carcinoma (LUSC), brain lower grade glioma (LGG), head and neck cancer (HNSC), thyroid cancer (THCA), chronic myelocytic leukemia (LCML), Human medulloblastoma cells (MB), prostate cancer (PRAD), cervical cancer (CESC), chronic lymphocytic leukemia (CLL).</w:t>
      </w: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color w:val="231F20"/>
          <w:sz w:val="24"/>
          <w:szCs w:val="24"/>
        </w:rPr>
      </w:pPr>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r>
        <w:rPr>
          <w:rFonts w:ascii="Times New Roman" w:hAnsi="Times New Roman" w:cs="Times New Roman"/>
          <w:noProof/>
          <w:sz w:val="24"/>
          <w:szCs w:val="24"/>
          <w:lang w:eastAsia="en-US"/>
        </w:rPr>
        <w:lastRenderedPageBreak/>
        <w:drawing>
          <wp:inline distT="0" distB="0" distL="0" distR="0">
            <wp:extent cx="5270500" cy="5332730"/>
            <wp:effectExtent l="0" t="0" r="6350" b="1270"/>
            <wp:docPr id="10807949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5332730"/>
                    </a:xfrm>
                    <a:prstGeom prst="rect">
                      <a:avLst/>
                    </a:prstGeom>
                    <a:noFill/>
                    <a:ln>
                      <a:noFill/>
                    </a:ln>
                  </pic:spPr>
                </pic:pic>
              </a:graphicData>
            </a:graphic>
          </wp:inline>
        </w:drawing>
      </w:r>
    </w:p>
    <w:p w:rsidR="001F7D76" w:rsidRDefault="00372B9A" w:rsidP="001F7D76">
      <w:pPr>
        <w:rPr>
          <w:rFonts w:ascii="Times New Roman" w:hAnsi="Times New Roman" w:cs="Times New Roman"/>
          <w:sz w:val="24"/>
          <w:szCs w:val="24"/>
        </w:rPr>
      </w:pPr>
      <w:r>
        <w:rPr>
          <w:rFonts w:ascii="Times New Roman" w:hAnsi="Times New Roman" w:cs="Times New Roman"/>
          <w:b/>
          <w:bCs/>
          <w:sz w:val="24"/>
          <w:szCs w:val="24"/>
        </w:rPr>
        <w:t xml:space="preserve">Additional file 1: </w:t>
      </w:r>
      <w:r w:rsidR="001F7D76">
        <w:rPr>
          <w:rFonts w:ascii="Times New Roman" w:hAnsi="Times New Roman" w:cs="Times New Roman"/>
          <w:b/>
          <w:bCs/>
          <w:sz w:val="24"/>
          <w:szCs w:val="24"/>
        </w:rPr>
        <w:t>Fig</w:t>
      </w:r>
      <w:r w:rsidR="001F7D76">
        <w:rPr>
          <w:rFonts w:ascii="Times New Roman" w:hAnsi="Times New Roman" w:cs="Times New Roman" w:hint="eastAsia"/>
          <w:b/>
          <w:bCs/>
          <w:sz w:val="24"/>
          <w:szCs w:val="24"/>
        </w:rPr>
        <w:t>ure</w:t>
      </w:r>
      <w:r w:rsidR="001F7D76">
        <w:rPr>
          <w:rFonts w:ascii="Times New Roman" w:hAnsi="Times New Roman" w:cs="Times New Roman"/>
          <w:b/>
          <w:bCs/>
          <w:sz w:val="24"/>
          <w:szCs w:val="24"/>
        </w:rPr>
        <w:t xml:space="preserve"> </w:t>
      </w:r>
      <w:r>
        <w:rPr>
          <w:rFonts w:ascii="Times New Roman" w:hAnsi="Times New Roman" w:cs="Times New Roman"/>
          <w:b/>
          <w:bCs/>
          <w:sz w:val="24"/>
          <w:szCs w:val="24"/>
        </w:rPr>
        <w:t>S</w:t>
      </w:r>
      <w:r w:rsidR="001F7D76">
        <w:rPr>
          <w:rFonts w:ascii="Times New Roman" w:hAnsi="Times New Roman" w:cs="Times New Roman"/>
          <w:b/>
          <w:bCs/>
          <w:sz w:val="24"/>
          <w:szCs w:val="24"/>
        </w:rPr>
        <w:t>2</w:t>
      </w:r>
      <w:r w:rsidR="001F7D76">
        <w:rPr>
          <w:rFonts w:ascii="Times New Roman" w:hAnsi="Times New Roman" w:cs="Times New Roman"/>
          <w:sz w:val="24"/>
          <w:szCs w:val="24"/>
        </w:rPr>
        <w:t xml:space="preserve"> Correlation between immune infiltrates and </w:t>
      </w:r>
      <w:r w:rsidR="001F7D76">
        <w:rPr>
          <w:rFonts w:ascii="Times New Roman" w:hAnsi="Times New Roman" w:cs="Times New Roman"/>
          <w:i/>
          <w:iCs/>
          <w:sz w:val="24"/>
          <w:szCs w:val="24"/>
        </w:rPr>
        <w:t>ACBD3</w:t>
      </w:r>
      <w:r w:rsidR="001F7D76">
        <w:rPr>
          <w:rFonts w:ascii="Times New Roman" w:hAnsi="Times New Roman" w:cs="Times New Roman"/>
          <w:sz w:val="24"/>
          <w:szCs w:val="24"/>
        </w:rPr>
        <w:t xml:space="preserve"> expression in different tumors. head and neck cancer (HNSC), bladder cancer (BLCA), colon cancer (COAD), thyroid cancer (THCA), kidney clear cell carcinoma (KIRC). (A) The expression of </w:t>
      </w:r>
      <w:r w:rsidR="001F7D76">
        <w:rPr>
          <w:rFonts w:ascii="Times New Roman" w:hAnsi="Times New Roman" w:cs="Times New Roman"/>
          <w:i/>
          <w:iCs/>
          <w:sz w:val="24"/>
          <w:szCs w:val="24"/>
        </w:rPr>
        <w:t>ACBD3</w:t>
      </w:r>
      <w:r w:rsidR="001F7D76">
        <w:rPr>
          <w:rFonts w:ascii="Times New Roman" w:hAnsi="Times New Roman" w:cs="Times New Roman"/>
          <w:sz w:val="24"/>
          <w:szCs w:val="24"/>
        </w:rPr>
        <w:t xml:space="preserve"> was actively correlated with the cancer-associated fibroblast (CAF) infiltration for HNSC. (B) The expression of </w:t>
      </w:r>
      <w:r w:rsidR="001F7D76">
        <w:rPr>
          <w:rFonts w:ascii="Times New Roman" w:hAnsi="Times New Roman" w:cs="Times New Roman"/>
          <w:i/>
          <w:iCs/>
          <w:sz w:val="24"/>
          <w:szCs w:val="24"/>
        </w:rPr>
        <w:t>ACBD3</w:t>
      </w:r>
      <w:r w:rsidR="001F7D76">
        <w:rPr>
          <w:rFonts w:ascii="Times New Roman" w:hAnsi="Times New Roman" w:cs="Times New Roman"/>
          <w:sz w:val="24"/>
          <w:szCs w:val="24"/>
        </w:rPr>
        <w:t xml:space="preserve"> was positively related to neutrophil infiltration for BLCA, COAD, and THCA. (C) </w:t>
      </w:r>
      <w:r w:rsidR="001F7D76">
        <w:rPr>
          <w:rFonts w:ascii="Times New Roman" w:hAnsi="Times New Roman" w:cs="Times New Roman"/>
          <w:i/>
          <w:iCs/>
          <w:sz w:val="24"/>
          <w:szCs w:val="24"/>
        </w:rPr>
        <w:t>ACBD3</w:t>
      </w:r>
      <w:r w:rsidR="001F7D76">
        <w:rPr>
          <w:rFonts w:ascii="Times New Roman" w:hAnsi="Times New Roman" w:cs="Times New Roman"/>
          <w:sz w:val="24"/>
          <w:szCs w:val="24"/>
        </w:rPr>
        <w:t xml:space="preserve"> expression was positively related to endothelial cell infiltration for COAD, HNSC, and KIRC. </w:t>
      </w:r>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bookmarkStart w:id="0" w:name="_GoBack"/>
      <w:bookmarkEnd w:id="0"/>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p>
    <w:p w:rsidR="001F7D76" w:rsidRDefault="001F7D76" w:rsidP="001F7D76">
      <w:pPr>
        <w:rPr>
          <w:rFonts w:ascii="Times New Roman" w:hAnsi="Times New Roman" w:cs="Times New Roman"/>
          <w:b/>
          <w:bCs/>
          <w:sz w:val="24"/>
          <w:szCs w:val="24"/>
        </w:rPr>
      </w:pPr>
    </w:p>
    <w:p w:rsidR="00372B9A" w:rsidRDefault="001F7D76" w:rsidP="001F7D76">
      <w:pPr>
        <w:rPr>
          <w:rFonts w:ascii="Times New Roman" w:hAnsi="Times New Roman" w:cs="Times New Roman"/>
          <w:b/>
          <w:bCs/>
          <w:sz w:val="24"/>
          <w:szCs w:val="24"/>
        </w:rPr>
      </w:pPr>
      <w:r>
        <w:rPr>
          <w:rFonts w:ascii="Times New Roman" w:hAnsi="Times New Roman" w:cs="Times New Roman"/>
          <w:noProof/>
          <w:sz w:val="24"/>
          <w:szCs w:val="24"/>
          <w:lang w:eastAsia="en-US"/>
        </w:rPr>
        <w:lastRenderedPageBreak/>
        <w:drawing>
          <wp:inline distT="0" distB="0" distL="0" distR="0" wp14:anchorId="78F92961" wp14:editId="09B5794F">
            <wp:extent cx="5263515" cy="1967865"/>
            <wp:effectExtent l="0" t="0" r="0" b="0"/>
            <wp:docPr id="3185152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3515" cy="1967865"/>
                    </a:xfrm>
                    <a:prstGeom prst="rect">
                      <a:avLst/>
                    </a:prstGeom>
                    <a:noFill/>
                    <a:ln>
                      <a:noFill/>
                    </a:ln>
                  </pic:spPr>
                </pic:pic>
              </a:graphicData>
            </a:graphic>
          </wp:inline>
        </w:drawing>
      </w:r>
      <w:bookmarkStart w:id="1" w:name="_Hlk136866248"/>
      <w:r w:rsidRPr="001F7D76">
        <w:rPr>
          <w:rFonts w:ascii="Times New Roman" w:hAnsi="Times New Roman" w:cs="Times New Roman"/>
          <w:b/>
          <w:bCs/>
          <w:sz w:val="24"/>
          <w:szCs w:val="24"/>
        </w:rPr>
        <w:t xml:space="preserve"> </w:t>
      </w:r>
    </w:p>
    <w:p w:rsidR="001F7D76" w:rsidRPr="001F7D76" w:rsidRDefault="00372B9A" w:rsidP="001F7D76">
      <w:pPr>
        <w:rPr>
          <w:rFonts w:ascii="Times New Roman" w:hAnsi="Times New Roman" w:cs="Times New Roman"/>
          <w:b/>
          <w:bCs/>
          <w:sz w:val="24"/>
          <w:szCs w:val="24"/>
        </w:rPr>
      </w:pPr>
      <w:r>
        <w:rPr>
          <w:rFonts w:ascii="Times New Roman" w:hAnsi="Times New Roman" w:cs="Times New Roman"/>
          <w:b/>
          <w:bCs/>
          <w:sz w:val="24"/>
          <w:szCs w:val="24"/>
        </w:rPr>
        <w:t xml:space="preserve">Additional file 1: </w:t>
      </w:r>
      <w:r w:rsidR="001F7D76" w:rsidRPr="00E36472">
        <w:rPr>
          <w:rFonts w:ascii="Times New Roman" w:hAnsi="Times New Roman" w:cs="Times New Roman"/>
          <w:b/>
          <w:bCs/>
          <w:sz w:val="24"/>
          <w:szCs w:val="24"/>
        </w:rPr>
        <w:t>Figure 3</w:t>
      </w:r>
      <w:bookmarkEnd w:id="1"/>
      <w:r w:rsidR="001F7D76">
        <w:rPr>
          <w:rFonts w:ascii="Times New Roman" w:hAnsi="Times New Roman" w:cs="Times New Roman"/>
          <w:sz w:val="24"/>
          <w:szCs w:val="24"/>
        </w:rPr>
        <w:t xml:space="preserve"> Kaplan–Meier plots ([Overall Survival (OS)] for </w:t>
      </w:r>
      <w:r w:rsidR="001F7D76" w:rsidRPr="00E36472">
        <w:rPr>
          <w:rFonts w:ascii="Times New Roman" w:hAnsi="Times New Roman" w:cs="Times New Roman"/>
          <w:i/>
          <w:iCs/>
          <w:sz w:val="24"/>
          <w:szCs w:val="24"/>
        </w:rPr>
        <w:t>ACBD3</w:t>
      </w:r>
      <w:r w:rsidR="001F7D76">
        <w:rPr>
          <w:rFonts w:ascii="Times New Roman" w:hAnsi="Times New Roman" w:cs="Times New Roman"/>
          <w:sz w:val="24"/>
          <w:szCs w:val="24"/>
        </w:rPr>
        <w:t xml:space="preserve"> expression in pan-cancers. (A) Pancreatic For pancreatic adenocarcinoma (PAAD), there was no statistically significant relationship between </w:t>
      </w:r>
      <w:r w:rsidR="001F7D76" w:rsidRPr="00E36472">
        <w:rPr>
          <w:rFonts w:ascii="Times New Roman" w:hAnsi="Times New Roman" w:cs="Times New Roman"/>
          <w:i/>
          <w:iCs/>
          <w:sz w:val="24"/>
          <w:szCs w:val="24"/>
        </w:rPr>
        <w:t>ACBD3</w:t>
      </w:r>
      <w:r w:rsidR="001F7D76">
        <w:rPr>
          <w:rFonts w:ascii="Times New Roman" w:hAnsi="Times New Roman" w:cs="Times New Roman"/>
          <w:sz w:val="24"/>
          <w:szCs w:val="24"/>
        </w:rPr>
        <w:t xml:space="preserve"> expression and prognosis. (B) For Glioma (GBMLGG), the OS prognosis was negatively related to </w:t>
      </w:r>
      <w:r w:rsidR="001F7D76" w:rsidRPr="00E36472">
        <w:rPr>
          <w:rFonts w:ascii="Times New Roman" w:hAnsi="Times New Roman" w:cs="Times New Roman"/>
          <w:i/>
          <w:iCs/>
          <w:sz w:val="24"/>
          <w:szCs w:val="24"/>
        </w:rPr>
        <w:t>ACBD3</w:t>
      </w:r>
      <w:r w:rsidR="001F7D76">
        <w:rPr>
          <w:rFonts w:ascii="Times New Roman" w:hAnsi="Times New Roman" w:cs="Times New Roman"/>
          <w:sz w:val="24"/>
          <w:szCs w:val="24"/>
        </w:rPr>
        <w:t xml:space="preserve"> expression, HR = 2.30, 95% CI: 1.19 – 4.43, p = 0.013. (C) For adrenocortical carcinoma (ACC), there was no statistically significant relationship between </w:t>
      </w:r>
      <w:r w:rsidR="001F7D76" w:rsidRPr="00E36472">
        <w:rPr>
          <w:rFonts w:ascii="Times New Roman" w:hAnsi="Times New Roman" w:cs="Times New Roman"/>
          <w:i/>
          <w:iCs/>
          <w:sz w:val="24"/>
          <w:szCs w:val="24"/>
        </w:rPr>
        <w:t>ACBD3</w:t>
      </w:r>
      <w:r w:rsidR="001F7D76">
        <w:rPr>
          <w:rFonts w:ascii="Times New Roman" w:hAnsi="Times New Roman" w:cs="Times New Roman"/>
          <w:sz w:val="24"/>
          <w:szCs w:val="24"/>
        </w:rPr>
        <w:t xml:space="preserve"> expression and prognosis. </w:t>
      </w:r>
    </w:p>
    <w:p w:rsidR="001D4513" w:rsidRPr="001F7D76" w:rsidRDefault="001D4513" w:rsidP="00486769">
      <w:pPr>
        <w:rPr>
          <w:rFonts w:ascii="Times New Roman" w:hAnsi="Times New Roman" w:cs="Times New Roman"/>
          <w:sz w:val="24"/>
          <w:szCs w:val="24"/>
        </w:rPr>
      </w:pPr>
    </w:p>
    <w:sectPr w:rsidR="001D4513" w:rsidRPr="001F7D76" w:rsidSect="00372B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529" w:rsidRDefault="00853529" w:rsidP="006C1413">
      <w:r>
        <w:separator/>
      </w:r>
    </w:p>
  </w:endnote>
  <w:endnote w:type="continuationSeparator" w:id="0">
    <w:p w:rsidR="00853529" w:rsidRDefault="00853529" w:rsidP="006C1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529" w:rsidRDefault="00853529" w:rsidP="006C1413">
      <w:r>
        <w:separator/>
      </w:r>
    </w:p>
  </w:footnote>
  <w:footnote w:type="continuationSeparator" w:id="0">
    <w:p w:rsidR="00853529" w:rsidRDefault="00853529" w:rsidP="006C14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05D"/>
    <w:rsid w:val="00006933"/>
    <w:rsid w:val="000239C3"/>
    <w:rsid w:val="00027953"/>
    <w:rsid w:val="00060BC3"/>
    <w:rsid w:val="000C12C3"/>
    <w:rsid w:val="000D207F"/>
    <w:rsid w:val="000E5DEE"/>
    <w:rsid w:val="001065F6"/>
    <w:rsid w:val="00124658"/>
    <w:rsid w:val="00157964"/>
    <w:rsid w:val="0019147D"/>
    <w:rsid w:val="001D3022"/>
    <w:rsid w:val="001D4513"/>
    <w:rsid w:val="001F7D76"/>
    <w:rsid w:val="00211AF3"/>
    <w:rsid w:val="00225A77"/>
    <w:rsid w:val="002657B4"/>
    <w:rsid w:val="002729AB"/>
    <w:rsid w:val="00272C37"/>
    <w:rsid w:val="00285EA0"/>
    <w:rsid w:val="002E67BF"/>
    <w:rsid w:val="002F2EC5"/>
    <w:rsid w:val="003169B6"/>
    <w:rsid w:val="00332D92"/>
    <w:rsid w:val="00365F1B"/>
    <w:rsid w:val="00372B9A"/>
    <w:rsid w:val="00384747"/>
    <w:rsid w:val="003B7065"/>
    <w:rsid w:val="003F3D93"/>
    <w:rsid w:val="004476C4"/>
    <w:rsid w:val="00450E00"/>
    <w:rsid w:val="00456E0A"/>
    <w:rsid w:val="00486769"/>
    <w:rsid w:val="00501EFA"/>
    <w:rsid w:val="0059087C"/>
    <w:rsid w:val="005973C9"/>
    <w:rsid w:val="005B2145"/>
    <w:rsid w:val="005D1D12"/>
    <w:rsid w:val="005D29D7"/>
    <w:rsid w:val="00641B91"/>
    <w:rsid w:val="006A1E54"/>
    <w:rsid w:val="006A3ED4"/>
    <w:rsid w:val="006C1413"/>
    <w:rsid w:val="006C7E4B"/>
    <w:rsid w:val="006D2C33"/>
    <w:rsid w:val="00702B32"/>
    <w:rsid w:val="00724B8D"/>
    <w:rsid w:val="007A7F00"/>
    <w:rsid w:val="007D3E54"/>
    <w:rsid w:val="007E6678"/>
    <w:rsid w:val="008072D0"/>
    <w:rsid w:val="00846310"/>
    <w:rsid w:val="00853529"/>
    <w:rsid w:val="00895CC9"/>
    <w:rsid w:val="008A078E"/>
    <w:rsid w:val="008A53DB"/>
    <w:rsid w:val="008C6C76"/>
    <w:rsid w:val="00904C81"/>
    <w:rsid w:val="0099388B"/>
    <w:rsid w:val="00995BE2"/>
    <w:rsid w:val="00996B83"/>
    <w:rsid w:val="009A2F47"/>
    <w:rsid w:val="009D30D0"/>
    <w:rsid w:val="00A37A84"/>
    <w:rsid w:val="00AB33E6"/>
    <w:rsid w:val="00AC24C1"/>
    <w:rsid w:val="00AE4619"/>
    <w:rsid w:val="00B368C3"/>
    <w:rsid w:val="00B75E2B"/>
    <w:rsid w:val="00BB34BD"/>
    <w:rsid w:val="00C4368A"/>
    <w:rsid w:val="00C66559"/>
    <w:rsid w:val="00C849E9"/>
    <w:rsid w:val="00CA030D"/>
    <w:rsid w:val="00CB4BFB"/>
    <w:rsid w:val="00CC4654"/>
    <w:rsid w:val="00CF71B7"/>
    <w:rsid w:val="00D072F1"/>
    <w:rsid w:val="00D328E3"/>
    <w:rsid w:val="00DA4BA4"/>
    <w:rsid w:val="00DB0A0B"/>
    <w:rsid w:val="00DE3681"/>
    <w:rsid w:val="00DE77C5"/>
    <w:rsid w:val="00E25545"/>
    <w:rsid w:val="00E32255"/>
    <w:rsid w:val="00E3277D"/>
    <w:rsid w:val="00E42455"/>
    <w:rsid w:val="00E54C02"/>
    <w:rsid w:val="00EC3D7F"/>
    <w:rsid w:val="00ED5DB5"/>
    <w:rsid w:val="00F17416"/>
    <w:rsid w:val="00F61D68"/>
    <w:rsid w:val="00FB58A4"/>
    <w:rsid w:val="00FB76B6"/>
    <w:rsid w:val="00FD205D"/>
    <w:rsid w:val="00FD7F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5897AD7-1D3E-4DF9-8D49-71AEC18FC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engXian" w:eastAsia="DengXian" w:hAnsi="DengXian" w:cs="SimSun"/>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sz w:val="18"/>
      <w:szCs w:val="18"/>
    </w:rPr>
  </w:style>
  <w:style w:type="paragraph" w:styleId="Footer">
    <w:name w:val="footer"/>
    <w:basedOn w:val="Normal"/>
    <w:link w:val="FooterChar"/>
    <w:uiPriority w:val="9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Pr>
      <w:sz w:val="18"/>
      <w:szCs w:val="18"/>
    </w:rPr>
  </w:style>
  <w:style w:type="character" w:styleId="Hyperlink">
    <w:name w:val="Hyperlink"/>
    <w:basedOn w:val="DefaultParagraphFont"/>
    <w:uiPriority w:val="99"/>
    <w:unhideWhenUsed/>
    <w:rsid w:val="002729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A9E4E-13A5-4EBB-B871-6DB817FBB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395</Words>
  <Characters>2257</Characters>
  <Application>Microsoft Office Word</Application>
  <DocSecurity>0</DocSecurity>
  <Lines>18</Lines>
  <Paragraphs>5</Paragraphs>
  <ScaleCrop>false</ScaleCrop>
  <Company/>
  <LinksUpToDate>false</LinksUpToDate>
  <CharactersWithSpaces>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昕玥 马</dc:creator>
  <cp:lastModifiedBy>Indhumathi</cp:lastModifiedBy>
  <cp:revision>8</cp:revision>
  <dcterms:created xsi:type="dcterms:W3CDTF">2023-03-28T08:35:00Z</dcterms:created>
  <dcterms:modified xsi:type="dcterms:W3CDTF">2023-12-09T05:53:00Z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7f8bca02-fd59-4cbb-9fb4-81adb540f04e</vt:lpwstr>
  </property>
  <property fmtid="{D5CDD505-2E9C-101B-9397-08002B2CF9AE}" pid="3" name="ICV">
    <vt:lpwstr>7f7bb18248174460ac787380bfee08a9</vt:lpwstr>
  </property>
</Properties>
</file>