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AF77" w14:textId="2C7B6ECE" w:rsidR="004E7BDE" w:rsidRDefault="008778E8">
      <w:pPr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en-US"/>
        </w:rPr>
        <w:t xml:space="preserve">Supplemental Table </w:t>
      </w:r>
      <w:r w:rsidR="00C07B55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>. Overview on samples of the PET to autopsy cohort</w:t>
      </w:r>
      <w:r w:rsidR="00A209BF">
        <w:rPr>
          <w:rFonts w:ascii="Arial" w:hAnsi="Arial" w:cs="Arial"/>
          <w:b/>
          <w:lang w:val="en-US"/>
        </w:rPr>
        <w:t xml:space="preserve"> </w:t>
      </w:r>
      <w:r w:rsidR="00A209BF">
        <w:rPr>
          <w:rFonts w:ascii="Arial" w:hAnsi="Arial" w:cs="Arial"/>
          <w:b/>
          <w:lang w:val="en-US"/>
        </w:rPr>
        <w:fldChar w:fldCharType="begin">
          <w:fldData xml:space="preserve">PEVuZE5vdGU+PENpdGU+PEF1dGhvcj5TbGVtYW5uPC9BdXRob3I+PFllYXI+MjAyNDwvWWVhcj48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=
</w:fldData>
        </w:fldChar>
      </w:r>
      <w:r w:rsidR="00A209BF">
        <w:rPr>
          <w:rFonts w:ascii="Arial" w:hAnsi="Arial" w:cs="Arial"/>
          <w:b/>
          <w:lang w:val="en-US"/>
        </w:rPr>
        <w:instrText xml:space="preserve"> ADDIN EN.CITE </w:instrText>
      </w:r>
      <w:r w:rsidR="00A209BF">
        <w:rPr>
          <w:rFonts w:ascii="Arial" w:hAnsi="Arial" w:cs="Arial"/>
          <w:b/>
          <w:lang w:val="en-US"/>
        </w:rPr>
        <w:fldChar w:fldCharType="begin">
          <w:fldData xml:space="preserve">PEVuZE5vdGU+PENpdGU+PEF1dGhvcj5TbGVtYW5uPC9BdXRob3I+PFllYXI+MjAyNDwvWWVhcj48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=
</w:fldData>
        </w:fldChar>
      </w:r>
      <w:r w:rsidR="00A209BF">
        <w:rPr>
          <w:rFonts w:ascii="Arial" w:hAnsi="Arial" w:cs="Arial"/>
          <w:b/>
          <w:lang w:val="en-US"/>
        </w:rPr>
        <w:instrText xml:space="preserve"> ADDIN EN.CITE.DATA </w:instrText>
      </w:r>
      <w:r w:rsidR="00A209BF">
        <w:rPr>
          <w:rFonts w:ascii="Arial" w:hAnsi="Arial" w:cs="Arial"/>
          <w:b/>
          <w:lang w:val="en-US"/>
        </w:rPr>
      </w:r>
      <w:r w:rsidR="00A209BF">
        <w:rPr>
          <w:rFonts w:ascii="Arial" w:hAnsi="Arial" w:cs="Arial"/>
          <w:b/>
          <w:lang w:val="en-US"/>
        </w:rPr>
        <w:fldChar w:fldCharType="end"/>
      </w:r>
      <w:r w:rsidR="00A209BF">
        <w:rPr>
          <w:rFonts w:ascii="Arial" w:hAnsi="Arial" w:cs="Arial"/>
          <w:b/>
          <w:lang w:val="en-US"/>
        </w:rPr>
      </w:r>
      <w:r w:rsidR="00A209BF">
        <w:rPr>
          <w:rFonts w:ascii="Arial" w:hAnsi="Arial" w:cs="Arial"/>
          <w:b/>
          <w:lang w:val="en-US"/>
        </w:rPr>
        <w:fldChar w:fldCharType="separate"/>
      </w:r>
      <w:r w:rsidR="00A209BF">
        <w:rPr>
          <w:rFonts w:ascii="Arial" w:hAnsi="Arial" w:cs="Arial"/>
          <w:b/>
          <w:noProof/>
          <w:lang w:val="en-US"/>
        </w:rPr>
        <w:t>[1]</w:t>
      </w:r>
      <w:r w:rsidR="00A209BF"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  <w:lang w:val="en-US"/>
        </w:rPr>
        <w:t>.</w:t>
      </w:r>
    </w:p>
    <w:tbl>
      <w:tblPr>
        <w:tblW w:w="149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53"/>
        <w:gridCol w:w="709"/>
        <w:gridCol w:w="783"/>
        <w:gridCol w:w="776"/>
        <w:gridCol w:w="1701"/>
        <w:gridCol w:w="1276"/>
        <w:gridCol w:w="2551"/>
        <w:gridCol w:w="603"/>
        <w:gridCol w:w="1003"/>
        <w:gridCol w:w="701"/>
        <w:gridCol w:w="335"/>
        <w:gridCol w:w="907"/>
        <w:gridCol w:w="846"/>
        <w:gridCol w:w="708"/>
        <w:gridCol w:w="771"/>
      </w:tblGrid>
      <w:tr w:rsidR="004E7BDE" w14:paraId="3E971BCF" w14:textId="77777777" w:rsidTr="00BC0ADB">
        <w:trPr>
          <w:trHeight w:val="32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DE7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Case</w:t>
            </w:r>
          </w:p>
        </w:tc>
        <w:tc>
          <w:tcPr>
            <w:tcW w:w="4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28E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Demographics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B10B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DC91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Autopsy determinants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454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Copathology</w:t>
            </w:r>
            <w:proofErr w:type="spellEnd"/>
          </w:p>
        </w:tc>
      </w:tr>
      <w:tr w:rsidR="004E7BDE" w14:paraId="4C483B9A" w14:textId="77777777" w:rsidTr="00694BAE">
        <w:trPr>
          <w:trHeight w:val="32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040" w14:textId="77777777" w:rsidR="004E7BDE" w:rsidRDefault="004E7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9F1A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678D7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Age at PET (y)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C7C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 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EF7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</w:t>
            </w:r>
          </w:p>
          <w:p w14:paraId="3FC2557A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Duration (y)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0ACE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Cause of death (death certificate)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061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Clinical</w:t>
            </w:r>
          </w:p>
          <w:p w14:paraId="77577DE9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815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Autopsy</w:t>
            </w:r>
            <w:proofErr w:type="spellEnd"/>
          </w:p>
          <w:p w14:paraId="248831F6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663D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Brain</w:t>
            </w:r>
          </w:p>
          <w:p w14:paraId="22EBEAA8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weight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(g)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0739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Postmortem</w:t>
            </w:r>
            <w:proofErr w:type="spellEnd"/>
          </w:p>
          <w:p w14:paraId="499FE787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delay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0D5F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Fixation</w:t>
            </w:r>
          </w:p>
          <w:p w14:paraId="1647BB7F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time (d)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F0C3A3" w14:textId="77777777" w:rsidR="004E7BDE" w:rsidRDefault="008778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α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-syn/TDP-43/FUS</w:t>
            </w:r>
          </w:p>
          <w:p w14:paraId="278E2F84" w14:textId="77777777" w:rsidR="004E7BDE" w:rsidRDefault="004E7BD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2A1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Frontal</w:t>
            </w:r>
          </w:p>
          <w:p w14:paraId="6122DC64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cortex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C11F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Putamen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F1B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Globus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pallidus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52B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APOE</w:t>
            </w:r>
          </w:p>
        </w:tc>
      </w:tr>
      <w:tr w:rsidR="004E7BDE" w14:paraId="6B71B836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9A4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A220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6C4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EB04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9872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3CC1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Atypical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PD/ </w:t>
            </w:r>
          </w:p>
          <w:p w14:paraId="703CB52A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recurrent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pneumonia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129A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9202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E6E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C46C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417E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6BF1" w14:textId="77777777" w:rsidR="004E7BDE" w:rsidRDefault="004E7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EF57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β-Amyloid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C0EF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72FB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DF13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E7BDE" w14:paraId="38E3DF6A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E76E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2B86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6EDF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DE2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AE04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C444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4571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nfPPA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A045" w14:textId="3F2E8C54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PSP</w:t>
            </w:r>
            <w:r w:rsidR="00BC0AD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AD (B&amp;B 3), mild AGD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54F3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DEF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B121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FB16" w14:textId="77777777" w:rsidR="004E7BDE" w:rsidRDefault="004E7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220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58BD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F73F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E24A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E7BDE" w14:paraId="2797CE05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7A2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7852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E404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B9A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6E1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5ED0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Loss of food and fluids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586E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bvFTD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(TBK1-mutation)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DA91" w14:textId="77777777" w:rsidR="00BC0ADB" w:rsidRP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C0AD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FTLD-TDP (Type A), </w:t>
            </w:r>
          </w:p>
          <w:p w14:paraId="276B14B9" w14:textId="66B44FD1" w:rsidR="004E7BDE" w:rsidRP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C0AD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Lewy body disease (Braak 5, neocortical), argyrophilic grain disease (AGD), ARTAG, central pontine myelinolysis, hippocampal sclerosis, PART (B&amp;B 2),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C0AD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multiple microinfarcts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CE81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07C6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19C2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7B9" w14:textId="77777777" w:rsidR="004E7BDE" w:rsidRDefault="004E7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CB6D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Synuclein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tau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0FC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36CF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842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E7BDE" w14:paraId="762E3D5F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758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00F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55EA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360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ACE5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B0EC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Cardiac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arrhythmia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1E82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PSP-RS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33BA" w14:textId="77777777" w:rsidR="004E7BDE" w:rsidRDefault="00877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PSP, AGD, ARTAG, subdural hemorrhage, AD (B&amp;B 1)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1985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F0F0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F722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CC48" w14:textId="77777777" w:rsidR="004E7BDE" w:rsidRDefault="004E7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ECF3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β-Amyloid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1DCB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9D6F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7701" w14:textId="77777777" w:rsidR="004E7BDE" w:rsidRDefault="00877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C0ADB" w14:paraId="268C15FB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7CF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6B9B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F95D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FE4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9860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7FF4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8EC2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PSP-RS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5728" w14:textId="41733D5D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C0AD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PSP, ARTAG, intranuclear inclusions of unclear etiology, discrete TDP-43 in the brainstem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7997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6A9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5A21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911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2C4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E7ED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F29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8647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C0ADB" w14:paraId="2BF51DA7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CE6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DEAB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1B2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A50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CA2C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BE3F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failure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COVID-19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3C92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bvFTD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nfvPPA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8408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FC52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8B0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34-58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BE5E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DB3D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8AC0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DA03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A55F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DFCB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C0ADB" w14:paraId="0CB3A2EA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E44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454C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5258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DCB9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8E7C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E665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Dysphagia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5EC5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PSP-RS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A09B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PSP, CAA, AD (B&amp;B 3), AGD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4095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9202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368F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F201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D2F9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β-Amyloid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86A7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β-Amyloid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9998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4FC2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C0ADB" w14:paraId="72E97DBD" w14:textId="77777777" w:rsidTr="00694BAE">
        <w:trPr>
          <w:trHeight w:val="32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B1E3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B3A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A9EB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588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7A80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6E92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ALS-FTD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A70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ALS-FTD, PPA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4488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FTLD/MND-TDP, AD (B&amp;B 3), AGD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F7F1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868E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E3A7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76E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70E2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513C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6169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C14E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C0ADB" w14:paraId="7D9A1CE3" w14:textId="77777777" w:rsidTr="00694BAE">
        <w:trPr>
          <w:trHeight w:val="32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A28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4ABE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4738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2B5A" w14:textId="77777777" w:rsidR="00BC0ADB" w:rsidRDefault="00BC0ADB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E6C7" w14:textId="10157883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13EB" w14:textId="38013A09" w:rsidR="00BC0ADB" w:rsidRDefault="0007401D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DFB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CBS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5755" w14:textId="20484896" w:rsidR="00BC0ADB" w:rsidRDefault="0007401D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26DB" w14:textId="0ADB75F1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6445" w14:textId="54ACF90E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7432" w14:textId="4E05EEF5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86CC" w14:textId="77777777" w:rsidR="00BC0ADB" w:rsidRDefault="00BC0ADB" w:rsidP="00BC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F169" w14:textId="4BB085B3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36EA" w14:textId="221C488F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A3D2" w14:textId="32184EE5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8FF2" w14:textId="699782D4" w:rsidR="00BC0ADB" w:rsidRDefault="0007401D" w:rsidP="00BC0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1C5338D6" w14:textId="29738609" w:rsidR="004E7BDE" w:rsidRDefault="008778E8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Supplemental Table </w:t>
      </w:r>
      <w:r w:rsidR="00806DBC">
        <w:rPr>
          <w:rFonts w:ascii="Arial" w:hAnsi="Arial" w:cs="Arial"/>
          <w:b/>
          <w:sz w:val="20"/>
          <w:lang w:val="en-US"/>
        </w:rPr>
        <w:t>1</w:t>
      </w:r>
      <w:r>
        <w:rPr>
          <w:rFonts w:ascii="Arial" w:hAnsi="Arial" w:cs="Arial"/>
          <w:b/>
          <w:sz w:val="20"/>
          <w:lang w:val="en-US"/>
        </w:rPr>
        <w:t xml:space="preserve">. </w:t>
      </w:r>
      <w:r>
        <w:rPr>
          <w:rFonts w:ascii="Arial" w:hAnsi="Arial" w:cs="Arial"/>
          <w:sz w:val="20"/>
          <w:lang w:val="en-US"/>
        </w:rPr>
        <w:t xml:space="preserve">Abbreviations: y = years; PD = Parkinson’s disease; ALS = amyotrophic lateral sclerosis; FTD = frontotemporal dementia; PSP-RS = progressive supranuclear palsy Richardson syndrome; </w:t>
      </w:r>
      <w:proofErr w:type="spellStart"/>
      <w:r>
        <w:rPr>
          <w:rFonts w:ascii="Arial" w:hAnsi="Arial" w:cs="Arial"/>
          <w:sz w:val="20"/>
          <w:lang w:val="en-US"/>
        </w:rPr>
        <w:t>nf</w:t>
      </w:r>
      <w:proofErr w:type="spellEnd"/>
      <w:r>
        <w:rPr>
          <w:rFonts w:ascii="Arial" w:hAnsi="Arial" w:cs="Arial"/>
          <w:sz w:val="20"/>
          <w:lang w:val="en-US"/>
        </w:rPr>
        <w:t xml:space="preserve"> = non-fluent; PPA = primary progressive aphasia; </w:t>
      </w:r>
      <w:proofErr w:type="spellStart"/>
      <w:r>
        <w:rPr>
          <w:rFonts w:ascii="Arial" w:hAnsi="Arial" w:cs="Arial"/>
          <w:sz w:val="20"/>
          <w:lang w:val="en-US"/>
        </w:rPr>
        <w:t>bv</w:t>
      </w:r>
      <w:proofErr w:type="spellEnd"/>
      <w:r>
        <w:rPr>
          <w:rFonts w:ascii="Arial" w:hAnsi="Arial" w:cs="Arial"/>
          <w:sz w:val="20"/>
          <w:lang w:val="en-US"/>
        </w:rPr>
        <w:t xml:space="preserve"> = behavioral variant; AD = Alzheimer’s disease; CAA = cerebral amyloid angiopathy; CBS = corticobasal syndrome; AGD = </w:t>
      </w:r>
      <w:proofErr w:type="spellStart"/>
      <w:r>
        <w:rPr>
          <w:rFonts w:ascii="Arial" w:hAnsi="Arial" w:cs="Arial"/>
          <w:sz w:val="20"/>
          <w:lang w:val="en-US"/>
        </w:rPr>
        <w:t>agyrophilic</w:t>
      </w:r>
      <w:proofErr w:type="spellEnd"/>
      <w:r>
        <w:rPr>
          <w:rFonts w:ascii="Arial" w:hAnsi="Arial" w:cs="Arial"/>
          <w:sz w:val="20"/>
          <w:lang w:val="en-US"/>
        </w:rPr>
        <w:t xml:space="preserve"> grain disease; ARTAG = aging-related tau </w:t>
      </w:r>
      <w:proofErr w:type="spellStart"/>
      <w:r>
        <w:rPr>
          <w:rFonts w:ascii="Arial" w:hAnsi="Arial" w:cs="Arial"/>
          <w:sz w:val="20"/>
          <w:lang w:val="en-US"/>
        </w:rPr>
        <w:t>astrogliopathy</w:t>
      </w:r>
      <w:proofErr w:type="spellEnd"/>
      <w:r>
        <w:rPr>
          <w:rFonts w:ascii="Arial" w:hAnsi="Arial" w:cs="Arial"/>
          <w:sz w:val="20"/>
          <w:lang w:val="en-US"/>
        </w:rPr>
        <w:t xml:space="preserve">; B&amp;B = </w:t>
      </w:r>
      <w:proofErr w:type="spellStart"/>
      <w:r>
        <w:rPr>
          <w:rFonts w:ascii="Arial" w:hAnsi="Arial" w:cs="Arial"/>
          <w:sz w:val="20"/>
          <w:lang w:val="en-US"/>
        </w:rPr>
        <w:t>Braak</w:t>
      </w:r>
      <w:proofErr w:type="spellEnd"/>
      <w:r>
        <w:rPr>
          <w:rFonts w:ascii="Arial" w:hAnsi="Arial" w:cs="Arial"/>
          <w:sz w:val="20"/>
          <w:lang w:val="en-US"/>
        </w:rPr>
        <w:t xml:space="preserve"> and Braak; TDP-43 =</w:t>
      </w:r>
      <w:r>
        <w:rPr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TAR DNA-binding protein 43; MND = motor neuron disease; PART = primary age-related tauopathy; Aβ = β-amyloid; APOE = apolipoprotein E; α-</w:t>
      </w:r>
      <w:proofErr w:type="spellStart"/>
      <w:r>
        <w:rPr>
          <w:rFonts w:ascii="Arial" w:hAnsi="Arial" w:cs="Arial"/>
          <w:sz w:val="20"/>
          <w:lang w:val="en-US"/>
        </w:rPr>
        <w:t>syn</w:t>
      </w:r>
      <w:proofErr w:type="spellEnd"/>
      <w:r>
        <w:rPr>
          <w:rFonts w:ascii="Arial" w:hAnsi="Arial" w:cs="Arial"/>
          <w:sz w:val="20"/>
          <w:lang w:val="en-US"/>
        </w:rPr>
        <w:t xml:space="preserve"> = </w:t>
      </w:r>
      <w:proofErr w:type="spellStart"/>
      <w:r>
        <w:rPr>
          <w:rFonts w:ascii="Arial" w:hAnsi="Arial" w:cs="Arial"/>
          <w:sz w:val="20"/>
          <w:lang w:val="en-US"/>
        </w:rPr>
        <w:t>alphasynuclein</w:t>
      </w:r>
      <w:proofErr w:type="spellEnd"/>
      <w:r>
        <w:rPr>
          <w:rFonts w:ascii="Arial" w:hAnsi="Arial" w:cs="Arial"/>
          <w:sz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lang w:val="en-US"/>
        </w:rPr>
        <w:t>n.a</w:t>
      </w:r>
      <w:proofErr w:type="spellEnd"/>
      <w:r>
        <w:rPr>
          <w:rFonts w:ascii="Arial" w:hAnsi="Arial" w:cs="Arial"/>
          <w:sz w:val="20"/>
          <w:lang w:val="en-US"/>
        </w:rPr>
        <w:t>. = not available; „-„ = negative; co-pathology: FUS not examined.</w:t>
      </w:r>
    </w:p>
    <w:p w14:paraId="3FB833B2" w14:textId="77777777" w:rsidR="004E7BDE" w:rsidRDefault="004E7BDE">
      <w:pPr>
        <w:rPr>
          <w:lang w:val="en-US"/>
        </w:rPr>
      </w:pPr>
    </w:p>
    <w:p w14:paraId="18A41838" w14:textId="77777777" w:rsidR="004E7BDE" w:rsidRDefault="004E7BDE">
      <w:pPr>
        <w:rPr>
          <w:lang w:val="en-US"/>
        </w:rPr>
      </w:pPr>
    </w:p>
    <w:p w14:paraId="6A41ED0A" w14:textId="77777777" w:rsidR="004E7BDE" w:rsidRDefault="004E7BDE">
      <w:pPr>
        <w:rPr>
          <w:lang w:val="en-US"/>
        </w:rPr>
      </w:pPr>
    </w:p>
    <w:p w14:paraId="7E2F8A85" w14:textId="77777777" w:rsidR="004E7BDE" w:rsidRDefault="004E7BDE">
      <w:pPr>
        <w:rPr>
          <w:lang w:val="en-US"/>
        </w:rPr>
      </w:pPr>
    </w:p>
    <w:p w14:paraId="623DB885" w14:textId="77777777" w:rsidR="00BB7DEB" w:rsidRDefault="00BB7DEB">
      <w:pPr>
        <w:rPr>
          <w:rFonts w:ascii="Arial" w:hAnsi="Arial" w:cs="Arial"/>
          <w:b/>
          <w:lang w:val="en-US"/>
        </w:rPr>
      </w:pPr>
    </w:p>
    <w:p w14:paraId="00E2141F" w14:textId="2846FDD7" w:rsidR="004E7BDE" w:rsidRDefault="008778E8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lang w:val="en-US"/>
        </w:rPr>
        <w:lastRenderedPageBreak/>
        <w:t xml:space="preserve">Supplemental Table </w:t>
      </w:r>
      <w:r w:rsidR="00C07B55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Sex-related differences of vermal </w:t>
      </w:r>
      <w:r>
        <w:rPr>
          <w:rFonts w:ascii="Arial" w:hAnsi="Arial" w:cs="Arial"/>
          <w:b/>
          <w:lang w:val="en-GB"/>
        </w:rPr>
        <w:t>[</w:t>
      </w:r>
      <w:r>
        <w:rPr>
          <w:rFonts w:ascii="Arial" w:hAnsi="Arial" w:cs="Arial"/>
          <w:b/>
          <w:vertAlign w:val="superscript"/>
          <w:lang w:val="en-GB"/>
        </w:rPr>
        <w:t>18</w:t>
      </w:r>
      <w:r>
        <w:rPr>
          <w:rFonts w:ascii="Arial" w:hAnsi="Arial" w:cs="Arial"/>
          <w:b/>
          <w:lang w:val="en-GB"/>
        </w:rPr>
        <w:t>F</w:t>
      </w:r>
      <w:proofErr w:type="gramStart"/>
      <w:r>
        <w:rPr>
          <w:rFonts w:ascii="Arial" w:hAnsi="Arial" w:cs="Arial"/>
          <w:b/>
          <w:lang w:val="en-GB"/>
        </w:rPr>
        <w:t>]PI</w:t>
      </w:r>
      <w:proofErr w:type="gramEnd"/>
      <w:r>
        <w:rPr>
          <w:rFonts w:ascii="Arial" w:hAnsi="Arial" w:cs="Arial"/>
          <w:b/>
          <w:lang w:val="en-GB"/>
        </w:rPr>
        <w:t>-2620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iCs/>
          <w:lang w:val="en-GB"/>
        </w:rPr>
        <w:t xml:space="preserve">SUVR </w:t>
      </w:r>
      <w:r>
        <w:rPr>
          <w:rFonts w:ascii="Arial" w:hAnsi="Arial" w:cs="Arial"/>
          <w:b/>
          <w:bCs/>
          <w:lang w:val="en-GB"/>
        </w:rPr>
        <w:t xml:space="preserve">and DVR. </w:t>
      </w:r>
    </w:p>
    <w:tbl>
      <w:tblPr>
        <w:tblStyle w:val="Tabellenraster"/>
        <w:tblW w:w="13997" w:type="dxa"/>
        <w:tblInd w:w="-5" w:type="dxa"/>
        <w:tblLook w:val="04A0" w:firstRow="1" w:lastRow="0" w:firstColumn="1" w:lastColumn="0" w:noHBand="0" w:noVBand="1"/>
      </w:tblPr>
      <w:tblGrid>
        <w:gridCol w:w="1211"/>
        <w:gridCol w:w="1217"/>
        <w:gridCol w:w="1018"/>
        <w:gridCol w:w="1413"/>
        <w:gridCol w:w="1119"/>
        <w:gridCol w:w="963"/>
        <w:gridCol w:w="963"/>
        <w:gridCol w:w="1022"/>
        <w:gridCol w:w="1072"/>
        <w:gridCol w:w="1254"/>
        <w:gridCol w:w="963"/>
        <w:gridCol w:w="900"/>
        <w:gridCol w:w="882"/>
      </w:tblGrid>
      <w:tr w:rsidR="00194EE6" w14:paraId="7D6362E0" w14:textId="25D387F0" w:rsidTr="00194EE6">
        <w:trPr>
          <w:trHeight w:val="409"/>
        </w:trPr>
        <w:tc>
          <w:tcPr>
            <w:tcW w:w="1211" w:type="dxa"/>
            <w:vAlign w:val="center"/>
          </w:tcPr>
          <w:p w14:paraId="7C2A89DA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Cohort</w:t>
            </w:r>
          </w:p>
        </w:tc>
        <w:tc>
          <w:tcPr>
            <w:tcW w:w="1217" w:type="dxa"/>
            <w:vAlign w:val="center"/>
          </w:tcPr>
          <w:p w14:paraId="06F770ED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018" w:type="dxa"/>
            <w:vAlign w:val="center"/>
          </w:tcPr>
          <w:p w14:paraId="5DB3F55C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1413" w:type="dxa"/>
            <w:tcBorders>
              <w:right w:val="dashed" w:sz="4" w:space="0" w:color="auto"/>
            </w:tcBorders>
            <w:vAlign w:val="center"/>
          </w:tcPr>
          <w:p w14:paraId="5BD8AC47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SUVR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en-GB"/>
              </w:rPr>
              <w:t>Ver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en-GB"/>
              </w:rPr>
              <w:t>Cbl</w:t>
            </w:r>
            <w:proofErr w:type="spellEnd"/>
          </w:p>
        </w:tc>
        <w:tc>
          <w:tcPr>
            <w:tcW w:w="1119" w:type="dxa"/>
            <w:tcBorders>
              <w:left w:val="dashed" w:sz="4" w:space="0" w:color="auto"/>
            </w:tcBorders>
            <w:vAlign w:val="center"/>
          </w:tcPr>
          <w:p w14:paraId="2256022D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</w:t>
            </w:r>
          </w:p>
        </w:tc>
        <w:tc>
          <w:tcPr>
            <w:tcW w:w="963" w:type="dxa"/>
            <w:vAlign w:val="center"/>
          </w:tcPr>
          <w:p w14:paraId="07BF4461" w14:textId="653F6517" w:rsidR="00194EE6" w:rsidRPr="00A209BF" w:rsidRDefault="00194EE6" w:rsidP="00A209B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 w:rsidRPr="00A209B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F</w:t>
            </w:r>
          </w:p>
        </w:tc>
        <w:tc>
          <w:tcPr>
            <w:tcW w:w="963" w:type="dxa"/>
            <w:vAlign w:val="center"/>
          </w:tcPr>
          <w:p w14:paraId="7E2D233B" w14:textId="3D0D1907" w:rsidR="00194EE6" w:rsidRPr="00A209BF" w:rsidRDefault="00194EE6" w:rsidP="00A209B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 w:rsidRPr="00A209B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p*</w:t>
            </w:r>
          </w:p>
        </w:tc>
        <w:tc>
          <w:tcPr>
            <w:tcW w:w="1022" w:type="dxa"/>
            <w:vAlign w:val="center"/>
          </w:tcPr>
          <w:p w14:paraId="6828260F" w14:textId="7D72D354" w:rsidR="00194EE6" w:rsidRDefault="00194EE6" w:rsidP="00194E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A209B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F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*</w:t>
            </w:r>
          </w:p>
        </w:tc>
        <w:tc>
          <w:tcPr>
            <w:tcW w:w="1072" w:type="dxa"/>
            <w:tcBorders>
              <w:right w:val="dashed" w:sz="4" w:space="0" w:color="auto"/>
            </w:tcBorders>
            <w:vAlign w:val="center"/>
          </w:tcPr>
          <w:p w14:paraId="589E3EC7" w14:textId="79B9CE31" w:rsidR="00194EE6" w:rsidRDefault="00194EE6" w:rsidP="00A209B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DVR</w:t>
            </w:r>
          </w:p>
        </w:tc>
        <w:tc>
          <w:tcPr>
            <w:tcW w:w="1254" w:type="dxa"/>
            <w:tcBorders>
              <w:left w:val="dashed" w:sz="4" w:space="0" w:color="auto"/>
            </w:tcBorders>
            <w:vAlign w:val="center"/>
          </w:tcPr>
          <w:p w14:paraId="49DB4E9B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</w:t>
            </w:r>
          </w:p>
        </w:tc>
        <w:tc>
          <w:tcPr>
            <w:tcW w:w="963" w:type="dxa"/>
            <w:tcBorders>
              <w:left w:val="dashed" w:sz="4" w:space="0" w:color="auto"/>
            </w:tcBorders>
            <w:vAlign w:val="center"/>
          </w:tcPr>
          <w:p w14:paraId="364F4F3C" w14:textId="39224762" w:rsidR="00194EE6" w:rsidRPr="00A209BF" w:rsidRDefault="00194EE6" w:rsidP="00194E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 w:rsidRPr="00A209B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F</w:t>
            </w:r>
          </w:p>
        </w:tc>
        <w:tc>
          <w:tcPr>
            <w:tcW w:w="90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C71BF0E" w14:textId="6388F9D2" w:rsidR="00194EE6" w:rsidRPr="00A209BF" w:rsidRDefault="00194EE6" w:rsidP="00A209B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p*</w:t>
            </w:r>
          </w:p>
        </w:tc>
        <w:tc>
          <w:tcPr>
            <w:tcW w:w="88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12BDFB" w14:textId="2F0B363D" w:rsidR="00194EE6" w:rsidRDefault="00194EE6" w:rsidP="00194E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GB"/>
              </w:rPr>
              <w:t>F*</w:t>
            </w:r>
          </w:p>
        </w:tc>
      </w:tr>
      <w:tr w:rsidR="00194EE6" w14:paraId="6F84944A" w14:textId="4D0F1E13" w:rsidTr="00283C14">
        <w:trPr>
          <w:trHeight w:val="409"/>
        </w:trPr>
        <w:tc>
          <w:tcPr>
            <w:tcW w:w="1211" w:type="dxa"/>
            <w:vMerge w:val="restart"/>
            <w:vAlign w:val="center"/>
          </w:tcPr>
          <w:p w14:paraId="68D53205" w14:textId="77777777" w:rsidR="00194EE6" w:rsidRDefault="00194EE6" w:rsidP="00A209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1217" w:type="dxa"/>
            <w:tcBorders>
              <w:bottom w:val="dashed" w:sz="4" w:space="0" w:color="auto"/>
            </w:tcBorders>
            <w:vAlign w:val="center"/>
          </w:tcPr>
          <w:p w14:paraId="55ECD36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18" w:type="dxa"/>
            <w:tcBorders>
              <w:bottom w:val="dashed" w:sz="4" w:space="0" w:color="auto"/>
            </w:tcBorders>
            <w:vAlign w:val="center"/>
          </w:tcPr>
          <w:p w14:paraId="79767A8B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121</w:t>
            </w:r>
          </w:p>
        </w:tc>
        <w:tc>
          <w:tcPr>
            <w:tcW w:w="14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14810D2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1.18 ± 0.23</w:t>
            </w:r>
          </w:p>
        </w:tc>
        <w:tc>
          <w:tcPr>
            <w:tcW w:w="1119" w:type="dxa"/>
            <w:vMerge w:val="restart"/>
            <w:tcBorders>
              <w:left w:val="dashed" w:sz="4" w:space="0" w:color="auto"/>
            </w:tcBorders>
            <w:vAlign w:val="center"/>
          </w:tcPr>
          <w:p w14:paraId="54BA1889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0.058</w:t>
            </w:r>
          </w:p>
        </w:tc>
        <w:tc>
          <w:tcPr>
            <w:tcW w:w="963" w:type="dxa"/>
            <w:vMerge w:val="restart"/>
            <w:vAlign w:val="center"/>
          </w:tcPr>
          <w:p w14:paraId="0791746C" w14:textId="416CF865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3.638</w:t>
            </w:r>
          </w:p>
        </w:tc>
        <w:tc>
          <w:tcPr>
            <w:tcW w:w="963" w:type="dxa"/>
            <w:vMerge w:val="restart"/>
            <w:vAlign w:val="center"/>
          </w:tcPr>
          <w:p w14:paraId="324E4911" w14:textId="46BCE44B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0.056</w:t>
            </w:r>
          </w:p>
        </w:tc>
        <w:tc>
          <w:tcPr>
            <w:tcW w:w="1022" w:type="dxa"/>
            <w:vMerge w:val="restart"/>
            <w:vAlign w:val="center"/>
          </w:tcPr>
          <w:p w14:paraId="75F1701E" w14:textId="2A676A52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3.686</w:t>
            </w:r>
          </w:p>
        </w:tc>
        <w:tc>
          <w:tcPr>
            <w:tcW w:w="10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24C2E38" w14:textId="6748FBD1" w:rsidR="00194EE6" w:rsidRDefault="00194EE6" w:rsidP="00893C3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0.88 ± 0.10</w:t>
            </w:r>
          </w:p>
        </w:tc>
        <w:tc>
          <w:tcPr>
            <w:tcW w:w="1254" w:type="dxa"/>
            <w:vMerge w:val="restart"/>
            <w:tcBorders>
              <w:left w:val="dashed" w:sz="4" w:space="0" w:color="auto"/>
            </w:tcBorders>
            <w:vAlign w:val="center"/>
          </w:tcPr>
          <w:p w14:paraId="3F95C3C8" w14:textId="77777777" w:rsidR="00194EE6" w:rsidRDefault="00194EE6" w:rsidP="00893C3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&lt;0.0001</w:t>
            </w:r>
          </w:p>
        </w:tc>
        <w:tc>
          <w:tcPr>
            <w:tcW w:w="963" w:type="dxa"/>
            <w:vMerge w:val="restart"/>
            <w:tcBorders>
              <w:left w:val="dashed" w:sz="4" w:space="0" w:color="auto"/>
            </w:tcBorders>
            <w:vAlign w:val="center"/>
          </w:tcPr>
          <w:p w14:paraId="512C312E" w14:textId="7FC5AF1C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25.057</w:t>
            </w:r>
          </w:p>
        </w:tc>
        <w:tc>
          <w:tcPr>
            <w:tcW w:w="90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C28371" w14:textId="4CE87622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&lt;0.0001</w:t>
            </w:r>
          </w:p>
        </w:tc>
        <w:tc>
          <w:tcPr>
            <w:tcW w:w="8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8019B36" w14:textId="1A8E7FAB" w:rsidR="00194EE6" w:rsidRPr="00283C14" w:rsidRDefault="00EF26DB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25.072</w:t>
            </w:r>
          </w:p>
        </w:tc>
      </w:tr>
      <w:tr w:rsidR="00194EE6" w14:paraId="58EA3C28" w14:textId="50AC5E6D" w:rsidTr="00283C14">
        <w:trPr>
          <w:trHeight w:val="409"/>
        </w:trPr>
        <w:tc>
          <w:tcPr>
            <w:tcW w:w="1211" w:type="dxa"/>
            <w:vMerge/>
            <w:vAlign w:val="center"/>
          </w:tcPr>
          <w:p w14:paraId="4C39DA69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17" w:type="dxa"/>
            <w:tcBorders>
              <w:top w:val="dashed" w:sz="4" w:space="0" w:color="auto"/>
            </w:tcBorders>
            <w:vAlign w:val="center"/>
          </w:tcPr>
          <w:p w14:paraId="627CCDFA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18" w:type="dxa"/>
            <w:tcBorders>
              <w:top w:val="dashed" w:sz="4" w:space="0" w:color="auto"/>
            </w:tcBorders>
            <w:vAlign w:val="center"/>
          </w:tcPr>
          <w:p w14:paraId="68F6D5DF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153</w:t>
            </w:r>
          </w:p>
        </w:tc>
        <w:tc>
          <w:tcPr>
            <w:tcW w:w="141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077B4FC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bookmarkStart w:id="1" w:name="OLE_LINK1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1.24 ± </w:t>
            </w:r>
            <w:bookmarkEnd w:id="1"/>
            <w:r>
              <w:rPr>
                <w:rFonts w:ascii="Arial" w:hAnsi="Arial" w:cs="Arial"/>
                <w:sz w:val="16"/>
                <w:szCs w:val="16"/>
                <w:lang w:val="en-GB"/>
              </w:rPr>
              <w:t>0.32</w:t>
            </w:r>
          </w:p>
        </w:tc>
        <w:tc>
          <w:tcPr>
            <w:tcW w:w="1119" w:type="dxa"/>
            <w:vMerge/>
            <w:tcBorders>
              <w:left w:val="dashed" w:sz="4" w:space="0" w:color="auto"/>
            </w:tcBorders>
          </w:tcPr>
          <w:p w14:paraId="6B6713BE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vAlign w:val="center"/>
          </w:tcPr>
          <w:p w14:paraId="1BCE3F87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vAlign w:val="center"/>
          </w:tcPr>
          <w:p w14:paraId="770C9953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022" w:type="dxa"/>
            <w:vMerge/>
            <w:vAlign w:val="center"/>
          </w:tcPr>
          <w:p w14:paraId="70F767AD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0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C6D44F3" w14:textId="4A671E04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0.95 ± 0.13</w:t>
            </w:r>
          </w:p>
        </w:tc>
        <w:tc>
          <w:tcPr>
            <w:tcW w:w="1254" w:type="dxa"/>
            <w:vMerge/>
            <w:tcBorders>
              <w:left w:val="dashed" w:sz="4" w:space="0" w:color="auto"/>
            </w:tcBorders>
          </w:tcPr>
          <w:p w14:paraId="36FB11E5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tcBorders>
              <w:left w:val="dashed" w:sz="4" w:space="0" w:color="auto"/>
            </w:tcBorders>
            <w:vAlign w:val="center"/>
          </w:tcPr>
          <w:p w14:paraId="4D63CF3C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A175D6E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FAF6671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</w:tr>
      <w:tr w:rsidR="00194EE6" w14:paraId="3F7FD489" w14:textId="06F9FE02" w:rsidTr="00283C14">
        <w:trPr>
          <w:trHeight w:val="409"/>
        </w:trPr>
        <w:tc>
          <w:tcPr>
            <w:tcW w:w="1211" w:type="dxa"/>
            <w:vMerge w:val="restart"/>
            <w:vAlign w:val="center"/>
          </w:tcPr>
          <w:p w14:paraId="2D12ACB0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AD</w:t>
            </w:r>
          </w:p>
        </w:tc>
        <w:tc>
          <w:tcPr>
            <w:tcW w:w="1217" w:type="dxa"/>
            <w:tcBorders>
              <w:bottom w:val="dashed" w:sz="4" w:space="0" w:color="auto"/>
            </w:tcBorders>
            <w:vAlign w:val="center"/>
          </w:tcPr>
          <w:p w14:paraId="4077B3D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18" w:type="dxa"/>
            <w:tcBorders>
              <w:bottom w:val="dashed" w:sz="4" w:space="0" w:color="auto"/>
            </w:tcBorders>
            <w:vAlign w:val="center"/>
          </w:tcPr>
          <w:p w14:paraId="4B3AA85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14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4586FF7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1.15 ± 0.23</w:t>
            </w:r>
          </w:p>
        </w:tc>
        <w:tc>
          <w:tcPr>
            <w:tcW w:w="1119" w:type="dxa"/>
            <w:vMerge w:val="restart"/>
            <w:tcBorders>
              <w:left w:val="dashed" w:sz="4" w:space="0" w:color="auto"/>
            </w:tcBorders>
            <w:vAlign w:val="center"/>
          </w:tcPr>
          <w:p w14:paraId="6FCC1B36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963" w:type="dxa"/>
            <w:vMerge w:val="restart"/>
            <w:vAlign w:val="center"/>
          </w:tcPr>
          <w:p w14:paraId="75FA14AC" w14:textId="6FE3BF64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7.170</w:t>
            </w:r>
          </w:p>
        </w:tc>
        <w:tc>
          <w:tcPr>
            <w:tcW w:w="963" w:type="dxa"/>
            <w:vMerge w:val="restart"/>
            <w:vAlign w:val="center"/>
          </w:tcPr>
          <w:p w14:paraId="27F3A70E" w14:textId="6551B2B5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0.009</w:t>
            </w:r>
          </w:p>
        </w:tc>
        <w:tc>
          <w:tcPr>
            <w:tcW w:w="1022" w:type="dxa"/>
            <w:vMerge w:val="restart"/>
            <w:vAlign w:val="center"/>
          </w:tcPr>
          <w:p w14:paraId="6FBA72EA" w14:textId="466CA125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7.086</w:t>
            </w:r>
          </w:p>
        </w:tc>
        <w:tc>
          <w:tcPr>
            <w:tcW w:w="10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43CE793" w14:textId="5E514B16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0.85 ± 0.08</w:t>
            </w:r>
          </w:p>
        </w:tc>
        <w:tc>
          <w:tcPr>
            <w:tcW w:w="1254" w:type="dxa"/>
            <w:vMerge w:val="restart"/>
            <w:tcBorders>
              <w:left w:val="dashed" w:sz="4" w:space="0" w:color="auto"/>
            </w:tcBorders>
            <w:vAlign w:val="center"/>
          </w:tcPr>
          <w:p w14:paraId="2F8C96BE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  <w:tc>
          <w:tcPr>
            <w:tcW w:w="963" w:type="dxa"/>
            <w:vMerge w:val="restart"/>
            <w:tcBorders>
              <w:left w:val="dashed" w:sz="4" w:space="0" w:color="auto"/>
            </w:tcBorders>
            <w:vAlign w:val="center"/>
          </w:tcPr>
          <w:p w14:paraId="155413B3" w14:textId="663197D2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28.007</w:t>
            </w:r>
          </w:p>
        </w:tc>
        <w:tc>
          <w:tcPr>
            <w:tcW w:w="90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1B5AA0" w14:textId="48AC2987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&lt;0.0001</w:t>
            </w:r>
          </w:p>
        </w:tc>
        <w:tc>
          <w:tcPr>
            <w:tcW w:w="8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923711" w14:textId="5BAA2DEC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27.666</w:t>
            </w:r>
          </w:p>
        </w:tc>
      </w:tr>
      <w:tr w:rsidR="00194EE6" w14:paraId="2D8DDD45" w14:textId="675764AF" w:rsidTr="00283C14">
        <w:trPr>
          <w:trHeight w:val="409"/>
        </w:trPr>
        <w:tc>
          <w:tcPr>
            <w:tcW w:w="1211" w:type="dxa"/>
            <w:vMerge/>
            <w:vAlign w:val="center"/>
          </w:tcPr>
          <w:p w14:paraId="2609599F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tcBorders>
              <w:top w:val="dashed" w:sz="4" w:space="0" w:color="auto"/>
            </w:tcBorders>
            <w:vAlign w:val="center"/>
          </w:tcPr>
          <w:p w14:paraId="4FBFF809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18" w:type="dxa"/>
            <w:tcBorders>
              <w:top w:val="dashed" w:sz="4" w:space="0" w:color="auto"/>
            </w:tcBorders>
            <w:vAlign w:val="center"/>
          </w:tcPr>
          <w:p w14:paraId="129B51DB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41</w:t>
            </w:r>
          </w:p>
        </w:tc>
        <w:tc>
          <w:tcPr>
            <w:tcW w:w="141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B9FF73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 ± 0.30</w:t>
            </w:r>
          </w:p>
        </w:tc>
        <w:tc>
          <w:tcPr>
            <w:tcW w:w="1119" w:type="dxa"/>
            <w:vMerge/>
            <w:tcBorders>
              <w:left w:val="dashed" w:sz="4" w:space="0" w:color="auto"/>
            </w:tcBorders>
            <w:vAlign w:val="center"/>
          </w:tcPr>
          <w:p w14:paraId="72DB6C0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668E2164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01377DDE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vMerge/>
            <w:vAlign w:val="center"/>
          </w:tcPr>
          <w:p w14:paraId="0B3FBCB6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6CBC578" w14:textId="5ED778BC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0.96 ± 0.12</w:t>
            </w:r>
          </w:p>
        </w:tc>
        <w:tc>
          <w:tcPr>
            <w:tcW w:w="1254" w:type="dxa"/>
            <w:vMerge/>
            <w:tcBorders>
              <w:left w:val="dashed" w:sz="4" w:space="0" w:color="auto"/>
            </w:tcBorders>
            <w:vAlign w:val="center"/>
          </w:tcPr>
          <w:p w14:paraId="32637BB7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dashed" w:sz="4" w:space="0" w:color="auto"/>
            </w:tcBorders>
            <w:vAlign w:val="center"/>
          </w:tcPr>
          <w:p w14:paraId="5497BD77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82B568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EBE81CA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94EE6" w14:paraId="065517F8" w14:textId="0D85F1A9" w:rsidTr="00283C14">
        <w:trPr>
          <w:trHeight w:val="409"/>
        </w:trPr>
        <w:tc>
          <w:tcPr>
            <w:tcW w:w="1211" w:type="dxa"/>
            <w:vMerge w:val="restart"/>
            <w:vAlign w:val="center"/>
          </w:tcPr>
          <w:p w14:paraId="366E65FA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4R</w:t>
            </w:r>
          </w:p>
        </w:tc>
        <w:tc>
          <w:tcPr>
            <w:tcW w:w="1217" w:type="dxa"/>
            <w:tcBorders>
              <w:bottom w:val="dashed" w:sz="4" w:space="0" w:color="auto"/>
            </w:tcBorders>
            <w:vAlign w:val="center"/>
          </w:tcPr>
          <w:p w14:paraId="444AED5B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18" w:type="dxa"/>
            <w:tcBorders>
              <w:bottom w:val="dashed" w:sz="4" w:space="0" w:color="auto"/>
            </w:tcBorders>
            <w:vAlign w:val="center"/>
          </w:tcPr>
          <w:p w14:paraId="0980851E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</w:t>
            </w:r>
          </w:p>
        </w:tc>
        <w:tc>
          <w:tcPr>
            <w:tcW w:w="14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27F8733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1.16 ± 0.21</w:t>
            </w:r>
          </w:p>
        </w:tc>
        <w:tc>
          <w:tcPr>
            <w:tcW w:w="1119" w:type="dxa"/>
            <w:vMerge w:val="restart"/>
            <w:tcBorders>
              <w:left w:val="dashed" w:sz="4" w:space="0" w:color="auto"/>
            </w:tcBorders>
            <w:vAlign w:val="center"/>
          </w:tcPr>
          <w:p w14:paraId="117264F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0.186</w:t>
            </w:r>
          </w:p>
        </w:tc>
        <w:tc>
          <w:tcPr>
            <w:tcW w:w="963" w:type="dxa"/>
            <w:vMerge w:val="restart"/>
            <w:vAlign w:val="center"/>
          </w:tcPr>
          <w:p w14:paraId="2C1C2570" w14:textId="7B991C06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1.764</w:t>
            </w:r>
          </w:p>
        </w:tc>
        <w:tc>
          <w:tcPr>
            <w:tcW w:w="963" w:type="dxa"/>
            <w:vMerge w:val="restart"/>
            <w:vAlign w:val="center"/>
          </w:tcPr>
          <w:p w14:paraId="7DCAAAA5" w14:textId="60CBA86C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0.196</w:t>
            </w:r>
          </w:p>
        </w:tc>
        <w:tc>
          <w:tcPr>
            <w:tcW w:w="1022" w:type="dxa"/>
            <w:vMerge w:val="restart"/>
            <w:vAlign w:val="center"/>
          </w:tcPr>
          <w:p w14:paraId="0DDD50C0" w14:textId="2B41F946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1.688</w:t>
            </w:r>
          </w:p>
        </w:tc>
        <w:tc>
          <w:tcPr>
            <w:tcW w:w="10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C97ABAC" w14:textId="273741A0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0.90 ± 0.11</w:t>
            </w:r>
          </w:p>
        </w:tc>
        <w:tc>
          <w:tcPr>
            <w:tcW w:w="1254" w:type="dxa"/>
            <w:vMerge w:val="restart"/>
            <w:tcBorders>
              <w:left w:val="dashed" w:sz="4" w:space="0" w:color="auto"/>
            </w:tcBorders>
            <w:vAlign w:val="center"/>
          </w:tcPr>
          <w:p w14:paraId="11A1C6D2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  <w:tc>
          <w:tcPr>
            <w:tcW w:w="963" w:type="dxa"/>
            <w:vMerge w:val="restart"/>
            <w:tcBorders>
              <w:left w:val="dashed" w:sz="4" w:space="0" w:color="auto"/>
            </w:tcBorders>
            <w:vAlign w:val="center"/>
          </w:tcPr>
          <w:p w14:paraId="79682A5C" w14:textId="2535D623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6.053</w:t>
            </w:r>
          </w:p>
        </w:tc>
        <w:tc>
          <w:tcPr>
            <w:tcW w:w="90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80979E8" w14:textId="529DAE15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0.017</w:t>
            </w:r>
          </w:p>
        </w:tc>
        <w:tc>
          <w:tcPr>
            <w:tcW w:w="8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949A9D" w14:textId="16625755" w:rsidR="00194EE6" w:rsidRPr="00283C14" w:rsidRDefault="00F674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5.835</w:t>
            </w:r>
          </w:p>
        </w:tc>
      </w:tr>
      <w:tr w:rsidR="00194EE6" w14:paraId="1FBBCD8B" w14:textId="6DFC580B" w:rsidTr="00283C14">
        <w:trPr>
          <w:trHeight w:val="409"/>
        </w:trPr>
        <w:tc>
          <w:tcPr>
            <w:tcW w:w="1211" w:type="dxa"/>
            <w:vMerge/>
            <w:vAlign w:val="center"/>
          </w:tcPr>
          <w:p w14:paraId="098548FC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tcBorders>
              <w:top w:val="dashed" w:sz="4" w:space="0" w:color="auto"/>
            </w:tcBorders>
            <w:vAlign w:val="center"/>
          </w:tcPr>
          <w:p w14:paraId="594D8E63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18" w:type="dxa"/>
            <w:tcBorders>
              <w:top w:val="dashed" w:sz="4" w:space="0" w:color="auto"/>
            </w:tcBorders>
            <w:vAlign w:val="center"/>
          </w:tcPr>
          <w:p w14:paraId="0F5C5791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88</w:t>
            </w:r>
          </w:p>
        </w:tc>
        <w:tc>
          <w:tcPr>
            <w:tcW w:w="141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49802DB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 ± 0.34</w:t>
            </w:r>
          </w:p>
        </w:tc>
        <w:tc>
          <w:tcPr>
            <w:tcW w:w="1119" w:type="dxa"/>
            <w:vMerge/>
            <w:tcBorders>
              <w:left w:val="dashed" w:sz="4" w:space="0" w:color="auto"/>
            </w:tcBorders>
            <w:vAlign w:val="center"/>
          </w:tcPr>
          <w:p w14:paraId="36B279B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5BC31D19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ADD60C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vMerge/>
            <w:vAlign w:val="center"/>
          </w:tcPr>
          <w:p w14:paraId="161BBCD3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7F3C8AD" w14:textId="7E6F7D02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0.96 ± 0.14</w:t>
            </w:r>
          </w:p>
        </w:tc>
        <w:tc>
          <w:tcPr>
            <w:tcW w:w="1254" w:type="dxa"/>
            <w:vMerge/>
            <w:tcBorders>
              <w:left w:val="dashed" w:sz="4" w:space="0" w:color="auto"/>
            </w:tcBorders>
            <w:vAlign w:val="center"/>
          </w:tcPr>
          <w:p w14:paraId="5E66905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dashed" w:sz="4" w:space="0" w:color="auto"/>
            </w:tcBorders>
            <w:vAlign w:val="center"/>
          </w:tcPr>
          <w:p w14:paraId="7E724001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D752486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4CA8421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94EE6" w14:paraId="6B6F9FB9" w14:textId="683B8947" w:rsidTr="00283C14">
        <w:trPr>
          <w:trHeight w:val="409"/>
        </w:trPr>
        <w:tc>
          <w:tcPr>
            <w:tcW w:w="1211" w:type="dxa"/>
            <w:vMerge w:val="restart"/>
            <w:vAlign w:val="center"/>
          </w:tcPr>
          <w:p w14:paraId="02C91DF9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DC</w:t>
            </w:r>
          </w:p>
        </w:tc>
        <w:tc>
          <w:tcPr>
            <w:tcW w:w="1217" w:type="dxa"/>
            <w:tcBorders>
              <w:bottom w:val="dashed" w:sz="4" w:space="0" w:color="auto"/>
            </w:tcBorders>
            <w:vAlign w:val="center"/>
          </w:tcPr>
          <w:p w14:paraId="788F901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18" w:type="dxa"/>
            <w:tcBorders>
              <w:bottom w:val="dashed" w:sz="4" w:space="0" w:color="auto"/>
            </w:tcBorders>
            <w:vAlign w:val="center"/>
          </w:tcPr>
          <w:p w14:paraId="36973911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2751E03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1.35 ± 0.25</w:t>
            </w:r>
          </w:p>
        </w:tc>
        <w:tc>
          <w:tcPr>
            <w:tcW w:w="1119" w:type="dxa"/>
            <w:vMerge w:val="restart"/>
            <w:tcBorders>
              <w:left w:val="dashed" w:sz="4" w:space="0" w:color="auto"/>
            </w:tcBorders>
            <w:vAlign w:val="center"/>
          </w:tcPr>
          <w:p w14:paraId="420D34F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0.124</w:t>
            </w:r>
          </w:p>
        </w:tc>
        <w:tc>
          <w:tcPr>
            <w:tcW w:w="963" w:type="dxa"/>
            <w:vMerge w:val="restart"/>
            <w:vAlign w:val="center"/>
          </w:tcPr>
          <w:p w14:paraId="2478D45B" w14:textId="74E37937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2.558</w:t>
            </w:r>
          </w:p>
        </w:tc>
        <w:tc>
          <w:tcPr>
            <w:tcW w:w="963" w:type="dxa"/>
            <w:vMerge w:val="restart"/>
            <w:vAlign w:val="center"/>
          </w:tcPr>
          <w:p w14:paraId="53155839" w14:textId="49524FDE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0.216</w:t>
            </w:r>
          </w:p>
        </w:tc>
        <w:tc>
          <w:tcPr>
            <w:tcW w:w="1022" w:type="dxa"/>
            <w:vMerge w:val="restart"/>
            <w:vAlign w:val="center"/>
          </w:tcPr>
          <w:p w14:paraId="2ACA088E" w14:textId="16AB1184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1.630</w:t>
            </w:r>
          </w:p>
        </w:tc>
        <w:tc>
          <w:tcPr>
            <w:tcW w:w="10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FB542A5" w14:textId="4127B14F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0.94 ± 0.11</w:t>
            </w:r>
          </w:p>
        </w:tc>
        <w:tc>
          <w:tcPr>
            <w:tcW w:w="1254" w:type="dxa"/>
            <w:vMerge w:val="restart"/>
            <w:tcBorders>
              <w:left w:val="dashed" w:sz="4" w:space="0" w:color="auto"/>
            </w:tcBorders>
            <w:vAlign w:val="center"/>
          </w:tcPr>
          <w:p w14:paraId="37CA6ACA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0.744</w:t>
            </w:r>
          </w:p>
        </w:tc>
        <w:tc>
          <w:tcPr>
            <w:tcW w:w="963" w:type="dxa"/>
            <w:vMerge w:val="restart"/>
            <w:tcBorders>
              <w:left w:val="dashed" w:sz="4" w:space="0" w:color="auto"/>
            </w:tcBorders>
            <w:vAlign w:val="center"/>
          </w:tcPr>
          <w:p w14:paraId="445930CC" w14:textId="235A15D0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0.109</w:t>
            </w:r>
          </w:p>
        </w:tc>
        <w:tc>
          <w:tcPr>
            <w:tcW w:w="90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9203B4" w14:textId="3569693C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0.959</w:t>
            </w:r>
          </w:p>
        </w:tc>
        <w:tc>
          <w:tcPr>
            <w:tcW w:w="8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F0E57D6" w14:textId="5B4F081B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0.003</w:t>
            </w:r>
          </w:p>
        </w:tc>
      </w:tr>
      <w:tr w:rsidR="00194EE6" w14:paraId="354C1DE7" w14:textId="744C8DEC" w:rsidTr="00283C14">
        <w:trPr>
          <w:trHeight w:val="409"/>
        </w:trPr>
        <w:tc>
          <w:tcPr>
            <w:tcW w:w="1211" w:type="dxa"/>
            <w:vMerge/>
            <w:vAlign w:val="center"/>
          </w:tcPr>
          <w:p w14:paraId="344F5BF7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tcBorders>
              <w:top w:val="dashed" w:sz="4" w:space="0" w:color="auto"/>
            </w:tcBorders>
            <w:vAlign w:val="center"/>
          </w:tcPr>
          <w:p w14:paraId="6387F1F6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18" w:type="dxa"/>
            <w:tcBorders>
              <w:top w:val="dashed" w:sz="4" w:space="0" w:color="auto"/>
            </w:tcBorders>
            <w:vAlign w:val="center"/>
          </w:tcPr>
          <w:p w14:paraId="715A6566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41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3F0DDA3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1.14 ± 0.32</w:t>
            </w:r>
          </w:p>
        </w:tc>
        <w:tc>
          <w:tcPr>
            <w:tcW w:w="1119" w:type="dxa"/>
            <w:vMerge/>
            <w:tcBorders>
              <w:left w:val="dashed" w:sz="4" w:space="0" w:color="auto"/>
            </w:tcBorders>
            <w:vAlign w:val="center"/>
          </w:tcPr>
          <w:p w14:paraId="3A737920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vAlign w:val="center"/>
          </w:tcPr>
          <w:p w14:paraId="5FE48AEC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vAlign w:val="center"/>
          </w:tcPr>
          <w:p w14:paraId="44CC94C8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022" w:type="dxa"/>
            <w:vMerge/>
            <w:vAlign w:val="center"/>
          </w:tcPr>
          <w:p w14:paraId="3D004E27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0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AFAA254" w14:textId="23B6F5CC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0.92 ± 0.13</w:t>
            </w:r>
          </w:p>
        </w:tc>
        <w:tc>
          <w:tcPr>
            <w:tcW w:w="1254" w:type="dxa"/>
            <w:vMerge/>
            <w:tcBorders>
              <w:left w:val="dashed" w:sz="4" w:space="0" w:color="auto"/>
            </w:tcBorders>
            <w:vAlign w:val="center"/>
          </w:tcPr>
          <w:p w14:paraId="7C326B52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tcBorders>
              <w:left w:val="dashed" w:sz="4" w:space="0" w:color="auto"/>
            </w:tcBorders>
            <w:vAlign w:val="center"/>
          </w:tcPr>
          <w:p w14:paraId="4001E50F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FC9C9F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ED8721" w14:textId="77777777" w:rsidR="00194EE6" w:rsidRPr="00283C14" w:rsidRDefault="00194EE6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</w:tr>
      <w:tr w:rsidR="00194EE6" w14:paraId="6D2FAF02" w14:textId="2E65C226" w:rsidTr="00283C14">
        <w:trPr>
          <w:trHeight w:val="409"/>
        </w:trPr>
        <w:tc>
          <w:tcPr>
            <w:tcW w:w="1211" w:type="dxa"/>
            <w:vMerge w:val="restart"/>
            <w:vAlign w:val="center"/>
          </w:tcPr>
          <w:p w14:paraId="4423FD29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HC</w:t>
            </w:r>
          </w:p>
        </w:tc>
        <w:tc>
          <w:tcPr>
            <w:tcW w:w="1217" w:type="dxa"/>
            <w:tcBorders>
              <w:bottom w:val="dashed" w:sz="4" w:space="0" w:color="auto"/>
            </w:tcBorders>
            <w:vAlign w:val="center"/>
          </w:tcPr>
          <w:p w14:paraId="33B3EA5B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18" w:type="dxa"/>
            <w:tcBorders>
              <w:bottom w:val="dashed" w:sz="4" w:space="0" w:color="auto"/>
            </w:tcBorders>
            <w:vAlign w:val="center"/>
          </w:tcPr>
          <w:p w14:paraId="18328472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50FC5A8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1.26 ± 0.29</w:t>
            </w:r>
          </w:p>
        </w:tc>
        <w:tc>
          <w:tcPr>
            <w:tcW w:w="1119" w:type="dxa"/>
            <w:vMerge w:val="restart"/>
            <w:tcBorders>
              <w:left w:val="dashed" w:sz="4" w:space="0" w:color="auto"/>
            </w:tcBorders>
            <w:vAlign w:val="center"/>
          </w:tcPr>
          <w:p w14:paraId="291E995F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0.641</w:t>
            </w:r>
          </w:p>
        </w:tc>
        <w:tc>
          <w:tcPr>
            <w:tcW w:w="963" w:type="dxa"/>
            <w:vMerge w:val="restart"/>
            <w:vAlign w:val="center"/>
          </w:tcPr>
          <w:p w14:paraId="21594917" w14:textId="21EBE737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0.227</w:t>
            </w:r>
          </w:p>
        </w:tc>
        <w:tc>
          <w:tcPr>
            <w:tcW w:w="963" w:type="dxa"/>
            <w:vMerge w:val="restart"/>
            <w:vAlign w:val="center"/>
          </w:tcPr>
          <w:p w14:paraId="4E066016" w14:textId="7261AC61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0.847</w:t>
            </w:r>
          </w:p>
        </w:tc>
        <w:tc>
          <w:tcPr>
            <w:tcW w:w="1022" w:type="dxa"/>
            <w:vMerge w:val="restart"/>
            <w:vAlign w:val="center"/>
          </w:tcPr>
          <w:p w14:paraId="08DA7D9C" w14:textId="696C3A06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0.038</w:t>
            </w:r>
          </w:p>
        </w:tc>
        <w:tc>
          <w:tcPr>
            <w:tcW w:w="10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5EE951A" w14:textId="4FC30D1A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0.87 ± 0.07</w:t>
            </w:r>
          </w:p>
        </w:tc>
        <w:tc>
          <w:tcPr>
            <w:tcW w:w="1254" w:type="dxa"/>
            <w:vMerge w:val="restart"/>
            <w:tcBorders>
              <w:left w:val="dashed" w:sz="4" w:space="0" w:color="auto"/>
            </w:tcBorders>
            <w:vAlign w:val="center"/>
          </w:tcPr>
          <w:p w14:paraId="7CDAB3C6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0.012</w:t>
            </w:r>
          </w:p>
        </w:tc>
        <w:tc>
          <w:tcPr>
            <w:tcW w:w="963" w:type="dxa"/>
            <w:vMerge w:val="restart"/>
            <w:tcBorders>
              <w:left w:val="dashed" w:sz="4" w:space="0" w:color="auto"/>
            </w:tcBorders>
            <w:vAlign w:val="center"/>
          </w:tcPr>
          <w:p w14:paraId="2ED7F611" w14:textId="4E294506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8.000</w:t>
            </w:r>
          </w:p>
        </w:tc>
        <w:tc>
          <w:tcPr>
            <w:tcW w:w="90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B67FD77" w14:textId="2D2CEFBD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0.136</w:t>
            </w:r>
          </w:p>
        </w:tc>
        <w:tc>
          <w:tcPr>
            <w:tcW w:w="8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0D5F862" w14:textId="7AF9702D" w:rsidR="00194EE6" w:rsidRPr="00283C14" w:rsidRDefault="00283C14" w:rsidP="00283C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3C14">
              <w:rPr>
                <w:rFonts w:ascii="Arial" w:hAnsi="Arial" w:cs="Arial"/>
                <w:color w:val="FF0000"/>
                <w:sz w:val="16"/>
                <w:szCs w:val="16"/>
              </w:rPr>
              <w:t>2.482</w:t>
            </w:r>
          </w:p>
        </w:tc>
      </w:tr>
      <w:tr w:rsidR="00194EE6" w14:paraId="7C207E14" w14:textId="7BA69380" w:rsidTr="00194EE6">
        <w:trPr>
          <w:trHeight w:val="409"/>
        </w:trPr>
        <w:tc>
          <w:tcPr>
            <w:tcW w:w="1211" w:type="dxa"/>
            <w:vMerge/>
            <w:vAlign w:val="center"/>
          </w:tcPr>
          <w:p w14:paraId="5959D823" w14:textId="77777777" w:rsidR="00194EE6" w:rsidRDefault="00194EE6" w:rsidP="00A209BF">
            <w:pPr>
              <w:tabs>
                <w:tab w:val="left" w:pos="3516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tcBorders>
              <w:top w:val="dashed" w:sz="4" w:space="0" w:color="auto"/>
            </w:tcBorders>
            <w:vAlign w:val="center"/>
          </w:tcPr>
          <w:p w14:paraId="66C58CA8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18" w:type="dxa"/>
            <w:tcBorders>
              <w:top w:val="dashed" w:sz="4" w:space="0" w:color="auto"/>
            </w:tcBorders>
            <w:vAlign w:val="center"/>
          </w:tcPr>
          <w:p w14:paraId="43B1EFFC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C50600E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1.32 ± 0.18</w:t>
            </w:r>
          </w:p>
        </w:tc>
        <w:tc>
          <w:tcPr>
            <w:tcW w:w="1119" w:type="dxa"/>
            <w:vMerge/>
            <w:tcBorders>
              <w:left w:val="dashed" w:sz="4" w:space="0" w:color="auto"/>
            </w:tcBorders>
          </w:tcPr>
          <w:p w14:paraId="5281B3D4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</w:tcPr>
          <w:p w14:paraId="680E6D76" w14:textId="77777777" w:rsidR="00194EE6" w:rsidRPr="00A209BF" w:rsidRDefault="00194EE6" w:rsidP="00A209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</w:tcPr>
          <w:p w14:paraId="6CA616D8" w14:textId="77777777" w:rsidR="00194EE6" w:rsidRPr="00A209BF" w:rsidRDefault="00194EE6" w:rsidP="00A209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022" w:type="dxa"/>
            <w:vMerge/>
          </w:tcPr>
          <w:p w14:paraId="5529416D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4DCB570" w14:textId="41117102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0.95 ± 0.04</w:t>
            </w:r>
          </w:p>
        </w:tc>
        <w:tc>
          <w:tcPr>
            <w:tcW w:w="1254" w:type="dxa"/>
            <w:vMerge/>
            <w:tcBorders>
              <w:left w:val="dashed" w:sz="4" w:space="0" w:color="auto"/>
            </w:tcBorders>
          </w:tcPr>
          <w:p w14:paraId="32297955" w14:textId="77777777" w:rsidR="00194EE6" w:rsidRDefault="00194EE6" w:rsidP="00A209B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vMerge/>
            <w:tcBorders>
              <w:left w:val="dashed" w:sz="4" w:space="0" w:color="auto"/>
            </w:tcBorders>
          </w:tcPr>
          <w:p w14:paraId="785F9CFF" w14:textId="77777777" w:rsidR="00194EE6" w:rsidRPr="00A209BF" w:rsidRDefault="00194EE6" w:rsidP="00A209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0CE36727" w14:textId="77777777" w:rsidR="00194EE6" w:rsidRPr="00A209BF" w:rsidRDefault="00194EE6" w:rsidP="00A209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07595C7" w14:textId="77777777" w:rsidR="00194EE6" w:rsidRPr="00A209BF" w:rsidRDefault="00194EE6" w:rsidP="00A209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</w:tr>
    </w:tbl>
    <w:p w14:paraId="0591BB0F" w14:textId="56138C0A" w:rsidR="004E7BDE" w:rsidRPr="00194EE6" w:rsidRDefault="00A209BF">
      <w:pPr>
        <w:rPr>
          <w:rFonts w:ascii="Arial" w:hAnsi="Arial" w:cs="Arial"/>
          <w:color w:val="FF0000"/>
          <w:sz w:val="20"/>
          <w:lang w:val="en-US"/>
        </w:rPr>
      </w:pPr>
      <w:r w:rsidRPr="00194EE6">
        <w:rPr>
          <w:rFonts w:ascii="Arial" w:hAnsi="Arial" w:cs="Arial"/>
          <w:b/>
          <w:color w:val="FF0000"/>
          <w:sz w:val="20"/>
          <w:lang w:val="en-US"/>
        </w:rPr>
        <w:t xml:space="preserve">Supplemental Table 2. </w:t>
      </w:r>
      <w:r w:rsidR="00194EE6" w:rsidRPr="00194EE6">
        <w:rPr>
          <w:rFonts w:ascii="Arial" w:hAnsi="Arial" w:cs="Arial"/>
          <w:color w:val="FF0000"/>
          <w:sz w:val="20"/>
          <w:lang w:val="en-US"/>
        </w:rPr>
        <w:t>Sex differences in vermal tau-PET, assessed using Analysis of Variance with age (*) as a covariate.</w:t>
      </w:r>
    </w:p>
    <w:p w14:paraId="42C1D03E" w14:textId="77777777" w:rsidR="004E7BDE" w:rsidRDefault="004E7BDE">
      <w:pPr>
        <w:rPr>
          <w:lang w:val="en-US"/>
        </w:rPr>
      </w:pPr>
    </w:p>
    <w:p w14:paraId="0A947B80" w14:textId="7437A321" w:rsidR="004E7BDE" w:rsidRDefault="004E7BDE">
      <w:pPr>
        <w:rPr>
          <w:lang w:val="en-US"/>
        </w:rPr>
      </w:pPr>
    </w:p>
    <w:p w14:paraId="7D528416" w14:textId="77777777" w:rsidR="004E7BDE" w:rsidRDefault="008778E8">
      <w:pPr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Supplemental References</w:t>
      </w:r>
    </w:p>
    <w:p w14:paraId="640FE71A" w14:textId="77777777" w:rsidR="00A209BF" w:rsidRPr="00A209BF" w:rsidRDefault="008778E8" w:rsidP="00A209BF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A209BF" w:rsidRPr="00A209BF">
        <w:t>1.</w:t>
      </w:r>
      <w:r w:rsidR="00A209BF" w:rsidRPr="00A209BF">
        <w:tab/>
        <w:t xml:space="preserve">Slemann, L., et al., </w:t>
      </w:r>
      <w:r w:rsidR="00A209BF" w:rsidRPr="00A209BF">
        <w:rPr>
          <w:i/>
        </w:rPr>
        <w:t>Neuronal and oligodendroglial, but not astroglial, tau translates to in vivo tau PET signals in individuals with primary tauopathies.</w:t>
      </w:r>
      <w:r w:rsidR="00A209BF" w:rsidRPr="00A209BF">
        <w:t xml:space="preserve"> Acta Neuropathologica, 2024. </w:t>
      </w:r>
      <w:r w:rsidR="00A209BF" w:rsidRPr="00A209BF">
        <w:rPr>
          <w:b/>
        </w:rPr>
        <w:t>148</w:t>
      </w:r>
      <w:r w:rsidR="00A209BF" w:rsidRPr="00A209BF">
        <w:t>(1): p. 70.</w:t>
      </w:r>
    </w:p>
    <w:p w14:paraId="25E7CE1F" w14:textId="1410D033" w:rsidR="004E7BDE" w:rsidRDefault="008778E8">
      <w:pPr>
        <w:rPr>
          <w:lang w:val="en-US"/>
        </w:rPr>
      </w:pPr>
      <w:r>
        <w:rPr>
          <w:lang w:val="en-US"/>
        </w:rPr>
        <w:fldChar w:fldCharType="end"/>
      </w:r>
    </w:p>
    <w:sectPr w:rsidR="004E7BDE">
      <w:pgSz w:w="16838" w:h="11906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fred0r6edwv6evapcptf5upfs0rxsxd5z0&quot;&gt;My EndNote Library&lt;record-ids&gt;&lt;item&gt;1&lt;/item&gt;&lt;/record-ids&gt;&lt;/item&gt;&lt;/Libraries&gt;"/>
  </w:docVars>
  <w:rsids>
    <w:rsidRoot w:val="004E7BDE"/>
    <w:rsid w:val="000646EB"/>
    <w:rsid w:val="0007401D"/>
    <w:rsid w:val="000C05D8"/>
    <w:rsid w:val="00194EE6"/>
    <w:rsid w:val="00207DA4"/>
    <w:rsid w:val="00283C14"/>
    <w:rsid w:val="004E7BDE"/>
    <w:rsid w:val="00694BAE"/>
    <w:rsid w:val="00806DBC"/>
    <w:rsid w:val="008778E8"/>
    <w:rsid w:val="00893C37"/>
    <w:rsid w:val="00A209BF"/>
    <w:rsid w:val="00A31E2D"/>
    <w:rsid w:val="00A973A0"/>
    <w:rsid w:val="00BB7DEB"/>
    <w:rsid w:val="00BC0ADB"/>
    <w:rsid w:val="00C07B55"/>
    <w:rsid w:val="00C8762F"/>
    <w:rsid w:val="00DD1266"/>
    <w:rsid w:val="00E142B6"/>
    <w:rsid w:val="00EF26DB"/>
    <w:rsid w:val="00F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70F2"/>
  <w15:chartTrackingRefBased/>
  <w15:docId w15:val="{6341BDDC-1B2D-41F8-8B53-57847278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322B-D494-4D2D-AA35-F50A1152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agkling</dc:creator>
  <cp:keywords/>
  <dc:description/>
  <cp:lastModifiedBy>jgnoeric</cp:lastModifiedBy>
  <cp:revision>2</cp:revision>
  <dcterms:created xsi:type="dcterms:W3CDTF">2025-01-08T17:46:00Z</dcterms:created>
  <dcterms:modified xsi:type="dcterms:W3CDTF">2025-01-08T17:46:00Z</dcterms:modified>
</cp:coreProperties>
</file>