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7068" w14:textId="77777777" w:rsidR="002B64C9" w:rsidRPr="001E6539" w:rsidRDefault="002B64C9" w:rsidP="002B64C9">
      <w:pPr>
        <w:spacing w:before="240" w:after="240"/>
        <w:rPr>
          <w:b/>
          <w:sz w:val="34"/>
          <w:szCs w:val="34"/>
          <w:lang w:val="en-US"/>
        </w:rPr>
      </w:pPr>
      <w:r w:rsidRPr="008678AE">
        <w:rPr>
          <w:b/>
          <w:sz w:val="34"/>
          <w:szCs w:val="34"/>
          <w:lang w:val="en-US"/>
        </w:rPr>
        <w:t xml:space="preserve">A novel approach to the production of </w:t>
      </w:r>
      <w:r w:rsidRPr="008678AE">
        <w:rPr>
          <w:b/>
          <w:sz w:val="34"/>
          <w:szCs w:val="34"/>
          <w:lang w:val="en-US"/>
        </w:rPr>
        <w:sym w:font="Symbol" w:char="F044"/>
      </w:r>
      <w:r w:rsidRPr="008678AE">
        <w:rPr>
          <w:b/>
          <w:sz w:val="34"/>
          <w:szCs w:val="34"/>
          <w:vertAlign w:val="superscript"/>
          <w:lang w:val="en-US"/>
        </w:rPr>
        <w:t>9</w:t>
      </w:r>
      <w:r w:rsidRPr="008678AE">
        <w:rPr>
          <w:b/>
          <w:sz w:val="34"/>
          <w:szCs w:val="34"/>
          <w:lang w:val="en-US"/>
        </w:rPr>
        <w:t>-THC and CBN certified reference materials</w:t>
      </w:r>
      <w:r w:rsidRPr="001E6539">
        <w:rPr>
          <w:b/>
          <w:sz w:val="34"/>
          <w:szCs w:val="34"/>
          <w:lang w:val="en-US"/>
        </w:rPr>
        <w:t xml:space="preserve"> </w:t>
      </w:r>
    </w:p>
    <w:p w14:paraId="3A2A16EE" w14:textId="0CD8D339" w:rsidR="002B64C9" w:rsidRPr="001E6539" w:rsidRDefault="002B64C9" w:rsidP="002B64C9">
      <w:pPr>
        <w:jc w:val="both"/>
        <w:rPr>
          <w:sz w:val="24"/>
          <w:szCs w:val="24"/>
          <w:vertAlign w:val="superscript"/>
        </w:rPr>
      </w:pPr>
      <w:r>
        <w:rPr>
          <w:sz w:val="24"/>
          <w:szCs w:val="24"/>
        </w:rPr>
        <w:t>Lucas J. de Carvalho</w:t>
      </w:r>
      <w:r>
        <w:rPr>
          <w:sz w:val="24"/>
          <w:szCs w:val="24"/>
          <w:vertAlign w:val="superscript"/>
        </w:rPr>
        <w:t>1</w:t>
      </w:r>
      <w:r w:rsidR="00A62875">
        <w:rPr>
          <w:sz w:val="24"/>
          <w:szCs w:val="24"/>
          <w:vertAlign w:val="superscript"/>
        </w:rPr>
        <w:t>*</w:t>
      </w:r>
      <w:r>
        <w:rPr>
          <w:sz w:val="24"/>
          <w:szCs w:val="24"/>
        </w:rPr>
        <w:t>, Silvia R. P. Lopes</w:t>
      </w:r>
      <w:r>
        <w:rPr>
          <w:sz w:val="24"/>
          <w:szCs w:val="24"/>
          <w:vertAlign w:val="superscript"/>
        </w:rPr>
        <w:t>1</w:t>
      </w:r>
      <w:r>
        <w:rPr>
          <w:sz w:val="24"/>
          <w:szCs w:val="24"/>
        </w:rPr>
        <w:t xml:space="preserve">, </w:t>
      </w:r>
      <w:r w:rsidRPr="008678AE">
        <w:rPr>
          <w:sz w:val="24"/>
          <w:szCs w:val="24"/>
        </w:rPr>
        <w:t>Lívia C. R. M. da Frota</w:t>
      </w:r>
      <w:r w:rsidRPr="008678AE">
        <w:rPr>
          <w:sz w:val="24"/>
          <w:szCs w:val="24"/>
          <w:vertAlign w:val="superscript"/>
        </w:rPr>
        <w:t>2§</w:t>
      </w:r>
      <w:r w:rsidRPr="008678AE">
        <w:rPr>
          <w:sz w:val="24"/>
          <w:szCs w:val="24"/>
        </w:rPr>
        <w:t>,</w:t>
      </w:r>
      <w:r>
        <w:rPr>
          <w:sz w:val="24"/>
          <w:szCs w:val="24"/>
        </w:rPr>
        <w:t xml:space="preserve"> Karine E. Cesar</w:t>
      </w:r>
      <w:r>
        <w:rPr>
          <w:sz w:val="24"/>
          <w:szCs w:val="24"/>
          <w:vertAlign w:val="superscript"/>
        </w:rPr>
        <w:t>1</w:t>
      </w:r>
      <w:r>
        <w:rPr>
          <w:sz w:val="24"/>
          <w:szCs w:val="24"/>
        </w:rPr>
        <w:t>,</w:t>
      </w:r>
      <w:hyperlink r:id="rId8">
        <w:r>
          <w:rPr>
            <w:sz w:val="24"/>
            <w:szCs w:val="24"/>
          </w:rPr>
          <w:t xml:space="preserve"> </w:t>
        </w:r>
      </w:hyperlink>
      <w:r>
        <w:rPr>
          <w:sz w:val="24"/>
          <w:szCs w:val="24"/>
        </w:rPr>
        <w:t>Douglas S. A. Chaves</w:t>
      </w:r>
      <w:r>
        <w:rPr>
          <w:sz w:val="24"/>
          <w:szCs w:val="24"/>
          <w:vertAlign w:val="superscript"/>
        </w:rPr>
        <w:t>3</w:t>
      </w:r>
      <w:r>
        <w:rPr>
          <w:sz w:val="24"/>
          <w:szCs w:val="24"/>
        </w:rPr>
        <w:t xml:space="preserve">, </w:t>
      </w:r>
      <w:r w:rsidRPr="00272429">
        <w:rPr>
          <w:sz w:val="24"/>
          <w:szCs w:val="24"/>
        </w:rPr>
        <w:t>Neide M</w:t>
      </w:r>
      <w:r>
        <w:rPr>
          <w:sz w:val="24"/>
          <w:szCs w:val="24"/>
        </w:rPr>
        <w:t>.</w:t>
      </w:r>
      <w:r w:rsidRPr="00272429">
        <w:rPr>
          <w:sz w:val="24"/>
          <w:szCs w:val="24"/>
        </w:rPr>
        <w:t xml:space="preserve"> de M</w:t>
      </w:r>
      <w:r>
        <w:rPr>
          <w:sz w:val="24"/>
          <w:szCs w:val="24"/>
        </w:rPr>
        <w:t>.</w:t>
      </w:r>
      <w:r w:rsidRPr="00272429">
        <w:rPr>
          <w:sz w:val="24"/>
          <w:szCs w:val="24"/>
        </w:rPr>
        <w:t xml:space="preserve"> Epifanio</w:t>
      </w:r>
      <w:r w:rsidRPr="00272429">
        <w:rPr>
          <w:sz w:val="24"/>
          <w:szCs w:val="24"/>
          <w:vertAlign w:val="superscript"/>
        </w:rPr>
        <w:t>4</w:t>
      </w:r>
      <w:r>
        <w:rPr>
          <w:sz w:val="24"/>
          <w:szCs w:val="24"/>
        </w:rPr>
        <w:t xml:space="preserve">, </w:t>
      </w:r>
      <w:r w:rsidRPr="00C62296">
        <w:rPr>
          <w:sz w:val="24"/>
          <w:szCs w:val="24"/>
        </w:rPr>
        <w:t>Fernanda G</w:t>
      </w:r>
      <w:r>
        <w:rPr>
          <w:sz w:val="24"/>
          <w:szCs w:val="24"/>
        </w:rPr>
        <w:t>.</w:t>
      </w:r>
      <w:r w:rsidRPr="00C62296">
        <w:rPr>
          <w:sz w:val="24"/>
          <w:szCs w:val="24"/>
        </w:rPr>
        <w:t xml:space="preserve"> Finelli</w:t>
      </w:r>
      <w:r>
        <w:rPr>
          <w:sz w:val="24"/>
          <w:szCs w:val="24"/>
          <w:vertAlign w:val="superscript"/>
        </w:rPr>
        <w:t>2</w:t>
      </w:r>
      <w:r w:rsidRPr="00C62296">
        <w:rPr>
          <w:sz w:val="24"/>
          <w:szCs w:val="24"/>
        </w:rPr>
        <w:t xml:space="preserve">, </w:t>
      </w:r>
      <w:r>
        <w:rPr>
          <w:sz w:val="24"/>
          <w:szCs w:val="24"/>
        </w:rPr>
        <w:t>Bruno C. Garrido</w:t>
      </w:r>
      <w:r>
        <w:rPr>
          <w:sz w:val="24"/>
          <w:szCs w:val="24"/>
          <w:vertAlign w:val="superscript"/>
        </w:rPr>
        <w:t>1</w:t>
      </w:r>
      <w:r w:rsidR="00A62875">
        <w:rPr>
          <w:sz w:val="24"/>
          <w:szCs w:val="24"/>
          <w:vertAlign w:val="superscript"/>
        </w:rPr>
        <w:t>#</w:t>
      </w:r>
    </w:p>
    <w:p w14:paraId="7BBE776F" w14:textId="77777777" w:rsidR="002B64C9" w:rsidRPr="00CC3546" w:rsidRDefault="002B64C9" w:rsidP="002B64C9">
      <w:pPr>
        <w:rPr>
          <w:sz w:val="20"/>
          <w:szCs w:val="20"/>
        </w:rPr>
      </w:pPr>
    </w:p>
    <w:p w14:paraId="481B3D2C" w14:textId="77777777" w:rsidR="004C019C" w:rsidRDefault="002B64C9" w:rsidP="002B64C9">
      <w:pPr>
        <w:rPr>
          <w:sz w:val="20"/>
          <w:szCs w:val="20"/>
        </w:rPr>
      </w:pPr>
      <w:r w:rsidRPr="00F871C5">
        <w:rPr>
          <w:sz w:val="20"/>
          <w:szCs w:val="20"/>
          <w:vertAlign w:val="superscript"/>
        </w:rPr>
        <w:t>1</w:t>
      </w:r>
      <w:r w:rsidRPr="00F871C5">
        <w:rPr>
          <w:sz w:val="20"/>
          <w:szCs w:val="20"/>
        </w:rPr>
        <w:t>National Institute of Metrology, Standardization and Industrial Quality (Inmetro) Avenida Nossa Sra. das Graças, 50, Duque de Caxias, Rio de Janeiro, Brazil</w:t>
      </w:r>
      <w:r>
        <w:rPr>
          <w:sz w:val="20"/>
          <w:szCs w:val="20"/>
        </w:rPr>
        <w:t>.</w:t>
      </w:r>
      <w:r w:rsidR="004C019C">
        <w:rPr>
          <w:sz w:val="20"/>
          <w:szCs w:val="20"/>
        </w:rPr>
        <w:t xml:space="preserve"> </w:t>
      </w:r>
    </w:p>
    <w:p w14:paraId="54F8C865" w14:textId="40D3DE54" w:rsidR="002B64C9" w:rsidRPr="004C019C" w:rsidRDefault="004C019C" w:rsidP="002B64C9">
      <w:pPr>
        <w:rPr>
          <w:sz w:val="20"/>
          <w:szCs w:val="20"/>
        </w:rPr>
      </w:pPr>
      <w:r w:rsidRPr="004C019C">
        <w:rPr>
          <w:sz w:val="20"/>
          <w:szCs w:val="20"/>
        </w:rPr>
        <w:t xml:space="preserve">*Email: </w:t>
      </w:r>
      <w:hyperlink r:id="rId9" w:history="1">
        <w:r w:rsidRPr="004C019C">
          <w:rPr>
            <w:rStyle w:val="Hyperlink"/>
            <w:sz w:val="20"/>
            <w:szCs w:val="20"/>
          </w:rPr>
          <w:t>ljcarvalho@inmetro.gov.br</w:t>
        </w:r>
      </w:hyperlink>
    </w:p>
    <w:p w14:paraId="0F630E5B" w14:textId="77777777" w:rsidR="004C019C" w:rsidRPr="004C019C" w:rsidRDefault="004C019C" w:rsidP="002B64C9">
      <w:pPr>
        <w:rPr>
          <w:sz w:val="20"/>
          <w:szCs w:val="20"/>
        </w:rPr>
      </w:pPr>
    </w:p>
    <w:p w14:paraId="672CBA42" w14:textId="77777777" w:rsidR="002B64C9" w:rsidRDefault="002B64C9" w:rsidP="002B64C9">
      <w:pPr>
        <w:rPr>
          <w:sz w:val="20"/>
          <w:szCs w:val="20"/>
        </w:rPr>
      </w:pPr>
      <w:r w:rsidRPr="00F871C5">
        <w:rPr>
          <w:sz w:val="20"/>
          <w:szCs w:val="20"/>
          <w:vertAlign w:val="superscript"/>
        </w:rPr>
        <w:t>2</w:t>
      </w:r>
      <w:r w:rsidRPr="00F871C5">
        <w:rPr>
          <w:sz w:val="20"/>
          <w:szCs w:val="20"/>
        </w:rPr>
        <w:t>Instituto de Pesquisa de Produtos Naturais, Universidade Federal do Rio de Janeiro, 21941-599, Rio de Janeiro, RJ, Brazil</w:t>
      </w:r>
      <w:r>
        <w:rPr>
          <w:sz w:val="20"/>
          <w:szCs w:val="20"/>
        </w:rPr>
        <w:t>.</w:t>
      </w:r>
    </w:p>
    <w:p w14:paraId="59BB9E0F" w14:textId="77777777" w:rsidR="004C019C" w:rsidRPr="00F871C5" w:rsidRDefault="004C019C" w:rsidP="002B64C9">
      <w:pPr>
        <w:rPr>
          <w:sz w:val="20"/>
          <w:szCs w:val="20"/>
        </w:rPr>
      </w:pPr>
    </w:p>
    <w:p w14:paraId="39F26193" w14:textId="77777777" w:rsidR="002B64C9" w:rsidRDefault="002B64C9" w:rsidP="002B64C9">
      <w:pPr>
        <w:rPr>
          <w:sz w:val="20"/>
          <w:szCs w:val="20"/>
        </w:rPr>
      </w:pPr>
      <w:r w:rsidRPr="00F871C5">
        <w:rPr>
          <w:sz w:val="20"/>
          <w:szCs w:val="20"/>
          <w:vertAlign w:val="superscript"/>
        </w:rPr>
        <w:t>3</w:t>
      </w:r>
      <w:r w:rsidRPr="00F871C5">
        <w:rPr>
          <w:sz w:val="20"/>
          <w:szCs w:val="20"/>
        </w:rPr>
        <w:t>Departamento de Ciências Farmacêuticas, Universidade Federal Rural do Rio de Janeiro</w:t>
      </w:r>
      <w:r>
        <w:rPr>
          <w:sz w:val="20"/>
          <w:szCs w:val="20"/>
        </w:rPr>
        <w:t>.</w:t>
      </w:r>
    </w:p>
    <w:p w14:paraId="0870AB92" w14:textId="77777777" w:rsidR="004C019C" w:rsidRPr="00F871C5" w:rsidRDefault="004C019C" w:rsidP="002B64C9">
      <w:pPr>
        <w:rPr>
          <w:sz w:val="20"/>
          <w:szCs w:val="20"/>
          <w:vertAlign w:val="subscript"/>
        </w:rPr>
      </w:pPr>
    </w:p>
    <w:p w14:paraId="229617F3" w14:textId="77777777" w:rsidR="002B64C9" w:rsidRDefault="002B64C9" w:rsidP="002B64C9">
      <w:pPr>
        <w:rPr>
          <w:sz w:val="20"/>
          <w:szCs w:val="20"/>
        </w:rPr>
      </w:pPr>
      <w:r w:rsidRPr="00F871C5">
        <w:rPr>
          <w:sz w:val="20"/>
          <w:szCs w:val="20"/>
          <w:vertAlign w:val="superscript"/>
        </w:rPr>
        <w:t>4</w:t>
      </w:r>
      <w:r w:rsidRPr="00F871C5">
        <w:rPr>
          <w:sz w:val="20"/>
          <w:szCs w:val="20"/>
        </w:rPr>
        <w:t>Laboratorio de Farmacognosia, Universidade Federal Rural do Rio de Janeiro</w:t>
      </w:r>
      <w:r>
        <w:rPr>
          <w:sz w:val="20"/>
          <w:szCs w:val="20"/>
        </w:rPr>
        <w:t>.</w:t>
      </w:r>
    </w:p>
    <w:p w14:paraId="7F29606B" w14:textId="77777777" w:rsidR="004C019C" w:rsidRPr="00F871C5" w:rsidRDefault="004C019C" w:rsidP="002B64C9">
      <w:pPr>
        <w:rPr>
          <w:sz w:val="20"/>
          <w:szCs w:val="20"/>
        </w:rPr>
      </w:pPr>
    </w:p>
    <w:p w14:paraId="73218D0E" w14:textId="752BE52E" w:rsidR="002B64C9" w:rsidRDefault="002B64C9" w:rsidP="002B64C9">
      <w:pPr>
        <w:rPr>
          <w:sz w:val="20"/>
          <w:szCs w:val="20"/>
        </w:rPr>
      </w:pPr>
      <w:r w:rsidRPr="004C019C">
        <w:rPr>
          <w:sz w:val="20"/>
          <w:szCs w:val="20"/>
          <w:vertAlign w:val="superscript"/>
        </w:rPr>
        <w:t>§</w:t>
      </w:r>
      <w:r w:rsidRPr="00F871C5">
        <w:rPr>
          <w:sz w:val="20"/>
          <w:szCs w:val="20"/>
        </w:rPr>
        <w:t>Present Ad</w:t>
      </w:r>
      <w:r w:rsidR="00A62875">
        <w:rPr>
          <w:sz w:val="20"/>
          <w:szCs w:val="20"/>
        </w:rPr>
        <w:t>d</w:t>
      </w:r>
      <w:r w:rsidRPr="00F871C5">
        <w:rPr>
          <w:sz w:val="20"/>
          <w:szCs w:val="20"/>
        </w:rPr>
        <w:t>ress: Departamento de Química Orgânica, Instituto de Química, Universidade Federal do Rio Grande do Sul, 91501-970, Porto Alegre, RS, Brazil</w:t>
      </w:r>
      <w:r>
        <w:rPr>
          <w:sz w:val="20"/>
          <w:szCs w:val="20"/>
        </w:rPr>
        <w:t>.</w:t>
      </w:r>
    </w:p>
    <w:p w14:paraId="48AFDFAB" w14:textId="77777777" w:rsidR="004C019C" w:rsidRPr="00F871C5" w:rsidRDefault="004C019C" w:rsidP="002B64C9">
      <w:pPr>
        <w:rPr>
          <w:sz w:val="20"/>
          <w:szCs w:val="20"/>
        </w:rPr>
      </w:pPr>
    </w:p>
    <w:p w14:paraId="692D52BC" w14:textId="068C8E53" w:rsidR="002B64C9" w:rsidRDefault="00E75B8A" w:rsidP="002B64C9">
      <w:pPr>
        <w:rPr>
          <w:sz w:val="20"/>
          <w:szCs w:val="20"/>
          <w:lang w:val="en-US"/>
        </w:rPr>
      </w:pPr>
      <w:r w:rsidRPr="00E75B8A">
        <w:rPr>
          <w:sz w:val="20"/>
          <w:szCs w:val="20"/>
          <w:vertAlign w:val="superscript"/>
          <w:lang w:val="en-US"/>
        </w:rPr>
        <w:t>#</w:t>
      </w:r>
      <w:r w:rsidR="002B64C9" w:rsidRPr="00F871C5">
        <w:rPr>
          <w:sz w:val="20"/>
          <w:szCs w:val="20"/>
          <w:lang w:val="en-US"/>
        </w:rPr>
        <w:t xml:space="preserve">Present Address: National Research Council of Canada, Metrology Research Centre, 1411 Oxford Street, Halifax, Nova Scotia, Canada. </w:t>
      </w:r>
    </w:p>
    <w:p w14:paraId="0AD19EE7" w14:textId="77777777" w:rsidR="00B62429" w:rsidRDefault="00B62429">
      <w:pPr>
        <w:rPr>
          <w:lang w:val="en-US"/>
        </w:rPr>
        <w:sectPr w:rsidR="00B62429">
          <w:headerReference w:type="default" r:id="rId10"/>
          <w:footerReference w:type="default" r:id="rId11"/>
          <w:footerReference w:type="first" r:id="rId12"/>
          <w:pgSz w:w="11906" w:h="16838"/>
          <w:pgMar w:top="1417" w:right="1701" w:bottom="1417" w:left="1701" w:header="708" w:footer="708" w:gutter="0"/>
          <w:cols w:space="708"/>
          <w:docGrid w:linePitch="360"/>
        </w:sectPr>
      </w:pPr>
    </w:p>
    <w:sdt>
      <w:sdtPr>
        <w:rPr>
          <w:rFonts w:ascii="Arial" w:eastAsia="Arial" w:hAnsi="Arial" w:cs="Arial"/>
          <w:color w:val="auto"/>
          <w:sz w:val="22"/>
          <w:szCs w:val="22"/>
        </w:rPr>
        <w:id w:val="1898400945"/>
        <w:docPartObj>
          <w:docPartGallery w:val="Table of Contents"/>
          <w:docPartUnique/>
        </w:docPartObj>
      </w:sdtPr>
      <w:sdtEndPr>
        <w:rPr>
          <w:b/>
          <w:bCs/>
        </w:rPr>
      </w:sdtEndPr>
      <w:sdtContent>
        <w:p w14:paraId="6C7C5134" w14:textId="22D41B4C" w:rsidR="00B62429" w:rsidRDefault="003C73A9">
          <w:pPr>
            <w:pStyle w:val="Inhaltsverzeichnisberschrift"/>
            <w:rPr>
              <w:rFonts w:ascii="Arial" w:hAnsi="Arial" w:cs="Arial"/>
              <w:b/>
              <w:bCs/>
              <w:color w:val="auto"/>
            </w:rPr>
          </w:pPr>
          <w:r>
            <w:rPr>
              <w:rFonts w:ascii="Arial" w:hAnsi="Arial" w:cs="Arial"/>
              <w:b/>
              <w:bCs/>
              <w:color w:val="auto"/>
            </w:rPr>
            <w:t>Summary</w:t>
          </w:r>
        </w:p>
        <w:p w14:paraId="2A85589C" w14:textId="77777777" w:rsidR="00E128C4" w:rsidRPr="00E128C4" w:rsidRDefault="00E128C4" w:rsidP="00E128C4"/>
        <w:p w14:paraId="0103C588" w14:textId="0E4AEFCE" w:rsidR="008A6A22" w:rsidRDefault="00B62429">
          <w:pPr>
            <w:pStyle w:val="Verzeichnis1"/>
            <w:tabs>
              <w:tab w:val="right" w:leader="dot" w:pos="8494"/>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797607" w:history="1">
            <w:r w:rsidR="008A6A22" w:rsidRPr="00E74F4F">
              <w:rPr>
                <w:rStyle w:val="Hyperlink"/>
                <w:b/>
                <w:bCs/>
                <w:noProof/>
                <w:lang w:val="en-US"/>
              </w:rPr>
              <w:t>S1) General information</w:t>
            </w:r>
            <w:r w:rsidR="008A6A22">
              <w:rPr>
                <w:noProof/>
                <w:webHidden/>
              </w:rPr>
              <w:tab/>
              <w:t>S</w:t>
            </w:r>
            <w:r w:rsidR="008A6A22">
              <w:rPr>
                <w:noProof/>
                <w:webHidden/>
              </w:rPr>
              <w:fldChar w:fldCharType="begin"/>
            </w:r>
            <w:r w:rsidR="008A6A22">
              <w:rPr>
                <w:noProof/>
                <w:webHidden/>
              </w:rPr>
              <w:instrText xml:space="preserve"> PAGEREF _Toc216797607 \h </w:instrText>
            </w:r>
            <w:r w:rsidR="008A6A22">
              <w:rPr>
                <w:noProof/>
                <w:webHidden/>
              </w:rPr>
            </w:r>
            <w:r w:rsidR="008A6A22">
              <w:rPr>
                <w:noProof/>
                <w:webHidden/>
              </w:rPr>
              <w:fldChar w:fldCharType="separate"/>
            </w:r>
            <w:r w:rsidR="00C97BE5">
              <w:rPr>
                <w:noProof/>
                <w:webHidden/>
              </w:rPr>
              <w:t>3</w:t>
            </w:r>
            <w:r w:rsidR="008A6A22">
              <w:rPr>
                <w:noProof/>
                <w:webHidden/>
              </w:rPr>
              <w:fldChar w:fldCharType="end"/>
            </w:r>
          </w:hyperlink>
        </w:p>
        <w:p w14:paraId="08BDB2B3" w14:textId="322C117B" w:rsidR="008A6A22" w:rsidRDefault="008A6A22">
          <w:pPr>
            <w:pStyle w:val="Verzeichnis1"/>
            <w:tabs>
              <w:tab w:val="right" w:leader="dot" w:pos="8494"/>
            </w:tabs>
            <w:rPr>
              <w:rFonts w:asciiTheme="minorHAnsi" w:eastAsiaTheme="minorEastAsia" w:hAnsiTheme="minorHAnsi" w:cstheme="minorBidi"/>
              <w:noProof/>
              <w:kern w:val="2"/>
              <w:sz w:val="24"/>
              <w:szCs w:val="24"/>
              <w14:ligatures w14:val="standardContextual"/>
            </w:rPr>
          </w:pPr>
          <w:hyperlink w:anchor="_Toc216797608" w:history="1">
            <w:r w:rsidRPr="00E74F4F">
              <w:rPr>
                <w:rStyle w:val="Hyperlink"/>
                <w:b/>
                <w:bCs/>
                <w:noProof/>
                <w:lang w:val="en-US"/>
              </w:rPr>
              <w:t>S2) Sample preparation</w:t>
            </w:r>
            <w:r>
              <w:rPr>
                <w:noProof/>
                <w:webHidden/>
              </w:rPr>
              <w:tab/>
              <w:t>S</w:t>
            </w:r>
            <w:r>
              <w:rPr>
                <w:noProof/>
                <w:webHidden/>
              </w:rPr>
              <w:fldChar w:fldCharType="begin"/>
            </w:r>
            <w:r>
              <w:rPr>
                <w:noProof/>
                <w:webHidden/>
              </w:rPr>
              <w:instrText xml:space="preserve"> PAGEREF _Toc216797608 \h </w:instrText>
            </w:r>
            <w:r>
              <w:rPr>
                <w:noProof/>
                <w:webHidden/>
              </w:rPr>
            </w:r>
            <w:r>
              <w:rPr>
                <w:noProof/>
                <w:webHidden/>
              </w:rPr>
              <w:fldChar w:fldCharType="separate"/>
            </w:r>
            <w:r w:rsidR="00C97BE5">
              <w:rPr>
                <w:noProof/>
                <w:webHidden/>
              </w:rPr>
              <w:t>4</w:t>
            </w:r>
            <w:r>
              <w:rPr>
                <w:noProof/>
                <w:webHidden/>
              </w:rPr>
              <w:fldChar w:fldCharType="end"/>
            </w:r>
          </w:hyperlink>
        </w:p>
        <w:p w14:paraId="707D2AA8" w14:textId="442B30BB"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09" w:history="1">
            <w:r w:rsidRPr="00E74F4F">
              <w:rPr>
                <w:rStyle w:val="Hyperlink"/>
                <w:noProof/>
                <w:lang w:val="en-US"/>
              </w:rPr>
              <w:t>S2.1) Standard solutions of cannabinoids</w:t>
            </w:r>
            <w:r>
              <w:rPr>
                <w:noProof/>
                <w:webHidden/>
              </w:rPr>
              <w:tab/>
              <w:t>S</w:t>
            </w:r>
            <w:r>
              <w:rPr>
                <w:noProof/>
                <w:webHidden/>
              </w:rPr>
              <w:fldChar w:fldCharType="begin"/>
            </w:r>
            <w:r>
              <w:rPr>
                <w:noProof/>
                <w:webHidden/>
              </w:rPr>
              <w:instrText xml:space="preserve"> PAGEREF _Toc216797609 \h </w:instrText>
            </w:r>
            <w:r>
              <w:rPr>
                <w:noProof/>
                <w:webHidden/>
              </w:rPr>
            </w:r>
            <w:r>
              <w:rPr>
                <w:noProof/>
                <w:webHidden/>
              </w:rPr>
              <w:fldChar w:fldCharType="separate"/>
            </w:r>
            <w:r w:rsidR="00C97BE5">
              <w:rPr>
                <w:noProof/>
                <w:webHidden/>
              </w:rPr>
              <w:t>4</w:t>
            </w:r>
            <w:r>
              <w:rPr>
                <w:noProof/>
                <w:webHidden/>
              </w:rPr>
              <w:fldChar w:fldCharType="end"/>
            </w:r>
          </w:hyperlink>
        </w:p>
        <w:p w14:paraId="0CDA6C21" w14:textId="36FB8DDC"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0" w:history="1">
            <w:r w:rsidRPr="00E74F4F">
              <w:rPr>
                <w:rStyle w:val="Hyperlink"/>
                <w:noProof/>
                <w:lang w:val="en-US"/>
              </w:rPr>
              <w:t>S2.2) Cannabis samples</w:t>
            </w:r>
            <w:r>
              <w:rPr>
                <w:noProof/>
                <w:webHidden/>
              </w:rPr>
              <w:tab/>
              <w:t>S</w:t>
            </w:r>
            <w:r>
              <w:rPr>
                <w:noProof/>
                <w:webHidden/>
              </w:rPr>
              <w:fldChar w:fldCharType="begin"/>
            </w:r>
            <w:r>
              <w:rPr>
                <w:noProof/>
                <w:webHidden/>
              </w:rPr>
              <w:instrText xml:space="preserve"> PAGEREF _Toc216797610 \h </w:instrText>
            </w:r>
            <w:r>
              <w:rPr>
                <w:noProof/>
                <w:webHidden/>
              </w:rPr>
            </w:r>
            <w:r>
              <w:rPr>
                <w:noProof/>
                <w:webHidden/>
              </w:rPr>
              <w:fldChar w:fldCharType="separate"/>
            </w:r>
            <w:r w:rsidR="00C97BE5">
              <w:rPr>
                <w:noProof/>
                <w:webHidden/>
              </w:rPr>
              <w:t>4</w:t>
            </w:r>
            <w:r>
              <w:rPr>
                <w:noProof/>
                <w:webHidden/>
              </w:rPr>
              <w:fldChar w:fldCharType="end"/>
            </w:r>
          </w:hyperlink>
        </w:p>
        <w:p w14:paraId="3272D7E0" w14:textId="488EF74E"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1" w:history="1">
            <w:r w:rsidRPr="00E74F4F">
              <w:rPr>
                <w:rStyle w:val="Hyperlink"/>
                <w:noProof/>
                <w:lang w:val="en-US"/>
              </w:rPr>
              <w:t xml:space="preserve">S2.3) </w:t>
            </w:r>
            <w:r w:rsidRPr="00E74F4F">
              <w:rPr>
                <w:rStyle w:val="Hyperlink"/>
                <w:noProof/>
                <w:vertAlign w:val="superscript"/>
                <w:lang w:val="en-US"/>
              </w:rPr>
              <w:t>1</w:t>
            </w:r>
            <w:r w:rsidRPr="00E74F4F">
              <w:rPr>
                <w:rStyle w:val="Hyperlink"/>
                <w:noProof/>
                <w:lang w:val="en-US"/>
              </w:rPr>
              <w:t>H NMR-PULCON samples</w:t>
            </w:r>
            <w:r>
              <w:rPr>
                <w:noProof/>
                <w:webHidden/>
              </w:rPr>
              <w:tab/>
              <w:t>S</w:t>
            </w:r>
            <w:r>
              <w:rPr>
                <w:noProof/>
                <w:webHidden/>
              </w:rPr>
              <w:fldChar w:fldCharType="begin"/>
            </w:r>
            <w:r>
              <w:rPr>
                <w:noProof/>
                <w:webHidden/>
              </w:rPr>
              <w:instrText xml:space="preserve"> PAGEREF _Toc216797611 \h </w:instrText>
            </w:r>
            <w:r>
              <w:rPr>
                <w:noProof/>
                <w:webHidden/>
              </w:rPr>
            </w:r>
            <w:r>
              <w:rPr>
                <w:noProof/>
                <w:webHidden/>
              </w:rPr>
              <w:fldChar w:fldCharType="separate"/>
            </w:r>
            <w:r w:rsidR="00C97BE5">
              <w:rPr>
                <w:noProof/>
                <w:webHidden/>
              </w:rPr>
              <w:t>4</w:t>
            </w:r>
            <w:r>
              <w:rPr>
                <w:noProof/>
                <w:webHidden/>
              </w:rPr>
              <w:fldChar w:fldCharType="end"/>
            </w:r>
          </w:hyperlink>
        </w:p>
        <w:p w14:paraId="7AD07474" w14:textId="708250FB" w:rsidR="008A6A22" w:rsidRDefault="008A6A22">
          <w:pPr>
            <w:pStyle w:val="Verzeichnis1"/>
            <w:tabs>
              <w:tab w:val="right" w:leader="dot" w:pos="8494"/>
            </w:tabs>
            <w:rPr>
              <w:rFonts w:asciiTheme="minorHAnsi" w:eastAsiaTheme="minorEastAsia" w:hAnsiTheme="minorHAnsi" w:cstheme="minorBidi"/>
              <w:noProof/>
              <w:kern w:val="2"/>
              <w:sz w:val="24"/>
              <w:szCs w:val="24"/>
              <w14:ligatures w14:val="standardContextual"/>
            </w:rPr>
          </w:pPr>
          <w:hyperlink w:anchor="_Toc216797612" w:history="1">
            <w:r w:rsidRPr="00E74F4F">
              <w:rPr>
                <w:rStyle w:val="Hyperlink"/>
                <w:b/>
                <w:bCs/>
                <w:noProof/>
                <w:lang w:val="en-US"/>
              </w:rPr>
              <w:t>S3) NMR and chromatography instrumentation conditions</w:t>
            </w:r>
            <w:r>
              <w:rPr>
                <w:noProof/>
                <w:webHidden/>
              </w:rPr>
              <w:tab/>
              <w:t>S</w:t>
            </w:r>
            <w:r>
              <w:rPr>
                <w:noProof/>
                <w:webHidden/>
              </w:rPr>
              <w:fldChar w:fldCharType="begin"/>
            </w:r>
            <w:r>
              <w:rPr>
                <w:noProof/>
                <w:webHidden/>
              </w:rPr>
              <w:instrText xml:space="preserve"> PAGEREF _Toc216797612 \h </w:instrText>
            </w:r>
            <w:r>
              <w:rPr>
                <w:noProof/>
                <w:webHidden/>
              </w:rPr>
            </w:r>
            <w:r>
              <w:rPr>
                <w:noProof/>
                <w:webHidden/>
              </w:rPr>
              <w:fldChar w:fldCharType="separate"/>
            </w:r>
            <w:r w:rsidR="00C97BE5">
              <w:rPr>
                <w:noProof/>
                <w:webHidden/>
              </w:rPr>
              <w:t>4</w:t>
            </w:r>
            <w:r>
              <w:rPr>
                <w:noProof/>
                <w:webHidden/>
              </w:rPr>
              <w:fldChar w:fldCharType="end"/>
            </w:r>
          </w:hyperlink>
        </w:p>
        <w:p w14:paraId="2A107C4E" w14:textId="7A3CB974"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3" w:history="1">
            <w:r w:rsidRPr="00E74F4F">
              <w:rPr>
                <w:rStyle w:val="Hyperlink"/>
                <w:noProof/>
                <w:lang w:val="en-US"/>
              </w:rPr>
              <w:t>S3.1) Preparative HPLC</w:t>
            </w:r>
            <w:r>
              <w:rPr>
                <w:noProof/>
                <w:webHidden/>
              </w:rPr>
              <w:tab/>
              <w:t>S</w:t>
            </w:r>
            <w:r>
              <w:rPr>
                <w:noProof/>
                <w:webHidden/>
              </w:rPr>
              <w:fldChar w:fldCharType="begin"/>
            </w:r>
            <w:r>
              <w:rPr>
                <w:noProof/>
                <w:webHidden/>
              </w:rPr>
              <w:instrText xml:space="preserve"> PAGEREF _Toc216797613 \h </w:instrText>
            </w:r>
            <w:r>
              <w:rPr>
                <w:noProof/>
                <w:webHidden/>
              </w:rPr>
            </w:r>
            <w:r>
              <w:rPr>
                <w:noProof/>
                <w:webHidden/>
              </w:rPr>
              <w:fldChar w:fldCharType="separate"/>
            </w:r>
            <w:r w:rsidR="00C97BE5">
              <w:rPr>
                <w:noProof/>
                <w:webHidden/>
              </w:rPr>
              <w:t>4</w:t>
            </w:r>
            <w:r>
              <w:rPr>
                <w:noProof/>
                <w:webHidden/>
              </w:rPr>
              <w:fldChar w:fldCharType="end"/>
            </w:r>
          </w:hyperlink>
        </w:p>
        <w:p w14:paraId="557D810B" w14:textId="7DD01C60"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4" w:history="1">
            <w:r w:rsidRPr="00E74F4F">
              <w:rPr>
                <w:rStyle w:val="Hyperlink"/>
                <w:noProof/>
                <w:lang w:val="en-US"/>
              </w:rPr>
              <w:t>S3.2) HPLC–DAD–MS/MS (UPLC)</w:t>
            </w:r>
            <w:r>
              <w:rPr>
                <w:noProof/>
                <w:webHidden/>
              </w:rPr>
              <w:tab/>
              <w:t>S</w:t>
            </w:r>
            <w:r>
              <w:rPr>
                <w:noProof/>
                <w:webHidden/>
              </w:rPr>
              <w:fldChar w:fldCharType="begin"/>
            </w:r>
            <w:r>
              <w:rPr>
                <w:noProof/>
                <w:webHidden/>
              </w:rPr>
              <w:instrText xml:space="preserve"> PAGEREF _Toc216797614 \h </w:instrText>
            </w:r>
            <w:r>
              <w:rPr>
                <w:noProof/>
                <w:webHidden/>
              </w:rPr>
            </w:r>
            <w:r>
              <w:rPr>
                <w:noProof/>
                <w:webHidden/>
              </w:rPr>
              <w:fldChar w:fldCharType="separate"/>
            </w:r>
            <w:r w:rsidR="00C97BE5">
              <w:rPr>
                <w:noProof/>
                <w:webHidden/>
              </w:rPr>
              <w:t>5</w:t>
            </w:r>
            <w:r>
              <w:rPr>
                <w:noProof/>
                <w:webHidden/>
              </w:rPr>
              <w:fldChar w:fldCharType="end"/>
            </w:r>
          </w:hyperlink>
        </w:p>
        <w:p w14:paraId="4ACC727D" w14:textId="4D0F37EE"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5" w:history="1">
            <w:r w:rsidRPr="00E74F4F">
              <w:rPr>
                <w:rStyle w:val="Hyperlink"/>
                <w:noProof/>
                <w:lang w:val="en-US"/>
              </w:rPr>
              <w:t>S3.3) Nuclear Magnetic Ressonance (NMR)</w:t>
            </w:r>
            <w:r>
              <w:rPr>
                <w:noProof/>
                <w:webHidden/>
              </w:rPr>
              <w:tab/>
              <w:t>S</w:t>
            </w:r>
            <w:r>
              <w:rPr>
                <w:noProof/>
                <w:webHidden/>
              </w:rPr>
              <w:fldChar w:fldCharType="begin"/>
            </w:r>
            <w:r>
              <w:rPr>
                <w:noProof/>
                <w:webHidden/>
              </w:rPr>
              <w:instrText xml:space="preserve"> PAGEREF _Toc216797615 \h </w:instrText>
            </w:r>
            <w:r>
              <w:rPr>
                <w:noProof/>
                <w:webHidden/>
              </w:rPr>
            </w:r>
            <w:r>
              <w:rPr>
                <w:noProof/>
                <w:webHidden/>
              </w:rPr>
              <w:fldChar w:fldCharType="separate"/>
            </w:r>
            <w:r w:rsidR="00C97BE5">
              <w:rPr>
                <w:noProof/>
                <w:webHidden/>
              </w:rPr>
              <w:t>5</w:t>
            </w:r>
            <w:r>
              <w:rPr>
                <w:noProof/>
                <w:webHidden/>
              </w:rPr>
              <w:fldChar w:fldCharType="end"/>
            </w:r>
          </w:hyperlink>
        </w:p>
        <w:p w14:paraId="20510A0B" w14:textId="0839031D"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6" w:history="1">
            <w:r w:rsidRPr="00E74F4F">
              <w:rPr>
                <w:rStyle w:val="Hyperlink"/>
                <w:noProof/>
                <w:lang w:val="en-US"/>
              </w:rPr>
              <w:t>S3.4) PULCON ¹H NMR conditions</w:t>
            </w:r>
            <w:r>
              <w:rPr>
                <w:noProof/>
                <w:webHidden/>
              </w:rPr>
              <w:tab/>
              <w:t>S</w:t>
            </w:r>
            <w:r>
              <w:rPr>
                <w:noProof/>
                <w:webHidden/>
              </w:rPr>
              <w:fldChar w:fldCharType="begin"/>
            </w:r>
            <w:r>
              <w:rPr>
                <w:noProof/>
                <w:webHidden/>
              </w:rPr>
              <w:instrText xml:space="preserve"> PAGEREF _Toc216797616 \h </w:instrText>
            </w:r>
            <w:r>
              <w:rPr>
                <w:noProof/>
                <w:webHidden/>
              </w:rPr>
            </w:r>
            <w:r>
              <w:rPr>
                <w:noProof/>
                <w:webHidden/>
              </w:rPr>
              <w:fldChar w:fldCharType="separate"/>
            </w:r>
            <w:r w:rsidR="00C97BE5">
              <w:rPr>
                <w:noProof/>
                <w:webHidden/>
              </w:rPr>
              <w:t>6</w:t>
            </w:r>
            <w:r>
              <w:rPr>
                <w:noProof/>
                <w:webHidden/>
              </w:rPr>
              <w:fldChar w:fldCharType="end"/>
            </w:r>
          </w:hyperlink>
        </w:p>
        <w:p w14:paraId="5FFAF94C" w14:textId="4A783283"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7" w:history="1">
            <w:r w:rsidRPr="00E74F4F">
              <w:rPr>
                <w:rStyle w:val="Hyperlink"/>
                <w:noProof/>
                <w:lang w:val="en-US"/>
              </w:rPr>
              <w:t>S3.5) Gas Chromatography–Mass Spectrometry (GC–MS)</w:t>
            </w:r>
            <w:r>
              <w:rPr>
                <w:noProof/>
                <w:webHidden/>
              </w:rPr>
              <w:tab/>
              <w:t>S</w:t>
            </w:r>
            <w:r>
              <w:rPr>
                <w:noProof/>
                <w:webHidden/>
              </w:rPr>
              <w:fldChar w:fldCharType="begin"/>
            </w:r>
            <w:r>
              <w:rPr>
                <w:noProof/>
                <w:webHidden/>
              </w:rPr>
              <w:instrText xml:space="preserve"> PAGEREF _Toc216797617 \h </w:instrText>
            </w:r>
            <w:r>
              <w:rPr>
                <w:noProof/>
                <w:webHidden/>
              </w:rPr>
            </w:r>
            <w:r>
              <w:rPr>
                <w:noProof/>
                <w:webHidden/>
              </w:rPr>
              <w:fldChar w:fldCharType="separate"/>
            </w:r>
            <w:r w:rsidR="00C97BE5">
              <w:rPr>
                <w:noProof/>
                <w:webHidden/>
              </w:rPr>
              <w:t>6</w:t>
            </w:r>
            <w:r>
              <w:rPr>
                <w:noProof/>
                <w:webHidden/>
              </w:rPr>
              <w:fldChar w:fldCharType="end"/>
            </w:r>
          </w:hyperlink>
        </w:p>
        <w:p w14:paraId="3A3AC661" w14:textId="556171E4" w:rsidR="008A6A22" w:rsidRDefault="008A6A22">
          <w:pPr>
            <w:pStyle w:val="Verzeichnis1"/>
            <w:tabs>
              <w:tab w:val="right" w:leader="dot" w:pos="8494"/>
            </w:tabs>
            <w:rPr>
              <w:rFonts w:asciiTheme="minorHAnsi" w:eastAsiaTheme="minorEastAsia" w:hAnsiTheme="minorHAnsi" w:cstheme="minorBidi"/>
              <w:noProof/>
              <w:kern w:val="2"/>
              <w:sz w:val="24"/>
              <w:szCs w:val="24"/>
              <w14:ligatures w14:val="standardContextual"/>
            </w:rPr>
          </w:pPr>
          <w:hyperlink w:anchor="_Toc216797618" w:history="1">
            <w:r w:rsidRPr="00E74F4F">
              <w:rPr>
                <w:rStyle w:val="Hyperlink"/>
                <w:b/>
                <w:bCs/>
                <w:noProof/>
                <w:lang w:val="en-US"/>
              </w:rPr>
              <w:t>S4) Caffeine determination by GC-MS and PULCON qNMR: validation of qNMR-PULCON approach</w:t>
            </w:r>
            <w:r>
              <w:rPr>
                <w:noProof/>
                <w:webHidden/>
              </w:rPr>
              <w:tab/>
              <w:t>S</w:t>
            </w:r>
            <w:r>
              <w:rPr>
                <w:noProof/>
                <w:webHidden/>
              </w:rPr>
              <w:fldChar w:fldCharType="begin"/>
            </w:r>
            <w:r>
              <w:rPr>
                <w:noProof/>
                <w:webHidden/>
              </w:rPr>
              <w:instrText xml:space="preserve"> PAGEREF _Toc216797618 \h </w:instrText>
            </w:r>
            <w:r>
              <w:rPr>
                <w:noProof/>
                <w:webHidden/>
              </w:rPr>
            </w:r>
            <w:r>
              <w:rPr>
                <w:noProof/>
                <w:webHidden/>
              </w:rPr>
              <w:fldChar w:fldCharType="separate"/>
            </w:r>
            <w:r w:rsidR="00C97BE5">
              <w:rPr>
                <w:noProof/>
                <w:webHidden/>
              </w:rPr>
              <w:t>7</w:t>
            </w:r>
            <w:r>
              <w:rPr>
                <w:noProof/>
                <w:webHidden/>
              </w:rPr>
              <w:fldChar w:fldCharType="end"/>
            </w:r>
          </w:hyperlink>
        </w:p>
        <w:p w14:paraId="7BD9550C" w14:textId="581F6981"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19" w:history="1">
            <w:r w:rsidRPr="00E74F4F">
              <w:rPr>
                <w:rStyle w:val="Hyperlink"/>
                <w:noProof/>
                <w:lang w:val="en-US"/>
              </w:rPr>
              <w:t>S4.1) Preparation of Yerba mate (</w:t>
            </w:r>
            <w:r w:rsidRPr="00E74F4F">
              <w:rPr>
                <w:rStyle w:val="Hyperlink"/>
                <w:i/>
                <w:iCs/>
                <w:noProof/>
                <w:lang w:val="en-US"/>
              </w:rPr>
              <w:t>Ilex paraguariensis</w:t>
            </w:r>
            <w:r w:rsidRPr="00E74F4F">
              <w:rPr>
                <w:rStyle w:val="Hyperlink"/>
                <w:noProof/>
                <w:lang w:val="en-US"/>
              </w:rPr>
              <w:t>) extracts and determination of the acquisition conditions</w:t>
            </w:r>
            <w:r>
              <w:rPr>
                <w:noProof/>
                <w:webHidden/>
              </w:rPr>
              <w:tab/>
              <w:t>S</w:t>
            </w:r>
            <w:r>
              <w:rPr>
                <w:noProof/>
                <w:webHidden/>
              </w:rPr>
              <w:fldChar w:fldCharType="begin"/>
            </w:r>
            <w:r>
              <w:rPr>
                <w:noProof/>
                <w:webHidden/>
              </w:rPr>
              <w:instrText xml:space="preserve"> PAGEREF _Toc216797619 \h </w:instrText>
            </w:r>
            <w:r>
              <w:rPr>
                <w:noProof/>
                <w:webHidden/>
              </w:rPr>
            </w:r>
            <w:r>
              <w:rPr>
                <w:noProof/>
                <w:webHidden/>
              </w:rPr>
              <w:fldChar w:fldCharType="separate"/>
            </w:r>
            <w:r w:rsidR="00C97BE5">
              <w:rPr>
                <w:noProof/>
                <w:webHidden/>
              </w:rPr>
              <w:t>7</w:t>
            </w:r>
            <w:r>
              <w:rPr>
                <w:noProof/>
                <w:webHidden/>
              </w:rPr>
              <w:fldChar w:fldCharType="end"/>
            </w:r>
          </w:hyperlink>
        </w:p>
        <w:p w14:paraId="5BA09715" w14:textId="7DA04A6D"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0" w:history="1">
            <w:r w:rsidRPr="00E74F4F">
              <w:rPr>
                <w:rStyle w:val="Hyperlink"/>
                <w:noProof/>
                <w:lang w:val="en-US"/>
              </w:rPr>
              <w:t>S4.2) Validation of quantification methods using PULCON</w:t>
            </w:r>
            <w:r>
              <w:rPr>
                <w:noProof/>
                <w:webHidden/>
              </w:rPr>
              <w:tab/>
              <w:t>S</w:t>
            </w:r>
            <w:r>
              <w:rPr>
                <w:noProof/>
                <w:webHidden/>
              </w:rPr>
              <w:fldChar w:fldCharType="begin"/>
            </w:r>
            <w:r>
              <w:rPr>
                <w:noProof/>
                <w:webHidden/>
              </w:rPr>
              <w:instrText xml:space="preserve"> PAGEREF _Toc216797620 \h </w:instrText>
            </w:r>
            <w:r>
              <w:rPr>
                <w:noProof/>
                <w:webHidden/>
              </w:rPr>
            </w:r>
            <w:r>
              <w:rPr>
                <w:noProof/>
                <w:webHidden/>
              </w:rPr>
              <w:fldChar w:fldCharType="separate"/>
            </w:r>
            <w:r w:rsidR="00C97BE5">
              <w:rPr>
                <w:noProof/>
                <w:webHidden/>
              </w:rPr>
              <w:t>8</w:t>
            </w:r>
            <w:r>
              <w:rPr>
                <w:noProof/>
                <w:webHidden/>
              </w:rPr>
              <w:fldChar w:fldCharType="end"/>
            </w:r>
          </w:hyperlink>
        </w:p>
        <w:p w14:paraId="3AD0E5DC" w14:textId="62FD69A0"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1" w:history="1">
            <w:r w:rsidRPr="00E74F4F">
              <w:rPr>
                <w:rStyle w:val="Hyperlink"/>
                <w:noProof/>
                <w:lang w:val="en-US" w:eastAsia="en-US"/>
              </w:rPr>
              <w:t xml:space="preserve">S4.3) Quantification of </w:t>
            </w:r>
            <w:r w:rsidRPr="00E74F4F">
              <w:rPr>
                <w:rStyle w:val="Hyperlink"/>
                <w:noProof/>
                <w:lang w:val="en-US"/>
              </w:rPr>
              <w:t>Δ</w:t>
            </w:r>
            <w:r w:rsidRPr="00E74F4F">
              <w:rPr>
                <w:rStyle w:val="Hyperlink"/>
                <w:noProof/>
                <w:vertAlign w:val="superscript"/>
                <w:lang w:val="en-US"/>
              </w:rPr>
              <w:t>9</w:t>
            </w:r>
            <w:r w:rsidRPr="00E74F4F">
              <w:rPr>
                <w:rStyle w:val="Hyperlink"/>
                <w:noProof/>
                <w:lang w:val="en-US"/>
              </w:rPr>
              <w:t>-THC and CBN in cannabis extracts</w:t>
            </w:r>
            <w:r>
              <w:rPr>
                <w:noProof/>
                <w:webHidden/>
              </w:rPr>
              <w:tab/>
              <w:t>S</w:t>
            </w:r>
            <w:r>
              <w:rPr>
                <w:noProof/>
                <w:webHidden/>
              </w:rPr>
              <w:fldChar w:fldCharType="begin"/>
            </w:r>
            <w:r>
              <w:rPr>
                <w:noProof/>
                <w:webHidden/>
              </w:rPr>
              <w:instrText xml:space="preserve"> PAGEREF _Toc216797621 \h </w:instrText>
            </w:r>
            <w:r>
              <w:rPr>
                <w:noProof/>
                <w:webHidden/>
              </w:rPr>
            </w:r>
            <w:r>
              <w:rPr>
                <w:noProof/>
                <w:webHidden/>
              </w:rPr>
              <w:fldChar w:fldCharType="separate"/>
            </w:r>
            <w:r w:rsidR="00C97BE5">
              <w:rPr>
                <w:noProof/>
                <w:webHidden/>
              </w:rPr>
              <w:t>12</w:t>
            </w:r>
            <w:r>
              <w:rPr>
                <w:noProof/>
                <w:webHidden/>
              </w:rPr>
              <w:fldChar w:fldCharType="end"/>
            </w:r>
          </w:hyperlink>
        </w:p>
        <w:p w14:paraId="7B0EEB9B" w14:textId="2B8B4C7B" w:rsidR="008A6A22" w:rsidRDefault="008A6A22">
          <w:pPr>
            <w:pStyle w:val="Verzeichnis1"/>
            <w:tabs>
              <w:tab w:val="right" w:leader="dot" w:pos="8494"/>
            </w:tabs>
            <w:rPr>
              <w:rFonts w:asciiTheme="minorHAnsi" w:eastAsiaTheme="minorEastAsia" w:hAnsiTheme="minorHAnsi" w:cstheme="minorBidi"/>
              <w:noProof/>
              <w:kern w:val="2"/>
              <w:sz w:val="24"/>
              <w:szCs w:val="24"/>
              <w14:ligatures w14:val="standardContextual"/>
            </w:rPr>
          </w:pPr>
          <w:hyperlink w:anchor="_Toc216797622" w:history="1">
            <w:r w:rsidRPr="00E74F4F">
              <w:rPr>
                <w:rStyle w:val="Hyperlink"/>
                <w:b/>
                <w:bCs/>
                <w:noProof/>
                <w:lang w:val="en-US"/>
              </w:rPr>
              <w:t>S5) Isolation and synthesis of cannabinoids</w:t>
            </w:r>
            <w:r>
              <w:rPr>
                <w:noProof/>
                <w:webHidden/>
              </w:rPr>
              <w:tab/>
              <w:t>S</w:t>
            </w:r>
            <w:r>
              <w:rPr>
                <w:noProof/>
                <w:webHidden/>
              </w:rPr>
              <w:fldChar w:fldCharType="begin"/>
            </w:r>
            <w:r>
              <w:rPr>
                <w:noProof/>
                <w:webHidden/>
              </w:rPr>
              <w:instrText xml:space="preserve"> PAGEREF _Toc216797622 \h </w:instrText>
            </w:r>
            <w:r>
              <w:rPr>
                <w:noProof/>
                <w:webHidden/>
              </w:rPr>
            </w:r>
            <w:r>
              <w:rPr>
                <w:noProof/>
                <w:webHidden/>
              </w:rPr>
              <w:fldChar w:fldCharType="separate"/>
            </w:r>
            <w:r w:rsidR="00C97BE5">
              <w:rPr>
                <w:noProof/>
                <w:webHidden/>
              </w:rPr>
              <w:t>12</w:t>
            </w:r>
            <w:r>
              <w:rPr>
                <w:noProof/>
                <w:webHidden/>
              </w:rPr>
              <w:fldChar w:fldCharType="end"/>
            </w:r>
          </w:hyperlink>
        </w:p>
        <w:p w14:paraId="06718C7A" w14:textId="2CA27DC2"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3" w:history="1">
            <w:r w:rsidRPr="00E74F4F">
              <w:rPr>
                <w:rStyle w:val="Hyperlink"/>
                <w:noProof/>
                <w:lang w:val="en-US"/>
              </w:rPr>
              <w:t>S5.1) Cannabinoids extract preparation from Cannabis plant</w:t>
            </w:r>
            <w:r>
              <w:rPr>
                <w:noProof/>
                <w:webHidden/>
              </w:rPr>
              <w:tab/>
              <w:t>S</w:t>
            </w:r>
            <w:r>
              <w:rPr>
                <w:noProof/>
                <w:webHidden/>
              </w:rPr>
              <w:fldChar w:fldCharType="begin"/>
            </w:r>
            <w:r>
              <w:rPr>
                <w:noProof/>
                <w:webHidden/>
              </w:rPr>
              <w:instrText xml:space="preserve"> PAGEREF _Toc216797623 \h </w:instrText>
            </w:r>
            <w:r>
              <w:rPr>
                <w:noProof/>
                <w:webHidden/>
              </w:rPr>
            </w:r>
            <w:r>
              <w:rPr>
                <w:noProof/>
                <w:webHidden/>
              </w:rPr>
              <w:fldChar w:fldCharType="separate"/>
            </w:r>
            <w:r w:rsidR="00C97BE5">
              <w:rPr>
                <w:noProof/>
                <w:webHidden/>
              </w:rPr>
              <w:t>12</w:t>
            </w:r>
            <w:r>
              <w:rPr>
                <w:noProof/>
                <w:webHidden/>
              </w:rPr>
              <w:fldChar w:fldCharType="end"/>
            </w:r>
          </w:hyperlink>
        </w:p>
        <w:p w14:paraId="4D26DED7" w14:textId="57446A2A"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4" w:history="1">
            <w:r w:rsidRPr="00E74F4F">
              <w:rPr>
                <w:rStyle w:val="Hyperlink"/>
                <w:noProof/>
                <w:lang w:val="en-US"/>
              </w:rPr>
              <w:t>S5.2) Optimization of the conditions for the synthesis of CBN from Δ</w:t>
            </w:r>
            <w:r w:rsidRPr="00E74F4F">
              <w:rPr>
                <w:rStyle w:val="Hyperlink"/>
                <w:noProof/>
                <w:vertAlign w:val="superscript"/>
                <w:lang w:val="en-US"/>
              </w:rPr>
              <w:t>9</w:t>
            </w:r>
            <w:r w:rsidRPr="00E74F4F">
              <w:rPr>
                <w:rStyle w:val="Hyperlink"/>
                <w:noProof/>
                <w:lang w:val="en-US"/>
              </w:rPr>
              <w:t>-THC</w:t>
            </w:r>
            <w:r>
              <w:rPr>
                <w:noProof/>
                <w:webHidden/>
              </w:rPr>
              <w:tab/>
              <w:t>S</w:t>
            </w:r>
            <w:r>
              <w:rPr>
                <w:noProof/>
                <w:webHidden/>
              </w:rPr>
              <w:fldChar w:fldCharType="begin"/>
            </w:r>
            <w:r>
              <w:rPr>
                <w:noProof/>
                <w:webHidden/>
              </w:rPr>
              <w:instrText xml:space="preserve"> PAGEREF _Toc216797624 \h </w:instrText>
            </w:r>
            <w:r>
              <w:rPr>
                <w:noProof/>
                <w:webHidden/>
              </w:rPr>
            </w:r>
            <w:r>
              <w:rPr>
                <w:noProof/>
                <w:webHidden/>
              </w:rPr>
              <w:fldChar w:fldCharType="separate"/>
            </w:r>
            <w:r w:rsidR="00C97BE5">
              <w:rPr>
                <w:noProof/>
                <w:webHidden/>
              </w:rPr>
              <w:t>13</w:t>
            </w:r>
            <w:r>
              <w:rPr>
                <w:noProof/>
                <w:webHidden/>
              </w:rPr>
              <w:fldChar w:fldCharType="end"/>
            </w:r>
          </w:hyperlink>
        </w:p>
        <w:p w14:paraId="673FB29F" w14:textId="1C33A6FB"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5" w:history="1">
            <w:r w:rsidRPr="00E74F4F">
              <w:rPr>
                <w:rStyle w:val="Hyperlink"/>
                <w:noProof/>
                <w:lang w:val="en-US"/>
              </w:rPr>
              <w:t>S5.3) Synthesis of CBN from Δ</w:t>
            </w:r>
            <w:r w:rsidRPr="00E74F4F">
              <w:rPr>
                <w:rStyle w:val="Hyperlink"/>
                <w:noProof/>
                <w:vertAlign w:val="superscript"/>
                <w:lang w:val="en-US"/>
              </w:rPr>
              <w:t>9</w:t>
            </w:r>
            <w:r w:rsidRPr="00E74F4F">
              <w:rPr>
                <w:rStyle w:val="Hyperlink"/>
                <w:noProof/>
                <w:lang w:val="en-US"/>
              </w:rPr>
              <w:t>-THC-rich extracts</w:t>
            </w:r>
            <w:r>
              <w:rPr>
                <w:noProof/>
                <w:webHidden/>
              </w:rPr>
              <w:tab/>
              <w:t>S</w:t>
            </w:r>
            <w:r>
              <w:rPr>
                <w:noProof/>
                <w:webHidden/>
              </w:rPr>
              <w:fldChar w:fldCharType="begin"/>
            </w:r>
            <w:r>
              <w:rPr>
                <w:noProof/>
                <w:webHidden/>
              </w:rPr>
              <w:instrText xml:space="preserve"> PAGEREF _Toc216797625 \h </w:instrText>
            </w:r>
            <w:r>
              <w:rPr>
                <w:noProof/>
                <w:webHidden/>
              </w:rPr>
            </w:r>
            <w:r>
              <w:rPr>
                <w:noProof/>
                <w:webHidden/>
              </w:rPr>
              <w:fldChar w:fldCharType="separate"/>
            </w:r>
            <w:r w:rsidR="00C97BE5">
              <w:rPr>
                <w:noProof/>
                <w:webHidden/>
              </w:rPr>
              <w:t>14</w:t>
            </w:r>
            <w:r>
              <w:rPr>
                <w:noProof/>
                <w:webHidden/>
              </w:rPr>
              <w:fldChar w:fldCharType="end"/>
            </w:r>
          </w:hyperlink>
        </w:p>
        <w:p w14:paraId="11B479C5" w14:textId="70283949"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6" w:history="1">
            <w:r w:rsidRPr="00E74F4F">
              <w:rPr>
                <w:rStyle w:val="Hyperlink"/>
                <w:noProof/>
                <w:lang w:val="en-US"/>
              </w:rPr>
              <w:t>S5.4) Isolation of Δ</w:t>
            </w:r>
            <w:r w:rsidRPr="00E74F4F">
              <w:rPr>
                <w:rStyle w:val="Hyperlink"/>
                <w:noProof/>
                <w:vertAlign w:val="superscript"/>
                <w:lang w:val="en-US"/>
              </w:rPr>
              <w:t>9</w:t>
            </w:r>
            <w:r w:rsidRPr="00E74F4F">
              <w:rPr>
                <w:rStyle w:val="Hyperlink"/>
                <w:noProof/>
                <w:lang w:val="en-US"/>
              </w:rPr>
              <w:t>-THC and CBN from cannabis extract</w:t>
            </w:r>
            <w:r>
              <w:rPr>
                <w:noProof/>
                <w:webHidden/>
              </w:rPr>
              <w:tab/>
              <w:t>S</w:t>
            </w:r>
            <w:r>
              <w:rPr>
                <w:noProof/>
                <w:webHidden/>
              </w:rPr>
              <w:fldChar w:fldCharType="begin"/>
            </w:r>
            <w:r>
              <w:rPr>
                <w:noProof/>
                <w:webHidden/>
              </w:rPr>
              <w:instrText xml:space="preserve"> PAGEREF _Toc216797626 \h </w:instrText>
            </w:r>
            <w:r>
              <w:rPr>
                <w:noProof/>
                <w:webHidden/>
              </w:rPr>
            </w:r>
            <w:r>
              <w:rPr>
                <w:noProof/>
                <w:webHidden/>
              </w:rPr>
              <w:fldChar w:fldCharType="separate"/>
            </w:r>
            <w:r w:rsidR="00C97BE5">
              <w:rPr>
                <w:noProof/>
                <w:webHidden/>
              </w:rPr>
              <w:t>15</w:t>
            </w:r>
            <w:r>
              <w:rPr>
                <w:noProof/>
                <w:webHidden/>
              </w:rPr>
              <w:fldChar w:fldCharType="end"/>
            </w:r>
          </w:hyperlink>
        </w:p>
        <w:p w14:paraId="53B045A5" w14:textId="02D95366"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7" w:history="1">
            <w:r w:rsidRPr="00E74F4F">
              <w:rPr>
                <w:rStyle w:val="Hyperlink"/>
                <w:noProof/>
                <w:lang w:val="en-US"/>
              </w:rPr>
              <w:t>S5.5) Characterization of cannabinoids</w:t>
            </w:r>
            <w:r>
              <w:rPr>
                <w:noProof/>
                <w:webHidden/>
              </w:rPr>
              <w:tab/>
              <w:t>S</w:t>
            </w:r>
            <w:r>
              <w:rPr>
                <w:noProof/>
                <w:webHidden/>
              </w:rPr>
              <w:fldChar w:fldCharType="begin"/>
            </w:r>
            <w:r>
              <w:rPr>
                <w:noProof/>
                <w:webHidden/>
              </w:rPr>
              <w:instrText xml:space="preserve"> PAGEREF _Toc216797627 \h </w:instrText>
            </w:r>
            <w:r>
              <w:rPr>
                <w:noProof/>
                <w:webHidden/>
              </w:rPr>
            </w:r>
            <w:r>
              <w:rPr>
                <w:noProof/>
                <w:webHidden/>
              </w:rPr>
              <w:fldChar w:fldCharType="separate"/>
            </w:r>
            <w:r w:rsidR="00C97BE5">
              <w:rPr>
                <w:noProof/>
                <w:webHidden/>
              </w:rPr>
              <w:t>16</w:t>
            </w:r>
            <w:r>
              <w:rPr>
                <w:noProof/>
                <w:webHidden/>
              </w:rPr>
              <w:fldChar w:fldCharType="end"/>
            </w:r>
          </w:hyperlink>
        </w:p>
        <w:p w14:paraId="2C6CA4EF" w14:textId="65BF6DA5" w:rsidR="008A6A22" w:rsidRDefault="008A6A22">
          <w:pPr>
            <w:pStyle w:val="Verzeichnis1"/>
            <w:tabs>
              <w:tab w:val="right" w:leader="dot" w:pos="8494"/>
            </w:tabs>
            <w:rPr>
              <w:rFonts w:asciiTheme="minorHAnsi" w:eastAsiaTheme="minorEastAsia" w:hAnsiTheme="minorHAnsi" w:cstheme="minorBidi"/>
              <w:noProof/>
              <w:kern w:val="2"/>
              <w:sz w:val="24"/>
              <w:szCs w:val="24"/>
              <w14:ligatures w14:val="standardContextual"/>
            </w:rPr>
          </w:pPr>
          <w:hyperlink w:anchor="_Toc216797628" w:history="1">
            <w:r w:rsidRPr="00E74F4F">
              <w:rPr>
                <w:rStyle w:val="Hyperlink"/>
                <w:b/>
                <w:bCs/>
                <w:noProof/>
                <w:lang w:val="en-US" w:eastAsia="en-US"/>
              </w:rPr>
              <w:t>S6) Cannabis and Cannabinoid Certified Reference Materials</w:t>
            </w:r>
            <w:r>
              <w:rPr>
                <w:noProof/>
                <w:webHidden/>
              </w:rPr>
              <w:tab/>
              <w:t>S</w:t>
            </w:r>
            <w:r>
              <w:rPr>
                <w:noProof/>
                <w:webHidden/>
              </w:rPr>
              <w:fldChar w:fldCharType="begin"/>
            </w:r>
            <w:r>
              <w:rPr>
                <w:noProof/>
                <w:webHidden/>
              </w:rPr>
              <w:instrText xml:space="preserve"> PAGEREF _Toc216797628 \h </w:instrText>
            </w:r>
            <w:r>
              <w:rPr>
                <w:noProof/>
                <w:webHidden/>
              </w:rPr>
            </w:r>
            <w:r>
              <w:rPr>
                <w:noProof/>
                <w:webHidden/>
              </w:rPr>
              <w:fldChar w:fldCharType="separate"/>
            </w:r>
            <w:r w:rsidR="00C97BE5">
              <w:rPr>
                <w:noProof/>
                <w:webHidden/>
              </w:rPr>
              <w:t>21</w:t>
            </w:r>
            <w:r>
              <w:rPr>
                <w:noProof/>
                <w:webHidden/>
              </w:rPr>
              <w:fldChar w:fldCharType="end"/>
            </w:r>
          </w:hyperlink>
        </w:p>
        <w:p w14:paraId="5F001E11" w14:textId="2923B395"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29" w:history="1">
            <w:r w:rsidRPr="00E74F4F">
              <w:rPr>
                <w:rStyle w:val="Hyperlink"/>
                <w:noProof/>
                <w:lang w:val="en-US" w:eastAsia="en-US"/>
              </w:rPr>
              <w:t>S6.1) Estimation of uncertainties</w:t>
            </w:r>
            <w:r>
              <w:rPr>
                <w:noProof/>
                <w:webHidden/>
              </w:rPr>
              <w:tab/>
              <w:t>S</w:t>
            </w:r>
            <w:r>
              <w:rPr>
                <w:noProof/>
                <w:webHidden/>
              </w:rPr>
              <w:fldChar w:fldCharType="begin"/>
            </w:r>
            <w:r>
              <w:rPr>
                <w:noProof/>
                <w:webHidden/>
              </w:rPr>
              <w:instrText xml:space="preserve"> PAGEREF _Toc216797629 \h </w:instrText>
            </w:r>
            <w:r>
              <w:rPr>
                <w:noProof/>
                <w:webHidden/>
              </w:rPr>
            </w:r>
            <w:r>
              <w:rPr>
                <w:noProof/>
                <w:webHidden/>
              </w:rPr>
              <w:fldChar w:fldCharType="separate"/>
            </w:r>
            <w:r w:rsidR="00C97BE5">
              <w:rPr>
                <w:noProof/>
                <w:webHidden/>
              </w:rPr>
              <w:t>21</w:t>
            </w:r>
            <w:r>
              <w:rPr>
                <w:noProof/>
                <w:webHidden/>
              </w:rPr>
              <w:fldChar w:fldCharType="end"/>
            </w:r>
          </w:hyperlink>
        </w:p>
        <w:p w14:paraId="228E69B0" w14:textId="3F212666" w:rsidR="008A6A22" w:rsidRDefault="008A6A22">
          <w:pPr>
            <w:pStyle w:val="Verzeichnis2"/>
            <w:tabs>
              <w:tab w:val="right" w:leader="dot" w:pos="8494"/>
            </w:tabs>
            <w:rPr>
              <w:rFonts w:asciiTheme="minorHAnsi" w:eastAsiaTheme="minorEastAsia" w:hAnsiTheme="minorHAnsi" w:cstheme="minorBidi"/>
              <w:noProof/>
              <w:kern w:val="2"/>
              <w:sz w:val="24"/>
              <w:szCs w:val="24"/>
              <w14:ligatures w14:val="standardContextual"/>
            </w:rPr>
          </w:pPr>
          <w:hyperlink w:anchor="_Toc216797630" w:history="1">
            <w:r w:rsidRPr="00E74F4F">
              <w:rPr>
                <w:rStyle w:val="Hyperlink"/>
                <w:noProof/>
                <w:lang w:val="en-US" w:eastAsia="en-US"/>
              </w:rPr>
              <w:t>S6.2) Homogeneity studies</w:t>
            </w:r>
            <w:r>
              <w:rPr>
                <w:noProof/>
                <w:webHidden/>
              </w:rPr>
              <w:tab/>
              <w:t>S</w:t>
            </w:r>
            <w:r>
              <w:rPr>
                <w:noProof/>
                <w:webHidden/>
              </w:rPr>
              <w:fldChar w:fldCharType="begin"/>
            </w:r>
            <w:r>
              <w:rPr>
                <w:noProof/>
                <w:webHidden/>
              </w:rPr>
              <w:instrText xml:space="preserve"> PAGEREF _Toc216797630 \h </w:instrText>
            </w:r>
            <w:r>
              <w:rPr>
                <w:noProof/>
                <w:webHidden/>
              </w:rPr>
            </w:r>
            <w:r>
              <w:rPr>
                <w:noProof/>
                <w:webHidden/>
              </w:rPr>
              <w:fldChar w:fldCharType="separate"/>
            </w:r>
            <w:r w:rsidR="00C97BE5">
              <w:rPr>
                <w:noProof/>
                <w:webHidden/>
              </w:rPr>
              <w:t>22</w:t>
            </w:r>
            <w:r>
              <w:rPr>
                <w:noProof/>
                <w:webHidden/>
              </w:rPr>
              <w:fldChar w:fldCharType="end"/>
            </w:r>
          </w:hyperlink>
        </w:p>
        <w:p w14:paraId="4C7953E9" w14:textId="23C15B48" w:rsidR="008A6A22" w:rsidRDefault="008A6A22">
          <w:pPr>
            <w:pStyle w:val="Verzeichnis2"/>
            <w:tabs>
              <w:tab w:val="right" w:leader="dot" w:pos="8494"/>
            </w:tabs>
            <w:rPr>
              <w:noProof/>
            </w:rPr>
          </w:pPr>
          <w:hyperlink w:anchor="_Toc216797631" w:history="1">
            <w:r w:rsidRPr="00E74F4F">
              <w:rPr>
                <w:rStyle w:val="Hyperlink"/>
                <w:noProof/>
                <w:lang w:val="en-US" w:eastAsia="en-US"/>
              </w:rPr>
              <w:t>S6.3) Transport study</w:t>
            </w:r>
            <w:r>
              <w:rPr>
                <w:noProof/>
                <w:webHidden/>
              </w:rPr>
              <w:tab/>
              <w:t>S</w:t>
            </w:r>
            <w:r>
              <w:rPr>
                <w:noProof/>
                <w:webHidden/>
              </w:rPr>
              <w:fldChar w:fldCharType="begin"/>
            </w:r>
            <w:r>
              <w:rPr>
                <w:noProof/>
                <w:webHidden/>
              </w:rPr>
              <w:instrText xml:space="preserve"> PAGEREF _Toc216797631 \h </w:instrText>
            </w:r>
            <w:r>
              <w:rPr>
                <w:noProof/>
                <w:webHidden/>
              </w:rPr>
            </w:r>
            <w:r>
              <w:rPr>
                <w:noProof/>
                <w:webHidden/>
              </w:rPr>
              <w:fldChar w:fldCharType="separate"/>
            </w:r>
            <w:r w:rsidR="00C97BE5">
              <w:rPr>
                <w:noProof/>
                <w:webHidden/>
              </w:rPr>
              <w:t>23</w:t>
            </w:r>
            <w:r>
              <w:rPr>
                <w:noProof/>
                <w:webHidden/>
              </w:rPr>
              <w:fldChar w:fldCharType="end"/>
            </w:r>
          </w:hyperlink>
        </w:p>
        <w:p w14:paraId="278E58CE" w14:textId="6406FB35" w:rsidR="00C97BE5" w:rsidRDefault="00C97BE5" w:rsidP="00C97BE5">
          <w:pPr>
            <w:pStyle w:val="Verzeichnis1"/>
            <w:tabs>
              <w:tab w:val="right" w:leader="dot" w:pos="8494"/>
            </w:tabs>
            <w:rPr>
              <w:rFonts w:asciiTheme="minorHAnsi" w:eastAsiaTheme="minorEastAsia" w:hAnsiTheme="minorHAnsi" w:cstheme="minorBidi"/>
              <w:noProof/>
              <w:kern w:val="2"/>
              <w:sz w:val="24"/>
              <w:szCs w:val="24"/>
              <w14:ligatures w14:val="standardContextual"/>
            </w:rPr>
          </w:pPr>
          <w:hyperlink w:anchor="_Toc216797628" w:history="1">
            <w:r w:rsidRPr="00E74F4F">
              <w:rPr>
                <w:rStyle w:val="Hyperlink"/>
                <w:b/>
                <w:bCs/>
                <w:noProof/>
                <w:lang w:val="en-US" w:eastAsia="en-US"/>
              </w:rPr>
              <w:t>S</w:t>
            </w:r>
            <w:r>
              <w:rPr>
                <w:rStyle w:val="Hyperlink"/>
                <w:b/>
                <w:bCs/>
                <w:noProof/>
                <w:lang w:val="en-US" w:eastAsia="en-US"/>
              </w:rPr>
              <w:t>7</w:t>
            </w:r>
            <w:r w:rsidRPr="00E74F4F">
              <w:rPr>
                <w:rStyle w:val="Hyperlink"/>
                <w:b/>
                <w:bCs/>
                <w:noProof/>
                <w:lang w:val="en-US" w:eastAsia="en-US"/>
              </w:rPr>
              <w:t xml:space="preserve">) </w:t>
            </w:r>
            <w:r>
              <w:rPr>
                <w:rStyle w:val="Hyperlink"/>
                <w:b/>
                <w:bCs/>
                <w:noProof/>
                <w:lang w:val="en-US" w:eastAsia="en-US"/>
              </w:rPr>
              <w:t>References</w:t>
            </w:r>
            <w:r>
              <w:rPr>
                <w:noProof/>
                <w:webHidden/>
              </w:rPr>
              <w:tab/>
              <w:t>S</w:t>
            </w:r>
            <w:r>
              <w:rPr>
                <w:noProof/>
                <w:webHidden/>
              </w:rPr>
              <w:fldChar w:fldCharType="begin"/>
            </w:r>
            <w:r>
              <w:rPr>
                <w:noProof/>
                <w:webHidden/>
              </w:rPr>
              <w:instrText xml:space="preserve"> PAGEREF _Toc216797628 \h </w:instrText>
            </w:r>
            <w:r>
              <w:rPr>
                <w:noProof/>
                <w:webHidden/>
              </w:rPr>
            </w:r>
            <w:r>
              <w:rPr>
                <w:noProof/>
                <w:webHidden/>
              </w:rPr>
              <w:fldChar w:fldCharType="separate"/>
            </w:r>
            <w:r>
              <w:rPr>
                <w:noProof/>
                <w:webHidden/>
              </w:rPr>
              <w:t>23</w:t>
            </w:r>
            <w:r>
              <w:rPr>
                <w:noProof/>
                <w:webHidden/>
              </w:rPr>
              <w:fldChar w:fldCharType="end"/>
            </w:r>
          </w:hyperlink>
        </w:p>
        <w:p w14:paraId="78442C40" w14:textId="6594FCB7" w:rsidR="00B62429" w:rsidRDefault="00B62429">
          <w:r>
            <w:rPr>
              <w:b/>
              <w:bCs/>
            </w:rPr>
            <w:fldChar w:fldCharType="end"/>
          </w:r>
        </w:p>
      </w:sdtContent>
    </w:sdt>
    <w:p w14:paraId="0362A558" w14:textId="77777777" w:rsidR="00B62429" w:rsidRDefault="00B62429">
      <w:pPr>
        <w:rPr>
          <w:lang w:val="en-US"/>
        </w:rPr>
      </w:pPr>
    </w:p>
    <w:p w14:paraId="1F051798" w14:textId="77777777" w:rsidR="00B62429" w:rsidRDefault="00B62429">
      <w:pPr>
        <w:rPr>
          <w:lang w:val="en-US"/>
        </w:rPr>
        <w:sectPr w:rsidR="00B62429">
          <w:pgSz w:w="11906" w:h="16838"/>
          <w:pgMar w:top="1417" w:right="1701" w:bottom="1417" w:left="1701" w:header="708" w:footer="708" w:gutter="0"/>
          <w:cols w:space="708"/>
          <w:docGrid w:linePitch="360"/>
        </w:sectPr>
      </w:pPr>
    </w:p>
    <w:p w14:paraId="07B00430" w14:textId="69E5B504" w:rsidR="002B64C9" w:rsidRPr="00976DB5" w:rsidRDefault="006A40B4" w:rsidP="00976DB5">
      <w:pPr>
        <w:pStyle w:val="berschrift1"/>
        <w:spacing w:line="360" w:lineRule="auto"/>
        <w:rPr>
          <w:rFonts w:ascii="Arial" w:hAnsi="Arial" w:cs="Arial"/>
          <w:b/>
          <w:bCs/>
          <w:color w:val="auto"/>
          <w:sz w:val="24"/>
          <w:szCs w:val="24"/>
          <w:lang w:val="en-US"/>
        </w:rPr>
      </w:pPr>
      <w:bookmarkStart w:id="0" w:name="_Toc216797607"/>
      <w:r>
        <w:rPr>
          <w:rFonts w:ascii="Arial" w:hAnsi="Arial" w:cs="Arial"/>
          <w:b/>
          <w:bCs/>
          <w:color w:val="auto"/>
          <w:sz w:val="24"/>
          <w:szCs w:val="24"/>
          <w:lang w:val="en-US"/>
        </w:rPr>
        <w:lastRenderedPageBreak/>
        <w:t>S</w:t>
      </w:r>
      <w:r w:rsidR="00976DB5" w:rsidRPr="00976DB5">
        <w:rPr>
          <w:rFonts w:ascii="Arial" w:hAnsi="Arial" w:cs="Arial"/>
          <w:b/>
          <w:bCs/>
          <w:color w:val="auto"/>
          <w:sz w:val="24"/>
          <w:szCs w:val="24"/>
          <w:lang w:val="en-US"/>
        </w:rPr>
        <w:t>1) G</w:t>
      </w:r>
      <w:r w:rsidR="002B64C9" w:rsidRPr="00976DB5">
        <w:rPr>
          <w:rFonts w:ascii="Arial" w:hAnsi="Arial" w:cs="Arial"/>
          <w:b/>
          <w:bCs/>
          <w:color w:val="auto"/>
          <w:sz w:val="24"/>
          <w:szCs w:val="24"/>
          <w:lang w:val="en-US"/>
        </w:rPr>
        <w:t>eneral information</w:t>
      </w:r>
      <w:bookmarkEnd w:id="0"/>
    </w:p>
    <w:p w14:paraId="069D6B59" w14:textId="3B9B488E" w:rsidR="002B64C9" w:rsidRPr="00E21356" w:rsidRDefault="002B64C9" w:rsidP="002B64C9">
      <w:pPr>
        <w:spacing w:before="240" w:line="360" w:lineRule="auto"/>
        <w:ind w:firstLine="360"/>
        <w:jc w:val="both"/>
        <w:rPr>
          <w:lang w:val="en-US"/>
        </w:rPr>
      </w:pPr>
      <w:r w:rsidRPr="000F0D53">
        <w:rPr>
          <w:lang w:val="en-US"/>
        </w:rPr>
        <w:t xml:space="preserve">The following materials and reagents were used as received: methanol and acetone (HPLC/spectra grade; </w:t>
      </w:r>
      <w:proofErr w:type="spellStart"/>
      <w:r w:rsidRPr="000F0D53">
        <w:rPr>
          <w:lang w:val="en-US"/>
        </w:rPr>
        <w:t>Tedia</w:t>
      </w:r>
      <w:proofErr w:type="spellEnd"/>
      <w:r w:rsidRPr="000F0D53">
        <w:rPr>
          <w:lang w:val="en-US"/>
        </w:rPr>
        <w:t>, Fairfield, USA); ultrapure water (Milli-Q, Millipore, Bedford, USA); CDCl</w:t>
      </w:r>
      <w:r w:rsidR="00EA0520" w:rsidRPr="00EA0520">
        <w:rPr>
          <w:vertAlign w:val="subscript"/>
          <w:lang w:val="en-US"/>
        </w:rPr>
        <w:t>3</w:t>
      </w:r>
      <w:r w:rsidRPr="000F0D53">
        <w:rPr>
          <w:lang w:val="en-US"/>
        </w:rPr>
        <w:t xml:space="preserve"> containing 0.03% v/v TMS (Cambridge Isotope Laboratories, Andover, USA); acetone-d</w:t>
      </w:r>
      <w:r w:rsidR="002B0B38" w:rsidRPr="00EA0520">
        <w:rPr>
          <w:vertAlign w:val="subscript"/>
          <w:lang w:val="en-US"/>
        </w:rPr>
        <w:t>6</w:t>
      </w:r>
      <w:r w:rsidRPr="000F0D53">
        <w:rPr>
          <w:lang w:val="en-US"/>
        </w:rPr>
        <w:t xml:space="preserve"> (Merck, Darmstadt, Germany); formic acid (FA; Sigma-Aldrich, Missouri, USA); anhydrous sodium sulfate (Sigma-Aldrich, São Paulo, Brazil); Δ</w:t>
      </w:r>
      <w:r w:rsidR="002B0B38" w:rsidRPr="00EA0520">
        <w:rPr>
          <w:vertAlign w:val="superscript"/>
          <w:lang w:val="en-US"/>
        </w:rPr>
        <w:t>9</w:t>
      </w:r>
      <w:r w:rsidRPr="000F0D53">
        <w:rPr>
          <w:lang w:val="en-US"/>
        </w:rPr>
        <w:t>–THC standard (</w:t>
      </w:r>
      <w:proofErr w:type="spellStart"/>
      <w:r w:rsidRPr="000F0D53">
        <w:rPr>
          <w:lang w:val="en-US"/>
        </w:rPr>
        <w:t>Cerilliant</w:t>
      </w:r>
      <w:proofErr w:type="spellEnd"/>
      <w:r w:rsidRPr="000F0D53">
        <w:rPr>
          <w:lang w:val="en-US"/>
        </w:rPr>
        <w:t>® Analytical Reference Standards, Texas, USA); CBD and CBN reference samples (UNODC); dimethylsulfone (DMSO</w:t>
      </w:r>
      <w:r w:rsidR="00EA0520" w:rsidRPr="00EA0520">
        <w:rPr>
          <w:vertAlign w:val="subscript"/>
          <w:lang w:val="en-US"/>
        </w:rPr>
        <w:t>2</w:t>
      </w:r>
      <w:r w:rsidRPr="000F0D53">
        <w:rPr>
          <w:lang w:val="en-US"/>
        </w:rPr>
        <w:t>, CRM 8783.0001; Inmetro, Duque de Caxias, RJ, Brazil); dimethyl terephthalate (DMTP, CRM 8784.0001; Inmetro); and caffeine standard (United States Pharmacopeial Convention, Rockville, MD, USA).</w:t>
      </w:r>
    </w:p>
    <w:p w14:paraId="602BFADD" w14:textId="77777777" w:rsidR="002B64C9" w:rsidRDefault="002B64C9" w:rsidP="004813F0">
      <w:pPr>
        <w:spacing w:line="360" w:lineRule="auto"/>
        <w:ind w:firstLine="360"/>
        <w:jc w:val="both"/>
        <w:rPr>
          <w:lang w:val="en-US"/>
        </w:rPr>
      </w:pPr>
      <w:r w:rsidRPr="00EB6A75">
        <w:rPr>
          <w:lang w:val="en-US"/>
        </w:rPr>
        <w:t xml:space="preserve">Flash chromatography was performed on silica gel 60 (200–400 mesh) and thin layer chromatography was performed on </w:t>
      </w:r>
      <w:proofErr w:type="spellStart"/>
      <w:r w:rsidRPr="00EB6A75">
        <w:rPr>
          <w:lang w:val="en-US"/>
        </w:rPr>
        <w:t>Silicycle</w:t>
      </w:r>
      <w:proofErr w:type="spellEnd"/>
      <w:r w:rsidRPr="00EB6A75">
        <w:rPr>
          <w:lang w:val="en-US"/>
        </w:rPr>
        <w:t>® TLC plates pre-coated with silica S2 gel 60 F254 using UV light as the visualizing agent or ethanolic phosphomolybdic acid and heating as developing agents. Eluants used for flash chromatography are described in each experimental procedure.</w:t>
      </w:r>
    </w:p>
    <w:p w14:paraId="25CB603A" w14:textId="6B6ACD6B" w:rsidR="007E68FF" w:rsidRDefault="007E68FF" w:rsidP="004813F0">
      <w:pPr>
        <w:spacing w:line="360" w:lineRule="auto"/>
        <w:ind w:firstLine="360"/>
        <w:jc w:val="both"/>
        <w:rPr>
          <w:lang w:val="en-US"/>
        </w:rPr>
      </w:pPr>
      <w:r w:rsidRPr="00C6623C">
        <w:rPr>
          <w:lang w:val="en-US"/>
        </w:rPr>
        <w:t xml:space="preserve">All PULCON qNMR </w:t>
      </w:r>
      <w:r w:rsidRPr="000F0D53">
        <w:rPr>
          <w:lang w:val="en-US"/>
        </w:rPr>
        <w:t xml:space="preserve">determinations </w:t>
      </w:r>
      <w:r w:rsidRPr="00C6623C">
        <w:rPr>
          <w:lang w:val="en-US"/>
        </w:rPr>
        <w:t>w</w:t>
      </w:r>
      <w:r>
        <w:rPr>
          <w:lang w:val="en-US"/>
        </w:rPr>
        <w:t>ere</w:t>
      </w:r>
      <w:r w:rsidRPr="00C6623C">
        <w:rPr>
          <w:lang w:val="en-US"/>
        </w:rPr>
        <w:t xml:space="preserve"> </w:t>
      </w:r>
      <w:r>
        <w:rPr>
          <w:lang w:val="en-US"/>
        </w:rPr>
        <w:t>performed usin</w:t>
      </w:r>
      <w:r w:rsidR="007C41DE">
        <w:rPr>
          <w:lang w:val="en-US"/>
        </w:rPr>
        <w:t>g</w:t>
      </w:r>
      <w:r>
        <w:rPr>
          <w:lang w:val="en-US"/>
        </w:rPr>
        <w:t xml:space="preserve"> </w:t>
      </w:r>
      <w:r w:rsidRPr="00FA0C30">
        <w:rPr>
          <w:lang w:val="en-US"/>
        </w:rPr>
        <w:t xml:space="preserve">Equation </w:t>
      </w:r>
      <w:r w:rsidR="00303FC3" w:rsidRPr="00FA0C30">
        <w:rPr>
          <w:lang w:val="en-US"/>
        </w:rPr>
        <w:t>1</w:t>
      </w:r>
      <w:r w:rsidR="007C41DE">
        <w:rPr>
          <w:lang w:val="en-US"/>
        </w:rPr>
        <w:t xml:space="preserve">, derived from previously reported </w:t>
      </w:r>
      <w:r w:rsidR="007C41DE" w:rsidRPr="00B87F59">
        <w:rPr>
          <w:lang w:val="en-US"/>
        </w:rPr>
        <w:t>equations</w:t>
      </w:r>
      <w:r w:rsidR="007C41DE" w:rsidRPr="00B87F59">
        <w:rPr>
          <w:color w:val="000000"/>
          <w:lang w:val="en-US"/>
        </w:rPr>
        <w:t xml:space="preserve"> </w:t>
      </w:r>
      <w:sdt>
        <w:sdtPr>
          <w:rPr>
            <w:color w:val="000000"/>
            <w:lang w:val="en-US"/>
          </w:rPr>
          <w:tag w:val="MENDELEY_CITATION_v3_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"/>
          <w:id w:val="-1485765131"/>
          <w:placeholder>
            <w:docPart w:val="810E0AFC757644948CDF703CFBE9CFF9"/>
          </w:placeholder>
        </w:sdtPr>
        <w:sdtContent>
          <w:r w:rsidR="00FB0020" w:rsidRPr="00FB0020">
            <w:rPr>
              <w:color w:val="000000"/>
              <w:lang w:val="en-US"/>
            </w:rPr>
            <w:t>[1, 2]</w:t>
          </w:r>
        </w:sdtContent>
      </w:sdt>
      <w:r w:rsidR="007C41DE" w:rsidRPr="00B87F59">
        <w:rPr>
          <w:lang w:val="en-US"/>
        </w:rPr>
        <w:t>, which</w:t>
      </w:r>
      <w:r w:rsidR="007C41DE">
        <w:rPr>
          <w:lang w:val="en-US"/>
        </w:rPr>
        <w:t xml:space="preserve"> enable the application to complex matrix materials.</w:t>
      </w:r>
      <w:r>
        <w:rPr>
          <w:lang w:val="en-US"/>
        </w:rPr>
        <w:t xml:space="preserve"> </w:t>
      </w:r>
      <w:r w:rsidRPr="000F0D53">
        <w:rPr>
          <w:lang w:val="en-US"/>
        </w:rPr>
        <w:t xml:space="preserve">Caffeine determination by standard addition using coordinate swapping followed the procedure of Meija </w:t>
      </w:r>
      <w:r w:rsidRPr="00B87F59">
        <w:rPr>
          <w:i/>
          <w:iCs/>
          <w:lang w:val="en-US"/>
        </w:rPr>
        <w:t>et al</w:t>
      </w:r>
      <w:r w:rsidR="004813F0" w:rsidRPr="00B87F59">
        <w:rPr>
          <w:lang w:val="en-US"/>
        </w:rPr>
        <w:t>.</w:t>
      </w:r>
      <w:r w:rsidR="00FA0C30" w:rsidRPr="00B87F59">
        <w:rPr>
          <w:lang w:val="en-US"/>
        </w:rPr>
        <w:t xml:space="preserve"> </w:t>
      </w:r>
      <w:sdt>
        <w:sdtPr>
          <w:rPr>
            <w:rFonts w:eastAsia="Times New Roman"/>
            <w:color w:val="000000"/>
          </w:rPr>
          <w:tag w:val="MENDELEY_CITATION_v3_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"/>
          <w:id w:val="1416438981"/>
          <w:placeholder>
            <w:docPart w:val="0ED925CAD4D74D90B80A2E4A0BF92015"/>
          </w:placeholder>
        </w:sdtPr>
        <w:sdtContent>
          <w:r w:rsidR="00FB0020" w:rsidRPr="00FB0020">
            <w:rPr>
              <w:rFonts w:eastAsia="Times New Roman"/>
              <w:color w:val="000000"/>
              <w:lang w:val="en-US"/>
            </w:rPr>
            <w:t>[3]</w:t>
          </w:r>
        </w:sdtContent>
      </w:sdt>
      <w:r w:rsidRPr="00B87F59">
        <w:rPr>
          <w:rFonts w:eastAsia="Times New Roman"/>
          <w:color w:val="000000"/>
          <w:lang w:val="en-US"/>
        </w:rPr>
        <w:t>.</w:t>
      </w:r>
      <w:r w:rsidR="007C41DE" w:rsidRPr="00B87F59">
        <w:rPr>
          <w:rFonts w:eastAsia="Times New Roman"/>
          <w:color w:val="000000"/>
          <w:lang w:val="en-US"/>
        </w:rPr>
        <w:t xml:space="preserve"> </w:t>
      </w:r>
      <w:r w:rsidRPr="00B87F59">
        <w:rPr>
          <w:lang w:val="en-US"/>
        </w:rPr>
        <w:t xml:space="preserve">The </w:t>
      </w:r>
      <w:r w:rsidR="007C41DE" w:rsidRPr="00B87F59">
        <w:rPr>
          <w:lang w:val="en-US"/>
        </w:rPr>
        <w:t>certified</w:t>
      </w:r>
      <w:r w:rsidR="007C41DE">
        <w:rPr>
          <w:lang w:val="en-US"/>
        </w:rPr>
        <w:t xml:space="preserve"> reference material (CRM)</w:t>
      </w:r>
      <w:r w:rsidRPr="000F0D53">
        <w:rPr>
          <w:lang w:val="en-US"/>
        </w:rPr>
        <w:t xml:space="preserve"> property value corresponded to the mass fraction determined by ¹H qNMR. The combined standard uncertainty of the CBN and </w:t>
      </w:r>
      <w:r>
        <w:t>Δ</w:t>
      </w:r>
      <w:r w:rsidR="002B0B38" w:rsidRPr="002B0B38">
        <w:rPr>
          <w:vertAlign w:val="superscript"/>
          <w:lang w:val="en-US"/>
        </w:rPr>
        <w:t>9</w:t>
      </w:r>
      <w:r w:rsidRPr="000F0D53">
        <w:rPr>
          <w:lang w:val="en-US"/>
        </w:rPr>
        <w:t>–THC mass fractions</w:t>
      </w:r>
      <w:r w:rsidRPr="00F24AF4">
        <w:rPr>
          <w:lang w:val="en-US"/>
        </w:rPr>
        <w:t xml:space="preserve"> (</w:t>
      </w:r>
      <w:r w:rsidRPr="00B22F7E">
        <w:rPr>
          <w:i/>
          <w:iCs/>
          <w:lang w:val="en-US"/>
        </w:rPr>
        <w:t>u</w:t>
      </w:r>
      <w:r w:rsidRPr="00B22F7E">
        <w:rPr>
          <w:i/>
          <w:iCs/>
          <w:vertAlign w:val="subscript"/>
          <w:lang w:val="en-US"/>
        </w:rPr>
        <w:t>c</w:t>
      </w:r>
      <w:r w:rsidRPr="00F24AF4">
        <w:rPr>
          <w:lang w:val="en-US"/>
        </w:rPr>
        <w:t>(</w:t>
      </w:r>
      <w:proofErr w:type="spellStart"/>
      <w:r w:rsidRPr="00B22F7E">
        <w:rPr>
          <w:i/>
          <w:iCs/>
          <w:lang w:val="en-US"/>
        </w:rPr>
        <w:t>w</w:t>
      </w:r>
      <w:r w:rsidRPr="00B22F7E">
        <w:rPr>
          <w:i/>
          <w:iCs/>
          <w:vertAlign w:val="subscript"/>
          <w:lang w:val="en-US"/>
        </w:rPr>
        <w:t>A</w:t>
      </w:r>
      <w:proofErr w:type="spellEnd"/>
      <w:r w:rsidRPr="00F24AF4">
        <w:rPr>
          <w:lang w:val="en-US"/>
        </w:rPr>
        <w:t xml:space="preserve">)) </w:t>
      </w:r>
      <w:r w:rsidRPr="000F0D53">
        <w:rPr>
          <w:lang w:val="en-US"/>
        </w:rPr>
        <w:t>determined by ¹H qNMR using PULCON w</w:t>
      </w:r>
      <w:r>
        <w:rPr>
          <w:lang w:val="en-US"/>
        </w:rPr>
        <w:t xml:space="preserve">as estimated </w:t>
      </w:r>
      <w:r w:rsidR="004813F0">
        <w:rPr>
          <w:lang w:val="en-US"/>
        </w:rPr>
        <w:t>using the method of propagation of uncertainties by taking into account the uncertainties associated with each input quantity in equation 1</w:t>
      </w:r>
      <w:r w:rsidRPr="00F24AF4">
        <w:rPr>
          <w:lang w:val="en-US"/>
        </w:rPr>
        <w:t>.</w:t>
      </w:r>
    </w:p>
    <w:p w14:paraId="10E2DF1B" w14:textId="77777777" w:rsidR="007C41DE" w:rsidRDefault="007C41DE" w:rsidP="007C41DE">
      <w:pPr>
        <w:jc w:val="both"/>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7"/>
        <w:gridCol w:w="537"/>
      </w:tblGrid>
      <w:tr w:rsidR="007C41DE" w:rsidRPr="004B32AA" w14:paraId="090A934E" w14:textId="77777777" w:rsidTr="00CF01F6">
        <w:tc>
          <w:tcPr>
            <w:tcW w:w="8468" w:type="dxa"/>
          </w:tcPr>
          <w:bookmarkStart w:id="1" w:name="_Hlk160692973"/>
          <w:p w14:paraId="6A95C235" w14:textId="77777777" w:rsidR="007C41DE" w:rsidRPr="00FA0C30" w:rsidRDefault="00000000" w:rsidP="00CF01F6">
            <w:pPr>
              <w:spacing w:before="120" w:line="360" w:lineRule="auto"/>
              <w:jc w:val="both"/>
              <w:rPr>
                <w:rFonts w:ascii="Times New Roman" w:hAnsi="Times New Roman" w:cs="Times New Roman"/>
                <w:sz w:val="24"/>
                <w:szCs w:val="24"/>
              </w:rPr>
            </w:pPr>
            <m:oMathPara>
              <m:oMath>
                <m:sSub>
                  <m:sSubPr>
                    <m:ctrlPr>
                      <w:rPr>
                        <w:rFonts w:ascii="Cambria Math" w:hAnsi="Cambria Math"/>
                        <w:i/>
                        <w:sz w:val="24"/>
                      </w:rPr>
                    </m:ctrlPr>
                  </m:sSubPr>
                  <m:e>
                    <m:r>
                      <w:rPr>
                        <w:rFonts w:ascii="Cambria Math" w:hAnsi="Cambria Math"/>
                        <w:sz w:val="24"/>
                      </w:rPr>
                      <m:t>w</m:t>
                    </m:r>
                  </m:e>
                  <m:sub>
                    <m:r>
                      <w:rPr>
                        <w:rFonts w:ascii="Cambria Math" w:hAnsi="Cambria Math"/>
                        <w:sz w:val="24"/>
                      </w:rPr>
                      <m:t>g/g</m:t>
                    </m:r>
                  </m:sub>
                </m:sSub>
                <m:r>
                  <w:rPr>
                    <w:rFonts w:ascii="Cambria Math" w:hAnsi="Cambria Math"/>
                    <w:sz w:val="24"/>
                  </w:rPr>
                  <m:t xml:space="preserve"> =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ref</m:t>
                        </m:r>
                      </m:sub>
                    </m:sSub>
                    <m:sSub>
                      <m:sSubPr>
                        <m:ctrlPr>
                          <w:rPr>
                            <w:rFonts w:ascii="Cambria Math" w:hAnsi="Cambria Math"/>
                            <w:i/>
                            <w:sz w:val="24"/>
                          </w:rPr>
                        </m:ctrlPr>
                      </m:sSubPr>
                      <m:e>
                        <m:r>
                          <w:rPr>
                            <w:rFonts w:ascii="Cambria Math" w:hAnsi="Cambria Math"/>
                            <w:sz w:val="24"/>
                          </w:rPr>
                          <m:t>×I</m:t>
                        </m:r>
                      </m:e>
                      <m:sub>
                        <m:r>
                          <w:rPr>
                            <w:rFonts w:ascii="Cambria Math" w:hAnsi="Cambria Math"/>
                            <w:sz w:val="24"/>
                          </w:rPr>
                          <m:t xml:space="preserve">s </m:t>
                        </m:r>
                      </m:sub>
                    </m:sSub>
                    <m: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Θ</m:t>
                        </m:r>
                      </m:e>
                      <m:sub>
                        <m:r>
                          <w:rPr>
                            <w:rFonts w:ascii="Cambria Math" w:hAnsi="Cambria Math"/>
                            <w:sz w:val="24"/>
                          </w:rPr>
                          <m:t>a</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N</m:t>
                        </m:r>
                      </m:e>
                      <m:sub>
                        <m:r>
                          <w:rPr>
                            <w:rFonts w:ascii="Cambria Math" w:hAnsi="Cambria Math"/>
                            <w:sz w:val="24"/>
                          </w:rPr>
                          <m:t>ref</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MM</m:t>
                        </m:r>
                      </m:e>
                      <m:sub>
                        <m:r>
                          <w:rPr>
                            <w:rFonts w:ascii="Cambria Math" w:hAnsi="Cambria Math"/>
                            <w:sz w:val="24"/>
                          </w:rPr>
                          <m:t>a</m:t>
                        </m:r>
                      </m:sub>
                    </m:sSub>
                  </m:num>
                  <m:den>
                    <m:r>
                      <w:rPr>
                        <w:rFonts w:ascii="Cambria Math" w:hAnsi="Cambria Math"/>
                        <w:sz w:val="24"/>
                      </w:rPr>
                      <m:t xml:space="preserve"> </m:t>
                    </m:r>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MM</m:t>
                            </m:r>
                          </m:e>
                          <m:sub>
                            <m:r>
                              <w:rPr>
                                <w:rFonts w:ascii="Cambria Math" w:hAnsi="Cambria Math"/>
                                <w:sz w:val="24"/>
                              </w:rPr>
                              <m:t>ref</m:t>
                            </m:r>
                          </m:sub>
                        </m:sSub>
                        <m:r>
                          <w:rPr>
                            <w:rFonts w:ascii="Cambria Math" w:hAnsi="Cambria Math"/>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total sol ref</m:t>
                            </m:r>
                          </m:sub>
                        </m:sSub>
                        <m:r>
                          <w:rPr>
                            <w:rFonts w:ascii="Cambria Math" w:hAnsi="Cambria Math"/>
                            <w:sz w:val="24"/>
                          </w:rPr>
                          <m:t>×I</m:t>
                        </m:r>
                      </m:e>
                      <m:sub>
                        <m:r>
                          <w:rPr>
                            <w:rFonts w:ascii="Cambria Math" w:hAnsi="Cambria Math"/>
                            <w:sz w:val="24"/>
                          </w:rPr>
                          <m:t>ref</m:t>
                        </m:r>
                      </m:sub>
                    </m:sSub>
                    <m: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Θ</m:t>
                        </m:r>
                      </m:e>
                      <m:sub>
                        <m:r>
                          <w:rPr>
                            <w:rFonts w:ascii="Cambria Math" w:hAnsi="Cambria Math"/>
                            <w:sz w:val="24"/>
                          </w:rPr>
                          <m:t>ref</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s</m:t>
                        </m:r>
                      </m:sub>
                    </m:sSub>
                  </m:den>
                </m:f>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P</m:t>
                    </m:r>
                  </m:e>
                  <m:sub>
                    <m:r>
                      <w:rPr>
                        <w:rFonts w:ascii="Cambria Math" w:eastAsiaTheme="minorEastAsia" w:hAnsi="Cambria Math"/>
                        <w:sz w:val="24"/>
                      </w:rPr>
                      <m:t>ref</m:t>
                    </m:r>
                  </m:sub>
                </m:sSub>
              </m:oMath>
            </m:oMathPara>
          </w:p>
        </w:tc>
        <w:tc>
          <w:tcPr>
            <w:tcW w:w="561" w:type="dxa"/>
          </w:tcPr>
          <w:p w14:paraId="0E485C53" w14:textId="0FAA88A9" w:rsidR="007C41DE" w:rsidRPr="00FA0C30" w:rsidRDefault="00303FC3" w:rsidP="00CF01F6">
            <w:pPr>
              <w:spacing w:before="120" w:line="360" w:lineRule="auto"/>
              <w:ind w:firstLine="45"/>
              <w:jc w:val="both"/>
              <w:rPr>
                <w:rFonts w:ascii="Times New Roman" w:hAnsi="Times New Roman" w:cs="Times New Roman"/>
                <w:sz w:val="24"/>
                <w:szCs w:val="24"/>
              </w:rPr>
            </w:pPr>
            <w:r w:rsidRPr="00FA0C30">
              <w:rPr>
                <w:rFonts w:ascii="Times New Roman" w:hAnsi="Times New Roman" w:cs="Times New Roman"/>
                <w:sz w:val="24"/>
                <w:szCs w:val="24"/>
              </w:rPr>
              <w:t>1</w:t>
            </w:r>
          </w:p>
        </w:tc>
      </w:tr>
      <w:bookmarkEnd w:id="1"/>
    </w:tbl>
    <w:p w14:paraId="75C1BED2" w14:textId="77777777" w:rsidR="007C41DE" w:rsidRDefault="007C41DE" w:rsidP="007C41DE">
      <w:pPr>
        <w:jc w:val="both"/>
      </w:pPr>
    </w:p>
    <w:p w14:paraId="24C273EE" w14:textId="77777777" w:rsidR="007C41DE" w:rsidRPr="00B41C05" w:rsidRDefault="007C41DE" w:rsidP="007C41DE">
      <w:pPr>
        <w:jc w:val="both"/>
        <w:rPr>
          <w:lang w:val="en-US"/>
        </w:rPr>
      </w:pPr>
      <m:oMath>
        <m:r>
          <w:rPr>
            <w:rFonts w:ascii="Cambria Math" w:eastAsiaTheme="minorEastAsia" w:hAnsi="Cambria Math"/>
          </w:rPr>
          <m:t>s</m:t>
        </m:r>
      </m:oMath>
      <w:r w:rsidRPr="00107407">
        <w:rPr>
          <w:rFonts w:eastAsiaTheme="minorEastAsia"/>
          <w:i/>
          <w:lang w:val="en-US"/>
        </w:rPr>
        <w:t xml:space="preserve">: Sample; </w:t>
      </w:r>
      <m:oMath>
        <m:r>
          <w:rPr>
            <w:rFonts w:ascii="Cambria Math" w:eastAsiaTheme="minorEastAsia" w:hAnsi="Cambria Math"/>
          </w:rPr>
          <m:t>ref</m:t>
        </m:r>
      </m:oMath>
      <w:r w:rsidRPr="00107407">
        <w:rPr>
          <w:rFonts w:eastAsiaTheme="minorEastAsia"/>
          <w:i/>
          <w:lang w:val="en-US"/>
        </w:rPr>
        <w:t xml:space="preserve">: Reference;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ref</m:t>
            </m:r>
          </m:sub>
        </m:sSub>
      </m:oMath>
      <w:r w:rsidRPr="00107407">
        <w:rPr>
          <w:rFonts w:eastAsiaTheme="minorEastAsia"/>
          <w:i/>
          <w:lang w:val="en-US"/>
        </w:rPr>
        <w:t>: Reference purity (g/g);</w:t>
      </w:r>
      <m:oMath>
        <m:r>
          <w:rPr>
            <w:rFonts w:ascii="Cambria Math" w:eastAsiaTheme="minorEastAsia" w:hAnsi="Cambria Math"/>
            <w:lang w:val="en-US"/>
          </w:rPr>
          <m:t xml:space="preserve"> </m:t>
        </m:r>
        <m:r>
          <w:rPr>
            <w:rFonts w:ascii="Cambria Math" w:eastAsiaTheme="minorEastAsia" w:hAnsi="Cambria Math"/>
          </w:rPr>
          <m:t>I</m:t>
        </m:r>
      </m:oMath>
      <w:r w:rsidRPr="00107407">
        <w:rPr>
          <w:rFonts w:eastAsiaTheme="minorEastAsia"/>
          <w:i/>
          <w:lang w:val="en-US"/>
        </w:rPr>
        <w:t>: Signal integration;</w:t>
      </w:r>
      <m:oMath>
        <m:r>
          <w:rPr>
            <w:rFonts w:ascii="Cambria Math" w:eastAsiaTheme="minorEastAsia" w:hAnsi="Cambria Math"/>
            <w:lang w:val="en-US"/>
          </w:rPr>
          <m:t xml:space="preserve"> </m:t>
        </m:r>
        <m:r>
          <w:rPr>
            <w:rFonts w:ascii="Cambria Math" w:hAnsi="Cambria Math"/>
          </w:rPr>
          <m:t>Θ</m:t>
        </m:r>
      </m:oMath>
      <w:r w:rsidRPr="00107407">
        <w:rPr>
          <w:rFonts w:eastAsiaTheme="minorEastAsia"/>
          <w:i/>
          <w:lang w:val="en-US"/>
        </w:rPr>
        <w:t>: Calibrated 90° pulse duration</w:t>
      </w:r>
      <m:oMath>
        <m:r>
          <w:rPr>
            <w:rFonts w:ascii="Cambria Math" w:eastAsiaTheme="minorEastAsia" w:hAnsi="Cambria Math"/>
            <w:lang w:val="en-US"/>
          </w:rPr>
          <m:t xml:space="preserve">; </m:t>
        </m:r>
        <m:r>
          <w:rPr>
            <w:rFonts w:ascii="Cambria Math" w:hAnsi="Cambria Math"/>
          </w:rPr>
          <m:t>N</m:t>
        </m:r>
      </m:oMath>
      <w:r w:rsidRPr="00107407">
        <w:rPr>
          <w:rFonts w:eastAsiaTheme="minorEastAsia"/>
          <w:i/>
          <w:lang w:val="en-US"/>
        </w:rPr>
        <w:t>: Number of transients;</w:t>
      </w:r>
      <m:oMath>
        <m:r>
          <w:rPr>
            <w:rFonts w:ascii="Cambria Math" w:eastAsiaTheme="minorEastAsia" w:hAnsi="Cambria Math"/>
            <w:lang w:val="en-US"/>
          </w:rPr>
          <m:t xml:space="preserve"> </m:t>
        </m:r>
        <m:r>
          <w:rPr>
            <w:rFonts w:ascii="Cambria Math" w:hAnsi="Cambria Math"/>
          </w:rPr>
          <m:t>MM</m:t>
        </m:r>
      </m:oMath>
      <w:r w:rsidRPr="00107407">
        <w:rPr>
          <w:rFonts w:eastAsiaTheme="minorEastAsia"/>
          <w:i/>
          <w:lang w:val="en-US"/>
        </w:rPr>
        <w:t>: Molecular mass (g/mol);</w:t>
      </w:r>
      <m:oMath>
        <m:sSub>
          <m:sSubPr>
            <m:ctrlPr>
              <w:rPr>
                <w:rFonts w:ascii="Cambria Math" w:hAnsi="Cambria Math"/>
                <w:i/>
              </w:rPr>
            </m:ctrlPr>
          </m:sSubPr>
          <m:e>
            <m:r>
              <w:rPr>
                <w:rFonts w:ascii="Cambria Math" w:hAnsi="Cambria Math"/>
                <w:lang w:val="en-US"/>
              </w:rPr>
              <m:t xml:space="preserve"> </m:t>
            </m:r>
            <m:r>
              <w:rPr>
                <w:rFonts w:ascii="Cambria Math" w:hAnsi="Cambria Math"/>
              </w:rPr>
              <m:t>m</m:t>
            </m:r>
          </m:e>
          <m:sub>
            <m:r>
              <w:rPr>
                <w:rFonts w:ascii="Cambria Math" w:hAnsi="Cambria Math"/>
              </w:rPr>
              <m:t>total</m:t>
            </m:r>
            <m:r>
              <w:rPr>
                <w:rFonts w:ascii="Cambria Math" w:hAnsi="Cambria Math"/>
                <w:lang w:val="en-US"/>
              </w:rPr>
              <m:t xml:space="preserve"> </m:t>
            </m:r>
            <m:r>
              <w:rPr>
                <w:rFonts w:ascii="Cambria Math" w:hAnsi="Cambria Math"/>
              </w:rPr>
              <m:t>sol</m:t>
            </m:r>
            <m:r>
              <w:rPr>
                <w:rFonts w:ascii="Cambria Math" w:hAnsi="Cambria Math"/>
                <w:lang w:val="en-US"/>
              </w:rPr>
              <m:t xml:space="preserve"> </m:t>
            </m:r>
            <m:r>
              <w:rPr>
                <w:rFonts w:ascii="Cambria Math" w:hAnsi="Cambria Math"/>
              </w:rPr>
              <m:t>ref</m:t>
            </m:r>
          </m:sub>
        </m:sSub>
      </m:oMath>
      <w:r w:rsidRPr="00107407">
        <w:rPr>
          <w:rFonts w:eastAsiaTheme="minorEastAsia"/>
          <w:i/>
          <w:lang w:val="en-US"/>
        </w:rPr>
        <w:t xml:space="preserve"> : Total mass of reference solution (g).</w:t>
      </w:r>
    </w:p>
    <w:p w14:paraId="36F284F1" w14:textId="77777777" w:rsidR="007C41DE" w:rsidRDefault="007C41DE" w:rsidP="007E68FF">
      <w:pPr>
        <w:spacing w:line="360" w:lineRule="auto"/>
        <w:jc w:val="both"/>
        <w:rPr>
          <w:lang w:val="en-US"/>
        </w:rPr>
      </w:pPr>
    </w:p>
    <w:p w14:paraId="37549473" w14:textId="77777777" w:rsidR="007E68FF" w:rsidRDefault="007E68FF" w:rsidP="002B64C9">
      <w:pPr>
        <w:spacing w:line="360" w:lineRule="auto"/>
        <w:ind w:firstLine="720"/>
        <w:jc w:val="both"/>
        <w:rPr>
          <w:lang w:val="en-US"/>
        </w:rPr>
      </w:pPr>
    </w:p>
    <w:p w14:paraId="6095A45E" w14:textId="77777777" w:rsidR="002B64C9" w:rsidRDefault="002B64C9">
      <w:pPr>
        <w:rPr>
          <w:lang w:val="en-US"/>
        </w:rPr>
      </w:pPr>
    </w:p>
    <w:p w14:paraId="56A68D4E" w14:textId="2C5E5663" w:rsidR="00986006" w:rsidRPr="00976DB5" w:rsidRDefault="006A40B4" w:rsidP="00976DB5">
      <w:pPr>
        <w:pStyle w:val="berschrift1"/>
        <w:spacing w:line="360" w:lineRule="auto"/>
        <w:jc w:val="both"/>
        <w:rPr>
          <w:rFonts w:ascii="Arial" w:hAnsi="Arial" w:cs="Arial"/>
          <w:b/>
          <w:bCs/>
          <w:color w:val="auto"/>
          <w:sz w:val="24"/>
          <w:szCs w:val="24"/>
          <w:lang w:val="en-US"/>
        </w:rPr>
      </w:pPr>
      <w:bookmarkStart w:id="2" w:name="_Toc216797608"/>
      <w:r>
        <w:rPr>
          <w:rFonts w:ascii="Arial" w:hAnsi="Arial" w:cs="Arial"/>
          <w:b/>
          <w:bCs/>
          <w:color w:val="auto"/>
          <w:sz w:val="24"/>
          <w:szCs w:val="24"/>
          <w:lang w:val="en-US"/>
        </w:rPr>
        <w:lastRenderedPageBreak/>
        <w:t>S</w:t>
      </w:r>
      <w:r w:rsidR="00986006" w:rsidRPr="00976DB5">
        <w:rPr>
          <w:rFonts w:ascii="Arial" w:hAnsi="Arial" w:cs="Arial"/>
          <w:b/>
          <w:bCs/>
          <w:color w:val="auto"/>
          <w:sz w:val="24"/>
          <w:szCs w:val="24"/>
          <w:lang w:val="en-US"/>
        </w:rPr>
        <w:t>2) Sample preparation</w:t>
      </w:r>
      <w:bookmarkEnd w:id="2"/>
    </w:p>
    <w:p w14:paraId="3D26B006" w14:textId="3A24D813" w:rsidR="00976DB5" w:rsidRPr="00976DB5" w:rsidRDefault="006A40B4" w:rsidP="00976DB5">
      <w:pPr>
        <w:pStyle w:val="berschrift2"/>
        <w:spacing w:line="360" w:lineRule="auto"/>
        <w:jc w:val="both"/>
        <w:rPr>
          <w:rFonts w:ascii="Arial" w:hAnsi="Arial" w:cs="Arial"/>
          <w:color w:val="auto"/>
          <w:sz w:val="22"/>
          <w:szCs w:val="22"/>
          <w:lang w:val="en-US"/>
        </w:rPr>
      </w:pPr>
      <w:bookmarkStart w:id="3" w:name="_Toc216797609"/>
      <w:r>
        <w:rPr>
          <w:rFonts w:ascii="Arial" w:hAnsi="Arial" w:cs="Arial"/>
          <w:color w:val="auto"/>
          <w:sz w:val="22"/>
          <w:szCs w:val="22"/>
          <w:lang w:val="en-US"/>
        </w:rPr>
        <w:t>S</w:t>
      </w:r>
      <w:r w:rsidR="00986006" w:rsidRPr="00976DB5">
        <w:rPr>
          <w:rFonts w:ascii="Arial" w:hAnsi="Arial" w:cs="Arial"/>
          <w:color w:val="auto"/>
          <w:sz w:val="22"/>
          <w:szCs w:val="22"/>
          <w:lang w:val="en-US"/>
        </w:rPr>
        <w:t>2.1) Standard solutions of cannabinoids</w:t>
      </w:r>
      <w:bookmarkEnd w:id="3"/>
    </w:p>
    <w:p w14:paraId="55785B3B" w14:textId="162B2738" w:rsidR="00986006" w:rsidRDefault="00986006" w:rsidP="00FA1843">
      <w:pPr>
        <w:spacing w:line="360" w:lineRule="auto"/>
        <w:ind w:firstLine="708"/>
        <w:jc w:val="both"/>
        <w:rPr>
          <w:lang w:val="en-US"/>
        </w:rPr>
      </w:pPr>
      <w:r>
        <w:rPr>
          <w:lang w:val="en-US"/>
        </w:rPr>
        <w:t xml:space="preserve">For HPLC-DAD-MS/MS identification of cannabinoids, a reference standard mixture containing cannabidiol (CBD, 300 </w:t>
      </w:r>
      <w:proofErr w:type="spellStart"/>
      <w:r>
        <w:rPr>
          <w:lang w:val="en-US"/>
        </w:rPr>
        <w:t>μg</w:t>
      </w:r>
      <w:proofErr w:type="spellEnd"/>
      <w:r>
        <w:rPr>
          <w:lang w:val="en-US"/>
        </w:rPr>
        <w:t xml:space="preserve"> mL</w:t>
      </w:r>
      <w:r>
        <w:rPr>
          <w:vertAlign w:val="superscript"/>
          <w:lang w:val="en-US"/>
        </w:rPr>
        <w:t>-1</w:t>
      </w:r>
      <w:r>
        <w:rPr>
          <w:lang w:val="en-US"/>
        </w:rPr>
        <w:t xml:space="preserve">), cannabinol (CBN, 300 </w:t>
      </w:r>
      <w:proofErr w:type="spellStart"/>
      <w:r>
        <w:rPr>
          <w:lang w:val="en-US"/>
        </w:rPr>
        <w:t>μg</w:t>
      </w:r>
      <w:proofErr w:type="spellEnd"/>
      <w:r>
        <w:rPr>
          <w:lang w:val="en-US"/>
        </w:rPr>
        <w:t xml:space="preserve"> mL</w:t>
      </w:r>
      <w:r>
        <w:rPr>
          <w:vertAlign w:val="superscript"/>
          <w:lang w:val="en-US"/>
        </w:rPr>
        <w:t>-1</w:t>
      </w:r>
      <w:r>
        <w:rPr>
          <w:lang w:val="en-US"/>
        </w:rPr>
        <w:t>), and Δ</w:t>
      </w:r>
      <w:r>
        <w:rPr>
          <w:vertAlign w:val="superscript"/>
          <w:lang w:val="en-US"/>
        </w:rPr>
        <w:t>9</w:t>
      </w:r>
      <w:r>
        <w:rPr>
          <w:lang w:val="en-US"/>
        </w:rPr>
        <w:t>-tetrahydrocannabinol (Δ</w:t>
      </w:r>
      <w:r>
        <w:rPr>
          <w:vertAlign w:val="superscript"/>
          <w:lang w:val="en-US"/>
        </w:rPr>
        <w:t>9</w:t>
      </w:r>
      <w:r>
        <w:rPr>
          <w:lang w:val="en-US"/>
        </w:rPr>
        <w:t xml:space="preserve">-THC, 150 </w:t>
      </w:r>
      <w:proofErr w:type="spellStart"/>
      <w:r>
        <w:rPr>
          <w:lang w:val="en-US"/>
        </w:rPr>
        <w:t>μg</w:t>
      </w:r>
      <w:proofErr w:type="spellEnd"/>
      <w:r>
        <w:rPr>
          <w:lang w:val="en-US"/>
        </w:rPr>
        <w:t xml:space="preserve"> mL</w:t>
      </w:r>
      <w:r>
        <w:rPr>
          <w:vertAlign w:val="superscript"/>
          <w:lang w:val="en-US"/>
        </w:rPr>
        <w:t>-1</w:t>
      </w:r>
      <w:r>
        <w:rPr>
          <w:lang w:val="en-US"/>
        </w:rPr>
        <w:t>) was prepared in methanol and used for comparison with sample extract.</w:t>
      </w:r>
    </w:p>
    <w:p w14:paraId="5315A99E" w14:textId="77777777" w:rsidR="00976DB5" w:rsidRPr="00986006" w:rsidRDefault="00976DB5" w:rsidP="00FA1843">
      <w:pPr>
        <w:spacing w:line="360" w:lineRule="auto"/>
        <w:ind w:firstLine="708"/>
        <w:jc w:val="both"/>
        <w:rPr>
          <w:lang w:val="en-US"/>
        </w:rPr>
      </w:pPr>
    </w:p>
    <w:p w14:paraId="058E3360" w14:textId="32822F03" w:rsidR="00986006" w:rsidRPr="00976DB5" w:rsidRDefault="006A40B4" w:rsidP="00976DB5">
      <w:pPr>
        <w:pStyle w:val="berschrift2"/>
        <w:spacing w:line="360" w:lineRule="auto"/>
        <w:jc w:val="both"/>
        <w:rPr>
          <w:rFonts w:ascii="Arial" w:hAnsi="Arial" w:cs="Arial"/>
          <w:color w:val="auto"/>
          <w:sz w:val="22"/>
          <w:szCs w:val="22"/>
          <w:lang w:val="en-US"/>
        </w:rPr>
      </w:pPr>
      <w:bookmarkStart w:id="4" w:name="_Toc216797610"/>
      <w:r>
        <w:rPr>
          <w:rFonts w:ascii="Arial" w:hAnsi="Arial" w:cs="Arial"/>
          <w:color w:val="auto"/>
          <w:sz w:val="22"/>
          <w:szCs w:val="22"/>
          <w:lang w:val="en-US"/>
        </w:rPr>
        <w:t>S</w:t>
      </w:r>
      <w:r w:rsidR="00986006" w:rsidRPr="00976DB5">
        <w:rPr>
          <w:rFonts w:ascii="Arial" w:hAnsi="Arial" w:cs="Arial"/>
          <w:color w:val="auto"/>
          <w:sz w:val="22"/>
          <w:szCs w:val="22"/>
          <w:lang w:val="en-US"/>
        </w:rPr>
        <w:t>2.2) Cannabis samples</w:t>
      </w:r>
      <w:bookmarkEnd w:id="4"/>
    </w:p>
    <w:p w14:paraId="44DC3FF9" w14:textId="0C110C94" w:rsidR="00986006" w:rsidRDefault="00FA1843" w:rsidP="00FA1843">
      <w:pPr>
        <w:spacing w:line="360" w:lineRule="auto"/>
        <w:ind w:firstLine="708"/>
        <w:jc w:val="both"/>
        <w:rPr>
          <w:lang w:val="en-US"/>
        </w:rPr>
      </w:pPr>
      <w:r>
        <w:rPr>
          <w:lang w:val="en-US"/>
        </w:rPr>
        <w:t xml:space="preserve">Cannabis products (skunk type) in plant form were supplied by Federal Police under judicial authorization through a technical cooperation agreement. The samples were ground using a </w:t>
      </w:r>
      <w:proofErr w:type="spellStart"/>
      <w:r>
        <w:rPr>
          <w:lang w:val="en-US"/>
        </w:rPr>
        <w:t>Retsch</w:t>
      </w:r>
      <w:proofErr w:type="spellEnd"/>
      <w:r w:rsidRPr="00FA1843">
        <w:rPr>
          <w:lang w:val="en-US"/>
        </w:rPr>
        <w:t xml:space="preserve"> </w:t>
      </w:r>
      <w:proofErr w:type="spellStart"/>
      <w:r w:rsidRPr="00FA1843">
        <w:rPr>
          <w:lang w:val="en-US"/>
        </w:rPr>
        <w:t>Grindomix</w:t>
      </w:r>
      <w:proofErr w:type="spellEnd"/>
      <w:r w:rsidRPr="00FA1843">
        <w:rPr>
          <w:lang w:val="en-US"/>
        </w:rPr>
        <w:t xml:space="preserve"> GM 200 (4 cycles of 1 min at 3000 rpm, impact function) and dried under vacuum at room temperature. Particle-size fractionation was performed by sieving with mesh openings of 0.850 mm (20 mesh), 0.500 mm (32 mesh), and 0.250 mm (60 mesh) arranged sequentially in a Bertel sieve shaker and operated for three cycles of 30 min each. The fractions retained between the 32–60 mesh sieves and those passing through the </w:t>
      </w:r>
      <w:proofErr w:type="gramStart"/>
      <w:r w:rsidRPr="00FA1843">
        <w:rPr>
          <w:lang w:val="en-US"/>
        </w:rPr>
        <w:t>60 mesh</w:t>
      </w:r>
      <w:proofErr w:type="gramEnd"/>
      <w:r w:rsidRPr="00FA1843">
        <w:rPr>
          <w:lang w:val="en-US"/>
        </w:rPr>
        <w:t xml:space="preserve"> sieve were collected. The &lt;0.250 mm fraction was homogenized in a POWDERMIX mixer for 10 min, transferred to amber glass vials, and stored at −20 °C under controlled conditions until analysis.</w:t>
      </w:r>
    </w:p>
    <w:p w14:paraId="34FD8864" w14:textId="77777777" w:rsidR="00976DB5" w:rsidRDefault="00976DB5" w:rsidP="00FA1843">
      <w:pPr>
        <w:spacing w:line="360" w:lineRule="auto"/>
        <w:ind w:firstLine="708"/>
        <w:jc w:val="both"/>
        <w:rPr>
          <w:lang w:val="en-US"/>
        </w:rPr>
      </w:pPr>
    </w:p>
    <w:p w14:paraId="18D6071D" w14:textId="47526553" w:rsidR="00986006" w:rsidRPr="00BC0EE9" w:rsidRDefault="006A40B4" w:rsidP="00976DB5">
      <w:pPr>
        <w:pStyle w:val="berschrift2"/>
        <w:spacing w:line="360" w:lineRule="auto"/>
        <w:jc w:val="both"/>
        <w:rPr>
          <w:rFonts w:ascii="Arial" w:hAnsi="Arial" w:cs="Arial"/>
          <w:color w:val="auto"/>
          <w:sz w:val="22"/>
          <w:szCs w:val="22"/>
          <w:lang w:val="en-US"/>
        </w:rPr>
      </w:pPr>
      <w:bookmarkStart w:id="5" w:name="_Toc216797611"/>
      <w:r>
        <w:rPr>
          <w:rFonts w:ascii="Arial" w:hAnsi="Arial" w:cs="Arial"/>
          <w:color w:val="auto"/>
          <w:sz w:val="22"/>
          <w:szCs w:val="22"/>
          <w:lang w:val="en-US"/>
        </w:rPr>
        <w:t>S</w:t>
      </w:r>
      <w:r w:rsidR="00986006" w:rsidRPr="00BC0EE9">
        <w:rPr>
          <w:rFonts w:ascii="Arial" w:hAnsi="Arial" w:cs="Arial"/>
          <w:color w:val="auto"/>
          <w:sz w:val="22"/>
          <w:szCs w:val="22"/>
          <w:lang w:val="en-US"/>
        </w:rPr>
        <w:t>2.3)</w:t>
      </w:r>
      <w:r w:rsidR="00976DB5" w:rsidRPr="00BC0EE9">
        <w:rPr>
          <w:rFonts w:ascii="Arial" w:hAnsi="Arial" w:cs="Arial"/>
          <w:color w:val="auto"/>
          <w:sz w:val="22"/>
          <w:szCs w:val="22"/>
          <w:lang w:val="en-US"/>
        </w:rPr>
        <w:t xml:space="preserve"> </w:t>
      </w:r>
      <w:r w:rsidR="00986006" w:rsidRPr="00BC0EE9">
        <w:rPr>
          <w:rFonts w:ascii="Arial" w:hAnsi="Arial" w:cs="Arial"/>
          <w:color w:val="auto"/>
          <w:sz w:val="22"/>
          <w:szCs w:val="22"/>
          <w:vertAlign w:val="superscript"/>
          <w:lang w:val="en-US"/>
        </w:rPr>
        <w:t>1</w:t>
      </w:r>
      <w:r w:rsidR="00986006" w:rsidRPr="00BC0EE9">
        <w:rPr>
          <w:rFonts w:ascii="Arial" w:hAnsi="Arial" w:cs="Arial"/>
          <w:color w:val="auto"/>
          <w:sz w:val="22"/>
          <w:szCs w:val="22"/>
          <w:lang w:val="en-US"/>
        </w:rPr>
        <w:t>H NMR-PULCON samples</w:t>
      </w:r>
      <w:bookmarkEnd w:id="5"/>
    </w:p>
    <w:p w14:paraId="383DA0E6" w14:textId="14E75620" w:rsidR="002D57F2" w:rsidRPr="002D57F2" w:rsidRDefault="002D57F2" w:rsidP="002D57F2">
      <w:pPr>
        <w:spacing w:line="360" w:lineRule="auto"/>
        <w:ind w:firstLine="708"/>
        <w:jc w:val="both"/>
        <w:rPr>
          <w:lang w:val="en-US"/>
        </w:rPr>
      </w:pPr>
      <w:r w:rsidRPr="002D57F2">
        <w:rPr>
          <w:lang w:val="en-US"/>
        </w:rPr>
        <w:t xml:space="preserve">For PULCON quantification, </w:t>
      </w:r>
      <w:proofErr w:type="spellStart"/>
      <w:r w:rsidRPr="002D57F2">
        <w:rPr>
          <w:lang w:val="en-US"/>
        </w:rPr>
        <w:t>CDCl</w:t>
      </w:r>
      <w:proofErr w:type="spellEnd"/>
      <w:r w:rsidRPr="002D57F2">
        <w:rPr>
          <w:rFonts w:ascii="Cambria Math" w:hAnsi="Cambria Math" w:cs="Cambria Math"/>
          <w:lang w:val="en-US"/>
        </w:rPr>
        <w:t>₃</w:t>
      </w:r>
      <w:r w:rsidRPr="002D57F2">
        <w:rPr>
          <w:lang w:val="en-US"/>
        </w:rPr>
        <w:t xml:space="preserve"> solutions with known mass fractions were prepared using certified reference materials (CRMs) of DMTP and DMSO</w:t>
      </w:r>
      <w:r w:rsidRPr="002D57F2">
        <w:rPr>
          <w:rFonts w:ascii="Cambria Math" w:hAnsi="Cambria Math" w:cs="Cambria Math"/>
          <w:lang w:val="en-US"/>
        </w:rPr>
        <w:t>₂</w:t>
      </w:r>
      <w:r w:rsidRPr="002D57F2">
        <w:rPr>
          <w:lang w:val="en-US"/>
        </w:rPr>
        <w:t xml:space="preserve"> as the external and internal standards, respectively. DMSO</w:t>
      </w:r>
      <w:r w:rsidRPr="002D57F2">
        <w:rPr>
          <w:rFonts w:ascii="Cambria Math" w:hAnsi="Cambria Math" w:cs="Cambria Math"/>
          <w:lang w:val="en-US"/>
        </w:rPr>
        <w:t>₂</w:t>
      </w:r>
      <w:r w:rsidRPr="002D57F2">
        <w:rPr>
          <w:lang w:val="en-US"/>
        </w:rPr>
        <w:t xml:space="preserve"> was weighed on an analytical balance with 0.01 mg resolution, and DMTP on a microbalance with 0.0001 mg resolution (Mettler Toledo UMX5). The PULCON reference solution was prepared by dissolving 2.0 mg of DMTP in 4.0 g of </w:t>
      </w:r>
      <w:proofErr w:type="spellStart"/>
      <w:r w:rsidRPr="002D57F2">
        <w:rPr>
          <w:lang w:val="en-US"/>
        </w:rPr>
        <w:t>CDCl</w:t>
      </w:r>
      <w:proofErr w:type="spellEnd"/>
      <w:r w:rsidRPr="002D57F2">
        <w:rPr>
          <w:rFonts w:ascii="Cambria Math" w:hAnsi="Cambria Math" w:cs="Cambria Math"/>
          <w:lang w:val="en-US"/>
        </w:rPr>
        <w:t>₃</w:t>
      </w:r>
      <w:r w:rsidRPr="002D57F2">
        <w:rPr>
          <w:lang w:val="en-US"/>
        </w:rPr>
        <w:t xml:space="preserve"> and transferring the solution to an NMR tube. DMSO</w:t>
      </w:r>
      <w:r w:rsidRPr="002D57F2">
        <w:rPr>
          <w:rFonts w:ascii="Cambria Math" w:hAnsi="Cambria Math" w:cs="Cambria Math"/>
          <w:lang w:val="en-US"/>
        </w:rPr>
        <w:t>₂</w:t>
      </w:r>
      <w:r w:rsidRPr="002D57F2">
        <w:rPr>
          <w:lang w:val="en-US"/>
        </w:rPr>
        <w:t xml:space="preserve"> calibration solutions were prepared over a broad concentration range, including an initial solution at 0.386 mg g</w:t>
      </w:r>
      <w:r w:rsidRPr="002D57F2">
        <w:rPr>
          <w:rFonts w:ascii="Cambria Math" w:hAnsi="Cambria Math" w:cs="Cambria Math"/>
          <w:lang w:val="en-US"/>
        </w:rPr>
        <w:t>⁻</w:t>
      </w:r>
      <w:r w:rsidRPr="002D57F2">
        <w:rPr>
          <w:lang w:val="en-US"/>
        </w:rPr>
        <w:t>¹, nine solutions spanning 0.004–20.8 mg g</w:t>
      </w:r>
      <w:r w:rsidRPr="002D57F2">
        <w:rPr>
          <w:rFonts w:ascii="Cambria Math" w:hAnsi="Cambria Math" w:cs="Cambria Math"/>
          <w:lang w:val="en-US"/>
        </w:rPr>
        <w:t>⁻</w:t>
      </w:r>
      <w:r w:rsidRPr="002D57F2">
        <w:rPr>
          <w:lang w:val="en-US"/>
        </w:rPr>
        <w:t>¹, and three additional solutions at 0.5, 5.0, and 20 mg g</w:t>
      </w:r>
      <w:r w:rsidRPr="002D57F2">
        <w:rPr>
          <w:rFonts w:ascii="Cambria Math" w:hAnsi="Cambria Math" w:cs="Cambria Math"/>
          <w:lang w:val="en-US"/>
        </w:rPr>
        <w:t>⁻</w:t>
      </w:r>
      <w:r w:rsidRPr="002D57F2">
        <w:rPr>
          <w:lang w:val="en-US"/>
        </w:rPr>
        <w:t>¹.</w:t>
      </w:r>
    </w:p>
    <w:p w14:paraId="1952B313" w14:textId="3F05F5D2" w:rsidR="002B64C9" w:rsidRPr="00976DB5" w:rsidRDefault="006A40B4" w:rsidP="00976DB5">
      <w:pPr>
        <w:pStyle w:val="berschrift1"/>
        <w:spacing w:line="360" w:lineRule="auto"/>
        <w:jc w:val="both"/>
        <w:rPr>
          <w:rFonts w:ascii="Arial" w:hAnsi="Arial" w:cs="Arial"/>
          <w:b/>
          <w:bCs/>
          <w:color w:val="auto"/>
          <w:sz w:val="24"/>
          <w:szCs w:val="24"/>
          <w:lang w:val="en-US"/>
        </w:rPr>
      </w:pPr>
      <w:bookmarkStart w:id="6" w:name="_Toc216797612"/>
      <w:r>
        <w:rPr>
          <w:rFonts w:ascii="Arial" w:hAnsi="Arial" w:cs="Arial"/>
          <w:b/>
          <w:bCs/>
          <w:color w:val="auto"/>
          <w:sz w:val="24"/>
          <w:szCs w:val="24"/>
          <w:lang w:val="en-US"/>
        </w:rPr>
        <w:t>S</w:t>
      </w:r>
      <w:r w:rsidR="00986006" w:rsidRPr="00976DB5">
        <w:rPr>
          <w:rFonts w:ascii="Arial" w:hAnsi="Arial" w:cs="Arial"/>
          <w:b/>
          <w:bCs/>
          <w:color w:val="auto"/>
          <w:sz w:val="24"/>
          <w:szCs w:val="24"/>
          <w:lang w:val="en-US"/>
        </w:rPr>
        <w:t>3) NMR and chromatography i</w:t>
      </w:r>
      <w:r w:rsidR="002B64C9" w:rsidRPr="00976DB5">
        <w:rPr>
          <w:rFonts w:ascii="Arial" w:hAnsi="Arial" w:cs="Arial"/>
          <w:b/>
          <w:bCs/>
          <w:color w:val="auto"/>
          <w:sz w:val="24"/>
          <w:szCs w:val="24"/>
          <w:lang w:val="en-US"/>
        </w:rPr>
        <w:t>nstrumentation</w:t>
      </w:r>
      <w:r w:rsidR="00986006" w:rsidRPr="00976DB5">
        <w:rPr>
          <w:rFonts w:ascii="Arial" w:hAnsi="Arial" w:cs="Arial"/>
          <w:b/>
          <w:bCs/>
          <w:color w:val="auto"/>
          <w:sz w:val="24"/>
          <w:szCs w:val="24"/>
          <w:lang w:val="en-US"/>
        </w:rPr>
        <w:t xml:space="preserve"> conditions</w:t>
      </w:r>
      <w:bookmarkEnd w:id="6"/>
    </w:p>
    <w:p w14:paraId="14ACA3F1" w14:textId="62B45CDE" w:rsidR="002B64C9" w:rsidRPr="00976DB5" w:rsidRDefault="006A40B4" w:rsidP="00976DB5">
      <w:pPr>
        <w:pStyle w:val="berschrift2"/>
        <w:spacing w:line="360" w:lineRule="auto"/>
        <w:jc w:val="both"/>
        <w:rPr>
          <w:rFonts w:ascii="Arial" w:hAnsi="Arial" w:cs="Arial"/>
          <w:color w:val="auto"/>
          <w:sz w:val="22"/>
          <w:szCs w:val="22"/>
          <w:lang w:val="en-US"/>
        </w:rPr>
      </w:pPr>
      <w:bookmarkStart w:id="7" w:name="_Toc216797613"/>
      <w:r>
        <w:rPr>
          <w:rFonts w:ascii="Arial" w:hAnsi="Arial" w:cs="Arial"/>
          <w:color w:val="auto"/>
          <w:sz w:val="22"/>
          <w:szCs w:val="22"/>
          <w:lang w:val="en-US"/>
        </w:rPr>
        <w:t>S</w:t>
      </w:r>
      <w:r w:rsidR="00986006" w:rsidRPr="00976DB5">
        <w:rPr>
          <w:rFonts w:ascii="Arial" w:hAnsi="Arial" w:cs="Arial"/>
          <w:color w:val="auto"/>
          <w:sz w:val="22"/>
          <w:szCs w:val="22"/>
          <w:lang w:val="en-US"/>
        </w:rPr>
        <w:t>3.</w:t>
      </w:r>
      <w:r w:rsidR="002B64C9" w:rsidRPr="00976DB5">
        <w:rPr>
          <w:rFonts w:ascii="Arial" w:hAnsi="Arial" w:cs="Arial"/>
          <w:color w:val="auto"/>
          <w:sz w:val="22"/>
          <w:szCs w:val="22"/>
          <w:lang w:val="en-US"/>
        </w:rPr>
        <w:t>1) Preparative HPLC</w:t>
      </w:r>
      <w:bookmarkEnd w:id="7"/>
      <w:r w:rsidR="002B64C9" w:rsidRPr="00976DB5">
        <w:rPr>
          <w:rFonts w:ascii="Arial" w:hAnsi="Arial" w:cs="Arial"/>
          <w:color w:val="auto"/>
          <w:sz w:val="22"/>
          <w:szCs w:val="22"/>
          <w:lang w:val="en-US"/>
        </w:rPr>
        <w:t xml:space="preserve"> </w:t>
      </w:r>
    </w:p>
    <w:p w14:paraId="3E1A0554" w14:textId="77777777" w:rsidR="002B64C9" w:rsidRPr="00EC4080" w:rsidRDefault="002B64C9" w:rsidP="002B64C9">
      <w:pPr>
        <w:spacing w:before="240" w:after="240" w:line="360" w:lineRule="auto"/>
        <w:ind w:firstLine="720"/>
        <w:jc w:val="both"/>
        <w:rPr>
          <w:lang w:val="en-US"/>
        </w:rPr>
      </w:pPr>
      <w:r w:rsidRPr="00EC4080">
        <w:rPr>
          <w:lang w:val="en-US"/>
        </w:rPr>
        <w:t>Large-scale isolation of CBN and Δ</w:t>
      </w:r>
      <w:r w:rsidRPr="00EC4080">
        <w:rPr>
          <w:rFonts w:ascii="Cambria Math" w:hAnsi="Cambria Math" w:cs="Cambria Math"/>
          <w:lang w:val="en-US"/>
        </w:rPr>
        <w:t>⁹</w:t>
      </w:r>
      <w:r w:rsidRPr="00EC4080">
        <w:rPr>
          <w:lang w:val="en-US"/>
        </w:rPr>
        <w:t xml:space="preserve">–THC was performed using a preparative HPLC–DAD system (Waters, Milford, MA, USA) equipped with a binary pump and a C18 </w:t>
      </w:r>
      <w:r w:rsidRPr="00EC4080">
        <w:rPr>
          <w:lang w:val="en-US"/>
        </w:rPr>
        <w:lastRenderedPageBreak/>
        <w:t xml:space="preserve">preparative column (250 × 19 mm, 10 </w:t>
      </w:r>
      <w:proofErr w:type="spellStart"/>
      <w:r w:rsidRPr="00EC4080">
        <w:rPr>
          <w:lang w:val="en-US"/>
        </w:rPr>
        <w:t>μm</w:t>
      </w:r>
      <w:proofErr w:type="spellEnd"/>
      <w:r w:rsidRPr="00EC4080">
        <w:rPr>
          <w:lang w:val="en-US"/>
        </w:rPr>
        <w:t>; Waters). Mobile phase A was water with 0.01% (v/v) formic acid and mobile phase B was methanol; the system was operated in isocratic mode (10:90, v/v). The flow rate was 17.06 mL min</w:t>
      </w:r>
      <w:r w:rsidRPr="00EC4080">
        <w:rPr>
          <w:rFonts w:ascii="Cambria Math" w:hAnsi="Cambria Math" w:cs="Cambria Math"/>
          <w:lang w:val="en-US"/>
        </w:rPr>
        <w:t>⁻</w:t>
      </w:r>
      <w:r w:rsidRPr="00EC4080">
        <w:rPr>
          <w:lang w:val="en-US"/>
        </w:rPr>
        <w:t>¹, injection volume was 5 mL, and cannabinoids were detected by PDA at 210 nm. The total run time was 14 min. Fractions were collected at retention time intervals of 7.40–8.55 min for CBN and 8.70–10.25 min for Δ</w:t>
      </w:r>
      <w:r w:rsidRPr="00EC4080">
        <w:rPr>
          <w:rFonts w:ascii="Cambria Math" w:hAnsi="Cambria Math" w:cs="Cambria Math"/>
          <w:lang w:val="en-US"/>
        </w:rPr>
        <w:t>⁹</w:t>
      </w:r>
      <w:r w:rsidRPr="00EC4080">
        <w:rPr>
          <w:lang w:val="en-US"/>
        </w:rPr>
        <w:t>–THC.</w:t>
      </w:r>
    </w:p>
    <w:p w14:paraId="074B4AE0" w14:textId="3C5B99D9" w:rsidR="002B64C9" w:rsidRPr="00976DB5" w:rsidRDefault="006A40B4" w:rsidP="00976DB5">
      <w:pPr>
        <w:pStyle w:val="berschrift2"/>
        <w:spacing w:line="360" w:lineRule="auto"/>
        <w:jc w:val="both"/>
        <w:rPr>
          <w:rFonts w:ascii="Arial" w:hAnsi="Arial" w:cs="Arial"/>
          <w:color w:val="auto"/>
          <w:sz w:val="22"/>
          <w:szCs w:val="22"/>
          <w:lang w:val="en-US"/>
        </w:rPr>
      </w:pPr>
      <w:bookmarkStart w:id="8" w:name="_Toc216797614"/>
      <w:r>
        <w:rPr>
          <w:rFonts w:ascii="Arial" w:hAnsi="Arial" w:cs="Arial"/>
          <w:color w:val="auto"/>
          <w:sz w:val="22"/>
          <w:szCs w:val="22"/>
          <w:lang w:val="en-US"/>
        </w:rPr>
        <w:t>S</w:t>
      </w:r>
      <w:r w:rsidR="002D57F2" w:rsidRPr="00976DB5">
        <w:rPr>
          <w:rFonts w:ascii="Arial" w:hAnsi="Arial" w:cs="Arial"/>
          <w:color w:val="auto"/>
          <w:sz w:val="22"/>
          <w:szCs w:val="22"/>
          <w:lang w:val="en-US"/>
        </w:rPr>
        <w:t>3</w:t>
      </w:r>
      <w:r w:rsidR="002B64C9" w:rsidRPr="00976DB5">
        <w:rPr>
          <w:rFonts w:ascii="Arial" w:hAnsi="Arial" w:cs="Arial"/>
          <w:color w:val="auto"/>
          <w:sz w:val="22"/>
          <w:szCs w:val="22"/>
          <w:lang w:val="en-US"/>
        </w:rPr>
        <w:t>.2) HPLC–DAD–MS/MS (UPLC)</w:t>
      </w:r>
      <w:bookmarkEnd w:id="8"/>
      <w:r w:rsidR="002B64C9" w:rsidRPr="00976DB5">
        <w:rPr>
          <w:rFonts w:ascii="Arial" w:hAnsi="Arial" w:cs="Arial"/>
          <w:color w:val="auto"/>
          <w:sz w:val="22"/>
          <w:szCs w:val="22"/>
          <w:lang w:val="en-US"/>
        </w:rPr>
        <w:t xml:space="preserve"> </w:t>
      </w:r>
    </w:p>
    <w:p w14:paraId="6E84214E" w14:textId="5264BC24" w:rsidR="002B64C9" w:rsidRPr="00EC4080" w:rsidRDefault="002B64C9" w:rsidP="002B64C9">
      <w:pPr>
        <w:spacing w:before="240" w:after="240" w:line="360" w:lineRule="auto"/>
        <w:ind w:firstLine="720"/>
        <w:jc w:val="both"/>
        <w:rPr>
          <w:lang w:val="en-US"/>
        </w:rPr>
      </w:pPr>
      <w:r w:rsidRPr="00EC4080">
        <w:rPr>
          <w:lang w:val="en-US"/>
        </w:rPr>
        <w:t xml:space="preserve">Preliminary purity, homogeneity, and transport stability studies were conducted using an ACQUITY UPLC–PDA–MS/MS system (Waters) with a </w:t>
      </w:r>
      <w:proofErr w:type="spellStart"/>
      <w:r w:rsidRPr="00EC4080">
        <w:rPr>
          <w:lang w:val="en-US"/>
        </w:rPr>
        <w:t>Xevo</w:t>
      </w:r>
      <w:proofErr w:type="spellEnd"/>
      <w:r w:rsidRPr="00EC4080">
        <w:rPr>
          <w:lang w:val="en-US"/>
        </w:rPr>
        <w:t xml:space="preserve"> TQ detector. Chromatographic separation was achieved on an ACQUITY UPLC BEH C18 column (50 × 2.1 mm, 1.7 </w:t>
      </w:r>
      <w:proofErr w:type="spellStart"/>
      <w:r w:rsidRPr="00EC4080">
        <w:rPr>
          <w:lang w:val="en-US"/>
        </w:rPr>
        <w:t>μm</w:t>
      </w:r>
      <w:proofErr w:type="spellEnd"/>
      <w:r w:rsidRPr="00EC4080">
        <w:rPr>
          <w:lang w:val="en-US"/>
        </w:rPr>
        <w:t>) at 27.5 °C with an FTN automatic injector. DAD scanning was performed from 190–500 nm and cannabinoids were monitored at 210 nm. Mobile phase A was water containing 0.01% (v/v) formic acid and mobile phase B was methanol; analyses were performed</w:t>
      </w:r>
      <w:r w:rsidR="007D6FFA">
        <w:rPr>
          <w:lang w:val="en-US"/>
        </w:rPr>
        <w:t xml:space="preserve"> in</w:t>
      </w:r>
      <w:r w:rsidRPr="00EC4080">
        <w:rPr>
          <w:lang w:val="en-US"/>
        </w:rPr>
        <w:t xml:space="preserve"> isocratic</w:t>
      </w:r>
      <w:r w:rsidR="007D6FFA">
        <w:rPr>
          <w:lang w:val="en-US"/>
        </w:rPr>
        <w:t xml:space="preserve"> mode </w:t>
      </w:r>
      <w:r w:rsidRPr="00EC4080">
        <w:rPr>
          <w:lang w:val="en-US"/>
        </w:rPr>
        <w:t>(18:82, v/v). The flow rate was 0.61 mL min</w:t>
      </w:r>
      <w:r w:rsidRPr="00EC4080">
        <w:rPr>
          <w:rFonts w:ascii="Cambria Math" w:hAnsi="Cambria Math" w:cs="Cambria Math"/>
          <w:lang w:val="en-US"/>
        </w:rPr>
        <w:t>⁻</w:t>
      </w:r>
      <w:r w:rsidRPr="00EC4080">
        <w:rPr>
          <w:lang w:val="en-US"/>
        </w:rPr>
        <w:t xml:space="preserve">¹, injection volume 2 </w:t>
      </w:r>
      <w:proofErr w:type="spellStart"/>
      <w:r w:rsidRPr="00EC4080">
        <w:rPr>
          <w:lang w:val="en-US"/>
        </w:rPr>
        <w:t>μL</w:t>
      </w:r>
      <w:proofErr w:type="spellEnd"/>
      <w:r w:rsidRPr="00EC4080">
        <w:rPr>
          <w:lang w:val="en-US"/>
        </w:rPr>
        <w:t>, and total run time 5 min.</w:t>
      </w:r>
    </w:p>
    <w:p w14:paraId="5DFE9470" w14:textId="62F5B4E5" w:rsidR="002B64C9" w:rsidRPr="00EC4080" w:rsidRDefault="002B64C9" w:rsidP="002B64C9">
      <w:pPr>
        <w:spacing w:before="240" w:after="240" w:line="360" w:lineRule="auto"/>
        <w:ind w:firstLine="720"/>
        <w:jc w:val="both"/>
        <w:rPr>
          <w:lang w:val="en-US"/>
        </w:rPr>
      </w:pPr>
      <w:r w:rsidRPr="00EC4080">
        <w:rPr>
          <w:lang w:val="en-US"/>
        </w:rPr>
        <w:t>Mass spectrometric detection was performed in positive ion mode via electrospray ionization (ESI</w:t>
      </w:r>
      <w:r w:rsidRPr="00EC4080">
        <w:rPr>
          <w:rFonts w:ascii="Cambria Math" w:hAnsi="Cambria Math" w:cs="Cambria Math"/>
          <w:lang w:val="en-US"/>
        </w:rPr>
        <w:t>⁺</w:t>
      </w:r>
      <w:r w:rsidRPr="00EC4080">
        <w:rPr>
          <w:lang w:val="en-US"/>
        </w:rPr>
        <w:t>) with the following settings: nebulizing gas (N</w:t>
      </w:r>
      <w:r w:rsidRPr="00EC4080">
        <w:rPr>
          <w:rFonts w:ascii="Cambria Math" w:hAnsi="Cambria Math" w:cs="Cambria Math"/>
          <w:lang w:val="en-US"/>
        </w:rPr>
        <w:t>₂</w:t>
      </w:r>
      <w:r w:rsidRPr="00EC4080">
        <w:rPr>
          <w:lang w:val="en-US"/>
        </w:rPr>
        <w:t>) pressure, 2.0 bar; source temperature, 150 °C; desolvation temperature, 400 °C; cone gas flow, 20 L h</w:t>
      </w:r>
      <w:r w:rsidRPr="00EC4080">
        <w:rPr>
          <w:rFonts w:ascii="Cambria Math" w:hAnsi="Cambria Math" w:cs="Cambria Math"/>
          <w:lang w:val="en-US"/>
        </w:rPr>
        <w:t>⁻</w:t>
      </w:r>
      <w:r w:rsidRPr="00EC4080">
        <w:rPr>
          <w:lang w:val="en-US"/>
        </w:rPr>
        <w:t>¹; drying gas (N</w:t>
      </w:r>
      <w:r w:rsidRPr="00EC4080">
        <w:rPr>
          <w:rFonts w:ascii="Cambria Math" w:hAnsi="Cambria Math" w:cs="Cambria Math"/>
          <w:lang w:val="en-US"/>
        </w:rPr>
        <w:t>₂</w:t>
      </w:r>
      <w:r w:rsidRPr="00EC4080">
        <w:rPr>
          <w:lang w:val="en-US"/>
        </w:rPr>
        <w:t>) flow, 800 L h</w:t>
      </w:r>
      <w:r w:rsidRPr="00EC4080">
        <w:rPr>
          <w:rFonts w:ascii="Cambria Math" w:hAnsi="Cambria Math" w:cs="Cambria Math"/>
          <w:lang w:val="en-US"/>
        </w:rPr>
        <w:t>⁻</w:t>
      </w:r>
      <w:r w:rsidRPr="00EC4080">
        <w:rPr>
          <w:lang w:val="en-US"/>
        </w:rPr>
        <w:t>¹. The MS scan range was m/z 50–700 with a spectral rate of 0.5 spectra s</w:t>
      </w:r>
      <w:r w:rsidRPr="00EC4080">
        <w:rPr>
          <w:rFonts w:ascii="Cambria Math" w:hAnsi="Cambria Math" w:cs="Cambria Math"/>
          <w:lang w:val="en-US"/>
        </w:rPr>
        <w:t>⁻</w:t>
      </w:r>
      <w:r w:rsidRPr="00EC4080">
        <w:rPr>
          <w:lang w:val="en-US"/>
        </w:rPr>
        <w:t>¹. ESI(</w:t>
      </w:r>
      <w:r w:rsidRPr="00EC4080">
        <w:rPr>
          <w:rFonts w:ascii="Cambria Math" w:hAnsi="Cambria Math" w:cs="Cambria Math"/>
          <w:lang w:val="en-US"/>
        </w:rPr>
        <w:t>⁺</w:t>
      </w:r>
      <w:r w:rsidRPr="00EC4080">
        <w:rPr>
          <w:lang w:val="en-US"/>
        </w:rPr>
        <w:t>)–MS/MS experiments were conducted using a collision energy of 30 eV for ions at m/z 311 and 315 (CBN, CBD, and Δ</w:t>
      </w:r>
      <w:r w:rsidRPr="00EC4080">
        <w:rPr>
          <w:rFonts w:ascii="Cambria Math" w:hAnsi="Cambria Math" w:cs="Cambria Math"/>
          <w:lang w:val="en-US"/>
        </w:rPr>
        <w:t>⁹</w:t>
      </w:r>
      <w:r w:rsidRPr="00EC4080">
        <w:rPr>
          <w:lang w:val="en-US"/>
        </w:rPr>
        <w:t xml:space="preserve">–THC), with argon collision gas at 1.5 </w:t>
      </w:r>
      <w:proofErr w:type="spellStart"/>
      <w:r w:rsidRPr="00EC4080">
        <w:rPr>
          <w:lang w:val="en-US"/>
        </w:rPr>
        <w:t>mTorr</w:t>
      </w:r>
      <w:proofErr w:type="spellEnd"/>
      <w:r w:rsidRPr="00EC4080">
        <w:rPr>
          <w:lang w:val="en-US"/>
        </w:rPr>
        <w:t>. Two transition ions were monitored for cannabinoid identification using multiple reaction monitoring (MRM); transitions and voltages were based on McRae and Melanson</w:t>
      </w:r>
      <w:r w:rsidR="00B87F59">
        <w:rPr>
          <w:lang w:val="en-US"/>
        </w:rPr>
        <w:t xml:space="preserve"> </w:t>
      </w:r>
      <w:sdt>
        <w:sdtPr>
          <w:rPr>
            <w:color w:val="000000"/>
            <w:lang w:val="en-US"/>
          </w:rPr>
          <w:tag w:val="MENDELEY_CITATION_v3_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"/>
          <w:id w:val="1587115317"/>
          <w:placeholder>
            <w:docPart w:val="DefaultPlaceholder_-1854013440"/>
          </w:placeholder>
        </w:sdtPr>
        <w:sdtContent>
          <w:r w:rsidR="00FB0020" w:rsidRPr="00FB0020">
            <w:rPr>
              <w:color w:val="000000"/>
              <w:lang w:val="en-US"/>
            </w:rPr>
            <w:t>[4]</w:t>
          </w:r>
        </w:sdtContent>
      </w:sdt>
      <w:r w:rsidR="00B87F59">
        <w:rPr>
          <w:lang w:val="en-US"/>
        </w:rPr>
        <w:t>.</w:t>
      </w:r>
    </w:p>
    <w:p w14:paraId="0A916422" w14:textId="7D046737" w:rsidR="002B64C9" w:rsidRPr="00976DB5" w:rsidRDefault="006A40B4" w:rsidP="00976DB5">
      <w:pPr>
        <w:pStyle w:val="berschrift2"/>
        <w:spacing w:line="360" w:lineRule="auto"/>
        <w:jc w:val="both"/>
        <w:rPr>
          <w:rFonts w:ascii="Arial" w:hAnsi="Arial" w:cs="Arial"/>
          <w:color w:val="auto"/>
          <w:sz w:val="22"/>
          <w:szCs w:val="22"/>
          <w:lang w:val="en-US"/>
        </w:rPr>
      </w:pPr>
      <w:bookmarkStart w:id="9" w:name="_Toc216797615"/>
      <w:r>
        <w:rPr>
          <w:rFonts w:ascii="Arial" w:hAnsi="Arial" w:cs="Arial"/>
          <w:color w:val="auto"/>
          <w:sz w:val="22"/>
          <w:szCs w:val="22"/>
          <w:lang w:val="en-US"/>
        </w:rPr>
        <w:t>S</w:t>
      </w:r>
      <w:r w:rsidR="002D57F2" w:rsidRPr="00976DB5">
        <w:rPr>
          <w:rFonts w:ascii="Arial" w:hAnsi="Arial" w:cs="Arial"/>
          <w:color w:val="auto"/>
          <w:sz w:val="22"/>
          <w:szCs w:val="22"/>
          <w:lang w:val="en-US"/>
        </w:rPr>
        <w:t>3</w:t>
      </w:r>
      <w:r w:rsidR="002B64C9" w:rsidRPr="00976DB5">
        <w:rPr>
          <w:rFonts w:ascii="Arial" w:hAnsi="Arial" w:cs="Arial"/>
          <w:color w:val="auto"/>
          <w:sz w:val="22"/>
          <w:szCs w:val="22"/>
          <w:lang w:val="en-US"/>
        </w:rPr>
        <w:t xml:space="preserve">.3) Nuclear Magnetic </w:t>
      </w:r>
      <w:r w:rsidR="007D6FFA" w:rsidRPr="00976DB5">
        <w:rPr>
          <w:rFonts w:ascii="Arial" w:hAnsi="Arial" w:cs="Arial"/>
          <w:color w:val="auto"/>
          <w:sz w:val="22"/>
          <w:szCs w:val="22"/>
          <w:lang w:val="en-US"/>
        </w:rPr>
        <w:t>Resonance</w:t>
      </w:r>
      <w:r w:rsidR="00986006" w:rsidRPr="00976DB5">
        <w:rPr>
          <w:rFonts w:ascii="Arial" w:hAnsi="Arial" w:cs="Arial"/>
          <w:color w:val="auto"/>
          <w:sz w:val="22"/>
          <w:szCs w:val="22"/>
          <w:lang w:val="en-US"/>
        </w:rPr>
        <w:t xml:space="preserve"> (NMR)</w:t>
      </w:r>
      <w:bookmarkEnd w:id="9"/>
    </w:p>
    <w:p w14:paraId="06BB1EDB" w14:textId="77777777" w:rsidR="002B64C9" w:rsidRDefault="002B64C9" w:rsidP="002B64C9">
      <w:pPr>
        <w:spacing w:before="240" w:after="240" w:line="360" w:lineRule="auto"/>
        <w:ind w:firstLine="720"/>
        <w:jc w:val="both"/>
        <w:rPr>
          <w:lang w:val="en-US"/>
        </w:rPr>
      </w:pPr>
      <w:r w:rsidRPr="00EC4080">
        <w:rPr>
          <w:lang w:val="en-US"/>
        </w:rPr>
        <w:t xml:space="preserve">NMR spectra were acquired on an Avance III 500 MHz spectrometer (Bruker </w:t>
      </w:r>
      <w:proofErr w:type="spellStart"/>
      <w:r w:rsidRPr="00EC4080">
        <w:rPr>
          <w:lang w:val="en-US"/>
        </w:rPr>
        <w:t>Daltonics</w:t>
      </w:r>
      <w:proofErr w:type="spellEnd"/>
      <w:r w:rsidRPr="00EC4080">
        <w:rPr>
          <w:lang w:val="en-US"/>
        </w:rPr>
        <w:t>, MA, USA) equipped with a 5 mm Prodigy cryoprobe (CPP TCI 500S1 H&amp;F</w:t>
      </w:r>
      <w:r w:rsidRPr="00EC4080">
        <w:rPr>
          <w:rFonts w:ascii="MS Gothic" w:hAnsi="MS Gothic" w:cs="MS Gothic"/>
          <w:lang w:val="en-US"/>
        </w:rPr>
        <w:t>‑</w:t>
      </w:r>
      <w:r w:rsidRPr="00EC4080">
        <w:rPr>
          <w:lang w:val="en-US"/>
        </w:rPr>
        <w:t>C/N</w:t>
      </w:r>
      <w:r w:rsidRPr="00EC4080">
        <w:rPr>
          <w:rFonts w:ascii="MS Gothic" w:hAnsi="MS Gothic" w:cs="MS Gothic"/>
          <w:lang w:val="en-US"/>
        </w:rPr>
        <w:t>‑</w:t>
      </w:r>
      <w:r w:rsidRPr="00EC4080">
        <w:rPr>
          <w:lang w:val="en-US"/>
        </w:rPr>
        <w:t>D</w:t>
      </w:r>
      <w:r w:rsidRPr="00EC4080">
        <w:rPr>
          <w:rFonts w:ascii="MS Gothic" w:hAnsi="MS Gothic" w:cs="MS Gothic"/>
          <w:lang w:val="en-US"/>
        </w:rPr>
        <w:t>‑</w:t>
      </w:r>
      <w:r w:rsidRPr="00EC4080">
        <w:rPr>
          <w:lang w:val="en-US"/>
        </w:rPr>
        <w:t xml:space="preserve">05 Z), operating at 11.7 T and 298 K. Experiments were performed at 20.0 ± 0.1 °C using a </w:t>
      </w:r>
      <w:proofErr w:type="spellStart"/>
      <w:r w:rsidRPr="00EC4080">
        <w:rPr>
          <w:lang w:val="en-US"/>
        </w:rPr>
        <w:t>zg</w:t>
      </w:r>
      <w:proofErr w:type="spellEnd"/>
      <w:r w:rsidRPr="00EC4080">
        <w:rPr>
          <w:lang w:val="en-US"/>
        </w:rPr>
        <w:t xml:space="preserve"> pulse sequence, with the 90° pulse calibrated for each acquisition (centered at 5.8 ppm). The acquisition time was 3.28 s, with 8 transients and a relaxation delay of 40 s, maintaining an FID resolution of 0.31 Hz pt</w:t>
      </w:r>
      <w:r w:rsidRPr="00EC4080">
        <w:rPr>
          <w:rFonts w:ascii="Cambria Math" w:hAnsi="Cambria Math" w:cs="Cambria Math"/>
          <w:lang w:val="en-US"/>
        </w:rPr>
        <w:t>⁻</w:t>
      </w:r>
      <w:r w:rsidRPr="00EC4080">
        <w:rPr>
          <w:lang w:val="en-US"/>
        </w:rPr>
        <w:t xml:space="preserve">¹. </w:t>
      </w:r>
      <w:r w:rsidRPr="008678AE">
        <w:rPr>
          <w:vertAlign w:val="superscript"/>
          <w:lang w:val="en-US"/>
        </w:rPr>
        <w:t>1</w:t>
      </w:r>
      <w:r w:rsidRPr="00EC4080">
        <w:rPr>
          <w:lang w:val="en-US"/>
        </w:rPr>
        <w:t xml:space="preserve">H </w:t>
      </w:r>
      <w:r>
        <w:rPr>
          <w:lang w:val="en-US"/>
        </w:rPr>
        <w:t xml:space="preserve">NMR </w:t>
      </w:r>
      <w:r w:rsidRPr="00EC4080">
        <w:rPr>
          <w:lang w:val="en-US"/>
        </w:rPr>
        <w:t xml:space="preserve">spectra were referenced to the </w:t>
      </w:r>
      <w:proofErr w:type="spellStart"/>
      <w:r w:rsidRPr="00EC4080">
        <w:rPr>
          <w:lang w:val="en-US"/>
        </w:rPr>
        <w:t>CDCl</w:t>
      </w:r>
      <w:proofErr w:type="spellEnd"/>
      <w:r w:rsidRPr="00EC4080">
        <w:rPr>
          <w:rFonts w:ascii="Cambria Math" w:hAnsi="Cambria Math" w:cs="Cambria Math"/>
          <w:lang w:val="en-US"/>
        </w:rPr>
        <w:t>₃</w:t>
      </w:r>
      <w:r w:rsidRPr="00EC4080">
        <w:rPr>
          <w:lang w:val="en-US"/>
        </w:rPr>
        <w:t xml:space="preserve"> solvent signal at 7.24 ppm. Cannabinoid quantification was performed by external standardization with pulse width correction using the PULCON </w:t>
      </w:r>
      <w:r w:rsidRPr="00EC4080">
        <w:rPr>
          <w:lang w:val="en-US"/>
        </w:rPr>
        <w:lastRenderedPageBreak/>
        <w:t xml:space="preserve">method and dimethylsulfone CRM as the external standard. Both the dry extract of the Cannabis CRM candidate material and the dimethylsulfone CRM were analyzed in deuterated chloroform; all samples were weighed gravimetrically. Data were processed using </w:t>
      </w:r>
      <w:proofErr w:type="spellStart"/>
      <w:r w:rsidRPr="00EC4080">
        <w:rPr>
          <w:lang w:val="en-US"/>
        </w:rPr>
        <w:t>TopSpin</w:t>
      </w:r>
      <w:proofErr w:type="spellEnd"/>
      <w:r w:rsidRPr="00EC4080">
        <w:rPr>
          <w:lang w:val="en-US"/>
        </w:rPr>
        <w:t xml:space="preserve"> 3.6.5 (Bruker) and </w:t>
      </w:r>
      <w:proofErr w:type="spellStart"/>
      <w:r w:rsidRPr="00EC4080">
        <w:rPr>
          <w:lang w:val="en-US"/>
        </w:rPr>
        <w:t>MestreNova</w:t>
      </w:r>
      <w:proofErr w:type="spellEnd"/>
      <w:r w:rsidRPr="00EC4080">
        <w:rPr>
          <w:lang w:val="en-US"/>
        </w:rPr>
        <w:t xml:space="preserve"> 14.1.1 (</w:t>
      </w:r>
      <w:proofErr w:type="spellStart"/>
      <w:r w:rsidRPr="00EC4080">
        <w:rPr>
          <w:lang w:val="en-US"/>
        </w:rPr>
        <w:t>Mestrelab</w:t>
      </w:r>
      <w:proofErr w:type="spellEnd"/>
      <w:r w:rsidRPr="00EC4080">
        <w:rPr>
          <w:lang w:val="en-US"/>
        </w:rPr>
        <w:t xml:space="preserve"> Research SL, Santiago de Compostela, Spain).</w:t>
      </w:r>
      <w:r w:rsidRPr="00E50516">
        <w:rPr>
          <w:lang w:val="en-US"/>
        </w:rPr>
        <w:t xml:space="preserve"> </w:t>
      </w:r>
    </w:p>
    <w:p w14:paraId="539B7B5E" w14:textId="61985D9A" w:rsidR="002B64C9" w:rsidRPr="006A40B4" w:rsidRDefault="006A40B4" w:rsidP="00976DB5">
      <w:pPr>
        <w:pStyle w:val="berschrift2"/>
        <w:spacing w:line="360" w:lineRule="auto"/>
        <w:jc w:val="both"/>
        <w:rPr>
          <w:rFonts w:ascii="Arial" w:hAnsi="Arial" w:cs="Arial"/>
          <w:color w:val="auto"/>
          <w:sz w:val="22"/>
          <w:szCs w:val="22"/>
          <w:lang w:val="en-US"/>
        </w:rPr>
      </w:pPr>
      <w:bookmarkStart w:id="10" w:name="_Toc216797616"/>
      <w:r w:rsidRPr="006A40B4">
        <w:rPr>
          <w:rFonts w:ascii="Arial" w:hAnsi="Arial" w:cs="Arial"/>
          <w:color w:val="auto"/>
          <w:sz w:val="22"/>
          <w:szCs w:val="22"/>
          <w:lang w:val="en-US"/>
        </w:rPr>
        <w:t>S</w:t>
      </w:r>
      <w:r w:rsidR="002D57F2" w:rsidRPr="006A40B4">
        <w:rPr>
          <w:rFonts w:ascii="Arial" w:hAnsi="Arial" w:cs="Arial"/>
          <w:color w:val="auto"/>
          <w:sz w:val="22"/>
          <w:szCs w:val="22"/>
          <w:lang w:val="en-US"/>
        </w:rPr>
        <w:t>3</w:t>
      </w:r>
      <w:r w:rsidR="002B64C9" w:rsidRPr="006A40B4">
        <w:rPr>
          <w:rFonts w:ascii="Arial" w:hAnsi="Arial" w:cs="Arial"/>
          <w:color w:val="auto"/>
          <w:sz w:val="22"/>
          <w:szCs w:val="22"/>
          <w:lang w:val="en-US"/>
        </w:rPr>
        <w:t xml:space="preserve">.4) PULCON ¹H NMR </w:t>
      </w:r>
      <w:r w:rsidR="00976DB5" w:rsidRPr="006A40B4">
        <w:rPr>
          <w:rFonts w:ascii="Arial" w:hAnsi="Arial" w:cs="Arial"/>
          <w:color w:val="auto"/>
          <w:sz w:val="22"/>
          <w:szCs w:val="22"/>
          <w:lang w:val="en-US"/>
        </w:rPr>
        <w:t>c</w:t>
      </w:r>
      <w:r w:rsidR="002B64C9" w:rsidRPr="006A40B4">
        <w:rPr>
          <w:rFonts w:ascii="Arial" w:hAnsi="Arial" w:cs="Arial"/>
          <w:color w:val="auto"/>
          <w:sz w:val="22"/>
          <w:szCs w:val="22"/>
          <w:lang w:val="en-US"/>
        </w:rPr>
        <w:t>onditions</w:t>
      </w:r>
      <w:bookmarkEnd w:id="10"/>
    </w:p>
    <w:p w14:paraId="0ED8ADC0" w14:textId="156B0337" w:rsidR="002B64C9" w:rsidRPr="002B64C9" w:rsidRDefault="002B64C9" w:rsidP="002B64C9">
      <w:pPr>
        <w:spacing w:before="240" w:after="240" w:line="360" w:lineRule="auto"/>
        <w:ind w:firstLine="708"/>
        <w:jc w:val="both"/>
        <w:rPr>
          <w:lang w:val="en-US"/>
        </w:rPr>
      </w:pPr>
      <w:r w:rsidRPr="002B64C9">
        <w:rPr>
          <w:lang w:val="en-US"/>
        </w:rPr>
        <w:t>Samples were placed in 5 mm borosilicate NMR tubes and inserted into the spectrometer. Locking was performed according to the solvent, followed by automatic tuning, matching, shimming, and pulse calibration. Measurements were conducted at 298 K using Bruker triple</w:t>
      </w:r>
      <w:r w:rsidRPr="002B64C9">
        <w:rPr>
          <w:rFonts w:ascii="Cambria Math" w:hAnsi="Cambria Math" w:cs="Cambria Math"/>
          <w:lang w:val="en-US"/>
        </w:rPr>
        <w:t>‑</w:t>
      </w:r>
      <w:r w:rsidRPr="002B64C9">
        <w:rPr>
          <w:lang w:val="en-US"/>
        </w:rPr>
        <w:t xml:space="preserve">resonance Prodigy cryoprobe and broadband observe (BBO) probes. Acquisition parameters were: spectral width, 40 ppm; acquisition time, 3.28 s; 128k data points; 4 dummy scans; 8 transients; and automatic receiver gain adjustment via the </w:t>
      </w:r>
      <w:proofErr w:type="spellStart"/>
      <w:r w:rsidRPr="002B64C9">
        <w:rPr>
          <w:lang w:val="en-US"/>
        </w:rPr>
        <w:t>rga</w:t>
      </w:r>
      <w:proofErr w:type="spellEnd"/>
      <w:r w:rsidRPr="002B64C9">
        <w:rPr>
          <w:lang w:val="en-US"/>
        </w:rPr>
        <w:t xml:space="preserve"> command. Spectral data processing was performed using </w:t>
      </w:r>
      <w:proofErr w:type="spellStart"/>
      <w:r w:rsidRPr="002B64C9">
        <w:rPr>
          <w:lang w:val="en-US"/>
        </w:rPr>
        <w:t>MestreNova</w:t>
      </w:r>
      <w:proofErr w:type="spellEnd"/>
      <w:r w:rsidRPr="002B64C9">
        <w:rPr>
          <w:lang w:val="en-US"/>
        </w:rPr>
        <w:t xml:space="preserve"> 14.1.1. Pulse calibration was automated using </w:t>
      </w:r>
      <w:proofErr w:type="spellStart"/>
      <w:r w:rsidRPr="002B64C9">
        <w:rPr>
          <w:lang w:val="en-US"/>
        </w:rPr>
        <w:t>pulsecal</w:t>
      </w:r>
      <w:proofErr w:type="spellEnd"/>
      <w:r w:rsidRPr="002B64C9">
        <w:rPr>
          <w:lang w:val="en-US"/>
        </w:rPr>
        <w:t xml:space="preserve">. Signal integration followed Inmetro’s qNMR Guide (item 6.7), integrating within a 30 Hz window around ¹³C satellite signals or, when unavailable, ±30 Hz from the chemical shift of the target signal. Baseline adjustment was performed within </w:t>
      </w:r>
      <w:proofErr w:type="spellStart"/>
      <w:r w:rsidRPr="002B64C9">
        <w:rPr>
          <w:lang w:val="en-US"/>
        </w:rPr>
        <w:t>MestreNova</w:t>
      </w:r>
      <w:proofErr w:type="spellEnd"/>
      <w:r w:rsidRPr="002B64C9">
        <w:rPr>
          <w:lang w:val="en-US"/>
        </w:rPr>
        <w:t>.</w:t>
      </w:r>
    </w:p>
    <w:p w14:paraId="298E681B" w14:textId="76350923" w:rsidR="002B64C9" w:rsidRPr="002B64C9" w:rsidRDefault="002B64C9" w:rsidP="002B64C9">
      <w:pPr>
        <w:spacing w:after="240" w:line="360" w:lineRule="auto"/>
        <w:ind w:firstLine="720"/>
        <w:jc w:val="both"/>
        <w:rPr>
          <w:lang w:val="en-US"/>
        </w:rPr>
      </w:pPr>
      <w:r w:rsidRPr="002B64C9">
        <w:rPr>
          <w:lang w:val="en-US"/>
        </w:rPr>
        <w:t>T</w:t>
      </w:r>
      <w:r w:rsidRPr="002B64C9">
        <w:rPr>
          <w:rFonts w:ascii="Cambria Math" w:hAnsi="Cambria Math" w:cs="Cambria Math"/>
          <w:lang w:val="en-US"/>
        </w:rPr>
        <w:t>₁</w:t>
      </w:r>
      <w:r w:rsidRPr="002B64C9">
        <w:rPr>
          <w:lang w:val="en-US"/>
        </w:rPr>
        <w:t xml:space="preserve"> relaxation times were measured using an inversion</w:t>
      </w:r>
      <w:r w:rsidRPr="002B64C9">
        <w:rPr>
          <w:rFonts w:ascii="Cambria Math" w:hAnsi="Cambria Math" w:cs="Cambria Math"/>
          <w:lang w:val="en-US"/>
        </w:rPr>
        <w:t>‑</w:t>
      </w:r>
      <w:r w:rsidRPr="002B64C9">
        <w:rPr>
          <w:lang w:val="en-US"/>
        </w:rPr>
        <w:t>recovery sequence (t1ir1d pulse program) with delay (D7) increments of 0.5 s. Repetition times matched the longest measured T</w:t>
      </w:r>
      <w:r w:rsidRPr="002B64C9">
        <w:rPr>
          <w:rFonts w:ascii="Cambria Math" w:hAnsi="Cambria Math" w:cs="Cambria Math"/>
          <w:lang w:val="en-US"/>
        </w:rPr>
        <w:t>₁</w:t>
      </w:r>
      <w:r w:rsidRPr="002B64C9">
        <w:rPr>
          <w:lang w:val="en-US"/>
        </w:rPr>
        <w:t xml:space="preserve"> values. T</w:t>
      </w:r>
      <w:r w:rsidRPr="002B64C9">
        <w:rPr>
          <w:rFonts w:ascii="Cambria Math" w:hAnsi="Cambria Math" w:cs="Cambria Math"/>
          <w:lang w:val="en-US"/>
        </w:rPr>
        <w:t>₁</w:t>
      </w:r>
      <w:r w:rsidRPr="002B64C9">
        <w:rPr>
          <w:lang w:val="en-US"/>
        </w:rPr>
        <w:t xml:space="preserve"> values obtained were: DMTP at 8.1 ppm (2.0 s) and 3.9 ppm (3.9 s) in </w:t>
      </w:r>
      <w:proofErr w:type="spellStart"/>
      <w:r w:rsidRPr="002B64C9">
        <w:rPr>
          <w:lang w:val="en-US"/>
        </w:rPr>
        <w:t>CDCl</w:t>
      </w:r>
      <w:proofErr w:type="spellEnd"/>
      <w:r w:rsidRPr="002B64C9">
        <w:rPr>
          <w:rFonts w:ascii="Cambria Math" w:hAnsi="Cambria Math" w:cs="Cambria Math"/>
          <w:lang w:val="en-US"/>
        </w:rPr>
        <w:t>₃</w:t>
      </w:r>
      <w:r w:rsidRPr="002B64C9">
        <w:rPr>
          <w:lang w:val="en-US"/>
        </w:rPr>
        <w:t>; DMSO</w:t>
      </w:r>
      <w:r w:rsidRPr="002B64C9">
        <w:rPr>
          <w:rFonts w:ascii="Cambria Math" w:hAnsi="Cambria Math" w:cs="Cambria Math"/>
          <w:lang w:val="en-US"/>
        </w:rPr>
        <w:t>₂</w:t>
      </w:r>
      <w:r w:rsidRPr="002B64C9">
        <w:rPr>
          <w:lang w:val="en-US"/>
        </w:rPr>
        <w:t xml:space="preserve"> at 4.33 s in </w:t>
      </w:r>
      <w:proofErr w:type="spellStart"/>
      <w:r w:rsidRPr="002B64C9">
        <w:rPr>
          <w:lang w:val="en-US"/>
        </w:rPr>
        <w:t>CDCl</w:t>
      </w:r>
      <w:proofErr w:type="spellEnd"/>
      <w:r w:rsidRPr="002B64C9">
        <w:rPr>
          <w:rFonts w:ascii="Cambria Math" w:hAnsi="Cambria Math" w:cs="Cambria Math"/>
          <w:lang w:val="en-US"/>
        </w:rPr>
        <w:t>₃</w:t>
      </w:r>
      <w:r w:rsidRPr="002B64C9">
        <w:rPr>
          <w:lang w:val="en-US"/>
        </w:rPr>
        <w:t xml:space="preserve"> and 5.78 s in acetone</w:t>
      </w:r>
      <w:r w:rsidRPr="002B64C9">
        <w:rPr>
          <w:rFonts w:ascii="Cambria Math" w:hAnsi="Cambria Math" w:cs="Cambria Math"/>
          <w:lang w:val="en-US"/>
        </w:rPr>
        <w:t>‑</w:t>
      </w:r>
      <w:r w:rsidRPr="002B64C9">
        <w:rPr>
          <w:lang w:val="en-US"/>
        </w:rPr>
        <w:t>d</w:t>
      </w:r>
      <w:r w:rsidRPr="002B64C9">
        <w:rPr>
          <w:rFonts w:ascii="Cambria Math" w:hAnsi="Cambria Math" w:cs="Cambria Math"/>
          <w:lang w:val="en-US"/>
        </w:rPr>
        <w:t>₆</w:t>
      </w:r>
      <w:r w:rsidRPr="002B64C9">
        <w:rPr>
          <w:lang w:val="en-US"/>
        </w:rPr>
        <w:t>; caffeine’s four signals averaged 4.3 s in acetone</w:t>
      </w:r>
      <w:r w:rsidRPr="002B64C9">
        <w:rPr>
          <w:rFonts w:ascii="Cambria Math" w:hAnsi="Cambria Math" w:cs="Cambria Math"/>
          <w:lang w:val="en-US"/>
        </w:rPr>
        <w:t>‑</w:t>
      </w:r>
      <w:r w:rsidRPr="002B64C9">
        <w:rPr>
          <w:lang w:val="en-US"/>
        </w:rPr>
        <w:t>d</w:t>
      </w:r>
      <w:r w:rsidRPr="002B64C9">
        <w:rPr>
          <w:rFonts w:ascii="Cambria Math" w:hAnsi="Cambria Math" w:cs="Cambria Math"/>
          <w:lang w:val="en-US"/>
        </w:rPr>
        <w:t>₆</w:t>
      </w:r>
      <w:r w:rsidRPr="002B64C9">
        <w:rPr>
          <w:lang w:val="en-US"/>
        </w:rPr>
        <w:t>. These ensured accurate, reproducible PULCON qNMR measurements</w:t>
      </w:r>
      <w:r>
        <w:rPr>
          <w:lang w:val="en-US"/>
        </w:rPr>
        <w:t>.</w:t>
      </w:r>
    </w:p>
    <w:p w14:paraId="573CA6FA" w14:textId="2D4BD19C" w:rsidR="002B64C9" w:rsidRPr="00976DB5" w:rsidRDefault="006A40B4" w:rsidP="00976DB5">
      <w:pPr>
        <w:pStyle w:val="berschrift2"/>
        <w:spacing w:line="360" w:lineRule="auto"/>
        <w:jc w:val="both"/>
        <w:rPr>
          <w:rFonts w:ascii="Arial" w:hAnsi="Arial" w:cs="Arial"/>
          <w:color w:val="auto"/>
          <w:sz w:val="24"/>
          <w:szCs w:val="24"/>
          <w:lang w:val="en-US"/>
        </w:rPr>
      </w:pPr>
      <w:bookmarkStart w:id="11" w:name="_Toc216797617"/>
      <w:r>
        <w:rPr>
          <w:rFonts w:ascii="Arial" w:hAnsi="Arial" w:cs="Arial"/>
          <w:color w:val="auto"/>
          <w:sz w:val="24"/>
          <w:szCs w:val="24"/>
          <w:lang w:val="en-US"/>
        </w:rPr>
        <w:t>S</w:t>
      </w:r>
      <w:r w:rsidR="002D57F2" w:rsidRPr="00976DB5">
        <w:rPr>
          <w:rFonts w:ascii="Arial" w:hAnsi="Arial" w:cs="Arial"/>
          <w:color w:val="auto"/>
          <w:sz w:val="24"/>
          <w:szCs w:val="24"/>
          <w:lang w:val="en-US"/>
        </w:rPr>
        <w:t>3</w:t>
      </w:r>
      <w:r w:rsidR="002B64C9" w:rsidRPr="00976DB5">
        <w:rPr>
          <w:rFonts w:ascii="Arial" w:hAnsi="Arial" w:cs="Arial"/>
          <w:color w:val="auto"/>
          <w:sz w:val="24"/>
          <w:szCs w:val="24"/>
          <w:lang w:val="en-US"/>
        </w:rPr>
        <w:t>.5) Gas Chromatography–Mass Spectrometry (GC–MS)</w:t>
      </w:r>
      <w:bookmarkEnd w:id="11"/>
    </w:p>
    <w:p w14:paraId="4CDEB67C" w14:textId="2F1DB976" w:rsidR="002B64C9" w:rsidRPr="002B64C9" w:rsidRDefault="002B64C9" w:rsidP="002B64C9">
      <w:pPr>
        <w:spacing w:before="240" w:after="240" w:line="360" w:lineRule="auto"/>
        <w:ind w:firstLine="360"/>
        <w:jc w:val="both"/>
        <w:rPr>
          <w:lang w:val="en-US"/>
        </w:rPr>
      </w:pPr>
      <w:r w:rsidRPr="002B64C9">
        <w:rPr>
          <w:lang w:val="en-US"/>
        </w:rPr>
        <w:t>Caffeine analysis in yerba mate extract by standard addition was performed using an Agilent 6890N gas chromatograph coupled to a 5975C mass spectrometer (Agilent, Santa Clara, CA, USA). Chromatographic separation used an Agilent DB</w:t>
      </w:r>
      <w:r w:rsidRPr="002B64C9">
        <w:rPr>
          <w:rFonts w:ascii="Cambria Math" w:hAnsi="Cambria Math" w:cs="Cambria Math"/>
          <w:lang w:val="en-US"/>
        </w:rPr>
        <w:t>‑</w:t>
      </w:r>
      <w:r w:rsidRPr="002B64C9">
        <w:rPr>
          <w:lang w:val="en-US"/>
        </w:rPr>
        <w:t xml:space="preserve">5MS column (30 m × 250 </w:t>
      </w:r>
      <w:proofErr w:type="spellStart"/>
      <w:r w:rsidRPr="002B64C9">
        <w:rPr>
          <w:lang w:val="en-US"/>
        </w:rPr>
        <w:t>μm</w:t>
      </w:r>
      <w:proofErr w:type="spellEnd"/>
      <w:r w:rsidRPr="002B64C9">
        <w:rPr>
          <w:lang w:val="en-US"/>
        </w:rPr>
        <w:t xml:space="preserve"> </w:t>
      </w:r>
      <w:proofErr w:type="spellStart"/>
      <w:r w:rsidRPr="002B64C9">
        <w:rPr>
          <w:lang w:val="en-US"/>
        </w:rPr>
        <w:t>i.d.</w:t>
      </w:r>
      <w:proofErr w:type="spellEnd"/>
      <w:r w:rsidRPr="002B64C9">
        <w:rPr>
          <w:lang w:val="en-US"/>
        </w:rPr>
        <w:t xml:space="preserve"> × 0.25 </w:t>
      </w:r>
      <w:proofErr w:type="spellStart"/>
      <w:r w:rsidRPr="002B64C9">
        <w:rPr>
          <w:lang w:val="en-US"/>
        </w:rPr>
        <w:t>μm</w:t>
      </w:r>
      <w:proofErr w:type="spellEnd"/>
      <w:r w:rsidRPr="002B64C9">
        <w:rPr>
          <w:lang w:val="en-US"/>
        </w:rPr>
        <w:t xml:space="preserve"> film thickness). Injection volume was 1.0 µL with an injector temperature of 280 °C and split ratio of 1:10. Carrier gas flow was 1.0 mL min</w:t>
      </w:r>
      <w:r w:rsidRPr="002B64C9">
        <w:rPr>
          <w:rFonts w:ascii="Cambria Math" w:hAnsi="Cambria Math" w:cs="Cambria Math"/>
          <w:lang w:val="en-US"/>
        </w:rPr>
        <w:t>⁻</w:t>
      </w:r>
      <w:r w:rsidRPr="002B64C9">
        <w:rPr>
          <w:lang w:val="en-US"/>
        </w:rPr>
        <w:t xml:space="preserve">¹. The oven was isothermal at 190 °C. Mass spectrometer acquisition was in scan mode monitoring m/z 50–550. Source and quadrupole temperatures were 230 °C and 150 °C, respectively. Caffeine quantification was based on </w:t>
      </w:r>
      <w:r w:rsidRPr="00665707">
        <w:rPr>
          <w:i/>
          <w:iCs/>
          <w:lang w:val="en-US"/>
        </w:rPr>
        <w:t>m/z</w:t>
      </w:r>
      <w:r w:rsidRPr="002B64C9">
        <w:rPr>
          <w:lang w:val="en-US"/>
        </w:rPr>
        <w:t xml:space="preserve"> 194</w:t>
      </w:r>
      <w:r>
        <w:rPr>
          <w:lang w:val="en-US"/>
        </w:rPr>
        <w:t>.</w:t>
      </w:r>
    </w:p>
    <w:p w14:paraId="6FA1B9FD" w14:textId="50B52064" w:rsidR="002B64C9" w:rsidRPr="00303FC3" w:rsidRDefault="006A40B4" w:rsidP="00976DB5">
      <w:pPr>
        <w:pStyle w:val="berschrift1"/>
        <w:spacing w:line="360" w:lineRule="auto"/>
        <w:jc w:val="both"/>
        <w:rPr>
          <w:rFonts w:ascii="Arial" w:hAnsi="Arial" w:cs="Arial"/>
          <w:b/>
          <w:bCs/>
          <w:color w:val="auto"/>
          <w:sz w:val="24"/>
          <w:szCs w:val="24"/>
          <w:lang w:val="en-US"/>
        </w:rPr>
      </w:pPr>
      <w:bookmarkStart w:id="12" w:name="_Toc216797618"/>
      <w:r>
        <w:rPr>
          <w:rFonts w:ascii="Arial" w:hAnsi="Arial" w:cs="Arial"/>
          <w:b/>
          <w:bCs/>
          <w:color w:val="auto"/>
          <w:sz w:val="24"/>
          <w:szCs w:val="24"/>
          <w:lang w:val="en-US"/>
        </w:rPr>
        <w:lastRenderedPageBreak/>
        <w:t>S</w:t>
      </w:r>
      <w:r w:rsidR="002D57F2" w:rsidRPr="00303FC3">
        <w:rPr>
          <w:rFonts w:ascii="Arial" w:hAnsi="Arial" w:cs="Arial"/>
          <w:b/>
          <w:bCs/>
          <w:color w:val="auto"/>
          <w:sz w:val="24"/>
          <w:szCs w:val="24"/>
          <w:lang w:val="en-US"/>
        </w:rPr>
        <w:t>4</w:t>
      </w:r>
      <w:r w:rsidR="00D14930" w:rsidRPr="00303FC3">
        <w:rPr>
          <w:rFonts w:ascii="Arial" w:hAnsi="Arial" w:cs="Arial"/>
          <w:b/>
          <w:bCs/>
          <w:color w:val="auto"/>
          <w:sz w:val="24"/>
          <w:szCs w:val="24"/>
          <w:lang w:val="en-US"/>
        </w:rPr>
        <w:t>) Caffeine determination by GC-MS and PULCON qNMR: validation of qNMR-PULCON approach</w:t>
      </w:r>
      <w:bookmarkEnd w:id="12"/>
    </w:p>
    <w:p w14:paraId="2A9B5888" w14:textId="4FA88A8C" w:rsidR="00D14930" w:rsidRPr="00976DB5" w:rsidRDefault="006A40B4" w:rsidP="00976DB5">
      <w:pPr>
        <w:pStyle w:val="berschrift2"/>
        <w:spacing w:line="360" w:lineRule="auto"/>
        <w:jc w:val="both"/>
        <w:rPr>
          <w:rFonts w:ascii="Arial" w:hAnsi="Arial" w:cs="Arial"/>
          <w:color w:val="auto"/>
          <w:sz w:val="22"/>
          <w:szCs w:val="22"/>
          <w:lang w:val="en-US"/>
        </w:rPr>
      </w:pPr>
      <w:bookmarkStart w:id="13" w:name="_Toc216797619"/>
      <w:r>
        <w:rPr>
          <w:rFonts w:ascii="Arial" w:hAnsi="Arial" w:cs="Arial"/>
          <w:color w:val="auto"/>
          <w:sz w:val="22"/>
          <w:szCs w:val="22"/>
          <w:lang w:val="en-US"/>
        </w:rPr>
        <w:t>S</w:t>
      </w:r>
      <w:r w:rsidR="002D57F2" w:rsidRPr="00976DB5">
        <w:rPr>
          <w:rFonts w:ascii="Arial" w:hAnsi="Arial" w:cs="Arial"/>
          <w:color w:val="auto"/>
          <w:sz w:val="22"/>
          <w:szCs w:val="22"/>
          <w:lang w:val="en-US"/>
        </w:rPr>
        <w:t>4</w:t>
      </w:r>
      <w:r w:rsidR="00D14930" w:rsidRPr="00976DB5">
        <w:rPr>
          <w:rFonts w:ascii="Arial" w:hAnsi="Arial" w:cs="Arial"/>
          <w:color w:val="auto"/>
          <w:sz w:val="22"/>
          <w:szCs w:val="22"/>
          <w:lang w:val="en-US"/>
        </w:rPr>
        <w:t>.1) Preparation of Yerba mate (</w:t>
      </w:r>
      <w:r w:rsidR="00D14930" w:rsidRPr="00976DB5">
        <w:rPr>
          <w:rFonts w:ascii="Arial" w:hAnsi="Arial" w:cs="Arial"/>
          <w:i/>
          <w:iCs/>
          <w:color w:val="auto"/>
          <w:sz w:val="22"/>
          <w:szCs w:val="22"/>
          <w:lang w:val="en-US"/>
        </w:rPr>
        <w:t>Ilex paraguariensis</w:t>
      </w:r>
      <w:r w:rsidR="00D14930" w:rsidRPr="00976DB5">
        <w:rPr>
          <w:rFonts w:ascii="Arial" w:hAnsi="Arial" w:cs="Arial"/>
          <w:color w:val="auto"/>
          <w:sz w:val="22"/>
          <w:szCs w:val="22"/>
          <w:lang w:val="en-US"/>
        </w:rPr>
        <w:t>) extracts</w:t>
      </w:r>
      <w:r w:rsidR="008F262D" w:rsidRPr="00976DB5">
        <w:rPr>
          <w:rFonts w:ascii="Arial" w:hAnsi="Arial" w:cs="Arial"/>
          <w:color w:val="auto"/>
          <w:sz w:val="22"/>
          <w:szCs w:val="22"/>
          <w:lang w:val="en-US"/>
        </w:rPr>
        <w:t xml:space="preserve"> and determination of the acquisition conditions</w:t>
      </w:r>
      <w:bookmarkEnd w:id="13"/>
    </w:p>
    <w:p w14:paraId="50B079A9" w14:textId="4EC9B115" w:rsidR="00D14930" w:rsidRDefault="00D14930" w:rsidP="002B64C9">
      <w:pPr>
        <w:spacing w:before="240" w:after="240" w:line="360" w:lineRule="auto"/>
        <w:ind w:firstLine="360"/>
        <w:jc w:val="both"/>
        <w:rPr>
          <w:lang w:val="en-US"/>
        </w:rPr>
      </w:pPr>
      <w:r w:rsidRPr="000F0D53">
        <w:rPr>
          <w:lang w:val="en-US"/>
        </w:rPr>
        <w:t>Yerba mate (</w:t>
      </w:r>
      <w:r w:rsidRPr="00976DB5">
        <w:rPr>
          <w:i/>
          <w:iCs/>
          <w:lang w:val="en-US"/>
        </w:rPr>
        <w:t>Ilex paraguariensis</w:t>
      </w:r>
      <w:r w:rsidRPr="000F0D53">
        <w:rPr>
          <w:lang w:val="en-US"/>
        </w:rPr>
        <w:t xml:space="preserve">) extract for caffeine analysis was prepared by weighing 1.0 g of commercial mate and extracting with 20 mL of a 1:1 (v/v) mixture of HPLC-grade methanol and acetone in an ultrasonic bath (Elma, </w:t>
      </w:r>
      <w:proofErr w:type="spellStart"/>
      <w:r w:rsidRPr="000F0D53">
        <w:rPr>
          <w:lang w:val="en-US"/>
        </w:rPr>
        <w:t>Hohentwiel</w:t>
      </w:r>
      <w:proofErr w:type="spellEnd"/>
      <w:r w:rsidRPr="000F0D53">
        <w:rPr>
          <w:lang w:val="en-US"/>
        </w:rPr>
        <w:t>, Germany) at 40 °C for 15 min. All solvent fractions were combined and concentrated under reduced pressure (500 mbar, 40 °C) using a rotary evaporator (</w:t>
      </w:r>
      <w:proofErr w:type="spellStart"/>
      <w:r w:rsidRPr="000F0D53">
        <w:rPr>
          <w:lang w:val="en-US"/>
        </w:rPr>
        <w:t>Büchi</w:t>
      </w:r>
      <w:proofErr w:type="spellEnd"/>
      <w:r w:rsidRPr="000F0D53">
        <w:rPr>
          <w:lang w:val="en-US"/>
        </w:rPr>
        <w:t xml:space="preserve">, </w:t>
      </w:r>
      <w:proofErr w:type="spellStart"/>
      <w:r w:rsidRPr="000F0D53">
        <w:rPr>
          <w:lang w:val="en-US"/>
        </w:rPr>
        <w:t>Flawil</w:t>
      </w:r>
      <w:proofErr w:type="spellEnd"/>
      <w:r w:rsidRPr="000F0D53">
        <w:rPr>
          <w:lang w:val="en-US"/>
        </w:rPr>
        <w:t>, Switzerland). The concentrated extract was divided into three 10 mL flasks and evaporated to dryness under nitrogen. Each dried extract was dissolved in 5 mL of acetone-d₆, filtered through a 0.45 µm nylon membrane (Merck/Millipore), and split into two portions: one for NMR analysis and one for GC–MS analysis</w:t>
      </w:r>
      <w:r>
        <w:rPr>
          <w:lang w:val="en-US"/>
        </w:rPr>
        <w:t xml:space="preserve">. </w:t>
      </w:r>
    </w:p>
    <w:p w14:paraId="58BF353A" w14:textId="241B7AE2" w:rsidR="00D14930" w:rsidRDefault="00D14930" w:rsidP="002B64C9">
      <w:pPr>
        <w:spacing w:before="240" w:after="240" w:line="360" w:lineRule="auto"/>
        <w:ind w:firstLine="360"/>
        <w:jc w:val="both"/>
        <w:rPr>
          <w:lang w:val="en-US"/>
        </w:rPr>
      </w:pPr>
      <w:r w:rsidRPr="000F0D53">
        <w:rPr>
          <w:lang w:val="en-US"/>
        </w:rPr>
        <w:t>For NMR quantification, the PULCON method was applied using DMSO₂ in acetone-d₆ as the reference. All extracts and references were prepared gravimetrically and analyzed in triplicate. Caffeine chemical shifts at 3.33, 3.50, and 3.94 ppm (all triplets) and at 7.80 ppm (singlet) were observed; the 3.33 ppm signal was selected for quantification due to superior baseline stability and signal definition. The DMSO₂ singlet at 3.00 ppm (multiplicity = 6) served as the reference signal</w:t>
      </w:r>
      <w:r w:rsidR="008F262D">
        <w:rPr>
          <w:lang w:val="en-US"/>
        </w:rPr>
        <w:t>.</w:t>
      </w:r>
    </w:p>
    <w:p w14:paraId="2A691A78" w14:textId="6391F921" w:rsidR="002B64C9" w:rsidRDefault="00D14930" w:rsidP="002B64C9">
      <w:pPr>
        <w:spacing w:before="240" w:after="240" w:line="360" w:lineRule="auto"/>
        <w:ind w:firstLine="360"/>
        <w:jc w:val="both"/>
        <w:rPr>
          <w:lang w:val="en-US"/>
        </w:rPr>
      </w:pPr>
      <w:r>
        <w:rPr>
          <w:lang w:val="en-US"/>
        </w:rPr>
        <w:t>To stablish the</w:t>
      </w:r>
      <w:r w:rsidR="002B64C9">
        <w:rPr>
          <w:lang w:val="en-US"/>
        </w:rPr>
        <w:t xml:space="preserve"> linearity of qNMR calibration using PULCON, we prepared one sample of a dimethylsulfone </w:t>
      </w:r>
      <w:r w:rsidR="002B64C9" w:rsidRPr="00A20843">
        <w:rPr>
          <w:lang w:val="en-US"/>
        </w:rPr>
        <w:t>(DMSO</w:t>
      </w:r>
      <w:r w:rsidR="002B64C9" w:rsidRPr="00A20843">
        <w:rPr>
          <w:vertAlign w:val="subscript"/>
          <w:lang w:val="en-US"/>
        </w:rPr>
        <w:t>2</w:t>
      </w:r>
      <w:r w:rsidR="002B64C9" w:rsidRPr="00A20843">
        <w:rPr>
          <w:lang w:val="en-US"/>
        </w:rPr>
        <w:t>)</w:t>
      </w:r>
      <w:r w:rsidR="002B64C9">
        <w:rPr>
          <w:lang w:val="en-US"/>
        </w:rPr>
        <w:t xml:space="preserve"> CRM gravimetrically at 0.386 mg/g and used a CRM of a different compound (dimethylterephtalate – DMTP) as the reference for calibration at different mass fractions. Our validation studies demonstrated that a PULCON reference at a mass fraction level equal to or greater than the analyte was needed to ensure accurate results.</w:t>
      </w:r>
      <w:r w:rsidR="002B64C9" w:rsidRPr="00496D81">
        <w:rPr>
          <w:lang w:val="en-US"/>
        </w:rPr>
        <w:t xml:space="preserve"> The results are shown in Figure </w:t>
      </w:r>
      <w:r w:rsidR="005D2D7D">
        <w:rPr>
          <w:lang w:val="en-US"/>
        </w:rPr>
        <w:t>S</w:t>
      </w:r>
      <w:r w:rsidR="002B64C9" w:rsidRPr="00496D81">
        <w:rPr>
          <w:lang w:val="en-US"/>
        </w:rPr>
        <w:t>1</w:t>
      </w:r>
      <w:r w:rsidR="002B64C9">
        <w:rPr>
          <w:lang w:val="en-US"/>
        </w:rPr>
        <w:t>.</w:t>
      </w:r>
    </w:p>
    <w:p w14:paraId="1D29354D" w14:textId="77777777" w:rsidR="002B64C9" w:rsidRDefault="002B64C9" w:rsidP="002B64C9">
      <w:pPr>
        <w:keepNext/>
        <w:spacing w:before="240" w:after="240"/>
        <w:jc w:val="both"/>
      </w:pPr>
      <w:r>
        <w:rPr>
          <w:noProof/>
        </w:rPr>
        <w:lastRenderedPageBreak/>
        <w:drawing>
          <wp:inline distT="0" distB="0" distL="0" distR="0" wp14:anchorId="330319F0" wp14:editId="17C05312">
            <wp:extent cx="5662295" cy="3084345"/>
            <wp:effectExtent l="0" t="0" r="0" b="1905"/>
            <wp:docPr id="2005285710" name="Imagem 2005285710" descr="Gráfico, Gráfico de dispersã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85710" name="Imagem 2005285710" descr="Gráfico, Gráfico de dispersão&#10;&#10;O conteúdo gerado por IA pode estar incorre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5747" cy="3097120"/>
                    </a:xfrm>
                    <a:prstGeom prst="rect">
                      <a:avLst/>
                    </a:prstGeom>
                    <a:noFill/>
                  </pic:spPr>
                </pic:pic>
              </a:graphicData>
            </a:graphic>
          </wp:inline>
        </w:drawing>
      </w:r>
    </w:p>
    <w:p w14:paraId="50EE9E4B" w14:textId="6EA5A403" w:rsidR="002B64C9" w:rsidRPr="008678AE" w:rsidRDefault="002B64C9" w:rsidP="002B64C9">
      <w:pPr>
        <w:pStyle w:val="Beschriftung"/>
        <w:jc w:val="center"/>
        <w:rPr>
          <w:rFonts w:ascii="Arial" w:hAnsi="Arial" w:cs="Arial"/>
          <w:i w:val="0"/>
          <w:iCs w:val="0"/>
          <w:color w:val="auto"/>
          <w:sz w:val="22"/>
          <w:szCs w:val="22"/>
          <w:lang w:val="en-US"/>
        </w:rPr>
      </w:pPr>
      <w:r w:rsidRPr="008678AE">
        <w:rPr>
          <w:rFonts w:ascii="Arial" w:hAnsi="Arial" w:cs="Arial"/>
          <w:i w:val="0"/>
          <w:iCs w:val="0"/>
          <w:color w:val="auto"/>
          <w:sz w:val="22"/>
          <w:szCs w:val="22"/>
          <w:lang w:val="en-US"/>
        </w:rPr>
        <w:t xml:space="preserve">Figure </w:t>
      </w:r>
      <w:r w:rsidR="005D2D7D">
        <w:rPr>
          <w:rFonts w:ascii="Arial" w:hAnsi="Arial" w:cs="Arial"/>
          <w:i w:val="0"/>
          <w:iCs w:val="0"/>
          <w:color w:val="auto"/>
          <w:sz w:val="22"/>
          <w:szCs w:val="22"/>
          <w:lang w:val="en-US"/>
        </w:rPr>
        <w:t>S</w:t>
      </w:r>
      <w:r w:rsidRPr="008678AE">
        <w:rPr>
          <w:rFonts w:ascii="Arial" w:hAnsi="Arial" w:cs="Arial"/>
          <w:i w:val="0"/>
          <w:iCs w:val="0"/>
          <w:color w:val="auto"/>
          <w:sz w:val="22"/>
          <w:szCs w:val="22"/>
        </w:rPr>
        <w:fldChar w:fldCharType="begin"/>
      </w:r>
      <w:r w:rsidRPr="008678AE">
        <w:rPr>
          <w:rFonts w:ascii="Arial" w:hAnsi="Arial" w:cs="Arial"/>
          <w:i w:val="0"/>
          <w:iCs w:val="0"/>
          <w:color w:val="auto"/>
          <w:sz w:val="22"/>
          <w:szCs w:val="22"/>
          <w:lang w:val="en-US"/>
        </w:rPr>
        <w:instrText xml:space="preserve"> SEQ Figure \* ARABIC </w:instrText>
      </w:r>
      <w:r w:rsidRPr="008678AE">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1</w:t>
      </w:r>
      <w:r w:rsidRPr="008678AE">
        <w:rPr>
          <w:rFonts w:ascii="Arial" w:hAnsi="Arial" w:cs="Arial"/>
          <w:i w:val="0"/>
          <w:iCs w:val="0"/>
          <w:color w:val="auto"/>
          <w:sz w:val="22"/>
          <w:szCs w:val="22"/>
        </w:rPr>
        <w:fldChar w:fldCharType="end"/>
      </w:r>
      <w:r w:rsidRPr="008678AE">
        <w:rPr>
          <w:rFonts w:ascii="Arial" w:hAnsi="Arial" w:cs="Arial"/>
          <w:i w:val="0"/>
          <w:iCs w:val="0"/>
          <w:color w:val="auto"/>
          <w:sz w:val="22"/>
          <w:szCs w:val="22"/>
          <w:lang w:val="en-US"/>
        </w:rPr>
        <w:t>: Linearity of qNMR calibration using PULCON.</w:t>
      </w:r>
    </w:p>
    <w:p w14:paraId="6D3B7C7C" w14:textId="22B78607" w:rsidR="002B64C9" w:rsidRDefault="002B64C9" w:rsidP="002B64C9">
      <w:pPr>
        <w:spacing w:before="240" w:after="240" w:line="360" w:lineRule="auto"/>
        <w:ind w:firstLine="720"/>
        <w:jc w:val="both"/>
        <w:rPr>
          <w:lang w:val="en-US"/>
        </w:rPr>
      </w:pPr>
      <w:r w:rsidRPr="00772B4D">
        <w:rPr>
          <w:lang w:val="en-US"/>
        </w:rPr>
        <w:t>To assess the impact of receiver gain on acquisitions, three DMSO</w:t>
      </w:r>
      <w:r w:rsidRPr="00772B4D">
        <w:rPr>
          <w:vertAlign w:val="subscript"/>
          <w:lang w:val="en-US"/>
        </w:rPr>
        <w:t>2</w:t>
      </w:r>
      <w:r w:rsidRPr="00772B4D">
        <w:rPr>
          <w:lang w:val="en-US"/>
        </w:rPr>
        <w:t xml:space="preserve"> samples (AF) and three DMTP references (REF) were prepared at mass fractions of 0.5 mg/g, 5 mg/g and 20 mg/g. </w:t>
      </w:r>
      <w:r>
        <w:rPr>
          <w:lang w:val="en-US"/>
        </w:rPr>
        <w:t>Extremely poor quantitative performance was observed when different gain settings were used in the samples and the reference tubes and therefore, we decided to use fixed r</w:t>
      </w:r>
      <w:r w:rsidRPr="00772B4D">
        <w:rPr>
          <w:lang w:val="en-US"/>
        </w:rPr>
        <w:t>eceiver gains</w:t>
      </w:r>
      <w:r>
        <w:rPr>
          <w:lang w:val="en-US"/>
        </w:rPr>
        <w:t xml:space="preserve">. Using a fixed gain value, we achieved relative errors between -0.9% and 9.57%. </w:t>
      </w:r>
    </w:p>
    <w:p w14:paraId="1D325162" w14:textId="0FD7FE1F" w:rsidR="008F262D" w:rsidRPr="00976DB5" w:rsidRDefault="006A40B4" w:rsidP="00976DB5">
      <w:pPr>
        <w:pStyle w:val="berschrift2"/>
        <w:spacing w:line="360" w:lineRule="auto"/>
        <w:jc w:val="both"/>
        <w:rPr>
          <w:rFonts w:ascii="Arial" w:hAnsi="Arial" w:cs="Arial"/>
          <w:color w:val="auto"/>
          <w:sz w:val="22"/>
          <w:szCs w:val="22"/>
          <w:lang w:val="en-US"/>
        </w:rPr>
      </w:pPr>
      <w:bookmarkStart w:id="14" w:name="_Toc216797620"/>
      <w:r>
        <w:rPr>
          <w:rFonts w:ascii="Arial" w:hAnsi="Arial" w:cs="Arial"/>
          <w:color w:val="auto"/>
          <w:sz w:val="22"/>
          <w:szCs w:val="22"/>
          <w:lang w:val="en-US"/>
        </w:rPr>
        <w:t>S</w:t>
      </w:r>
      <w:r w:rsidR="002D57F2" w:rsidRPr="00976DB5">
        <w:rPr>
          <w:rFonts w:ascii="Arial" w:hAnsi="Arial" w:cs="Arial"/>
          <w:color w:val="auto"/>
          <w:sz w:val="22"/>
          <w:szCs w:val="22"/>
          <w:lang w:val="en-US"/>
        </w:rPr>
        <w:t>4</w:t>
      </w:r>
      <w:r w:rsidR="00B47685" w:rsidRPr="00976DB5">
        <w:rPr>
          <w:rFonts w:ascii="Arial" w:hAnsi="Arial" w:cs="Arial"/>
          <w:color w:val="auto"/>
          <w:sz w:val="22"/>
          <w:szCs w:val="22"/>
          <w:lang w:val="en-US"/>
        </w:rPr>
        <w:t xml:space="preserve">.2) </w:t>
      </w:r>
      <w:r w:rsidR="008F262D" w:rsidRPr="00976DB5">
        <w:rPr>
          <w:rFonts w:ascii="Arial" w:hAnsi="Arial" w:cs="Arial"/>
          <w:color w:val="auto"/>
          <w:sz w:val="22"/>
          <w:szCs w:val="22"/>
          <w:lang w:val="en-US"/>
        </w:rPr>
        <w:t>Validation of quantification methods</w:t>
      </w:r>
      <w:r w:rsidR="00B47685" w:rsidRPr="00976DB5">
        <w:rPr>
          <w:rFonts w:ascii="Arial" w:hAnsi="Arial" w:cs="Arial"/>
          <w:color w:val="auto"/>
          <w:sz w:val="22"/>
          <w:szCs w:val="22"/>
          <w:lang w:val="en-US"/>
        </w:rPr>
        <w:t xml:space="preserve"> using PULCON</w:t>
      </w:r>
      <w:bookmarkEnd w:id="14"/>
    </w:p>
    <w:p w14:paraId="1E2387B3" w14:textId="38053133" w:rsidR="002B64C9" w:rsidRPr="00F3563B" w:rsidRDefault="00B47685" w:rsidP="002B64C9">
      <w:pPr>
        <w:spacing w:before="240" w:after="240" w:line="360" w:lineRule="auto"/>
        <w:ind w:firstLine="708"/>
        <w:jc w:val="both"/>
        <w:rPr>
          <w:lang w:val="en-US"/>
        </w:rPr>
      </w:pPr>
      <w:r>
        <w:rPr>
          <w:lang w:val="en-US"/>
        </w:rPr>
        <w:t xml:space="preserve">An </w:t>
      </w:r>
      <w:r w:rsidR="002B64C9">
        <w:rPr>
          <w:lang w:val="en-US"/>
        </w:rPr>
        <w:t>aliquot of each of the extracts was q</w:t>
      </w:r>
      <w:r w:rsidR="002B64C9" w:rsidRPr="00F3563B">
        <w:rPr>
          <w:lang w:val="en-US"/>
        </w:rPr>
        <w:t>uanti</w:t>
      </w:r>
      <w:r w:rsidR="002B64C9">
        <w:rPr>
          <w:lang w:val="en-US"/>
        </w:rPr>
        <w:t>tated</w:t>
      </w:r>
      <w:r w:rsidR="002B64C9" w:rsidRPr="00F3563B">
        <w:rPr>
          <w:lang w:val="en-US"/>
        </w:rPr>
        <w:t xml:space="preserve"> by qNMR using PULCON</w:t>
      </w:r>
      <w:r w:rsidR="002B64C9">
        <w:rPr>
          <w:lang w:val="en-US"/>
        </w:rPr>
        <w:t xml:space="preserve"> </w:t>
      </w:r>
      <w:r>
        <w:rPr>
          <w:lang w:val="en-US"/>
        </w:rPr>
        <w:t xml:space="preserve">method with </w:t>
      </w:r>
      <w:r w:rsidR="002B64C9">
        <w:rPr>
          <w:lang w:val="en-US"/>
        </w:rPr>
        <w:t>DMSO</w:t>
      </w:r>
      <w:r w:rsidR="002B64C9" w:rsidRPr="002D3AFD">
        <w:rPr>
          <w:vertAlign w:val="subscript"/>
          <w:lang w:val="en-US"/>
        </w:rPr>
        <w:t>2</w:t>
      </w:r>
      <w:r w:rsidR="002B64C9">
        <w:rPr>
          <w:lang w:val="en-US"/>
        </w:rPr>
        <w:t xml:space="preserve"> as reference</w:t>
      </w:r>
      <w:r>
        <w:rPr>
          <w:lang w:val="en-US"/>
        </w:rPr>
        <w:t>.</w:t>
      </w:r>
      <w:r w:rsidR="002B64C9" w:rsidRPr="00F3563B">
        <w:rPr>
          <w:lang w:val="en-US"/>
        </w:rPr>
        <w:t xml:space="preserve"> </w:t>
      </w:r>
      <w:r>
        <w:rPr>
          <w:lang w:val="en-US"/>
        </w:rPr>
        <w:t>T</w:t>
      </w:r>
      <w:r w:rsidR="002B64C9">
        <w:rPr>
          <w:lang w:val="en-US"/>
        </w:rPr>
        <w:t xml:space="preserve">he results were compared </w:t>
      </w:r>
      <w:r>
        <w:rPr>
          <w:lang w:val="en-US"/>
        </w:rPr>
        <w:t>with</w:t>
      </w:r>
      <w:r w:rsidR="002B64C9">
        <w:rPr>
          <w:lang w:val="en-US"/>
        </w:rPr>
        <w:t xml:space="preserve"> those obtained </w:t>
      </w:r>
      <w:r>
        <w:rPr>
          <w:lang w:val="en-US"/>
        </w:rPr>
        <w:t>from</w:t>
      </w:r>
      <w:r w:rsidR="002B64C9">
        <w:rPr>
          <w:lang w:val="en-US"/>
        </w:rPr>
        <w:t xml:space="preserve"> a second aliquot of the</w:t>
      </w:r>
      <w:r>
        <w:rPr>
          <w:lang w:val="en-US"/>
        </w:rPr>
        <w:t xml:space="preserve"> same</w:t>
      </w:r>
      <w:r w:rsidR="002B64C9">
        <w:rPr>
          <w:lang w:val="en-US"/>
        </w:rPr>
        <w:t xml:space="preserve"> extracts </w:t>
      </w:r>
      <w:r>
        <w:rPr>
          <w:lang w:val="en-US"/>
        </w:rPr>
        <w:t xml:space="preserve">analyzed </w:t>
      </w:r>
      <w:r w:rsidR="002B64C9">
        <w:rPr>
          <w:lang w:val="en-US"/>
        </w:rPr>
        <w:t>by</w:t>
      </w:r>
      <w:r w:rsidR="002B64C9" w:rsidRPr="00F3563B">
        <w:rPr>
          <w:lang w:val="en-US"/>
        </w:rPr>
        <w:t xml:space="preserve"> gas chromatography-mass spectrometry (GC-MS) </w:t>
      </w:r>
      <w:r>
        <w:rPr>
          <w:lang w:val="en-US"/>
        </w:rPr>
        <w:t>using</w:t>
      </w:r>
      <w:r w:rsidR="002B64C9" w:rsidRPr="00F3563B">
        <w:rPr>
          <w:lang w:val="en-US"/>
        </w:rPr>
        <w:t xml:space="preserve"> a standard addition </w:t>
      </w:r>
      <w:r>
        <w:rPr>
          <w:lang w:val="en-US"/>
        </w:rPr>
        <w:t xml:space="preserve">calibration </w:t>
      </w:r>
      <w:r w:rsidR="002B64C9" w:rsidRPr="00F3563B">
        <w:rPr>
          <w:lang w:val="en-US"/>
        </w:rPr>
        <w:t>with coordinate swapping</w:t>
      </w:r>
      <w:sdt>
        <w:sdtPr>
          <w:rPr>
            <w:color w:val="000000"/>
            <w:lang w:val="en-US"/>
          </w:rPr>
          <w:tag w:val="MENDELEY_CITATION_v3_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"/>
          <w:id w:val="-1586990891"/>
          <w:placeholder>
            <w:docPart w:val="BAFF44E4B7DD4E708D0B509EFCF64F3F"/>
          </w:placeholder>
        </w:sdtPr>
        <w:sdtContent>
          <w:r w:rsidR="00FB0020" w:rsidRPr="00FB0020">
            <w:rPr>
              <w:color w:val="000000"/>
              <w:lang w:val="en-US"/>
            </w:rPr>
            <w:t>[3]</w:t>
          </w:r>
        </w:sdtContent>
      </w:sdt>
      <w:r w:rsidR="002B64C9" w:rsidRPr="00F3563B">
        <w:rPr>
          <w:lang w:val="en-US"/>
        </w:rPr>
        <w:t xml:space="preserve">, which </w:t>
      </w:r>
      <w:r>
        <w:rPr>
          <w:lang w:val="en-US"/>
        </w:rPr>
        <w:t>served as the</w:t>
      </w:r>
      <w:r w:rsidR="002B64C9" w:rsidRPr="00F3563B">
        <w:rPr>
          <w:lang w:val="en-US"/>
        </w:rPr>
        <w:t xml:space="preserve"> reference method.</w:t>
      </w:r>
    </w:p>
    <w:p w14:paraId="5419B22C" w14:textId="720F5282" w:rsidR="002B64C9" w:rsidRPr="00E41099" w:rsidRDefault="002B64C9" w:rsidP="002B64C9">
      <w:pPr>
        <w:spacing w:before="240" w:after="240" w:line="360" w:lineRule="auto"/>
        <w:jc w:val="both"/>
        <w:rPr>
          <w:lang w:val="en-US"/>
        </w:rPr>
      </w:pPr>
      <w:r w:rsidRPr="00815334">
        <w:rPr>
          <w:lang w:val="en-US"/>
        </w:rPr>
        <w:t xml:space="preserve">¹H NMR </w:t>
      </w:r>
      <w:r w:rsidRPr="00E41099">
        <w:rPr>
          <w:lang w:val="en-US"/>
        </w:rPr>
        <w:t>spectr</w:t>
      </w:r>
      <w:r w:rsidR="00B47685">
        <w:rPr>
          <w:lang w:val="en-US"/>
        </w:rPr>
        <w:t>a were acquired using a standard delay-pulse-acquire (</w:t>
      </w:r>
      <w:proofErr w:type="spellStart"/>
      <w:r w:rsidR="00B47685">
        <w:rPr>
          <w:lang w:val="en-US"/>
        </w:rPr>
        <w:t>zg</w:t>
      </w:r>
      <w:proofErr w:type="spellEnd"/>
      <w:r w:rsidR="00B47685">
        <w:rPr>
          <w:lang w:val="en-US"/>
        </w:rPr>
        <w:t xml:space="preserve">) sequence with 90° pulses, calibrated by automated </w:t>
      </w:r>
      <w:proofErr w:type="spellStart"/>
      <w:r w:rsidR="00B47685">
        <w:rPr>
          <w:lang w:val="en-US"/>
        </w:rPr>
        <w:t>pulsecal</w:t>
      </w:r>
      <w:proofErr w:type="spellEnd"/>
      <w:r w:rsidR="00B47685">
        <w:rPr>
          <w:lang w:val="en-US"/>
        </w:rPr>
        <w:t xml:space="preserve"> routine</w:t>
      </w:r>
      <w:r w:rsidR="00F1749A">
        <w:rPr>
          <w:lang w:val="en-US"/>
        </w:rPr>
        <w:t>. The pulse offset was set to 5.6 ppm, with a spectral width of 40 ppm and a time domain of 128k points, resulting in an acquisition time of 3.28 s. The relaxation delay was set to 10 times the longest measured T</w:t>
      </w:r>
      <w:r w:rsidR="00F1749A" w:rsidRPr="00F1749A">
        <w:rPr>
          <w:vertAlign w:val="subscript"/>
          <w:lang w:val="en-US"/>
        </w:rPr>
        <w:t>1</w:t>
      </w:r>
      <w:r w:rsidR="00F1749A">
        <w:rPr>
          <w:lang w:val="en-US"/>
        </w:rPr>
        <w:t xml:space="preserve"> value</w:t>
      </w:r>
      <w:r w:rsidRPr="00E41099">
        <w:rPr>
          <w:lang w:val="en-US"/>
        </w:rPr>
        <w:t xml:space="preserve"> </w:t>
      </w:r>
      <w:r w:rsidR="00F1749A">
        <w:rPr>
          <w:lang w:val="en-US"/>
        </w:rPr>
        <w:t xml:space="preserve">(57.72 s). Spectra were recorded at 298.1 K, with 8 scans and 4 dummy scans. The receiver gain was adjusted using reference samples and subsequently kept constant for all measurements. Figure </w:t>
      </w:r>
      <w:r w:rsidR="005D2D7D">
        <w:rPr>
          <w:lang w:val="en-US"/>
        </w:rPr>
        <w:t>S</w:t>
      </w:r>
      <w:r w:rsidR="00F1749A">
        <w:rPr>
          <w:lang w:val="en-US"/>
        </w:rPr>
        <w:t xml:space="preserve">2 presents the </w:t>
      </w:r>
      <w:r w:rsidR="00F1749A" w:rsidRPr="00F1749A">
        <w:rPr>
          <w:vertAlign w:val="superscript"/>
          <w:lang w:val="en-US"/>
        </w:rPr>
        <w:t>1</w:t>
      </w:r>
      <w:r w:rsidR="00F1749A">
        <w:rPr>
          <w:lang w:val="en-US"/>
        </w:rPr>
        <w:t>H NMR of yerba mate extract, with caffeine signals indicated by the black arrows.</w:t>
      </w:r>
    </w:p>
    <w:p w14:paraId="0552341A" w14:textId="48E858FF" w:rsidR="00E429FC" w:rsidRPr="00AA6FB1" w:rsidRDefault="00E429FC" w:rsidP="00E429FC">
      <w:pPr>
        <w:pStyle w:val="TEXTONORMAL"/>
        <w:keepNext/>
        <w:ind w:firstLine="0"/>
        <w:jc w:val="center"/>
        <w:rPr>
          <w:lang w:val="en-US"/>
        </w:rPr>
      </w:pPr>
    </w:p>
    <w:p w14:paraId="4370515D" w14:textId="2F5432D6" w:rsidR="00EF5BCA" w:rsidRDefault="009A294E" w:rsidP="00E429FC">
      <w:pPr>
        <w:pStyle w:val="TEXTONORMAL"/>
        <w:keepNext/>
        <w:ind w:firstLine="0"/>
        <w:jc w:val="center"/>
      </w:pPr>
      <w:r>
        <w:rPr>
          <w:noProof/>
        </w:rPr>
        <w:drawing>
          <wp:inline distT="0" distB="0" distL="0" distR="0" wp14:anchorId="62BB7696" wp14:editId="05598C12">
            <wp:extent cx="5016906" cy="3238500"/>
            <wp:effectExtent l="0" t="0" r="0" b="0"/>
            <wp:docPr id="10746113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1406" cy="3247860"/>
                    </a:xfrm>
                    <a:prstGeom prst="rect">
                      <a:avLst/>
                    </a:prstGeom>
                    <a:noFill/>
                  </pic:spPr>
                </pic:pic>
              </a:graphicData>
            </a:graphic>
          </wp:inline>
        </w:drawing>
      </w:r>
    </w:p>
    <w:p w14:paraId="10E2B445" w14:textId="50DD382A" w:rsidR="00F1749A" w:rsidRPr="00E429FC" w:rsidRDefault="00E429FC" w:rsidP="005D2D7D">
      <w:pPr>
        <w:pStyle w:val="Beschriftung"/>
        <w:spacing w:line="360" w:lineRule="auto"/>
        <w:jc w:val="center"/>
        <w:rPr>
          <w:rFonts w:ascii="Arial" w:hAnsi="Arial" w:cs="Arial"/>
          <w:i w:val="0"/>
          <w:iCs w:val="0"/>
          <w:color w:val="auto"/>
          <w:sz w:val="22"/>
          <w:szCs w:val="22"/>
          <w:lang w:val="en-US"/>
        </w:rPr>
      </w:pPr>
      <w:r w:rsidRPr="00E429FC">
        <w:rPr>
          <w:rFonts w:ascii="Arial" w:hAnsi="Arial" w:cs="Arial"/>
          <w:i w:val="0"/>
          <w:iCs w:val="0"/>
          <w:color w:val="auto"/>
          <w:sz w:val="22"/>
          <w:szCs w:val="22"/>
          <w:lang w:val="en-US"/>
        </w:rPr>
        <w:t xml:space="preserve">Figure </w:t>
      </w:r>
      <w:r w:rsidR="005D2D7D">
        <w:rPr>
          <w:rFonts w:ascii="Arial" w:hAnsi="Arial" w:cs="Arial"/>
          <w:i w:val="0"/>
          <w:iCs w:val="0"/>
          <w:color w:val="auto"/>
          <w:sz w:val="22"/>
          <w:szCs w:val="22"/>
          <w:lang w:val="en-US"/>
        </w:rPr>
        <w:t>S</w:t>
      </w:r>
      <w:r w:rsidRPr="00E429FC">
        <w:rPr>
          <w:rFonts w:ascii="Arial" w:hAnsi="Arial" w:cs="Arial"/>
          <w:i w:val="0"/>
          <w:iCs w:val="0"/>
          <w:color w:val="auto"/>
          <w:sz w:val="22"/>
          <w:szCs w:val="22"/>
        </w:rPr>
        <w:fldChar w:fldCharType="begin"/>
      </w:r>
      <w:r w:rsidRPr="00E429FC">
        <w:rPr>
          <w:rFonts w:ascii="Arial" w:hAnsi="Arial" w:cs="Arial"/>
          <w:i w:val="0"/>
          <w:iCs w:val="0"/>
          <w:color w:val="auto"/>
          <w:sz w:val="22"/>
          <w:szCs w:val="22"/>
          <w:lang w:val="en-US"/>
        </w:rPr>
        <w:instrText xml:space="preserve"> SEQ Figure \* ARABIC </w:instrText>
      </w:r>
      <w:r w:rsidRPr="00E429FC">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2</w:t>
      </w:r>
      <w:r w:rsidRPr="00E429FC">
        <w:rPr>
          <w:rFonts w:ascii="Arial" w:hAnsi="Arial" w:cs="Arial"/>
          <w:i w:val="0"/>
          <w:iCs w:val="0"/>
          <w:color w:val="auto"/>
          <w:sz w:val="22"/>
          <w:szCs w:val="22"/>
        </w:rPr>
        <w:fldChar w:fldCharType="end"/>
      </w:r>
      <w:r w:rsidRPr="00E429FC">
        <w:rPr>
          <w:rFonts w:ascii="Arial" w:hAnsi="Arial" w:cs="Arial"/>
          <w:i w:val="0"/>
          <w:iCs w:val="0"/>
          <w:color w:val="auto"/>
          <w:sz w:val="22"/>
          <w:szCs w:val="22"/>
          <w:lang w:val="en-US"/>
        </w:rPr>
        <w:t>: ¹H NMR spectra of yerba mate extract in acetone-d6 – black arrows indicated the peaks from caffeine.</w:t>
      </w:r>
    </w:p>
    <w:p w14:paraId="253781AF" w14:textId="52A3730C" w:rsidR="001F10A2" w:rsidRDefault="00592B66" w:rsidP="001F10A2">
      <w:pPr>
        <w:spacing w:before="240" w:after="240" w:line="360" w:lineRule="auto"/>
        <w:ind w:firstLine="708"/>
        <w:jc w:val="both"/>
        <w:rPr>
          <w:lang w:val="en-US"/>
        </w:rPr>
      </w:pPr>
      <w:r>
        <w:rPr>
          <w:lang w:val="en-US"/>
        </w:rPr>
        <w:t xml:space="preserve">GC-MS </w:t>
      </w:r>
      <w:r w:rsidR="001F10A2">
        <w:rPr>
          <w:lang w:val="en-US"/>
        </w:rPr>
        <w:t>quantification was performed using the standard addition method combined with coordinate swapping approach. In this method, the caffeine concentration in the extract was obtained directly from the linear coefficient of the calibration curve</w:t>
      </w:r>
      <w:r w:rsidR="00B87F59">
        <w:rPr>
          <w:lang w:val="en-US"/>
        </w:rPr>
        <w:t xml:space="preserve"> </w:t>
      </w:r>
      <w:sdt>
        <w:sdtPr>
          <w:rPr>
            <w:color w:val="000000"/>
            <w:lang w:val="en-US"/>
          </w:rPr>
          <w:tag w:val="MENDELEY_CITATION_v3_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"/>
          <w:id w:val="1139378427"/>
          <w:placeholder>
            <w:docPart w:val="DefaultPlaceholder_-1854013440"/>
          </w:placeholder>
        </w:sdtPr>
        <w:sdtContent>
          <w:r w:rsidR="00FB0020" w:rsidRPr="00FB0020">
            <w:rPr>
              <w:color w:val="000000"/>
              <w:lang w:val="en-US"/>
            </w:rPr>
            <w:t>[3]</w:t>
          </w:r>
        </w:sdtContent>
      </w:sdt>
      <w:r w:rsidR="001F10A2">
        <w:rPr>
          <w:lang w:val="en-US"/>
        </w:rPr>
        <w:t>. The associated measurement uncertainty was derived from the uncertainty of this coefficient, as determined by regression analysis, thereby simplifying both quantification and uncertainty evaluation</w:t>
      </w:r>
      <w:r w:rsidR="00B87F59">
        <w:rPr>
          <w:lang w:val="en-US"/>
        </w:rPr>
        <w:t xml:space="preserve"> </w:t>
      </w:r>
      <w:sdt>
        <w:sdtPr>
          <w:rPr>
            <w:color w:val="000000"/>
            <w:lang w:val="en-US"/>
          </w:rPr>
          <w:tag w:val="MENDELEY_CITATION_v3_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"/>
          <w:id w:val="521514554"/>
          <w:placeholder>
            <w:docPart w:val="DefaultPlaceholder_-1854013440"/>
          </w:placeholder>
        </w:sdtPr>
        <w:sdtContent>
          <w:r w:rsidR="00FB0020" w:rsidRPr="00FB0020">
            <w:rPr>
              <w:color w:val="000000"/>
              <w:lang w:val="en-US"/>
            </w:rPr>
            <w:t>[5]</w:t>
          </w:r>
        </w:sdtContent>
      </w:sdt>
      <w:r w:rsidR="001F10A2">
        <w:rPr>
          <w:lang w:val="en-US"/>
        </w:rPr>
        <w:t>. Calibration curves were constructed for each extract, and the linear coefficient of each curve corresponded to the absolute caffeine concentration in the respective extract.</w:t>
      </w:r>
      <w:r w:rsidR="001F10A2" w:rsidRPr="001F10A2">
        <w:rPr>
          <w:lang w:val="en-US"/>
        </w:rPr>
        <w:t xml:space="preserve"> </w:t>
      </w:r>
    </w:p>
    <w:p w14:paraId="61C71CD8" w14:textId="77777777" w:rsidR="001F10A2" w:rsidRDefault="001F10A2" w:rsidP="001F10A2">
      <w:pPr>
        <w:keepNext/>
        <w:spacing w:before="240" w:after="240" w:line="360" w:lineRule="auto"/>
        <w:ind w:firstLine="708"/>
        <w:jc w:val="both"/>
      </w:pPr>
      <w:r>
        <w:rPr>
          <w:noProof/>
        </w:rPr>
        <w:lastRenderedPageBreak/>
        <w:drawing>
          <wp:inline distT="0" distB="0" distL="0" distR="0" wp14:anchorId="3D0846BA" wp14:editId="04D26D86">
            <wp:extent cx="4456544" cy="2761806"/>
            <wp:effectExtent l="0" t="0" r="1270" b="0"/>
            <wp:docPr id="1572164439" name="Imagem 1572164439"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64439" name="Imagem 1572164439" descr="Forma&#10;&#10;O conteúdo gerado por IA pode estar incorre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68666" cy="2769319"/>
                    </a:xfrm>
                    <a:prstGeom prst="rect">
                      <a:avLst/>
                    </a:prstGeom>
                    <a:noFill/>
                  </pic:spPr>
                </pic:pic>
              </a:graphicData>
            </a:graphic>
          </wp:inline>
        </w:drawing>
      </w:r>
    </w:p>
    <w:p w14:paraId="42F931BF" w14:textId="49F1EA77" w:rsidR="001F10A2" w:rsidRPr="001F10A2" w:rsidRDefault="001F10A2" w:rsidP="00C045E3">
      <w:pPr>
        <w:pStyle w:val="Beschriftung"/>
        <w:spacing w:line="360" w:lineRule="auto"/>
        <w:jc w:val="center"/>
        <w:rPr>
          <w:rFonts w:ascii="Arial" w:hAnsi="Arial" w:cs="Arial"/>
          <w:i w:val="0"/>
          <w:iCs w:val="0"/>
          <w:color w:val="auto"/>
          <w:sz w:val="22"/>
          <w:szCs w:val="22"/>
          <w:lang w:val="en-US"/>
        </w:rPr>
      </w:pPr>
      <w:r w:rsidRPr="001F10A2">
        <w:rPr>
          <w:rFonts w:ascii="Arial" w:hAnsi="Arial" w:cs="Arial"/>
          <w:i w:val="0"/>
          <w:iCs w:val="0"/>
          <w:color w:val="auto"/>
          <w:sz w:val="22"/>
          <w:szCs w:val="22"/>
          <w:lang w:val="en-US"/>
        </w:rPr>
        <w:t xml:space="preserve">Figure </w:t>
      </w:r>
      <w:r w:rsidR="00C045E3">
        <w:rPr>
          <w:rFonts w:ascii="Arial" w:hAnsi="Arial" w:cs="Arial"/>
          <w:i w:val="0"/>
          <w:iCs w:val="0"/>
          <w:color w:val="auto"/>
          <w:sz w:val="22"/>
          <w:szCs w:val="22"/>
          <w:lang w:val="en-US"/>
        </w:rPr>
        <w:t>S</w:t>
      </w:r>
      <w:r w:rsidRPr="001F10A2">
        <w:rPr>
          <w:rFonts w:ascii="Arial" w:hAnsi="Arial" w:cs="Arial"/>
          <w:i w:val="0"/>
          <w:iCs w:val="0"/>
          <w:color w:val="auto"/>
          <w:sz w:val="22"/>
          <w:szCs w:val="22"/>
        </w:rPr>
        <w:fldChar w:fldCharType="begin"/>
      </w:r>
      <w:r w:rsidRPr="001F10A2">
        <w:rPr>
          <w:rFonts w:ascii="Arial" w:hAnsi="Arial" w:cs="Arial"/>
          <w:i w:val="0"/>
          <w:iCs w:val="0"/>
          <w:color w:val="auto"/>
          <w:sz w:val="22"/>
          <w:szCs w:val="22"/>
          <w:lang w:val="en-US"/>
        </w:rPr>
        <w:instrText xml:space="preserve"> SEQ Figure \* ARABIC </w:instrText>
      </w:r>
      <w:r w:rsidRPr="001F10A2">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3</w:t>
      </w:r>
      <w:r w:rsidRPr="001F10A2">
        <w:rPr>
          <w:rFonts w:ascii="Arial" w:hAnsi="Arial" w:cs="Arial"/>
          <w:i w:val="0"/>
          <w:iCs w:val="0"/>
          <w:color w:val="auto"/>
          <w:sz w:val="22"/>
          <w:szCs w:val="22"/>
        </w:rPr>
        <w:fldChar w:fldCharType="end"/>
      </w:r>
      <w:r w:rsidRPr="001F10A2">
        <w:rPr>
          <w:rFonts w:ascii="Arial" w:hAnsi="Arial" w:cs="Arial"/>
          <w:i w:val="0"/>
          <w:iCs w:val="0"/>
          <w:color w:val="auto"/>
          <w:sz w:val="22"/>
          <w:szCs w:val="22"/>
          <w:lang w:val="en-US"/>
        </w:rPr>
        <w:t>: Extracted ion chromatogram (m/z 194) of the third calibration level used for caffeine quantification in yerba mate extract.</w:t>
      </w:r>
    </w:p>
    <w:p w14:paraId="6B865561" w14:textId="660F7B7B" w:rsidR="002B64C9" w:rsidRPr="00815334" w:rsidRDefault="002B64C9" w:rsidP="00237D89">
      <w:pPr>
        <w:pStyle w:val="Beschriftung"/>
        <w:ind w:right="991"/>
        <w:jc w:val="both"/>
        <w:rPr>
          <w:rFonts w:ascii="Arial" w:hAnsi="Arial" w:cs="Arial"/>
          <w:i w:val="0"/>
          <w:iCs w:val="0"/>
          <w:color w:val="auto"/>
          <w:sz w:val="22"/>
          <w:szCs w:val="22"/>
          <w:lang w:val="en-US"/>
        </w:rPr>
      </w:pPr>
    </w:p>
    <w:p w14:paraId="3F2B0780" w14:textId="77777777" w:rsidR="00237D89" w:rsidRDefault="002B64C9" w:rsidP="00237D89">
      <w:pPr>
        <w:pStyle w:val="TEXTONORMAL"/>
        <w:keepNext/>
        <w:ind w:firstLine="0"/>
        <w:jc w:val="center"/>
      </w:pPr>
      <w:r>
        <w:rPr>
          <w:noProof/>
          <w:lang w:eastAsia="pt-BR"/>
        </w:rPr>
        <w:drawing>
          <wp:inline distT="0" distB="0" distL="0" distR="0" wp14:anchorId="62414C5D" wp14:editId="7E1B8970">
            <wp:extent cx="4466065" cy="2555295"/>
            <wp:effectExtent l="0" t="0" r="0" b="0"/>
            <wp:docPr id="1417939439" name="Picture 4" descr="Gráfico, Gráfico de dispersã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39439" name="Picture 4" descr="Gráfico, Gráfico de dispersão&#10;&#10;O conteúdo gerado por IA pode estar incorre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8380" cy="2562341"/>
                    </a:xfrm>
                    <a:prstGeom prst="rect">
                      <a:avLst/>
                    </a:prstGeom>
                    <a:noFill/>
                  </pic:spPr>
                </pic:pic>
              </a:graphicData>
            </a:graphic>
          </wp:inline>
        </w:drawing>
      </w:r>
    </w:p>
    <w:p w14:paraId="1B864F18" w14:textId="60BCAB4D" w:rsidR="002B64C9" w:rsidRPr="00237D89" w:rsidRDefault="00237D89" w:rsidP="00C045E3">
      <w:pPr>
        <w:pStyle w:val="Beschriftung"/>
        <w:spacing w:line="360" w:lineRule="auto"/>
        <w:jc w:val="center"/>
        <w:rPr>
          <w:rFonts w:ascii="Arial" w:hAnsi="Arial" w:cs="Arial"/>
          <w:i w:val="0"/>
          <w:iCs w:val="0"/>
          <w:color w:val="auto"/>
          <w:sz w:val="22"/>
          <w:szCs w:val="22"/>
          <w:lang w:val="en-US"/>
        </w:rPr>
      </w:pPr>
      <w:r w:rsidRPr="00237D89">
        <w:rPr>
          <w:rFonts w:ascii="Arial" w:hAnsi="Arial" w:cs="Arial"/>
          <w:i w:val="0"/>
          <w:iCs w:val="0"/>
          <w:color w:val="auto"/>
          <w:sz w:val="22"/>
          <w:szCs w:val="22"/>
          <w:lang w:val="en-US"/>
        </w:rPr>
        <w:t xml:space="preserve">Figure </w:t>
      </w:r>
      <w:r w:rsidR="00C045E3">
        <w:rPr>
          <w:rFonts w:ascii="Arial" w:hAnsi="Arial" w:cs="Arial"/>
          <w:i w:val="0"/>
          <w:iCs w:val="0"/>
          <w:color w:val="auto"/>
          <w:sz w:val="22"/>
          <w:szCs w:val="22"/>
          <w:lang w:val="en-US"/>
        </w:rPr>
        <w:t>S</w:t>
      </w:r>
      <w:r w:rsidRPr="00237D89">
        <w:rPr>
          <w:rFonts w:ascii="Arial" w:hAnsi="Arial" w:cs="Arial"/>
          <w:i w:val="0"/>
          <w:iCs w:val="0"/>
          <w:color w:val="auto"/>
          <w:sz w:val="22"/>
          <w:szCs w:val="22"/>
        </w:rPr>
        <w:fldChar w:fldCharType="begin"/>
      </w:r>
      <w:r w:rsidRPr="00237D89">
        <w:rPr>
          <w:rFonts w:ascii="Arial" w:hAnsi="Arial" w:cs="Arial"/>
          <w:i w:val="0"/>
          <w:iCs w:val="0"/>
          <w:color w:val="auto"/>
          <w:sz w:val="22"/>
          <w:szCs w:val="22"/>
          <w:lang w:val="en-US"/>
        </w:rPr>
        <w:instrText xml:space="preserve"> SEQ Figure \* ARABIC </w:instrText>
      </w:r>
      <w:r w:rsidRPr="00237D89">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4</w:t>
      </w:r>
      <w:r w:rsidRPr="00237D89">
        <w:rPr>
          <w:rFonts w:ascii="Arial" w:hAnsi="Arial" w:cs="Arial"/>
          <w:i w:val="0"/>
          <w:iCs w:val="0"/>
          <w:color w:val="auto"/>
          <w:sz w:val="22"/>
          <w:szCs w:val="22"/>
        </w:rPr>
        <w:fldChar w:fldCharType="end"/>
      </w:r>
      <w:r w:rsidRPr="00237D89">
        <w:rPr>
          <w:rFonts w:ascii="Arial" w:hAnsi="Arial" w:cs="Arial"/>
          <w:i w:val="0"/>
          <w:iCs w:val="0"/>
          <w:color w:val="auto"/>
          <w:sz w:val="22"/>
          <w:szCs w:val="22"/>
          <w:lang w:val="en-US"/>
        </w:rPr>
        <w:t>: Standard addition calibration curve for GC-MS quantification of caffeine in yerba mate extract.</w:t>
      </w:r>
    </w:p>
    <w:p w14:paraId="0A951214" w14:textId="77777777" w:rsidR="002B64C9" w:rsidRDefault="002B64C9" w:rsidP="002B64C9">
      <w:pPr>
        <w:pStyle w:val="TEXTONORMAL"/>
        <w:tabs>
          <w:tab w:val="left" w:pos="851"/>
        </w:tabs>
        <w:spacing w:after="0" w:line="276" w:lineRule="auto"/>
        <w:ind w:firstLine="0"/>
        <w:rPr>
          <w:rFonts w:ascii="Arial" w:hAnsi="Arial" w:cs="Arial"/>
          <w:sz w:val="22"/>
          <w:szCs w:val="22"/>
          <w:lang w:val="en-US"/>
        </w:rPr>
      </w:pPr>
    </w:p>
    <w:p w14:paraId="1B1A5A50" w14:textId="2DE10EF3" w:rsidR="00DF250D" w:rsidRDefault="00DF250D" w:rsidP="00DF250D">
      <w:pPr>
        <w:pStyle w:val="TEXTONORMAL"/>
        <w:tabs>
          <w:tab w:val="left" w:pos="851"/>
        </w:tabs>
        <w:spacing w:after="0"/>
        <w:ind w:firstLine="0"/>
        <w:rPr>
          <w:rFonts w:ascii="Arial" w:hAnsi="Arial" w:cs="Arial"/>
          <w:sz w:val="22"/>
          <w:szCs w:val="22"/>
          <w:lang w:val="en-US"/>
        </w:rPr>
      </w:pPr>
      <w:r>
        <w:rPr>
          <w:rFonts w:ascii="Arial" w:hAnsi="Arial" w:cs="Arial"/>
          <w:sz w:val="22"/>
          <w:szCs w:val="22"/>
          <w:lang w:val="en-US"/>
        </w:rPr>
        <w:tab/>
        <w:t>Method comparison was performed using the normalized error approach in accordance with Section 10.2.1.5.2 of DOQ-CGRE-008</w:t>
      </w:r>
      <w:sdt>
        <w:sdtPr>
          <w:rPr>
            <w:rFonts w:ascii="Arial" w:hAnsi="Arial" w:cs="Arial"/>
            <w:color w:val="000000"/>
            <w:sz w:val="22"/>
            <w:szCs w:val="22"/>
            <w:lang w:val="en-US"/>
          </w:rPr>
          <w:tag w:val="MENDELEY_CITATION_v3_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"/>
          <w:id w:val="1044874427"/>
          <w:placeholder>
            <w:docPart w:val="8824758716244276BF0A21693A582323"/>
          </w:placeholder>
        </w:sdtPr>
        <w:sdtContent>
          <w:r w:rsidR="00FB0020" w:rsidRPr="00FB0020">
            <w:rPr>
              <w:rFonts w:ascii="Arial" w:hAnsi="Arial" w:cs="Arial"/>
              <w:color w:val="000000"/>
              <w:sz w:val="22"/>
              <w:szCs w:val="22"/>
              <w:lang w:val="en-US"/>
            </w:rPr>
            <w:t>[6]</w:t>
          </w:r>
        </w:sdtContent>
      </w:sdt>
      <w:r>
        <w:rPr>
          <w:rFonts w:ascii="Arial" w:hAnsi="Arial" w:cs="Arial"/>
          <w:sz w:val="22"/>
          <w:szCs w:val="22"/>
          <w:lang w:val="en-US"/>
        </w:rPr>
        <w:t xml:space="preserve">, applying </w:t>
      </w:r>
      <w:r w:rsidRPr="00ED10CF">
        <w:rPr>
          <w:rFonts w:ascii="Arial" w:hAnsi="Arial" w:cs="Arial"/>
          <w:sz w:val="22"/>
          <w:szCs w:val="22"/>
          <w:lang w:val="en-US"/>
        </w:rPr>
        <w:t xml:space="preserve">Equation </w:t>
      </w:r>
      <w:r w:rsidR="00303FC3" w:rsidRPr="00ED10CF">
        <w:rPr>
          <w:rFonts w:ascii="Arial" w:hAnsi="Arial" w:cs="Arial"/>
          <w:sz w:val="22"/>
          <w:szCs w:val="22"/>
          <w:lang w:val="en-US"/>
        </w:rPr>
        <w:t>2</w:t>
      </w:r>
      <w:r w:rsidRPr="00ED10CF">
        <w:rPr>
          <w:rFonts w:ascii="Arial" w:hAnsi="Arial" w:cs="Arial"/>
          <w:sz w:val="22"/>
          <w:szCs w:val="22"/>
          <w:lang w:val="en-US"/>
        </w:rPr>
        <w:t>.</w:t>
      </w:r>
      <w:r>
        <w:rPr>
          <w:rFonts w:ascii="Arial" w:hAnsi="Arial" w:cs="Arial"/>
          <w:sz w:val="22"/>
          <w:szCs w:val="22"/>
          <w:lang w:val="en-US"/>
        </w:rPr>
        <w:t xml:space="preserve"> The normalized error was calculated by comparing the value obtained by NMR-PULCON with the reference value obtained by GC-MS using standard addition, considering the respective expanded uncertainties (coverage factor k = 2). A normalized error value ≤ 1 was used as the criterion for method equivalence. Quantitative results from both methods </w:t>
      </w:r>
      <w:r>
        <w:rPr>
          <w:rFonts w:ascii="Arial" w:hAnsi="Arial" w:cs="Arial"/>
          <w:sz w:val="22"/>
          <w:szCs w:val="22"/>
          <w:lang w:val="en-US"/>
        </w:rPr>
        <w:lastRenderedPageBreak/>
        <w:t xml:space="preserve">and their associated uncertainties are summarized in Table </w:t>
      </w:r>
      <w:r w:rsidR="00C045E3">
        <w:rPr>
          <w:rFonts w:ascii="Arial" w:hAnsi="Arial" w:cs="Arial"/>
          <w:sz w:val="22"/>
          <w:szCs w:val="22"/>
          <w:lang w:val="en-US"/>
        </w:rPr>
        <w:t>S</w:t>
      </w:r>
      <w:r>
        <w:rPr>
          <w:rFonts w:ascii="Arial" w:hAnsi="Arial" w:cs="Arial"/>
          <w:sz w:val="22"/>
          <w:szCs w:val="22"/>
          <w:lang w:val="en-US"/>
        </w:rPr>
        <w:t xml:space="preserve">1, and the method comparison illustrated in Figure </w:t>
      </w:r>
      <w:r w:rsidR="00C045E3">
        <w:rPr>
          <w:rFonts w:ascii="Arial" w:hAnsi="Arial" w:cs="Arial"/>
          <w:sz w:val="22"/>
          <w:szCs w:val="22"/>
          <w:lang w:val="en-US"/>
        </w:rPr>
        <w:t>S</w:t>
      </w:r>
      <w:r w:rsidR="00244690">
        <w:rPr>
          <w:rFonts w:ascii="Arial" w:hAnsi="Arial" w:cs="Arial"/>
          <w:sz w:val="22"/>
          <w:szCs w:val="22"/>
          <w:lang w:val="en-US"/>
        </w:rPr>
        <w:t>5</w:t>
      </w:r>
      <w:r>
        <w:rPr>
          <w:rFonts w:ascii="Arial" w:hAnsi="Arial" w:cs="Arial"/>
          <w:sz w:val="22"/>
          <w:szCs w:val="22"/>
          <w:lang w:val="en-US"/>
        </w:rPr>
        <w:t>. For all extracts analyzed, normalized error values were below 1, demonstrating equivalence between the NMR-PULCON and GC-MS methods.</w:t>
      </w:r>
    </w:p>
    <w:p w14:paraId="12D71195" w14:textId="76EA0E4A" w:rsidR="002B64C9" w:rsidRPr="00815334" w:rsidRDefault="002B64C9" w:rsidP="002B64C9">
      <w:pPr>
        <w:jc w:val="both"/>
        <w:rPr>
          <w:rFonts w:eastAsia="SimSun"/>
          <w:bCs/>
          <w:lang w:val="en-US" w:eastAsia="en-US"/>
        </w:rPr>
      </w:pPr>
      <w:r w:rsidRPr="00815334">
        <w:rPr>
          <w:rFonts w:eastAsia="SimSun"/>
          <w:bCs/>
          <w:lang w:val="en-US" w:eastAsia="en-U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7"/>
        <w:gridCol w:w="637"/>
      </w:tblGrid>
      <w:tr w:rsidR="002B64C9" w:rsidRPr="004B32AA" w14:paraId="7F5ACAB7" w14:textId="77777777" w:rsidTr="008678AE">
        <w:tc>
          <w:tcPr>
            <w:tcW w:w="8369" w:type="dxa"/>
          </w:tcPr>
          <w:p w14:paraId="5FCA3AAC" w14:textId="77777777" w:rsidR="002B64C9" w:rsidRPr="00EF22AB" w:rsidRDefault="00000000" w:rsidP="008678AE">
            <w:pPr>
              <w:spacing w:before="120" w:line="360" w:lineRule="auto"/>
              <w:jc w:val="both"/>
              <w:rPr>
                <w:rFonts w:ascii="Times New Roman" w:hAnsi="Times New Roman" w:cs="Times New Roman"/>
                <w:sz w:val="24"/>
                <w:szCs w:val="24"/>
              </w:rPr>
            </w:pPr>
            <m:oMathPara>
              <m:oMathParaPr>
                <m:jc m:val="center"/>
              </m:oMathPara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n</m:t>
                    </m:r>
                  </m:sub>
                </m:sSub>
                <m:r>
                  <w:rPr>
                    <w:rFonts w:ascii="Cambria Math" w:hAnsi="Cambria Math"/>
                    <w:sz w:val="24"/>
                  </w:rPr>
                  <m:t xml:space="preserve"> =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(X</m:t>
                        </m:r>
                      </m:e>
                      <m:sub>
                        <m:r>
                          <w:rPr>
                            <w:rFonts w:ascii="Cambria Math" w:hAnsi="Cambria Math"/>
                            <w:sz w:val="24"/>
                          </w:rPr>
                          <m:t>NMR</m:t>
                        </m:r>
                      </m:sub>
                    </m:sSub>
                    <m:sSub>
                      <m:sSubPr>
                        <m:ctrlPr>
                          <w:rPr>
                            <w:rFonts w:ascii="Cambria Math" w:hAnsi="Cambria Math"/>
                            <w:i/>
                            <w:sz w:val="24"/>
                          </w:rPr>
                        </m:ctrlPr>
                      </m:sSubPr>
                      <m:e>
                        <m:r>
                          <w:rPr>
                            <w:rFonts w:ascii="Cambria Math" w:hAnsi="Cambria Math"/>
                            <w:sz w:val="24"/>
                          </w:rPr>
                          <m:t>- X</m:t>
                        </m:r>
                      </m:e>
                      <m:sub>
                        <m:r>
                          <w:rPr>
                            <w:rFonts w:ascii="Cambria Math" w:hAnsi="Cambria Math"/>
                            <w:sz w:val="24"/>
                          </w:rPr>
                          <m:t xml:space="preserve">ref </m:t>
                        </m:r>
                      </m:sub>
                    </m:sSub>
                    <m:r>
                      <w:rPr>
                        <w:rFonts w:ascii="Cambria Math" w:hAnsi="Cambria Math"/>
                        <w:sz w:val="24"/>
                      </w:rPr>
                      <m:t>)</m:t>
                    </m:r>
                  </m:num>
                  <m:den>
                    <m:r>
                      <w:rPr>
                        <w:rFonts w:ascii="Cambria Math" w:hAnsi="Cambria Math"/>
                        <w:sz w:val="24"/>
                      </w:rPr>
                      <m:t xml:space="preserve"> </m:t>
                    </m:r>
                    <m:rad>
                      <m:radPr>
                        <m:degHide m:val="1"/>
                        <m:ctrlPr>
                          <w:rPr>
                            <w:rFonts w:ascii="Cambria Math" w:hAnsi="Cambria Math"/>
                            <w:i/>
                            <w:sz w:val="24"/>
                          </w:rPr>
                        </m:ctrlPr>
                      </m:radPr>
                      <m:deg/>
                      <m:e>
                        <m:sSubSup>
                          <m:sSubSupPr>
                            <m:ctrlPr>
                              <w:rPr>
                                <w:rFonts w:ascii="Cambria Math" w:hAnsi="Cambria Math"/>
                                <w:i/>
                                <w:sz w:val="24"/>
                              </w:rPr>
                            </m:ctrlPr>
                          </m:sSubSupPr>
                          <m:e>
                            <m:r>
                              <w:rPr>
                                <w:rFonts w:ascii="Cambria Math" w:hAnsi="Cambria Math"/>
                                <w:sz w:val="24"/>
                              </w:rPr>
                              <m:t>U</m:t>
                            </m:r>
                          </m:e>
                          <m:sub>
                            <m:r>
                              <w:rPr>
                                <w:rFonts w:ascii="Cambria Math" w:hAnsi="Cambria Math"/>
                                <w:sz w:val="24"/>
                              </w:rPr>
                              <m:t>NMR</m:t>
                            </m:r>
                          </m:sub>
                          <m:sup>
                            <m:r>
                              <w:rPr>
                                <w:rFonts w:ascii="Cambria Math" w:hAnsi="Cambria Math"/>
                                <w:sz w:val="24"/>
                              </w:rPr>
                              <m:t>2</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U</m:t>
                            </m:r>
                          </m:e>
                          <m:sub>
                            <m:r>
                              <w:rPr>
                                <w:rFonts w:ascii="Cambria Math" w:hAnsi="Cambria Math"/>
                                <w:sz w:val="24"/>
                              </w:rPr>
                              <m:t>ref</m:t>
                            </m:r>
                          </m:sub>
                          <m:sup>
                            <m:r>
                              <w:rPr>
                                <w:rFonts w:ascii="Cambria Math" w:hAnsi="Cambria Math"/>
                                <w:sz w:val="24"/>
                              </w:rPr>
                              <m:t>2</m:t>
                            </m:r>
                          </m:sup>
                        </m:sSubSup>
                        <m:r>
                          <w:rPr>
                            <w:rFonts w:ascii="Cambria Math" w:hAnsi="Cambria Math"/>
                            <w:sz w:val="24"/>
                          </w:rPr>
                          <m:t xml:space="preserve"> </m:t>
                        </m:r>
                      </m:e>
                    </m:rad>
                  </m:den>
                </m:f>
                <m:r>
                  <w:rPr>
                    <w:rFonts w:ascii="Cambria Math" w:eastAsiaTheme="minorEastAsia" w:hAnsi="Cambria Math"/>
                    <w:sz w:val="24"/>
                  </w:rPr>
                  <m:t xml:space="preserve"> </m:t>
                </m:r>
              </m:oMath>
            </m:oMathPara>
          </w:p>
        </w:tc>
        <w:tc>
          <w:tcPr>
            <w:tcW w:w="660" w:type="dxa"/>
          </w:tcPr>
          <w:p w14:paraId="6C39C581" w14:textId="7EEACE32" w:rsidR="002B64C9" w:rsidRPr="004B32AA" w:rsidRDefault="00303FC3" w:rsidP="008678AE">
            <w:pPr>
              <w:spacing w:before="120" w:line="360" w:lineRule="auto"/>
              <w:ind w:firstLine="45"/>
              <w:jc w:val="both"/>
              <w:rPr>
                <w:rFonts w:ascii="Times New Roman" w:hAnsi="Times New Roman" w:cs="Times New Roman"/>
                <w:sz w:val="24"/>
                <w:szCs w:val="24"/>
              </w:rPr>
            </w:pPr>
            <w:r>
              <w:rPr>
                <w:rFonts w:ascii="Times New Roman" w:hAnsi="Times New Roman" w:cs="Times New Roman"/>
                <w:sz w:val="24"/>
                <w:szCs w:val="24"/>
              </w:rPr>
              <w:t>2</w:t>
            </w:r>
          </w:p>
        </w:tc>
      </w:tr>
    </w:tbl>
    <w:p w14:paraId="2D09BD0B" w14:textId="77777777" w:rsidR="00C045E3" w:rsidRDefault="00C045E3" w:rsidP="00C045E3">
      <w:pPr>
        <w:rPr>
          <w:lang w:val="en-US" w:eastAsia="en-US"/>
        </w:rPr>
      </w:pPr>
    </w:p>
    <w:p w14:paraId="22409C0B" w14:textId="77777777" w:rsidR="00C045E3" w:rsidRPr="00C045E3" w:rsidRDefault="00C045E3" w:rsidP="00C045E3">
      <w:pPr>
        <w:rPr>
          <w:lang w:val="en-US" w:eastAsia="en-US"/>
        </w:rPr>
      </w:pPr>
    </w:p>
    <w:p w14:paraId="1F50B303" w14:textId="52E4A823" w:rsidR="00244690" w:rsidRPr="00244690" w:rsidRDefault="00244690" w:rsidP="00C045E3">
      <w:pPr>
        <w:pStyle w:val="Beschriftung"/>
        <w:keepNext/>
        <w:spacing w:line="360" w:lineRule="auto"/>
        <w:jc w:val="center"/>
        <w:rPr>
          <w:rFonts w:ascii="Arial" w:hAnsi="Arial" w:cs="Arial"/>
          <w:i w:val="0"/>
          <w:iCs w:val="0"/>
          <w:color w:val="auto"/>
          <w:sz w:val="22"/>
          <w:szCs w:val="22"/>
          <w:lang w:val="en-US"/>
        </w:rPr>
      </w:pPr>
      <w:r w:rsidRPr="00244690">
        <w:rPr>
          <w:rFonts w:ascii="Arial" w:hAnsi="Arial" w:cs="Arial"/>
          <w:i w:val="0"/>
          <w:iCs w:val="0"/>
          <w:color w:val="auto"/>
          <w:sz w:val="22"/>
          <w:szCs w:val="22"/>
          <w:lang w:val="en-US"/>
        </w:rPr>
        <w:t xml:space="preserve">Table </w:t>
      </w:r>
      <w:r w:rsidR="00C045E3">
        <w:rPr>
          <w:rFonts w:ascii="Arial" w:hAnsi="Arial" w:cs="Arial"/>
          <w:i w:val="0"/>
          <w:iCs w:val="0"/>
          <w:color w:val="auto"/>
          <w:sz w:val="22"/>
          <w:szCs w:val="22"/>
          <w:lang w:val="en-US"/>
        </w:rPr>
        <w:t>S</w:t>
      </w:r>
      <w:r w:rsidRPr="00244690">
        <w:rPr>
          <w:rFonts w:ascii="Arial" w:hAnsi="Arial" w:cs="Arial"/>
          <w:i w:val="0"/>
          <w:iCs w:val="0"/>
          <w:color w:val="auto"/>
          <w:sz w:val="22"/>
          <w:szCs w:val="22"/>
        </w:rPr>
        <w:fldChar w:fldCharType="begin"/>
      </w:r>
      <w:r w:rsidRPr="00244690">
        <w:rPr>
          <w:rFonts w:ascii="Arial" w:hAnsi="Arial" w:cs="Arial"/>
          <w:i w:val="0"/>
          <w:iCs w:val="0"/>
          <w:color w:val="auto"/>
          <w:sz w:val="22"/>
          <w:szCs w:val="22"/>
          <w:lang w:val="en-US"/>
        </w:rPr>
        <w:instrText xml:space="preserve"> SEQ Table \* ARABIC </w:instrText>
      </w:r>
      <w:r w:rsidRPr="00244690">
        <w:rPr>
          <w:rFonts w:ascii="Arial" w:hAnsi="Arial" w:cs="Arial"/>
          <w:i w:val="0"/>
          <w:iCs w:val="0"/>
          <w:color w:val="auto"/>
          <w:sz w:val="22"/>
          <w:szCs w:val="22"/>
        </w:rPr>
        <w:fldChar w:fldCharType="separate"/>
      </w:r>
      <w:r w:rsidR="00130A17">
        <w:rPr>
          <w:rFonts w:ascii="Arial" w:hAnsi="Arial" w:cs="Arial"/>
          <w:i w:val="0"/>
          <w:iCs w:val="0"/>
          <w:noProof/>
          <w:color w:val="auto"/>
          <w:sz w:val="22"/>
          <w:szCs w:val="22"/>
          <w:lang w:val="en-US"/>
        </w:rPr>
        <w:t>1</w:t>
      </w:r>
      <w:r w:rsidRPr="00244690">
        <w:rPr>
          <w:rFonts w:ascii="Arial" w:hAnsi="Arial" w:cs="Arial"/>
          <w:i w:val="0"/>
          <w:iCs w:val="0"/>
          <w:color w:val="auto"/>
          <w:sz w:val="22"/>
          <w:szCs w:val="22"/>
        </w:rPr>
        <w:fldChar w:fldCharType="end"/>
      </w:r>
      <w:r w:rsidRPr="00244690">
        <w:rPr>
          <w:rFonts w:ascii="Arial" w:hAnsi="Arial" w:cs="Arial"/>
          <w:i w:val="0"/>
          <w:iCs w:val="0"/>
          <w:color w:val="auto"/>
          <w:sz w:val="22"/>
          <w:szCs w:val="22"/>
          <w:lang w:val="en-US"/>
        </w:rPr>
        <w:t>: Quantitative results for yerba mate extract obtained by NMR-PULCON and GC-MS, including comparison and expanded uncertainties (k = 2).</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8"/>
        <w:gridCol w:w="1020"/>
        <w:gridCol w:w="2110"/>
        <w:gridCol w:w="1312"/>
        <w:gridCol w:w="2515"/>
        <w:gridCol w:w="1339"/>
      </w:tblGrid>
      <w:tr w:rsidR="002B64C9" w:rsidRPr="00E41099" w14:paraId="709D8956" w14:textId="77777777" w:rsidTr="008678AE">
        <w:trPr>
          <w:trHeight w:val="300"/>
          <w:jc w:val="center"/>
        </w:trPr>
        <w:tc>
          <w:tcPr>
            <w:tcW w:w="1118" w:type="dxa"/>
            <w:noWrap/>
            <w:hideMark/>
          </w:tcPr>
          <w:p w14:paraId="6B755B92" w14:textId="77777777" w:rsidR="002B64C9" w:rsidRPr="002A18A2" w:rsidRDefault="002B64C9" w:rsidP="008678AE">
            <w:pPr>
              <w:spacing w:line="240" w:lineRule="auto"/>
              <w:jc w:val="center"/>
              <w:rPr>
                <w:rFonts w:eastAsia="Times New Roman"/>
                <w:b/>
                <w:color w:val="000000"/>
                <w:lang w:val="en-US"/>
              </w:rPr>
            </w:pPr>
            <w:r w:rsidRPr="002A18A2">
              <w:rPr>
                <w:rFonts w:eastAsia="Times New Roman"/>
                <w:b/>
                <w:color w:val="000000"/>
                <w:lang w:val="en-US"/>
              </w:rPr>
              <w:t>Sample</w:t>
            </w:r>
          </w:p>
        </w:tc>
        <w:tc>
          <w:tcPr>
            <w:tcW w:w="1020" w:type="dxa"/>
            <w:noWrap/>
            <w:hideMark/>
          </w:tcPr>
          <w:p w14:paraId="1046F231" w14:textId="77777777" w:rsidR="002B64C9" w:rsidRPr="002A18A2" w:rsidRDefault="002B64C9" w:rsidP="008678AE">
            <w:pPr>
              <w:spacing w:line="240" w:lineRule="auto"/>
              <w:jc w:val="center"/>
              <w:rPr>
                <w:rFonts w:eastAsia="Times New Roman"/>
                <w:b/>
                <w:color w:val="000000"/>
                <w:lang w:val="en-US"/>
              </w:rPr>
            </w:pPr>
            <w:r w:rsidRPr="002A18A2">
              <w:rPr>
                <w:rFonts w:eastAsia="Times New Roman"/>
                <w:b/>
                <w:color w:val="000000"/>
                <w:lang w:val="en-US"/>
              </w:rPr>
              <w:t>CG-MS result in µg/g</w:t>
            </w:r>
          </w:p>
        </w:tc>
        <w:tc>
          <w:tcPr>
            <w:tcW w:w="2110" w:type="dxa"/>
            <w:noWrap/>
            <w:hideMark/>
          </w:tcPr>
          <w:p w14:paraId="0CC608E9" w14:textId="77777777" w:rsidR="002B64C9" w:rsidRPr="002A18A2" w:rsidRDefault="002B64C9" w:rsidP="008678AE">
            <w:pPr>
              <w:spacing w:line="240" w:lineRule="auto"/>
              <w:jc w:val="center"/>
              <w:rPr>
                <w:rFonts w:eastAsia="Times New Roman"/>
                <w:b/>
                <w:color w:val="000000"/>
                <w:lang w:val="en-US"/>
              </w:rPr>
            </w:pPr>
            <w:r w:rsidRPr="002A18A2">
              <w:rPr>
                <w:rFonts w:eastAsia="Times New Roman"/>
                <w:b/>
                <w:color w:val="000000"/>
                <w:lang w:val="en-US"/>
              </w:rPr>
              <w:t>CG-MS expanded uncertainty in µg/g (</w:t>
            </w:r>
            <w:r w:rsidRPr="002A18A2">
              <w:rPr>
                <w:rFonts w:eastAsia="Times New Roman"/>
                <w:b/>
                <w:i/>
                <w:iCs/>
                <w:color w:val="000000"/>
                <w:lang w:val="en-US"/>
              </w:rPr>
              <w:t>U</w:t>
            </w:r>
            <w:r w:rsidRPr="002A18A2">
              <w:rPr>
                <w:rFonts w:eastAsia="Times New Roman"/>
                <w:b/>
                <w:color w:val="000000"/>
                <w:lang w:val="en-US"/>
              </w:rPr>
              <w:t>)</w:t>
            </w:r>
          </w:p>
        </w:tc>
        <w:tc>
          <w:tcPr>
            <w:tcW w:w="1312" w:type="dxa"/>
            <w:noWrap/>
            <w:hideMark/>
          </w:tcPr>
          <w:p w14:paraId="24509495" w14:textId="77777777" w:rsidR="002B64C9" w:rsidRPr="002A18A2" w:rsidRDefault="002B64C9" w:rsidP="008678AE">
            <w:pPr>
              <w:spacing w:line="240" w:lineRule="auto"/>
              <w:jc w:val="center"/>
              <w:rPr>
                <w:rFonts w:eastAsia="Times New Roman"/>
                <w:b/>
                <w:color w:val="000000"/>
                <w:lang w:val="en-US"/>
              </w:rPr>
            </w:pPr>
            <w:r w:rsidRPr="002A18A2">
              <w:rPr>
                <w:rFonts w:eastAsia="Times New Roman"/>
                <w:b/>
                <w:color w:val="000000"/>
                <w:lang w:val="en-US"/>
              </w:rPr>
              <w:t>PULCON-qNMR result in µg/g</w:t>
            </w:r>
          </w:p>
        </w:tc>
        <w:tc>
          <w:tcPr>
            <w:tcW w:w="2515" w:type="dxa"/>
            <w:noWrap/>
            <w:hideMark/>
          </w:tcPr>
          <w:p w14:paraId="4260EBF9" w14:textId="77777777" w:rsidR="002B64C9" w:rsidRPr="002A18A2" w:rsidRDefault="002B64C9" w:rsidP="008678AE">
            <w:pPr>
              <w:spacing w:line="240" w:lineRule="auto"/>
              <w:jc w:val="center"/>
              <w:rPr>
                <w:rFonts w:eastAsia="Times New Roman"/>
                <w:b/>
                <w:color w:val="000000"/>
                <w:lang w:val="en-US"/>
              </w:rPr>
            </w:pPr>
            <w:r w:rsidRPr="002A18A2">
              <w:rPr>
                <w:rFonts w:eastAsia="Times New Roman"/>
                <w:b/>
                <w:color w:val="000000"/>
                <w:lang w:val="en-US"/>
              </w:rPr>
              <w:t>PULCON-qNMR expanded uncertainty in µg/g (</w:t>
            </w:r>
            <w:r w:rsidRPr="002A18A2">
              <w:rPr>
                <w:rFonts w:eastAsia="Times New Roman"/>
                <w:b/>
                <w:i/>
                <w:iCs/>
                <w:color w:val="000000"/>
                <w:lang w:val="en-US"/>
              </w:rPr>
              <w:t>U</w:t>
            </w:r>
            <w:r w:rsidRPr="002A18A2">
              <w:rPr>
                <w:rFonts w:eastAsia="Times New Roman"/>
                <w:b/>
                <w:color w:val="000000"/>
                <w:lang w:val="en-US"/>
              </w:rPr>
              <w:t>)</w:t>
            </w:r>
          </w:p>
        </w:tc>
        <w:tc>
          <w:tcPr>
            <w:tcW w:w="1339" w:type="dxa"/>
          </w:tcPr>
          <w:p w14:paraId="1B49931D" w14:textId="77777777" w:rsidR="002B64C9" w:rsidRPr="002A18A2" w:rsidRDefault="002B64C9" w:rsidP="008678AE">
            <w:pPr>
              <w:spacing w:line="240" w:lineRule="auto"/>
              <w:jc w:val="center"/>
              <w:rPr>
                <w:rFonts w:eastAsia="Times New Roman"/>
                <w:b/>
                <w:color w:val="000000"/>
                <w:lang w:val="en-US"/>
              </w:rPr>
            </w:pPr>
            <w:r w:rsidRPr="002A18A2">
              <w:rPr>
                <w:b/>
                <w:lang w:val="en-US"/>
              </w:rPr>
              <w:t>Normalized error</w:t>
            </w:r>
          </w:p>
        </w:tc>
      </w:tr>
      <w:tr w:rsidR="002B64C9" w:rsidRPr="00E41099" w14:paraId="0A17D4D1" w14:textId="77777777" w:rsidTr="008678AE">
        <w:trPr>
          <w:trHeight w:val="300"/>
          <w:jc w:val="center"/>
        </w:trPr>
        <w:tc>
          <w:tcPr>
            <w:tcW w:w="1118" w:type="dxa"/>
            <w:noWrap/>
            <w:vAlign w:val="bottom"/>
            <w:hideMark/>
          </w:tcPr>
          <w:p w14:paraId="66AAA538" w14:textId="77777777" w:rsidR="002B64C9" w:rsidRPr="00E41099" w:rsidRDefault="002B64C9" w:rsidP="008678AE">
            <w:pPr>
              <w:spacing w:line="240" w:lineRule="auto"/>
              <w:rPr>
                <w:rFonts w:eastAsia="Times New Roman"/>
                <w:color w:val="000000"/>
                <w:lang w:val="en-US"/>
              </w:rPr>
            </w:pPr>
            <w:r w:rsidRPr="00E41099">
              <w:rPr>
                <w:rFonts w:eastAsia="Times New Roman"/>
                <w:color w:val="000000"/>
                <w:lang w:val="en-US"/>
              </w:rPr>
              <w:t>Extract 1</w:t>
            </w:r>
          </w:p>
        </w:tc>
        <w:tc>
          <w:tcPr>
            <w:tcW w:w="1020" w:type="dxa"/>
            <w:noWrap/>
            <w:vAlign w:val="bottom"/>
            <w:hideMark/>
          </w:tcPr>
          <w:p w14:paraId="3B9154A6"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122.6</w:t>
            </w:r>
          </w:p>
        </w:tc>
        <w:tc>
          <w:tcPr>
            <w:tcW w:w="2110" w:type="dxa"/>
            <w:noWrap/>
            <w:vAlign w:val="bottom"/>
            <w:hideMark/>
          </w:tcPr>
          <w:p w14:paraId="51692F15"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8.9</w:t>
            </w:r>
          </w:p>
        </w:tc>
        <w:tc>
          <w:tcPr>
            <w:tcW w:w="1312" w:type="dxa"/>
            <w:noWrap/>
            <w:vAlign w:val="bottom"/>
            <w:hideMark/>
          </w:tcPr>
          <w:p w14:paraId="4B401D1B"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130.4</w:t>
            </w:r>
          </w:p>
        </w:tc>
        <w:tc>
          <w:tcPr>
            <w:tcW w:w="2515" w:type="dxa"/>
            <w:noWrap/>
            <w:vAlign w:val="bottom"/>
            <w:hideMark/>
          </w:tcPr>
          <w:p w14:paraId="75A984E6"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3.3</w:t>
            </w:r>
          </w:p>
        </w:tc>
        <w:tc>
          <w:tcPr>
            <w:tcW w:w="1339" w:type="dxa"/>
          </w:tcPr>
          <w:p w14:paraId="035C6192" w14:textId="77777777" w:rsidR="002B64C9" w:rsidRPr="00E41099" w:rsidRDefault="002B64C9" w:rsidP="008678AE">
            <w:pPr>
              <w:spacing w:line="240" w:lineRule="auto"/>
              <w:jc w:val="center"/>
              <w:rPr>
                <w:lang w:val="en-US"/>
              </w:rPr>
            </w:pPr>
            <w:r w:rsidRPr="00E41099">
              <w:rPr>
                <w:lang w:val="en-US"/>
              </w:rPr>
              <w:t>0.821</w:t>
            </w:r>
          </w:p>
        </w:tc>
      </w:tr>
      <w:tr w:rsidR="002B64C9" w:rsidRPr="00E41099" w14:paraId="543DD1D9" w14:textId="77777777" w:rsidTr="008678AE">
        <w:trPr>
          <w:trHeight w:val="300"/>
          <w:jc w:val="center"/>
        </w:trPr>
        <w:tc>
          <w:tcPr>
            <w:tcW w:w="1118" w:type="dxa"/>
            <w:noWrap/>
            <w:vAlign w:val="bottom"/>
            <w:hideMark/>
          </w:tcPr>
          <w:p w14:paraId="4F4C00EF" w14:textId="77777777" w:rsidR="002B64C9" w:rsidRPr="00E41099" w:rsidRDefault="002B64C9" w:rsidP="008678AE">
            <w:pPr>
              <w:spacing w:line="240" w:lineRule="auto"/>
              <w:rPr>
                <w:rFonts w:eastAsia="Times New Roman"/>
                <w:color w:val="000000"/>
                <w:lang w:val="en-US"/>
              </w:rPr>
            </w:pPr>
            <w:r w:rsidRPr="00E41099">
              <w:rPr>
                <w:rFonts w:eastAsia="Times New Roman"/>
                <w:color w:val="000000"/>
                <w:lang w:val="en-US"/>
              </w:rPr>
              <w:t>Extract 2</w:t>
            </w:r>
          </w:p>
        </w:tc>
        <w:tc>
          <w:tcPr>
            <w:tcW w:w="1020" w:type="dxa"/>
            <w:noWrap/>
            <w:vAlign w:val="bottom"/>
            <w:hideMark/>
          </w:tcPr>
          <w:p w14:paraId="31CCB4B4"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173.2</w:t>
            </w:r>
          </w:p>
        </w:tc>
        <w:tc>
          <w:tcPr>
            <w:tcW w:w="2110" w:type="dxa"/>
            <w:noWrap/>
            <w:vAlign w:val="bottom"/>
            <w:hideMark/>
          </w:tcPr>
          <w:p w14:paraId="153D3C1A"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10</w:t>
            </w:r>
          </w:p>
        </w:tc>
        <w:tc>
          <w:tcPr>
            <w:tcW w:w="1312" w:type="dxa"/>
            <w:noWrap/>
            <w:vAlign w:val="bottom"/>
            <w:hideMark/>
          </w:tcPr>
          <w:p w14:paraId="69377BB2"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176.8</w:t>
            </w:r>
          </w:p>
        </w:tc>
        <w:tc>
          <w:tcPr>
            <w:tcW w:w="2515" w:type="dxa"/>
            <w:noWrap/>
            <w:vAlign w:val="bottom"/>
            <w:hideMark/>
          </w:tcPr>
          <w:p w14:paraId="10915C18"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2.9</w:t>
            </w:r>
          </w:p>
        </w:tc>
        <w:tc>
          <w:tcPr>
            <w:tcW w:w="1339" w:type="dxa"/>
          </w:tcPr>
          <w:p w14:paraId="3386C4EF" w14:textId="77777777" w:rsidR="002B64C9" w:rsidRPr="00E41099" w:rsidRDefault="002B64C9" w:rsidP="008678AE">
            <w:pPr>
              <w:spacing w:line="240" w:lineRule="auto"/>
              <w:jc w:val="center"/>
              <w:rPr>
                <w:lang w:val="en-US"/>
              </w:rPr>
            </w:pPr>
            <w:r w:rsidRPr="00E41099">
              <w:rPr>
                <w:lang w:val="en-US"/>
              </w:rPr>
              <w:t>0.343</w:t>
            </w:r>
          </w:p>
        </w:tc>
      </w:tr>
      <w:tr w:rsidR="002B64C9" w:rsidRPr="00E41099" w14:paraId="498DB5C7" w14:textId="77777777" w:rsidTr="008678AE">
        <w:trPr>
          <w:trHeight w:val="300"/>
          <w:jc w:val="center"/>
        </w:trPr>
        <w:tc>
          <w:tcPr>
            <w:tcW w:w="1118" w:type="dxa"/>
            <w:noWrap/>
            <w:vAlign w:val="bottom"/>
            <w:hideMark/>
          </w:tcPr>
          <w:p w14:paraId="62A8678B" w14:textId="77777777" w:rsidR="002B64C9" w:rsidRPr="00E41099" w:rsidRDefault="002B64C9" w:rsidP="008678AE">
            <w:pPr>
              <w:spacing w:line="240" w:lineRule="auto"/>
              <w:rPr>
                <w:rFonts w:eastAsia="Times New Roman"/>
                <w:color w:val="000000"/>
                <w:lang w:val="en-US"/>
              </w:rPr>
            </w:pPr>
            <w:r w:rsidRPr="00E41099">
              <w:rPr>
                <w:rFonts w:eastAsia="Times New Roman"/>
                <w:color w:val="000000"/>
                <w:lang w:val="en-US"/>
              </w:rPr>
              <w:t>Extract 3</w:t>
            </w:r>
          </w:p>
        </w:tc>
        <w:tc>
          <w:tcPr>
            <w:tcW w:w="1020" w:type="dxa"/>
            <w:noWrap/>
            <w:vAlign w:val="bottom"/>
            <w:hideMark/>
          </w:tcPr>
          <w:p w14:paraId="7199270B"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147.0</w:t>
            </w:r>
          </w:p>
        </w:tc>
        <w:tc>
          <w:tcPr>
            <w:tcW w:w="2110" w:type="dxa"/>
            <w:noWrap/>
            <w:vAlign w:val="bottom"/>
            <w:hideMark/>
          </w:tcPr>
          <w:p w14:paraId="1B7BD240"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9.5</w:t>
            </w:r>
          </w:p>
        </w:tc>
        <w:tc>
          <w:tcPr>
            <w:tcW w:w="1312" w:type="dxa"/>
            <w:noWrap/>
            <w:vAlign w:val="bottom"/>
            <w:hideMark/>
          </w:tcPr>
          <w:p w14:paraId="783DA176"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153.5</w:t>
            </w:r>
          </w:p>
        </w:tc>
        <w:tc>
          <w:tcPr>
            <w:tcW w:w="2515" w:type="dxa"/>
            <w:noWrap/>
            <w:vAlign w:val="bottom"/>
            <w:hideMark/>
          </w:tcPr>
          <w:p w14:paraId="6F681F41" w14:textId="77777777" w:rsidR="002B64C9" w:rsidRPr="00E41099" w:rsidRDefault="002B64C9" w:rsidP="008678AE">
            <w:pPr>
              <w:spacing w:line="240" w:lineRule="auto"/>
              <w:jc w:val="center"/>
              <w:rPr>
                <w:rFonts w:eastAsia="Times New Roman"/>
                <w:color w:val="000000"/>
                <w:lang w:val="en-US"/>
              </w:rPr>
            </w:pPr>
            <w:r w:rsidRPr="00E41099">
              <w:rPr>
                <w:rFonts w:eastAsia="Times New Roman"/>
                <w:color w:val="000000"/>
                <w:lang w:val="en-US"/>
              </w:rPr>
              <w:t>1.7</w:t>
            </w:r>
          </w:p>
        </w:tc>
        <w:tc>
          <w:tcPr>
            <w:tcW w:w="1339" w:type="dxa"/>
          </w:tcPr>
          <w:p w14:paraId="0883F654" w14:textId="77777777" w:rsidR="002B64C9" w:rsidRPr="00E41099" w:rsidRDefault="002B64C9" w:rsidP="008678AE">
            <w:pPr>
              <w:spacing w:line="240" w:lineRule="auto"/>
              <w:jc w:val="center"/>
              <w:rPr>
                <w:lang w:val="en-US"/>
              </w:rPr>
            </w:pPr>
            <w:r w:rsidRPr="00E41099">
              <w:rPr>
                <w:lang w:val="en-US"/>
              </w:rPr>
              <w:t>0.654</w:t>
            </w:r>
          </w:p>
        </w:tc>
      </w:tr>
    </w:tbl>
    <w:p w14:paraId="2E6398DF" w14:textId="77777777" w:rsidR="002B64C9" w:rsidRPr="00F47013" w:rsidRDefault="002B64C9" w:rsidP="002B64C9">
      <w:pPr>
        <w:rPr>
          <w:lang w:val="en-US" w:eastAsia="en-US"/>
        </w:rPr>
      </w:pPr>
    </w:p>
    <w:p w14:paraId="4D5689ED" w14:textId="77777777" w:rsidR="00244690" w:rsidRDefault="002B64C9" w:rsidP="00244690">
      <w:pPr>
        <w:keepNext/>
        <w:jc w:val="center"/>
      </w:pPr>
      <w:r>
        <w:rPr>
          <w:noProof/>
        </w:rPr>
        <w:drawing>
          <wp:inline distT="0" distB="0" distL="0" distR="0" wp14:anchorId="01747EFC" wp14:editId="269031C7">
            <wp:extent cx="5137741" cy="2895107"/>
            <wp:effectExtent l="0" t="0" r="6350" b="0"/>
            <wp:docPr id="129266461" name="Imagem 1" descr="Imagem em preto e branco de estr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6461" name="Imagem 1" descr="Imagem em preto e branco de estrela&#10;&#10;O conteúdo gerado por IA pode estar incorre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53210" cy="2903824"/>
                    </a:xfrm>
                    <a:prstGeom prst="rect">
                      <a:avLst/>
                    </a:prstGeom>
                    <a:noFill/>
                  </pic:spPr>
                </pic:pic>
              </a:graphicData>
            </a:graphic>
          </wp:inline>
        </w:drawing>
      </w:r>
    </w:p>
    <w:p w14:paraId="3DEC72F6" w14:textId="23AF1403" w:rsidR="002B64C9" w:rsidRDefault="00244690" w:rsidP="00C045E3">
      <w:pPr>
        <w:pStyle w:val="Beschriftung"/>
        <w:spacing w:line="360" w:lineRule="auto"/>
        <w:jc w:val="center"/>
        <w:rPr>
          <w:rFonts w:ascii="Arial" w:hAnsi="Arial" w:cs="Arial"/>
          <w:i w:val="0"/>
          <w:iCs w:val="0"/>
          <w:color w:val="auto"/>
          <w:sz w:val="22"/>
          <w:szCs w:val="22"/>
          <w:lang w:val="en-US"/>
        </w:rPr>
      </w:pPr>
      <w:r w:rsidRPr="00244690">
        <w:rPr>
          <w:rFonts w:ascii="Arial" w:hAnsi="Arial" w:cs="Arial"/>
          <w:i w:val="0"/>
          <w:iCs w:val="0"/>
          <w:color w:val="auto"/>
          <w:sz w:val="22"/>
          <w:szCs w:val="22"/>
          <w:lang w:val="en-US"/>
        </w:rPr>
        <w:t xml:space="preserve">Figure </w:t>
      </w:r>
      <w:r w:rsidR="00C045E3">
        <w:rPr>
          <w:rFonts w:ascii="Arial" w:hAnsi="Arial" w:cs="Arial"/>
          <w:i w:val="0"/>
          <w:iCs w:val="0"/>
          <w:color w:val="auto"/>
          <w:sz w:val="22"/>
          <w:szCs w:val="22"/>
          <w:lang w:val="en-US"/>
        </w:rPr>
        <w:t>S</w:t>
      </w:r>
      <w:r w:rsidRPr="00244690">
        <w:rPr>
          <w:rFonts w:ascii="Arial" w:hAnsi="Arial" w:cs="Arial"/>
          <w:i w:val="0"/>
          <w:iCs w:val="0"/>
          <w:color w:val="auto"/>
          <w:sz w:val="22"/>
          <w:szCs w:val="22"/>
        </w:rPr>
        <w:fldChar w:fldCharType="begin"/>
      </w:r>
      <w:r w:rsidRPr="00244690">
        <w:rPr>
          <w:rFonts w:ascii="Arial" w:hAnsi="Arial" w:cs="Arial"/>
          <w:i w:val="0"/>
          <w:iCs w:val="0"/>
          <w:color w:val="auto"/>
          <w:sz w:val="22"/>
          <w:szCs w:val="22"/>
          <w:lang w:val="en-US"/>
        </w:rPr>
        <w:instrText xml:space="preserve"> SEQ Figure \* ARABIC </w:instrText>
      </w:r>
      <w:r w:rsidRPr="00244690">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5</w:t>
      </w:r>
      <w:r w:rsidRPr="00244690">
        <w:rPr>
          <w:rFonts w:ascii="Arial" w:hAnsi="Arial" w:cs="Arial"/>
          <w:i w:val="0"/>
          <w:iCs w:val="0"/>
          <w:color w:val="auto"/>
          <w:sz w:val="22"/>
          <w:szCs w:val="22"/>
        </w:rPr>
        <w:fldChar w:fldCharType="end"/>
      </w:r>
      <w:r w:rsidRPr="00244690">
        <w:rPr>
          <w:rFonts w:ascii="Arial" w:hAnsi="Arial" w:cs="Arial"/>
          <w:i w:val="0"/>
          <w:iCs w:val="0"/>
          <w:color w:val="auto"/>
          <w:sz w:val="22"/>
          <w:szCs w:val="22"/>
          <w:lang w:val="en-US"/>
        </w:rPr>
        <w:t xml:space="preserve">: Comparison of GC-MS (standard addition) and NMR-PULCON methods for caffeine quantification in yerba mate extracts (data from Table 1). </w:t>
      </w:r>
      <w:r w:rsidRPr="004E392D">
        <w:rPr>
          <w:rFonts w:ascii="Arial" w:hAnsi="Arial" w:cs="Arial"/>
          <w:i w:val="0"/>
          <w:iCs w:val="0"/>
          <w:color w:val="auto"/>
          <w:sz w:val="22"/>
          <w:szCs w:val="22"/>
          <w:lang w:val="en-US"/>
        </w:rPr>
        <w:t>Error bars represent expanded uncertainties (k = 2).</w:t>
      </w:r>
    </w:p>
    <w:p w14:paraId="1F310F9B" w14:textId="77777777" w:rsidR="00934703" w:rsidRPr="00934703" w:rsidRDefault="00934703" w:rsidP="00934703">
      <w:pPr>
        <w:rPr>
          <w:lang w:val="en-US" w:eastAsia="en-US"/>
        </w:rPr>
      </w:pPr>
    </w:p>
    <w:p w14:paraId="63767921" w14:textId="6C3C95E5" w:rsidR="00CD1D1B" w:rsidRPr="00976DB5" w:rsidRDefault="006A40B4" w:rsidP="00976DB5">
      <w:pPr>
        <w:pStyle w:val="berschrift2"/>
        <w:spacing w:line="360" w:lineRule="auto"/>
        <w:jc w:val="both"/>
        <w:rPr>
          <w:rFonts w:ascii="Arial" w:hAnsi="Arial" w:cs="Arial"/>
          <w:color w:val="auto"/>
          <w:sz w:val="22"/>
          <w:szCs w:val="22"/>
          <w:lang w:val="en-US"/>
        </w:rPr>
      </w:pPr>
      <w:bookmarkStart w:id="15" w:name="_Toc216797621"/>
      <w:r>
        <w:rPr>
          <w:rFonts w:ascii="Arial" w:hAnsi="Arial" w:cs="Arial"/>
          <w:color w:val="auto"/>
          <w:sz w:val="22"/>
          <w:szCs w:val="22"/>
          <w:lang w:val="en-US" w:eastAsia="en-US"/>
        </w:rPr>
        <w:lastRenderedPageBreak/>
        <w:t>S</w:t>
      </w:r>
      <w:r w:rsidR="00CD1D1B" w:rsidRPr="00976DB5">
        <w:rPr>
          <w:rFonts w:ascii="Arial" w:hAnsi="Arial" w:cs="Arial"/>
          <w:color w:val="auto"/>
          <w:sz w:val="22"/>
          <w:szCs w:val="22"/>
          <w:lang w:val="en-US" w:eastAsia="en-US"/>
        </w:rPr>
        <w:t xml:space="preserve">4.3) Quantification of </w:t>
      </w:r>
      <w:r w:rsidR="00CD1D1B" w:rsidRPr="00976DB5">
        <w:rPr>
          <w:rFonts w:ascii="Arial" w:hAnsi="Arial" w:cs="Arial"/>
          <w:color w:val="auto"/>
          <w:sz w:val="22"/>
          <w:szCs w:val="22"/>
          <w:lang w:val="en-US"/>
        </w:rPr>
        <w:t>Δ</w:t>
      </w:r>
      <w:r w:rsidR="00CD1D1B" w:rsidRPr="00976DB5">
        <w:rPr>
          <w:rFonts w:ascii="Arial" w:hAnsi="Arial" w:cs="Arial"/>
          <w:color w:val="auto"/>
          <w:sz w:val="22"/>
          <w:szCs w:val="22"/>
          <w:vertAlign w:val="superscript"/>
          <w:lang w:val="en-US"/>
        </w:rPr>
        <w:t>9</w:t>
      </w:r>
      <w:r w:rsidR="00CD1D1B" w:rsidRPr="00976DB5">
        <w:rPr>
          <w:rFonts w:ascii="Arial" w:hAnsi="Arial" w:cs="Arial"/>
          <w:color w:val="auto"/>
          <w:sz w:val="22"/>
          <w:szCs w:val="22"/>
          <w:lang w:val="en-US"/>
        </w:rPr>
        <w:t>-THC and CBN in cannabis extracts</w:t>
      </w:r>
      <w:bookmarkEnd w:id="15"/>
    </w:p>
    <w:p w14:paraId="6A19FCF1" w14:textId="08F45462" w:rsidR="00CD1D1B" w:rsidRDefault="00934703" w:rsidP="00934703">
      <w:pPr>
        <w:spacing w:line="360" w:lineRule="auto"/>
        <w:ind w:firstLine="708"/>
        <w:jc w:val="both"/>
        <w:rPr>
          <w:lang w:val="en-US"/>
        </w:rPr>
      </w:pPr>
      <w:r w:rsidRPr="00934703">
        <w:rPr>
          <w:lang w:val="en-US"/>
        </w:rPr>
        <w:t xml:space="preserve">The validated quantitative </w:t>
      </w:r>
      <w:r w:rsidRPr="00934703">
        <w:rPr>
          <w:vertAlign w:val="superscript"/>
          <w:lang w:val="en-US"/>
        </w:rPr>
        <w:t>1</w:t>
      </w:r>
      <w:r w:rsidRPr="00934703">
        <w:rPr>
          <w:lang w:val="en-US"/>
        </w:rPr>
        <w:t xml:space="preserve">H NMR (qNMR) method was applied to cannabinoid analysis in extracts for the determination of cannabinol (CBN) and </w:t>
      </w:r>
      <w:r w:rsidRPr="00934703">
        <w:t>Δ</w:t>
      </w:r>
      <w:r w:rsidRPr="00934703">
        <w:rPr>
          <w:lang w:val="en-US"/>
        </w:rPr>
        <w:t>⁹-tetrahydrocannabinol (</w:t>
      </w:r>
      <w:r w:rsidRPr="00934703">
        <w:t>Δ</w:t>
      </w:r>
      <w:r w:rsidRPr="00934703">
        <w:rPr>
          <w:lang w:val="en-US"/>
        </w:rPr>
        <w:t xml:space="preserve">⁹-THC). Cannabis samples from different origins were first evaluated by </w:t>
      </w:r>
      <w:r w:rsidRPr="00934703">
        <w:rPr>
          <w:vertAlign w:val="superscript"/>
          <w:lang w:val="en-US"/>
        </w:rPr>
        <w:t>1</w:t>
      </w:r>
      <w:r w:rsidRPr="00934703">
        <w:rPr>
          <w:lang w:val="en-US"/>
        </w:rPr>
        <w:t xml:space="preserve">H-qNMR using the PULCON approach with dimethylsulfone CRM as the calibration reference. Cannabinoid mass fractions were calculated using Equation 8. Quantification was performed using two characteristic, non-overlapping signals for each analyte: </w:t>
      </w:r>
      <w:r w:rsidRPr="00934703">
        <w:t>δ</w:t>
      </w:r>
      <w:r w:rsidRPr="00934703">
        <w:rPr>
          <w:lang w:val="en-US"/>
        </w:rPr>
        <w:t xml:space="preserve"> 8.16 ppm (s, 1H) and 6.44 ppm (d, 1H) for CBN, and </w:t>
      </w:r>
      <w:r w:rsidRPr="00934703">
        <w:t>δ</w:t>
      </w:r>
      <w:r w:rsidRPr="00934703">
        <w:rPr>
          <w:lang w:val="en-US"/>
        </w:rPr>
        <w:t xml:space="preserve"> 6.14 ppm (d, 1H) and 3.20 ppm (dd, 1H) for </w:t>
      </w:r>
      <w:r w:rsidRPr="00934703">
        <w:t>Δ</w:t>
      </w:r>
      <w:r w:rsidRPr="00934703">
        <w:rPr>
          <w:lang w:val="en-US"/>
        </w:rPr>
        <w:t xml:space="preserve">⁹-THC, in agreement with literature </w:t>
      </w:r>
      <w:r w:rsidRPr="002447FC">
        <w:rPr>
          <w:lang w:val="en-US"/>
        </w:rPr>
        <w:t>data</w:t>
      </w:r>
      <w:r w:rsidR="00ED10CF" w:rsidRPr="002447FC">
        <w:rPr>
          <w:lang w:val="en-US"/>
        </w:rPr>
        <w:t xml:space="preserve"> </w:t>
      </w:r>
      <w:r w:rsidR="00466613" w:rsidRPr="002447FC">
        <w:rPr>
          <w:lang w:val="en-US"/>
        </w:rPr>
        <w:t>[8]</w:t>
      </w:r>
      <w:r w:rsidRPr="002447FC">
        <w:rPr>
          <w:lang w:val="en-US"/>
        </w:rPr>
        <w:t>. Final</w:t>
      </w:r>
      <w:r w:rsidRPr="00934703">
        <w:rPr>
          <w:lang w:val="en-US"/>
        </w:rPr>
        <w:t xml:space="preserve"> concentrations were obtained by averaging the values derived from the individual signals. The mass fractions of </w:t>
      </w:r>
      <w:r w:rsidRPr="00934703">
        <w:t>Δ</w:t>
      </w:r>
      <w:r w:rsidRPr="00934703">
        <w:rPr>
          <w:lang w:val="en-US"/>
        </w:rPr>
        <w:t xml:space="preserve">⁹-THC and CBN in the analyzed extracts are summarized in Table </w:t>
      </w:r>
      <w:r w:rsidR="00C045E3">
        <w:rPr>
          <w:lang w:val="en-US"/>
        </w:rPr>
        <w:t>S</w:t>
      </w:r>
      <w:r w:rsidRPr="00934703">
        <w:rPr>
          <w:lang w:val="en-US"/>
        </w:rPr>
        <w:t>2.</w:t>
      </w:r>
    </w:p>
    <w:p w14:paraId="67AB97AE" w14:textId="77777777" w:rsidR="00934703" w:rsidRDefault="00934703" w:rsidP="00934703">
      <w:pPr>
        <w:spacing w:line="360" w:lineRule="auto"/>
        <w:ind w:firstLine="708"/>
        <w:jc w:val="both"/>
        <w:rPr>
          <w:lang w:val="en-US"/>
        </w:rPr>
      </w:pPr>
    </w:p>
    <w:p w14:paraId="4DAE4EFB" w14:textId="4DE1A4D4" w:rsidR="00934703" w:rsidRPr="00934703" w:rsidRDefault="00934703" w:rsidP="00934703">
      <w:pPr>
        <w:pStyle w:val="Beschriftung"/>
        <w:keepNext/>
        <w:jc w:val="center"/>
        <w:rPr>
          <w:rFonts w:ascii="Arial" w:hAnsi="Arial" w:cs="Arial"/>
          <w:i w:val="0"/>
          <w:iCs w:val="0"/>
          <w:color w:val="auto"/>
          <w:sz w:val="22"/>
          <w:szCs w:val="22"/>
          <w:lang w:val="en-US"/>
        </w:rPr>
      </w:pPr>
      <w:r w:rsidRPr="00934703">
        <w:rPr>
          <w:rFonts w:ascii="Arial" w:hAnsi="Arial" w:cs="Arial"/>
          <w:i w:val="0"/>
          <w:iCs w:val="0"/>
          <w:color w:val="auto"/>
          <w:sz w:val="22"/>
          <w:szCs w:val="22"/>
          <w:lang w:val="en-US"/>
        </w:rPr>
        <w:t xml:space="preserve">Table </w:t>
      </w:r>
      <w:r w:rsidR="00C045E3">
        <w:rPr>
          <w:rFonts w:ascii="Arial" w:hAnsi="Arial" w:cs="Arial"/>
          <w:i w:val="0"/>
          <w:iCs w:val="0"/>
          <w:color w:val="auto"/>
          <w:sz w:val="22"/>
          <w:szCs w:val="22"/>
          <w:lang w:val="en-US"/>
        </w:rPr>
        <w:t>S</w:t>
      </w:r>
      <w:r w:rsidRPr="00934703">
        <w:rPr>
          <w:rFonts w:ascii="Arial" w:hAnsi="Arial" w:cs="Arial"/>
          <w:i w:val="0"/>
          <w:iCs w:val="0"/>
          <w:color w:val="auto"/>
          <w:sz w:val="22"/>
          <w:szCs w:val="22"/>
        </w:rPr>
        <w:fldChar w:fldCharType="begin"/>
      </w:r>
      <w:r w:rsidRPr="00934703">
        <w:rPr>
          <w:rFonts w:ascii="Arial" w:hAnsi="Arial" w:cs="Arial"/>
          <w:i w:val="0"/>
          <w:iCs w:val="0"/>
          <w:color w:val="auto"/>
          <w:sz w:val="22"/>
          <w:szCs w:val="22"/>
          <w:lang w:val="en-US"/>
        </w:rPr>
        <w:instrText xml:space="preserve"> SEQ Table \* ARABIC </w:instrText>
      </w:r>
      <w:r w:rsidRPr="00934703">
        <w:rPr>
          <w:rFonts w:ascii="Arial" w:hAnsi="Arial" w:cs="Arial"/>
          <w:i w:val="0"/>
          <w:iCs w:val="0"/>
          <w:color w:val="auto"/>
          <w:sz w:val="22"/>
          <w:szCs w:val="22"/>
        </w:rPr>
        <w:fldChar w:fldCharType="separate"/>
      </w:r>
      <w:r w:rsidR="00130A17">
        <w:rPr>
          <w:rFonts w:ascii="Arial" w:hAnsi="Arial" w:cs="Arial"/>
          <w:i w:val="0"/>
          <w:iCs w:val="0"/>
          <w:noProof/>
          <w:color w:val="auto"/>
          <w:sz w:val="22"/>
          <w:szCs w:val="22"/>
          <w:lang w:val="en-US"/>
        </w:rPr>
        <w:t>2</w:t>
      </w:r>
      <w:r w:rsidRPr="00934703">
        <w:rPr>
          <w:rFonts w:ascii="Arial" w:hAnsi="Arial" w:cs="Arial"/>
          <w:i w:val="0"/>
          <w:iCs w:val="0"/>
          <w:color w:val="auto"/>
          <w:sz w:val="22"/>
          <w:szCs w:val="22"/>
        </w:rPr>
        <w:fldChar w:fldCharType="end"/>
      </w:r>
      <w:r w:rsidRPr="00934703">
        <w:rPr>
          <w:rFonts w:ascii="Arial" w:hAnsi="Arial" w:cs="Arial"/>
          <w:i w:val="0"/>
          <w:iCs w:val="0"/>
          <w:color w:val="auto"/>
          <w:sz w:val="22"/>
          <w:szCs w:val="22"/>
          <w:lang w:val="en-US"/>
        </w:rPr>
        <w:t xml:space="preserve">: Quantification of </w:t>
      </w:r>
      <w:r w:rsidR="006F1292" w:rsidRPr="00934703">
        <w:rPr>
          <w:rFonts w:ascii="Arial" w:hAnsi="Arial" w:cs="Arial"/>
          <w:i w:val="0"/>
          <w:iCs w:val="0"/>
          <w:color w:val="auto"/>
          <w:sz w:val="22"/>
          <w:szCs w:val="22"/>
          <w:lang w:val="en-US"/>
        </w:rPr>
        <w:t>cannabis</w:t>
      </w:r>
      <w:r w:rsidRPr="00934703">
        <w:rPr>
          <w:rFonts w:ascii="Arial" w:hAnsi="Arial" w:cs="Arial"/>
          <w:i w:val="0"/>
          <w:iCs w:val="0"/>
          <w:color w:val="auto"/>
          <w:sz w:val="22"/>
          <w:szCs w:val="22"/>
          <w:lang w:val="en-US"/>
        </w:rPr>
        <w:t xml:space="preserve"> extracts by </w:t>
      </w:r>
      <w:r w:rsidRPr="00934703">
        <w:rPr>
          <w:rFonts w:ascii="Arial" w:hAnsi="Arial" w:cs="Arial"/>
          <w:i w:val="0"/>
          <w:iCs w:val="0"/>
          <w:color w:val="auto"/>
          <w:sz w:val="22"/>
          <w:szCs w:val="22"/>
          <w:vertAlign w:val="superscript"/>
          <w:lang w:val="en-US"/>
        </w:rPr>
        <w:t>1</w:t>
      </w:r>
      <w:r w:rsidRPr="00934703">
        <w:rPr>
          <w:rFonts w:ascii="Arial" w:hAnsi="Arial" w:cs="Arial"/>
          <w:i w:val="0"/>
          <w:iCs w:val="0"/>
          <w:color w:val="auto"/>
          <w:sz w:val="22"/>
          <w:szCs w:val="22"/>
          <w:lang w:val="en-US"/>
        </w:rPr>
        <w:t>H-NMR-PULCON method.</w:t>
      </w:r>
    </w:p>
    <w:tbl>
      <w:tblPr>
        <w:tblStyle w:val="Tabellenraster"/>
        <w:tblW w:w="8926" w:type="dxa"/>
        <w:jc w:val="center"/>
        <w:tblLook w:val="04A0" w:firstRow="1" w:lastRow="0" w:firstColumn="1" w:lastColumn="0" w:noHBand="0" w:noVBand="1"/>
      </w:tblPr>
      <w:tblGrid>
        <w:gridCol w:w="1659"/>
        <w:gridCol w:w="1880"/>
        <w:gridCol w:w="1843"/>
        <w:gridCol w:w="1701"/>
        <w:gridCol w:w="1843"/>
      </w:tblGrid>
      <w:tr w:rsidR="00934703" w:rsidRPr="00186254" w14:paraId="26629FDA" w14:textId="77777777" w:rsidTr="00934703">
        <w:trPr>
          <w:trHeight w:val="1185"/>
          <w:jc w:val="center"/>
        </w:trPr>
        <w:tc>
          <w:tcPr>
            <w:tcW w:w="1659" w:type="dxa"/>
            <w:noWrap/>
            <w:vAlign w:val="center"/>
            <w:hideMark/>
          </w:tcPr>
          <w:p w14:paraId="3376A9AC" w14:textId="77777777" w:rsidR="00934703" w:rsidRPr="00544CDE" w:rsidRDefault="00934703" w:rsidP="00CF01F6">
            <w:pPr>
              <w:jc w:val="center"/>
              <w:rPr>
                <w:rFonts w:eastAsia="Times New Roman"/>
                <w:b/>
                <w:bCs/>
              </w:rPr>
            </w:pPr>
            <w:r w:rsidRPr="00544CDE">
              <w:rPr>
                <w:rFonts w:eastAsia="Times New Roman"/>
                <w:b/>
                <w:bCs/>
              </w:rPr>
              <w:t>Sample</w:t>
            </w:r>
          </w:p>
          <w:p w14:paraId="6A57F703" w14:textId="77777777" w:rsidR="00934703" w:rsidRPr="00544CDE" w:rsidRDefault="00934703" w:rsidP="00CF01F6">
            <w:pPr>
              <w:jc w:val="center"/>
              <w:rPr>
                <w:rFonts w:eastAsia="Times New Roman"/>
                <w:b/>
                <w:bCs/>
              </w:rPr>
            </w:pPr>
            <w:r w:rsidRPr="00544CDE">
              <w:rPr>
                <w:rFonts w:eastAsia="Times New Roman"/>
                <w:b/>
                <w:bCs/>
              </w:rPr>
              <w:t>(genotype)</w:t>
            </w:r>
          </w:p>
        </w:tc>
        <w:tc>
          <w:tcPr>
            <w:tcW w:w="1880" w:type="dxa"/>
            <w:vAlign w:val="center"/>
            <w:hideMark/>
          </w:tcPr>
          <w:p w14:paraId="4BAC0B86" w14:textId="77777777" w:rsidR="00934703" w:rsidRDefault="00934703" w:rsidP="00CF01F6">
            <w:pPr>
              <w:jc w:val="center"/>
              <w:rPr>
                <w:rFonts w:eastAsia="Times New Roman"/>
                <w:b/>
                <w:bCs/>
              </w:rPr>
            </w:pPr>
            <w:r w:rsidRPr="00544CDE">
              <w:rPr>
                <w:rFonts w:eastAsia="Times New Roman"/>
                <w:b/>
                <w:bCs/>
              </w:rPr>
              <w:t xml:space="preserve">Mass fraction CBN </w:t>
            </w:r>
          </w:p>
          <w:p w14:paraId="224300ED" w14:textId="77777777" w:rsidR="00934703" w:rsidRPr="00544CDE" w:rsidRDefault="00934703" w:rsidP="00CF01F6">
            <w:pPr>
              <w:jc w:val="center"/>
              <w:rPr>
                <w:rFonts w:eastAsia="Times New Roman"/>
                <w:b/>
                <w:bCs/>
              </w:rPr>
            </w:pPr>
            <w:r w:rsidRPr="00544CDE">
              <w:rPr>
                <w:rFonts w:eastAsia="Times New Roman"/>
                <w:b/>
                <w:bCs/>
              </w:rPr>
              <w:t>(g/100 g)</w:t>
            </w:r>
          </w:p>
        </w:tc>
        <w:tc>
          <w:tcPr>
            <w:tcW w:w="1843" w:type="dxa"/>
            <w:vAlign w:val="center"/>
            <w:hideMark/>
          </w:tcPr>
          <w:p w14:paraId="7F87577D" w14:textId="77777777" w:rsidR="00934703" w:rsidRPr="00544CDE" w:rsidRDefault="00934703" w:rsidP="00CF01F6">
            <w:pPr>
              <w:jc w:val="center"/>
              <w:rPr>
                <w:rFonts w:eastAsia="Times New Roman"/>
                <w:b/>
                <w:bCs/>
              </w:rPr>
            </w:pPr>
            <w:r w:rsidRPr="00544CDE">
              <w:rPr>
                <w:rFonts w:eastAsia="Times New Roman"/>
                <w:b/>
                <w:bCs/>
              </w:rPr>
              <w:t>Expanded uncertainty CBN (</w:t>
            </w:r>
            <w:r w:rsidRPr="00AE56BE">
              <w:rPr>
                <w:rFonts w:eastAsia="Times New Roman"/>
                <w:b/>
                <w:bCs/>
                <w:i/>
              </w:rPr>
              <w:t xml:space="preserve">k </w:t>
            </w:r>
            <w:r w:rsidRPr="00544CDE">
              <w:rPr>
                <w:rFonts w:eastAsia="Times New Roman"/>
                <w:b/>
                <w:bCs/>
              </w:rPr>
              <w:t>= 2; 95 %) (g/100 g)</w:t>
            </w:r>
          </w:p>
        </w:tc>
        <w:tc>
          <w:tcPr>
            <w:tcW w:w="1701" w:type="dxa"/>
            <w:vAlign w:val="center"/>
            <w:hideMark/>
          </w:tcPr>
          <w:p w14:paraId="06345CFC" w14:textId="77777777" w:rsidR="00934703" w:rsidRPr="00544CDE" w:rsidRDefault="00934703" w:rsidP="00CF01F6">
            <w:pPr>
              <w:jc w:val="center"/>
              <w:rPr>
                <w:rFonts w:eastAsia="Times New Roman"/>
                <w:b/>
                <w:bCs/>
              </w:rPr>
            </w:pPr>
            <w:r w:rsidRPr="00544CDE">
              <w:rPr>
                <w:rFonts w:eastAsia="Times New Roman"/>
                <w:b/>
                <w:bCs/>
              </w:rPr>
              <w:t xml:space="preserve">Mass fraction </w:t>
            </w:r>
            <w:r w:rsidRPr="006C4C9F">
              <w:rPr>
                <w:rFonts w:eastAsia="Times New Roman"/>
                <w:b/>
                <w:bCs/>
              </w:rPr>
              <w:t>Δ</w:t>
            </w:r>
            <w:r w:rsidRPr="006C4C9F">
              <w:rPr>
                <w:rFonts w:eastAsia="Times New Roman"/>
                <w:b/>
                <w:bCs/>
                <w:vertAlign w:val="superscript"/>
              </w:rPr>
              <w:t>9</w:t>
            </w:r>
            <w:r w:rsidRPr="006C4C9F">
              <w:rPr>
                <w:rFonts w:eastAsia="Times New Roman"/>
                <w:b/>
                <w:bCs/>
              </w:rPr>
              <w:t>–</w:t>
            </w:r>
            <w:r w:rsidRPr="00544CDE">
              <w:rPr>
                <w:rFonts w:eastAsia="Times New Roman"/>
                <w:b/>
                <w:bCs/>
              </w:rPr>
              <w:t>THC (g/100 g)</w:t>
            </w:r>
          </w:p>
        </w:tc>
        <w:tc>
          <w:tcPr>
            <w:tcW w:w="1843" w:type="dxa"/>
            <w:vAlign w:val="center"/>
            <w:hideMark/>
          </w:tcPr>
          <w:p w14:paraId="21DFEBB7" w14:textId="77777777" w:rsidR="00934703" w:rsidRPr="00544CDE" w:rsidRDefault="00934703" w:rsidP="00CF01F6">
            <w:pPr>
              <w:jc w:val="center"/>
              <w:rPr>
                <w:rFonts w:eastAsia="Times New Roman"/>
                <w:b/>
                <w:bCs/>
              </w:rPr>
            </w:pPr>
            <w:r w:rsidRPr="00544CDE">
              <w:rPr>
                <w:rFonts w:eastAsia="Times New Roman"/>
                <w:b/>
                <w:bCs/>
              </w:rPr>
              <w:t xml:space="preserve">Expanded uncertainty </w:t>
            </w:r>
            <w:r w:rsidRPr="006C4C9F">
              <w:rPr>
                <w:rFonts w:eastAsia="Times New Roman"/>
                <w:b/>
                <w:bCs/>
              </w:rPr>
              <w:t>Δ</w:t>
            </w:r>
            <w:r w:rsidRPr="006C4C9F">
              <w:rPr>
                <w:rFonts w:eastAsia="Times New Roman"/>
                <w:b/>
                <w:bCs/>
                <w:vertAlign w:val="superscript"/>
              </w:rPr>
              <w:t>9</w:t>
            </w:r>
            <w:r w:rsidRPr="006C4C9F">
              <w:rPr>
                <w:rFonts w:eastAsia="Times New Roman"/>
                <w:b/>
                <w:bCs/>
              </w:rPr>
              <w:t>–</w:t>
            </w:r>
            <w:r w:rsidRPr="00544CDE">
              <w:rPr>
                <w:rFonts w:eastAsia="Times New Roman"/>
                <w:b/>
                <w:bCs/>
              </w:rPr>
              <w:t>THC (</w:t>
            </w:r>
            <w:r w:rsidRPr="001D159E">
              <w:rPr>
                <w:rFonts w:eastAsia="Times New Roman"/>
                <w:b/>
                <w:bCs/>
              </w:rPr>
              <w:t>k</w:t>
            </w:r>
            <w:r w:rsidRPr="00544CDE">
              <w:rPr>
                <w:rFonts w:eastAsia="Times New Roman"/>
                <w:b/>
                <w:bCs/>
              </w:rPr>
              <w:t xml:space="preserve"> = 2; 95 %) (g/100 g)</w:t>
            </w:r>
          </w:p>
        </w:tc>
      </w:tr>
      <w:tr w:rsidR="00934703" w:rsidRPr="00544CDE" w14:paraId="347701FB" w14:textId="77777777" w:rsidTr="00934703">
        <w:trPr>
          <w:trHeight w:val="300"/>
          <w:jc w:val="center"/>
        </w:trPr>
        <w:tc>
          <w:tcPr>
            <w:tcW w:w="1659" w:type="dxa"/>
            <w:noWrap/>
            <w:vAlign w:val="center"/>
            <w:hideMark/>
          </w:tcPr>
          <w:p w14:paraId="309B35E7" w14:textId="77777777" w:rsidR="00934703" w:rsidRPr="00544CDE" w:rsidRDefault="00934703" w:rsidP="00CF01F6">
            <w:pPr>
              <w:spacing w:line="360" w:lineRule="auto"/>
              <w:jc w:val="center"/>
              <w:rPr>
                <w:rFonts w:eastAsia="Times New Roman"/>
                <w:color w:val="000000"/>
              </w:rPr>
            </w:pPr>
            <w:proofErr w:type="spellStart"/>
            <w:r w:rsidRPr="00544CDE">
              <w:rPr>
                <w:rFonts w:eastAsia="Times New Roman"/>
                <w:color w:val="000000"/>
              </w:rPr>
              <w:t>Ia</w:t>
            </w:r>
            <w:proofErr w:type="spellEnd"/>
            <w:r w:rsidRPr="00544CDE">
              <w:rPr>
                <w:rFonts w:eastAsia="Times New Roman"/>
                <w:color w:val="000000"/>
              </w:rPr>
              <w:t xml:space="preserve"> (Preta </w:t>
            </w:r>
            <w:proofErr w:type="spellStart"/>
            <w:r w:rsidRPr="00544CDE">
              <w:rPr>
                <w:rFonts w:eastAsia="Times New Roman"/>
                <w:color w:val="000000"/>
              </w:rPr>
              <w:t>knush</w:t>
            </w:r>
            <w:proofErr w:type="spellEnd"/>
            <w:r w:rsidRPr="00544CDE">
              <w:rPr>
                <w:rFonts w:eastAsia="Times New Roman"/>
                <w:color w:val="000000"/>
              </w:rPr>
              <w:t>)</w:t>
            </w:r>
          </w:p>
        </w:tc>
        <w:tc>
          <w:tcPr>
            <w:tcW w:w="1880" w:type="dxa"/>
            <w:noWrap/>
            <w:vAlign w:val="center"/>
            <w:hideMark/>
          </w:tcPr>
          <w:p w14:paraId="4D6FB23D" w14:textId="77777777" w:rsidR="00934703" w:rsidRPr="00544CDE" w:rsidRDefault="00934703" w:rsidP="00CF01F6">
            <w:pPr>
              <w:spacing w:line="360" w:lineRule="auto"/>
              <w:jc w:val="center"/>
              <w:rPr>
                <w:rFonts w:eastAsia="Times New Roman"/>
              </w:rPr>
            </w:pPr>
            <w:r w:rsidRPr="00544CDE">
              <w:rPr>
                <w:rFonts w:eastAsia="Times New Roman"/>
              </w:rPr>
              <w:t>2.70</w:t>
            </w:r>
          </w:p>
        </w:tc>
        <w:tc>
          <w:tcPr>
            <w:tcW w:w="1843" w:type="dxa"/>
            <w:noWrap/>
            <w:vAlign w:val="center"/>
            <w:hideMark/>
          </w:tcPr>
          <w:p w14:paraId="5115A766" w14:textId="77777777" w:rsidR="00934703" w:rsidRPr="00544CDE" w:rsidRDefault="00934703" w:rsidP="00CF01F6">
            <w:pPr>
              <w:spacing w:line="360" w:lineRule="auto"/>
              <w:jc w:val="center"/>
              <w:rPr>
                <w:rFonts w:eastAsia="Times New Roman"/>
              </w:rPr>
            </w:pPr>
            <w:r w:rsidRPr="00544CDE">
              <w:rPr>
                <w:rFonts w:eastAsia="Times New Roman"/>
              </w:rPr>
              <w:t>0.02</w:t>
            </w:r>
          </w:p>
        </w:tc>
        <w:tc>
          <w:tcPr>
            <w:tcW w:w="1701" w:type="dxa"/>
            <w:noWrap/>
            <w:vAlign w:val="center"/>
            <w:hideMark/>
          </w:tcPr>
          <w:p w14:paraId="46C3DAB5" w14:textId="77777777" w:rsidR="00934703" w:rsidRPr="00544CDE" w:rsidRDefault="00934703" w:rsidP="00CF01F6">
            <w:pPr>
              <w:spacing w:line="360" w:lineRule="auto"/>
              <w:jc w:val="center"/>
              <w:rPr>
                <w:rFonts w:eastAsia="Times New Roman"/>
              </w:rPr>
            </w:pPr>
            <w:r w:rsidRPr="00544CDE">
              <w:rPr>
                <w:rFonts w:eastAsia="Times New Roman"/>
              </w:rPr>
              <w:t>19.4</w:t>
            </w:r>
          </w:p>
        </w:tc>
        <w:tc>
          <w:tcPr>
            <w:tcW w:w="1843" w:type="dxa"/>
            <w:noWrap/>
            <w:vAlign w:val="center"/>
            <w:hideMark/>
          </w:tcPr>
          <w:p w14:paraId="62AA25BF" w14:textId="77777777" w:rsidR="00934703" w:rsidRPr="00544CDE" w:rsidRDefault="00934703" w:rsidP="00CF01F6">
            <w:pPr>
              <w:spacing w:line="360" w:lineRule="auto"/>
              <w:jc w:val="center"/>
              <w:rPr>
                <w:rFonts w:eastAsia="Times New Roman"/>
              </w:rPr>
            </w:pPr>
            <w:r w:rsidRPr="00544CDE">
              <w:rPr>
                <w:rFonts w:eastAsia="Times New Roman"/>
              </w:rPr>
              <w:t>0.15</w:t>
            </w:r>
          </w:p>
        </w:tc>
      </w:tr>
      <w:tr w:rsidR="00934703" w:rsidRPr="00544CDE" w14:paraId="3A92F8E0" w14:textId="77777777" w:rsidTr="00934703">
        <w:trPr>
          <w:trHeight w:val="300"/>
          <w:jc w:val="center"/>
        </w:trPr>
        <w:tc>
          <w:tcPr>
            <w:tcW w:w="1659" w:type="dxa"/>
            <w:noWrap/>
            <w:vAlign w:val="center"/>
            <w:hideMark/>
          </w:tcPr>
          <w:p w14:paraId="5493BBBF" w14:textId="77777777" w:rsidR="00934703" w:rsidRPr="00544CDE" w:rsidRDefault="00934703" w:rsidP="00CF01F6">
            <w:pPr>
              <w:spacing w:line="360" w:lineRule="auto"/>
              <w:jc w:val="center"/>
              <w:rPr>
                <w:rFonts w:eastAsia="Times New Roman"/>
                <w:color w:val="000000"/>
              </w:rPr>
            </w:pPr>
            <w:proofErr w:type="spellStart"/>
            <w:r w:rsidRPr="00544CDE">
              <w:rPr>
                <w:rFonts w:eastAsia="Times New Roman"/>
                <w:color w:val="000000"/>
              </w:rPr>
              <w:t>IIa</w:t>
            </w:r>
            <w:proofErr w:type="spellEnd"/>
            <w:r w:rsidRPr="00544CDE">
              <w:rPr>
                <w:rFonts w:eastAsia="Times New Roman"/>
                <w:color w:val="000000"/>
              </w:rPr>
              <w:t xml:space="preserve"> (Barbara </w:t>
            </w:r>
            <w:proofErr w:type="spellStart"/>
            <w:r w:rsidRPr="00544CDE">
              <w:rPr>
                <w:rFonts w:eastAsia="Times New Roman"/>
                <w:color w:val="000000"/>
              </w:rPr>
              <w:t>knush</w:t>
            </w:r>
            <w:proofErr w:type="spellEnd"/>
            <w:r w:rsidRPr="00544CDE">
              <w:rPr>
                <w:rFonts w:eastAsia="Times New Roman"/>
                <w:color w:val="000000"/>
              </w:rPr>
              <w:t>)</w:t>
            </w:r>
          </w:p>
        </w:tc>
        <w:tc>
          <w:tcPr>
            <w:tcW w:w="1880" w:type="dxa"/>
            <w:noWrap/>
            <w:vAlign w:val="center"/>
            <w:hideMark/>
          </w:tcPr>
          <w:p w14:paraId="429665C1" w14:textId="77777777" w:rsidR="00934703" w:rsidRPr="00544CDE" w:rsidRDefault="00934703" w:rsidP="00CF01F6">
            <w:pPr>
              <w:spacing w:line="360" w:lineRule="auto"/>
              <w:jc w:val="center"/>
              <w:rPr>
                <w:rFonts w:eastAsia="Times New Roman"/>
              </w:rPr>
            </w:pPr>
            <w:r w:rsidRPr="00544CDE">
              <w:rPr>
                <w:rFonts w:eastAsia="Times New Roman"/>
              </w:rPr>
              <w:t>0.91</w:t>
            </w:r>
          </w:p>
        </w:tc>
        <w:tc>
          <w:tcPr>
            <w:tcW w:w="1843" w:type="dxa"/>
            <w:noWrap/>
            <w:vAlign w:val="center"/>
            <w:hideMark/>
          </w:tcPr>
          <w:p w14:paraId="1ECA6F03" w14:textId="77777777" w:rsidR="00934703" w:rsidRPr="00544CDE" w:rsidRDefault="00934703" w:rsidP="00CF01F6">
            <w:pPr>
              <w:spacing w:line="360" w:lineRule="auto"/>
              <w:jc w:val="center"/>
              <w:rPr>
                <w:rFonts w:eastAsia="Times New Roman"/>
              </w:rPr>
            </w:pPr>
            <w:r w:rsidRPr="00544CDE">
              <w:rPr>
                <w:rFonts w:eastAsia="Times New Roman"/>
              </w:rPr>
              <w:t>0.01</w:t>
            </w:r>
          </w:p>
        </w:tc>
        <w:tc>
          <w:tcPr>
            <w:tcW w:w="1701" w:type="dxa"/>
            <w:noWrap/>
            <w:vAlign w:val="center"/>
            <w:hideMark/>
          </w:tcPr>
          <w:p w14:paraId="57118E05" w14:textId="77777777" w:rsidR="00934703" w:rsidRPr="00544CDE" w:rsidRDefault="00934703" w:rsidP="00CF01F6">
            <w:pPr>
              <w:spacing w:line="360" w:lineRule="auto"/>
              <w:jc w:val="center"/>
              <w:rPr>
                <w:rFonts w:eastAsia="Times New Roman"/>
              </w:rPr>
            </w:pPr>
            <w:r w:rsidRPr="00544CDE">
              <w:rPr>
                <w:rFonts w:eastAsia="Times New Roman"/>
              </w:rPr>
              <w:t>14.5</w:t>
            </w:r>
          </w:p>
        </w:tc>
        <w:tc>
          <w:tcPr>
            <w:tcW w:w="1843" w:type="dxa"/>
            <w:noWrap/>
            <w:vAlign w:val="center"/>
            <w:hideMark/>
          </w:tcPr>
          <w:p w14:paraId="57823E0A" w14:textId="77777777" w:rsidR="00934703" w:rsidRPr="00544CDE" w:rsidRDefault="00934703" w:rsidP="00CF01F6">
            <w:pPr>
              <w:spacing w:line="360" w:lineRule="auto"/>
              <w:jc w:val="center"/>
              <w:rPr>
                <w:rFonts w:eastAsia="Times New Roman"/>
              </w:rPr>
            </w:pPr>
            <w:r w:rsidRPr="00544CDE">
              <w:rPr>
                <w:rFonts w:eastAsia="Times New Roman"/>
              </w:rPr>
              <w:t>0.11</w:t>
            </w:r>
          </w:p>
        </w:tc>
      </w:tr>
      <w:tr w:rsidR="00934703" w:rsidRPr="00544CDE" w14:paraId="3C1A5F2A" w14:textId="77777777" w:rsidTr="00934703">
        <w:trPr>
          <w:trHeight w:val="300"/>
          <w:jc w:val="center"/>
        </w:trPr>
        <w:tc>
          <w:tcPr>
            <w:tcW w:w="1659" w:type="dxa"/>
            <w:noWrap/>
            <w:vAlign w:val="center"/>
            <w:hideMark/>
          </w:tcPr>
          <w:p w14:paraId="33626ACA" w14:textId="77777777" w:rsidR="00934703" w:rsidRPr="00544CDE" w:rsidRDefault="00934703" w:rsidP="00CF01F6">
            <w:pPr>
              <w:spacing w:line="360" w:lineRule="auto"/>
              <w:jc w:val="center"/>
              <w:rPr>
                <w:rFonts w:eastAsia="Times New Roman"/>
                <w:color w:val="000000"/>
              </w:rPr>
            </w:pPr>
            <w:r w:rsidRPr="00544CDE">
              <w:rPr>
                <w:rFonts w:eastAsia="Times New Roman"/>
                <w:color w:val="000000"/>
              </w:rPr>
              <w:t>IIIa (</w:t>
            </w:r>
            <w:proofErr w:type="spellStart"/>
            <w:r w:rsidRPr="00544CDE">
              <w:rPr>
                <w:rFonts w:eastAsia="Times New Roman"/>
                <w:color w:val="000000"/>
              </w:rPr>
              <w:t>Whitewindow</w:t>
            </w:r>
            <w:proofErr w:type="spellEnd"/>
            <w:r w:rsidRPr="00544CDE">
              <w:rPr>
                <w:rFonts w:eastAsia="Times New Roman"/>
                <w:color w:val="000000"/>
              </w:rPr>
              <w:t>)</w:t>
            </w:r>
          </w:p>
        </w:tc>
        <w:tc>
          <w:tcPr>
            <w:tcW w:w="1880" w:type="dxa"/>
            <w:noWrap/>
            <w:vAlign w:val="center"/>
            <w:hideMark/>
          </w:tcPr>
          <w:p w14:paraId="61A790D0" w14:textId="77777777" w:rsidR="00934703" w:rsidRPr="00544CDE" w:rsidRDefault="00934703" w:rsidP="00CF01F6">
            <w:pPr>
              <w:spacing w:line="360" w:lineRule="auto"/>
              <w:jc w:val="center"/>
              <w:rPr>
                <w:rFonts w:eastAsia="Times New Roman"/>
              </w:rPr>
            </w:pPr>
            <w:r w:rsidRPr="00544CDE">
              <w:rPr>
                <w:rFonts w:eastAsia="Times New Roman"/>
              </w:rPr>
              <w:t>1.57</w:t>
            </w:r>
          </w:p>
        </w:tc>
        <w:tc>
          <w:tcPr>
            <w:tcW w:w="1843" w:type="dxa"/>
            <w:noWrap/>
            <w:vAlign w:val="center"/>
            <w:hideMark/>
          </w:tcPr>
          <w:p w14:paraId="746B55B3" w14:textId="77777777" w:rsidR="00934703" w:rsidRPr="00544CDE" w:rsidRDefault="00934703" w:rsidP="00CF01F6">
            <w:pPr>
              <w:spacing w:line="360" w:lineRule="auto"/>
              <w:jc w:val="center"/>
              <w:rPr>
                <w:rFonts w:eastAsia="Times New Roman"/>
              </w:rPr>
            </w:pPr>
            <w:r w:rsidRPr="00544CDE">
              <w:rPr>
                <w:rFonts w:eastAsia="Times New Roman"/>
              </w:rPr>
              <w:t>0.01</w:t>
            </w:r>
          </w:p>
        </w:tc>
        <w:tc>
          <w:tcPr>
            <w:tcW w:w="1701" w:type="dxa"/>
            <w:noWrap/>
            <w:vAlign w:val="center"/>
            <w:hideMark/>
          </w:tcPr>
          <w:p w14:paraId="54C3A192" w14:textId="77777777" w:rsidR="00934703" w:rsidRPr="00544CDE" w:rsidRDefault="00934703" w:rsidP="00CF01F6">
            <w:pPr>
              <w:spacing w:line="360" w:lineRule="auto"/>
              <w:jc w:val="center"/>
              <w:rPr>
                <w:rFonts w:eastAsia="Times New Roman"/>
              </w:rPr>
            </w:pPr>
            <w:r w:rsidRPr="00544CDE">
              <w:rPr>
                <w:rFonts w:eastAsia="Times New Roman"/>
              </w:rPr>
              <w:t>10.8</w:t>
            </w:r>
          </w:p>
        </w:tc>
        <w:tc>
          <w:tcPr>
            <w:tcW w:w="1843" w:type="dxa"/>
            <w:noWrap/>
            <w:vAlign w:val="center"/>
            <w:hideMark/>
          </w:tcPr>
          <w:p w14:paraId="701A4D74" w14:textId="77777777" w:rsidR="00934703" w:rsidRPr="00544CDE" w:rsidRDefault="00934703" w:rsidP="00CF01F6">
            <w:pPr>
              <w:spacing w:line="360" w:lineRule="auto"/>
              <w:jc w:val="center"/>
              <w:rPr>
                <w:rFonts w:eastAsia="Times New Roman"/>
              </w:rPr>
            </w:pPr>
            <w:r w:rsidRPr="00544CDE">
              <w:rPr>
                <w:rFonts w:eastAsia="Times New Roman"/>
              </w:rPr>
              <w:t>0.10</w:t>
            </w:r>
          </w:p>
        </w:tc>
      </w:tr>
      <w:tr w:rsidR="00934703" w:rsidRPr="00544CDE" w14:paraId="1F44419B" w14:textId="77777777" w:rsidTr="00934703">
        <w:trPr>
          <w:trHeight w:val="300"/>
          <w:jc w:val="center"/>
        </w:trPr>
        <w:tc>
          <w:tcPr>
            <w:tcW w:w="1659" w:type="dxa"/>
            <w:noWrap/>
            <w:vAlign w:val="center"/>
            <w:hideMark/>
          </w:tcPr>
          <w:p w14:paraId="5AC1AA32" w14:textId="77777777" w:rsidR="00934703" w:rsidRPr="00544CDE" w:rsidRDefault="00934703" w:rsidP="00CF01F6">
            <w:pPr>
              <w:spacing w:line="360" w:lineRule="auto"/>
              <w:jc w:val="center"/>
              <w:rPr>
                <w:rFonts w:eastAsia="Times New Roman"/>
                <w:color w:val="000000"/>
              </w:rPr>
            </w:pPr>
            <w:r w:rsidRPr="00544CDE">
              <w:rPr>
                <w:rFonts w:eastAsia="Times New Roman"/>
                <w:color w:val="000000"/>
              </w:rPr>
              <w:t>Aa (Nigh</w:t>
            </w:r>
            <w:r>
              <w:rPr>
                <w:rFonts w:eastAsia="Times New Roman"/>
                <w:color w:val="000000"/>
              </w:rPr>
              <w:t>t</w:t>
            </w:r>
            <w:r w:rsidRPr="00544CDE">
              <w:rPr>
                <w:rFonts w:eastAsia="Times New Roman"/>
                <w:color w:val="000000"/>
              </w:rPr>
              <w:t>ingale)</w:t>
            </w:r>
          </w:p>
        </w:tc>
        <w:tc>
          <w:tcPr>
            <w:tcW w:w="1880" w:type="dxa"/>
            <w:noWrap/>
            <w:vAlign w:val="center"/>
            <w:hideMark/>
          </w:tcPr>
          <w:p w14:paraId="52AB1522" w14:textId="77777777" w:rsidR="00934703" w:rsidRPr="00544CDE" w:rsidRDefault="00934703" w:rsidP="00CF01F6">
            <w:pPr>
              <w:spacing w:line="360" w:lineRule="auto"/>
              <w:jc w:val="center"/>
              <w:rPr>
                <w:rFonts w:eastAsia="Times New Roman"/>
              </w:rPr>
            </w:pPr>
            <w:r w:rsidRPr="00544CDE">
              <w:rPr>
                <w:rFonts w:eastAsia="Times New Roman"/>
              </w:rPr>
              <w:t>6.24</w:t>
            </w:r>
          </w:p>
        </w:tc>
        <w:tc>
          <w:tcPr>
            <w:tcW w:w="1843" w:type="dxa"/>
            <w:noWrap/>
            <w:vAlign w:val="center"/>
            <w:hideMark/>
          </w:tcPr>
          <w:p w14:paraId="08569272" w14:textId="77777777" w:rsidR="00934703" w:rsidRPr="00544CDE" w:rsidRDefault="00934703" w:rsidP="00CF01F6">
            <w:pPr>
              <w:spacing w:line="360" w:lineRule="auto"/>
              <w:jc w:val="center"/>
              <w:rPr>
                <w:rFonts w:eastAsia="Times New Roman"/>
              </w:rPr>
            </w:pPr>
            <w:r w:rsidRPr="00544CDE">
              <w:rPr>
                <w:rFonts w:eastAsia="Times New Roman"/>
              </w:rPr>
              <w:t>0.05</w:t>
            </w:r>
          </w:p>
        </w:tc>
        <w:tc>
          <w:tcPr>
            <w:tcW w:w="1701" w:type="dxa"/>
            <w:noWrap/>
            <w:vAlign w:val="center"/>
            <w:hideMark/>
          </w:tcPr>
          <w:p w14:paraId="7C3CD1C3" w14:textId="77777777" w:rsidR="00934703" w:rsidRPr="00544CDE" w:rsidRDefault="00934703" w:rsidP="00CF01F6">
            <w:pPr>
              <w:spacing w:line="360" w:lineRule="auto"/>
              <w:jc w:val="center"/>
              <w:rPr>
                <w:rFonts w:eastAsia="Times New Roman"/>
              </w:rPr>
            </w:pPr>
            <w:r w:rsidRPr="00544CDE">
              <w:rPr>
                <w:rFonts w:eastAsia="Times New Roman"/>
              </w:rPr>
              <w:t>16.9</w:t>
            </w:r>
          </w:p>
        </w:tc>
        <w:tc>
          <w:tcPr>
            <w:tcW w:w="1843" w:type="dxa"/>
            <w:noWrap/>
            <w:vAlign w:val="center"/>
            <w:hideMark/>
          </w:tcPr>
          <w:p w14:paraId="44482871" w14:textId="77777777" w:rsidR="00934703" w:rsidRPr="00544CDE" w:rsidRDefault="00934703" w:rsidP="00CF01F6">
            <w:pPr>
              <w:spacing w:line="360" w:lineRule="auto"/>
              <w:jc w:val="center"/>
              <w:rPr>
                <w:rFonts w:eastAsia="Times New Roman"/>
              </w:rPr>
            </w:pPr>
            <w:r w:rsidRPr="00544CDE">
              <w:rPr>
                <w:rFonts w:eastAsia="Times New Roman"/>
              </w:rPr>
              <w:t>0.13</w:t>
            </w:r>
          </w:p>
        </w:tc>
      </w:tr>
      <w:tr w:rsidR="00934703" w:rsidRPr="00544CDE" w14:paraId="5D230F00" w14:textId="77777777" w:rsidTr="00934703">
        <w:trPr>
          <w:trHeight w:val="300"/>
          <w:jc w:val="center"/>
        </w:trPr>
        <w:tc>
          <w:tcPr>
            <w:tcW w:w="1659" w:type="dxa"/>
            <w:noWrap/>
            <w:vAlign w:val="center"/>
            <w:hideMark/>
          </w:tcPr>
          <w:p w14:paraId="1895A6E3" w14:textId="77777777" w:rsidR="00934703" w:rsidRPr="00544CDE" w:rsidRDefault="00934703" w:rsidP="00CF01F6">
            <w:pPr>
              <w:spacing w:line="360" w:lineRule="auto"/>
              <w:jc w:val="center"/>
              <w:rPr>
                <w:rFonts w:eastAsia="Times New Roman"/>
                <w:color w:val="000000"/>
              </w:rPr>
            </w:pPr>
            <w:r w:rsidRPr="00544CDE">
              <w:rPr>
                <w:rFonts w:eastAsia="Times New Roman"/>
                <w:color w:val="000000"/>
              </w:rPr>
              <w:t>Ba (Sano 7)</w:t>
            </w:r>
          </w:p>
        </w:tc>
        <w:tc>
          <w:tcPr>
            <w:tcW w:w="1880" w:type="dxa"/>
            <w:noWrap/>
            <w:vAlign w:val="center"/>
            <w:hideMark/>
          </w:tcPr>
          <w:p w14:paraId="40300232" w14:textId="77777777" w:rsidR="00934703" w:rsidRPr="00544CDE" w:rsidRDefault="00934703" w:rsidP="00CF01F6">
            <w:pPr>
              <w:spacing w:line="360" w:lineRule="auto"/>
              <w:jc w:val="center"/>
              <w:rPr>
                <w:rFonts w:eastAsia="Times New Roman"/>
              </w:rPr>
            </w:pPr>
            <w:r w:rsidRPr="00544CDE">
              <w:rPr>
                <w:rFonts w:eastAsia="Times New Roman"/>
              </w:rPr>
              <w:t>8.71</w:t>
            </w:r>
          </w:p>
        </w:tc>
        <w:tc>
          <w:tcPr>
            <w:tcW w:w="1843" w:type="dxa"/>
            <w:noWrap/>
            <w:vAlign w:val="center"/>
            <w:hideMark/>
          </w:tcPr>
          <w:p w14:paraId="0CD106B1" w14:textId="77777777" w:rsidR="00934703" w:rsidRPr="00544CDE" w:rsidRDefault="00934703" w:rsidP="00CF01F6">
            <w:pPr>
              <w:spacing w:line="360" w:lineRule="auto"/>
              <w:jc w:val="center"/>
              <w:rPr>
                <w:rFonts w:eastAsia="Times New Roman"/>
              </w:rPr>
            </w:pPr>
            <w:r w:rsidRPr="00544CDE">
              <w:rPr>
                <w:rFonts w:eastAsia="Times New Roman"/>
              </w:rPr>
              <w:t>0.16</w:t>
            </w:r>
          </w:p>
        </w:tc>
        <w:tc>
          <w:tcPr>
            <w:tcW w:w="1701" w:type="dxa"/>
            <w:noWrap/>
            <w:vAlign w:val="center"/>
            <w:hideMark/>
          </w:tcPr>
          <w:p w14:paraId="49FA7590" w14:textId="77777777" w:rsidR="00934703" w:rsidRPr="00544CDE" w:rsidRDefault="00934703" w:rsidP="00CF01F6">
            <w:pPr>
              <w:spacing w:line="360" w:lineRule="auto"/>
              <w:jc w:val="center"/>
              <w:rPr>
                <w:rFonts w:eastAsia="Times New Roman"/>
              </w:rPr>
            </w:pPr>
            <w:r w:rsidRPr="00544CDE">
              <w:rPr>
                <w:rFonts w:eastAsia="Times New Roman"/>
              </w:rPr>
              <w:t>26.6</w:t>
            </w:r>
          </w:p>
        </w:tc>
        <w:tc>
          <w:tcPr>
            <w:tcW w:w="1843" w:type="dxa"/>
            <w:noWrap/>
            <w:vAlign w:val="center"/>
            <w:hideMark/>
          </w:tcPr>
          <w:p w14:paraId="287CF72C" w14:textId="77777777" w:rsidR="00934703" w:rsidRPr="00544CDE" w:rsidRDefault="00934703" w:rsidP="00CF01F6">
            <w:pPr>
              <w:spacing w:line="360" w:lineRule="auto"/>
              <w:jc w:val="center"/>
              <w:rPr>
                <w:rFonts w:eastAsia="Times New Roman"/>
              </w:rPr>
            </w:pPr>
            <w:r w:rsidRPr="00544CDE">
              <w:rPr>
                <w:rFonts w:eastAsia="Times New Roman"/>
              </w:rPr>
              <w:t>0.50</w:t>
            </w:r>
          </w:p>
        </w:tc>
      </w:tr>
      <w:tr w:rsidR="00934703" w:rsidRPr="00544CDE" w14:paraId="6C0A1B60" w14:textId="77777777" w:rsidTr="00934703">
        <w:trPr>
          <w:trHeight w:val="300"/>
          <w:jc w:val="center"/>
        </w:trPr>
        <w:tc>
          <w:tcPr>
            <w:tcW w:w="1659" w:type="dxa"/>
            <w:noWrap/>
            <w:vAlign w:val="center"/>
            <w:hideMark/>
          </w:tcPr>
          <w:p w14:paraId="25035FCC" w14:textId="77777777" w:rsidR="00934703" w:rsidRPr="00544CDE" w:rsidRDefault="00934703" w:rsidP="00CF01F6">
            <w:pPr>
              <w:spacing w:line="360" w:lineRule="auto"/>
              <w:jc w:val="center"/>
              <w:rPr>
                <w:rFonts w:eastAsia="Times New Roman"/>
                <w:color w:val="000000"/>
              </w:rPr>
            </w:pPr>
            <w:r w:rsidRPr="00544CDE">
              <w:rPr>
                <w:rFonts w:eastAsia="Times New Roman"/>
                <w:color w:val="000000"/>
              </w:rPr>
              <w:t>Ca (Peach pure)</w:t>
            </w:r>
          </w:p>
        </w:tc>
        <w:tc>
          <w:tcPr>
            <w:tcW w:w="1880" w:type="dxa"/>
            <w:noWrap/>
            <w:vAlign w:val="center"/>
            <w:hideMark/>
          </w:tcPr>
          <w:p w14:paraId="0D7EE510" w14:textId="77777777" w:rsidR="00934703" w:rsidRPr="00544CDE" w:rsidRDefault="00934703" w:rsidP="00CF01F6">
            <w:pPr>
              <w:spacing w:line="360" w:lineRule="auto"/>
              <w:jc w:val="center"/>
              <w:rPr>
                <w:rFonts w:eastAsia="Times New Roman"/>
              </w:rPr>
            </w:pPr>
            <w:r w:rsidRPr="00544CDE">
              <w:rPr>
                <w:rFonts w:eastAsia="Times New Roman"/>
              </w:rPr>
              <w:t>8.59</w:t>
            </w:r>
          </w:p>
        </w:tc>
        <w:tc>
          <w:tcPr>
            <w:tcW w:w="1843" w:type="dxa"/>
            <w:noWrap/>
            <w:vAlign w:val="center"/>
            <w:hideMark/>
          </w:tcPr>
          <w:p w14:paraId="58264305" w14:textId="77777777" w:rsidR="00934703" w:rsidRPr="00544CDE" w:rsidRDefault="00934703" w:rsidP="00CF01F6">
            <w:pPr>
              <w:spacing w:line="360" w:lineRule="auto"/>
              <w:jc w:val="center"/>
              <w:rPr>
                <w:rFonts w:eastAsia="Times New Roman"/>
              </w:rPr>
            </w:pPr>
            <w:r w:rsidRPr="00544CDE">
              <w:rPr>
                <w:rFonts w:eastAsia="Times New Roman"/>
              </w:rPr>
              <w:t>0.10</w:t>
            </w:r>
          </w:p>
        </w:tc>
        <w:tc>
          <w:tcPr>
            <w:tcW w:w="1701" w:type="dxa"/>
            <w:noWrap/>
            <w:vAlign w:val="center"/>
            <w:hideMark/>
          </w:tcPr>
          <w:p w14:paraId="4EE5F719" w14:textId="77777777" w:rsidR="00934703" w:rsidRPr="00544CDE" w:rsidRDefault="00934703" w:rsidP="00CF01F6">
            <w:pPr>
              <w:spacing w:line="360" w:lineRule="auto"/>
              <w:jc w:val="center"/>
              <w:rPr>
                <w:rFonts w:eastAsia="Times New Roman"/>
              </w:rPr>
            </w:pPr>
            <w:r w:rsidRPr="00544CDE">
              <w:rPr>
                <w:rFonts w:eastAsia="Times New Roman"/>
              </w:rPr>
              <w:t>24.3</w:t>
            </w:r>
          </w:p>
        </w:tc>
        <w:tc>
          <w:tcPr>
            <w:tcW w:w="1843" w:type="dxa"/>
            <w:noWrap/>
            <w:vAlign w:val="center"/>
            <w:hideMark/>
          </w:tcPr>
          <w:p w14:paraId="67456394" w14:textId="77777777" w:rsidR="00934703" w:rsidRPr="00544CDE" w:rsidRDefault="00934703" w:rsidP="00CF01F6">
            <w:pPr>
              <w:spacing w:line="360" w:lineRule="auto"/>
              <w:jc w:val="center"/>
              <w:rPr>
                <w:rFonts w:eastAsia="Times New Roman"/>
              </w:rPr>
            </w:pPr>
            <w:r w:rsidRPr="00544CDE">
              <w:rPr>
                <w:rFonts w:eastAsia="Times New Roman"/>
              </w:rPr>
              <w:t>0.27</w:t>
            </w:r>
          </w:p>
        </w:tc>
      </w:tr>
      <w:tr w:rsidR="00934703" w:rsidRPr="00544CDE" w14:paraId="2B209337" w14:textId="77777777" w:rsidTr="00934703">
        <w:trPr>
          <w:trHeight w:val="300"/>
          <w:jc w:val="center"/>
        </w:trPr>
        <w:tc>
          <w:tcPr>
            <w:tcW w:w="1659" w:type="dxa"/>
            <w:noWrap/>
            <w:vAlign w:val="center"/>
          </w:tcPr>
          <w:p w14:paraId="5AC92051" w14:textId="77777777" w:rsidR="00934703" w:rsidRPr="00544CDE" w:rsidRDefault="00934703" w:rsidP="00CF01F6">
            <w:pPr>
              <w:spacing w:line="360" w:lineRule="auto"/>
              <w:jc w:val="center"/>
              <w:rPr>
                <w:rFonts w:eastAsia="Times New Roman"/>
                <w:color w:val="000000"/>
              </w:rPr>
            </w:pPr>
            <w:r w:rsidRPr="00544CDE">
              <w:rPr>
                <w:rFonts w:eastAsia="Times New Roman"/>
                <w:color w:val="000000"/>
              </w:rPr>
              <w:t>In (213)</w:t>
            </w:r>
          </w:p>
        </w:tc>
        <w:tc>
          <w:tcPr>
            <w:tcW w:w="1880" w:type="dxa"/>
            <w:noWrap/>
            <w:vAlign w:val="center"/>
          </w:tcPr>
          <w:p w14:paraId="70E9B9BC" w14:textId="77777777" w:rsidR="00934703" w:rsidRPr="00544CDE" w:rsidRDefault="00934703" w:rsidP="00CF01F6">
            <w:pPr>
              <w:spacing w:line="360" w:lineRule="auto"/>
              <w:jc w:val="center"/>
              <w:rPr>
                <w:rFonts w:eastAsia="Times New Roman"/>
              </w:rPr>
            </w:pPr>
            <w:r w:rsidRPr="00544CDE">
              <w:rPr>
                <w:rFonts w:eastAsia="Times New Roman"/>
              </w:rPr>
              <w:t>4.75</w:t>
            </w:r>
          </w:p>
        </w:tc>
        <w:tc>
          <w:tcPr>
            <w:tcW w:w="1843" w:type="dxa"/>
            <w:noWrap/>
            <w:vAlign w:val="center"/>
          </w:tcPr>
          <w:p w14:paraId="51875A3B" w14:textId="4E26FF0B" w:rsidR="00934703" w:rsidRPr="00544CDE" w:rsidRDefault="00934703" w:rsidP="00CF01F6">
            <w:pPr>
              <w:spacing w:line="360" w:lineRule="auto"/>
              <w:jc w:val="center"/>
              <w:rPr>
                <w:rFonts w:eastAsia="Times New Roman"/>
              </w:rPr>
            </w:pPr>
            <w:r w:rsidRPr="00544CDE">
              <w:rPr>
                <w:rFonts w:eastAsia="Times New Roman"/>
              </w:rPr>
              <w:t>1.27</w:t>
            </w:r>
          </w:p>
        </w:tc>
        <w:tc>
          <w:tcPr>
            <w:tcW w:w="1701" w:type="dxa"/>
            <w:noWrap/>
            <w:vAlign w:val="center"/>
          </w:tcPr>
          <w:p w14:paraId="509D69DE" w14:textId="77777777" w:rsidR="00934703" w:rsidRPr="00544CDE" w:rsidRDefault="00934703" w:rsidP="00CF01F6">
            <w:pPr>
              <w:spacing w:line="360" w:lineRule="auto"/>
              <w:jc w:val="center"/>
              <w:rPr>
                <w:rFonts w:eastAsia="Times New Roman"/>
              </w:rPr>
            </w:pPr>
            <w:r w:rsidRPr="00544CDE">
              <w:rPr>
                <w:rFonts w:eastAsia="Times New Roman"/>
              </w:rPr>
              <w:t>31.23</w:t>
            </w:r>
          </w:p>
        </w:tc>
        <w:tc>
          <w:tcPr>
            <w:tcW w:w="1843" w:type="dxa"/>
            <w:noWrap/>
            <w:vAlign w:val="center"/>
          </w:tcPr>
          <w:p w14:paraId="41F33AB9" w14:textId="49131DD1" w:rsidR="00934703" w:rsidRPr="00544CDE" w:rsidRDefault="00934703" w:rsidP="00CF01F6">
            <w:pPr>
              <w:spacing w:line="360" w:lineRule="auto"/>
              <w:jc w:val="center"/>
              <w:rPr>
                <w:rFonts w:eastAsia="Times New Roman"/>
              </w:rPr>
            </w:pPr>
            <w:r w:rsidRPr="00544CDE">
              <w:rPr>
                <w:rFonts w:eastAsia="Times New Roman"/>
              </w:rPr>
              <w:t>1.27</w:t>
            </w:r>
          </w:p>
        </w:tc>
      </w:tr>
    </w:tbl>
    <w:p w14:paraId="49FD2635" w14:textId="6B4F5997" w:rsidR="002B64C9" w:rsidRPr="00976DB5" w:rsidRDefault="006A40B4" w:rsidP="00976DB5">
      <w:pPr>
        <w:pStyle w:val="berschrift1"/>
        <w:spacing w:line="360" w:lineRule="auto"/>
        <w:jc w:val="both"/>
        <w:rPr>
          <w:rFonts w:ascii="Arial" w:hAnsi="Arial" w:cs="Arial"/>
          <w:b/>
          <w:bCs/>
          <w:color w:val="auto"/>
          <w:sz w:val="24"/>
          <w:szCs w:val="24"/>
          <w:lang w:val="en-US"/>
        </w:rPr>
      </w:pPr>
      <w:bookmarkStart w:id="16" w:name="_Toc216797622"/>
      <w:r>
        <w:rPr>
          <w:rFonts w:ascii="Arial" w:hAnsi="Arial" w:cs="Arial"/>
          <w:b/>
          <w:bCs/>
          <w:color w:val="auto"/>
          <w:sz w:val="24"/>
          <w:szCs w:val="24"/>
          <w:lang w:val="en-US"/>
        </w:rPr>
        <w:t>S</w:t>
      </w:r>
      <w:r w:rsidR="004E392D" w:rsidRPr="00976DB5">
        <w:rPr>
          <w:rFonts w:ascii="Arial" w:hAnsi="Arial" w:cs="Arial"/>
          <w:b/>
          <w:bCs/>
          <w:color w:val="auto"/>
          <w:sz w:val="24"/>
          <w:szCs w:val="24"/>
          <w:lang w:val="en-US"/>
        </w:rPr>
        <w:t>5) Isolation and synthesis of cannabinoids</w:t>
      </w:r>
      <w:bookmarkEnd w:id="16"/>
    </w:p>
    <w:p w14:paraId="75A19954" w14:textId="5E2CE92B" w:rsidR="004E392D" w:rsidRPr="00976DB5" w:rsidRDefault="006A40B4" w:rsidP="00976DB5">
      <w:pPr>
        <w:pStyle w:val="berschrift2"/>
        <w:spacing w:line="360" w:lineRule="auto"/>
        <w:jc w:val="both"/>
        <w:rPr>
          <w:rFonts w:ascii="Arial" w:hAnsi="Arial" w:cs="Arial"/>
          <w:color w:val="auto"/>
          <w:sz w:val="22"/>
          <w:szCs w:val="22"/>
          <w:lang w:val="en-US"/>
        </w:rPr>
      </w:pPr>
      <w:bookmarkStart w:id="17" w:name="_Toc216797623"/>
      <w:r>
        <w:rPr>
          <w:rFonts w:ascii="Arial" w:hAnsi="Arial" w:cs="Arial"/>
          <w:color w:val="auto"/>
          <w:sz w:val="22"/>
          <w:szCs w:val="22"/>
          <w:lang w:val="en-US"/>
        </w:rPr>
        <w:t>S</w:t>
      </w:r>
      <w:r w:rsidR="004E392D" w:rsidRPr="00976DB5">
        <w:rPr>
          <w:rFonts w:ascii="Arial" w:hAnsi="Arial" w:cs="Arial"/>
          <w:color w:val="auto"/>
          <w:sz w:val="22"/>
          <w:szCs w:val="22"/>
          <w:lang w:val="en-US"/>
        </w:rPr>
        <w:t xml:space="preserve">5.1) Cannabinoids extract preparation </w:t>
      </w:r>
      <w:r w:rsidR="00EF3DCF" w:rsidRPr="00976DB5">
        <w:rPr>
          <w:rFonts w:ascii="Arial" w:hAnsi="Arial" w:cs="Arial"/>
          <w:color w:val="auto"/>
          <w:sz w:val="22"/>
          <w:szCs w:val="22"/>
          <w:lang w:val="en-US"/>
        </w:rPr>
        <w:t xml:space="preserve">from </w:t>
      </w:r>
      <w:r w:rsidR="004E392D" w:rsidRPr="00976DB5">
        <w:rPr>
          <w:rFonts w:ascii="Arial" w:hAnsi="Arial" w:cs="Arial"/>
          <w:color w:val="auto"/>
          <w:sz w:val="22"/>
          <w:szCs w:val="22"/>
          <w:lang w:val="en-US"/>
        </w:rPr>
        <w:t>Cannabis plant</w:t>
      </w:r>
      <w:bookmarkEnd w:id="17"/>
    </w:p>
    <w:p w14:paraId="45745B33" w14:textId="7CD0A678" w:rsidR="004E392D" w:rsidRPr="004E392D" w:rsidRDefault="004E392D" w:rsidP="004E392D">
      <w:pPr>
        <w:spacing w:line="360" w:lineRule="auto"/>
        <w:ind w:firstLine="708"/>
        <w:jc w:val="both"/>
        <w:rPr>
          <w:lang w:val="en-US"/>
        </w:rPr>
      </w:pPr>
      <w:r w:rsidRPr="004E392D">
        <w:rPr>
          <w:lang w:val="en-US"/>
        </w:rPr>
        <w:t xml:space="preserve">Cannabinoids were extracted to produce CBN and </w:t>
      </w:r>
      <w:r w:rsidRPr="004E392D">
        <w:t>Δ</w:t>
      </w:r>
      <w:r w:rsidRPr="004E392D">
        <w:rPr>
          <w:lang w:val="en-US"/>
        </w:rPr>
        <w:t>⁹-THC certified reference materials</w:t>
      </w:r>
      <w:r>
        <w:rPr>
          <w:lang w:val="en-US"/>
        </w:rPr>
        <w:t xml:space="preserve"> (CRM)</w:t>
      </w:r>
      <w:r w:rsidRPr="004E392D">
        <w:rPr>
          <w:lang w:val="en-US"/>
        </w:rPr>
        <w:t xml:space="preserve"> using ultrasonic-assisted extraction. Direct pulsed ultrasonication was performed with a </w:t>
      </w:r>
      <w:proofErr w:type="spellStart"/>
      <w:r w:rsidRPr="004E392D">
        <w:rPr>
          <w:lang w:val="en-US"/>
        </w:rPr>
        <w:t>Qsonica</w:t>
      </w:r>
      <w:proofErr w:type="spellEnd"/>
      <w:r w:rsidRPr="004E392D">
        <w:rPr>
          <w:lang w:val="en-US"/>
        </w:rPr>
        <w:t xml:space="preserve"> ultrasonic tip </w:t>
      </w:r>
      <w:proofErr w:type="spellStart"/>
      <w:r w:rsidRPr="004E392D">
        <w:rPr>
          <w:lang w:val="en-US"/>
        </w:rPr>
        <w:t>sonicator</w:t>
      </w:r>
      <w:proofErr w:type="spellEnd"/>
      <w:r w:rsidRPr="004E392D">
        <w:rPr>
          <w:lang w:val="en-US"/>
        </w:rPr>
        <w:t xml:space="preserve"> housed in an acoustic cabinet. Extraction amplitudes of 18, 27, and 60 were evaluated to optimize energy transfer. </w:t>
      </w:r>
      <w:r w:rsidRPr="004E392D">
        <w:rPr>
          <w:lang w:val="en-US"/>
        </w:rPr>
        <w:lastRenderedPageBreak/>
        <w:t>Approximately 10 g of ground sample was extracted with 100 mL of methanol using an 8:2 s pulse on/off cycle for 30 min in an ice bath. The resulting extract was filtered, concentrated by rotary evaporation, dried under a nitrogen stream</w:t>
      </w:r>
      <w:r w:rsidR="00212AEC">
        <w:rPr>
          <w:lang w:val="en-US"/>
        </w:rPr>
        <w:t xml:space="preserve"> and </w:t>
      </w:r>
      <w:r w:rsidRPr="004E392D">
        <w:rPr>
          <w:lang w:val="en-US"/>
        </w:rPr>
        <w:t>weighed,</w:t>
      </w:r>
      <w:r w:rsidR="00212AEC">
        <w:rPr>
          <w:lang w:val="en-US"/>
        </w:rPr>
        <w:t xml:space="preserve"> furnishing 18% </w:t>
      </w:r>
      <w:r w:rsidR="002B371E">
        <w:rPr>
          <w:lang w:val="en-US"/>
        </w:rPr>
        <w:t xml:space="preserve">yield </w:t>
      </w:r>
      <w:r w:rsidR="00212AEC">
        <w:rPr>
          <w:lang w:val="en-US"/>
        </w:rPr>
        <w:t xml:space="preserve">of crude extract. </w:t>
      </w:r>
    </w:p>
    <w:p w14:paraId="1BDB7FCF" w14:textId="15028CC5" w:rsidR="004E392D" w:rsidRDefault="004E392D" w:rsidP="004E392D">
      <w:pPr>
        <w:spacing w:line="360" w:lineRule="auto"/>
        <w:jc w:val="both"/>
        <w:rPr>
          <w:lang w:val="en-US"/>
        </w:rPr>
      </w:pPr>
      <w:r w:rsidRPr="004E392D">
        <w:rPr>
          <w:lang w:val="en-US"/>
        </w:rPr>
        <w:t>In parallel, ultrasonic bath extraction was evaluated. Dried and sieved material (200 mg) was extracted with 2 mL of methanol in centrifuge tubes using an ultrasonic bath operating at 80 kHz and 60 W for 30 min with an ice bath. Extracts were filtered, concentrated, dried under nitrogen,</w:t>
      </w:r>
      <w:r w:rsidR="00212AEC">
        <w:rPr>
          <w:lang w:val="en-US"/>
        </w:rPr>
        <w:t xml:space="preserve"> and</w:t>
      </w:r>
      <w:r w:rsidRPr="004E392D">
        <w:rPr>
          <w:lang w:val="en-US"/>
        </w:rPr>
        <w:t xml:space="preserve"> weighed, </w:t>
      </w:r>
      <w:r w:rsidR="00212AEC">
        <w:rPr>
          <w:lang w:val="en-US"/>
        </w:rPr>
        <w:t xml:space="preserve">furnishing 19% </w:t>
      </w:r>
      <w:r w:rsidR="002B371E">
        <w:rPr>
          <w:lang w:val="en-US"/>
        </w:rPr>
        <w:t xml:space="preserve">yield </w:t>
      </w:r>
      <w:r w:rsidR="00212AEC">
        <w:rPr>
          <w:lang w:val="en-US"/>
        </w:rPr>
        <w:t>of crude extract</w:t>
      </w:r>
      <w:r w:rsidR="002B371E">
        <w:rPr>
          <w:lang w:val="en-US"/>
        </w:rPr>
        <w:t>.</w:t>
      </w:r>
      <w:r w:rsidR="00212AEC">
        <w:rPr>
          <w:lang w:val="en-US"/>
        </w:rPr>
        <w:t xml:space="preserve"> </w:t>
      </w:r>
      <w:r w:rsidR="002B371E">
        <w:rPr>
          <w:lang w:val="en-US"/>
        </w:rPr>
        <w:t>The extracts were</w:t>
      </w:r>
      <w:r w:rsidR="002B371E" w:rsidRPr="004E392D">
        <w:rPr>
          <w:lang w:val="en-US"/>
        </w:rPr>
        <w:t xml:space="preserve"> protected from light and stored under refrigeration.</w:t>
      </w:r>
      <w:r w:rsidR="002B371E">
        <w:rPr>
          <w:lang w:val="en-US"/>
        </w:rPr>
        <w:t xml:space="preserve"> These results demonstrate comparable performance from both methods.</w:t>
      </w:r>
    </w:p>
    <w:p w14:paraId="73871966" w14:textId="7BFA0570" w:rsidR="006B06E7" w:rsidRPr="00976DB5" w:rsidRDefault="006A40B4" w:rsidP="00976DB5">
      <w:pPr>
        <w:pStyle w:val="berschrift2"/>
        <w:spacing w:line="360" w:lineRule="auto"/>
        <w:jc w:val="both"/>
        <w:rPr>
          <w:rFonts w:ascii="Arial" w:hAnsi="Arial" w:cs="Arial"/>
          <w:color w:val="auto"/>
          <w:sz w:val="22"/>
          <w:szCs w:val="22"/>
          <w:lang w:val="en-US"/>
        </w:rPr>
      </w:pPr>
      <w:bookmarkStart w:id="18" w:name="_Toc216797624"/>
      <w:r>
        <w:rPr>
          <w:rFonts w:ascii="Arial" w:hAnsi="Arial" w:cs="Arial"/>
          <w:color w:val="auto"/>
          <w:sz w:val="22"/>
          <w:szCs w:val="22"/>
          <w:lang w:val="en-US"/>
        </w:rPr>
        <w:t>S</w:t>
      </w:r>
      <w:r w:rsidR="006B06E7" w:rsidRPr="00976DB5">
        <w:rPr>
          <w:rFonts w:ascii="Arial" w:hAnsi="Arial" w:cs="Arial"/>
          <w:color w:val="auto"/>
          <w:sz w:val="22"/>
          <w:szCs w:val="22"/>
          <w:lang w:val="en-US"/>
        </w:rPr>
        <w:t xml:space="preserve">5.2) </w:t>
      </w:r>
      <w:r w:rsidR="00EF3DCF" w:rsidRPr="00976DB5">
        <w:rPr>
          <w:rFonts w:ascii="Arial" w:hAnsi="Arial" w:cs="Arial"/>
          <w:color w:val="auto"/>
          <w:sz w:val="22"/>
          <w:szCs w:val="22"/>
          <w:lang w:val="en-US"/>
        </w:rPr>
        <w:t>Optimization of the conditions for the s</w:t>
      </w:r>
      <w:r w:rsidR="006B06E7" w:rsidRPr="00976DB5">
        <w:rPr>
          <w:rFonts w:ascii="Arial" w:hAnsi="Arial" w:cs="Arial"/>
          <w:color w:val="auto"/>
          <w:sz w:val="22"/>
          <w:szCs w:val="22"/>
          <w:lang w:val="en-US"/>
        </w:rPr>
        <w:t>ynthesis of CBN from Δ</w:t>
      </w:r>
      <w:r w:rsidR="006B06E7" w:rsidRPr="00976DB5">
        <w:rPr>
          <w:rFonts w:ascii="Arial" w:hAnsi="Arial" w:cs="Arial"/>
          <w:color w:val="auto"/>
          <w:sz w:val="22"/>
          <w:szCs w:val="22"/>
          <w:vertAlign w:val="superscript"/>
          <w:lang w:val="en-US"/>
        </w:rPr>
        <w:t>9</w:t>
      </w:r>
      <w:r w:rsidR="006B06E7" w:rsidRPr="00976DB5">
        <w:rPr>
          <w:rFonts w:ascii="Arial" w:hAnsi="Arial" w:cs="Arial"/>
          <w:color w:val="auto"/>
          <w:sz w:val="22"/>
          <w:szCs w:val="22"/>
          <w:lang w:val="en-US"/>
        </w:rPr>
        <w:t>-THC</w:t>
      </w:r>
      <w:bookmarkEnd w:id="18"/>
    </w:p>
    <w:p w14:paraId="0AEAD84F" w14:textId="5B86FCBE" w:rsidR="00512CE8" w:rsidRDefault="00512CE8" w:rsidP="006B06E7">
      <w:pPr>
        <w:spacing w:line="360" w:lineRule="auto"/>
        <w:ind w:firstLine="708"/>
        <w:jc w:val="both"/>
        <w:rPr>
          <w:lang w:val="en-US"/>
        </w:rPr>
      </w:pPr>
      <w:r w:rsidRPr="00512CE8">
        <w:rPr>
          <w:lang w:val="en-US"/>
        </w:rPr>
        <w:t xml:space="preserve">The isolated </w:t>
      </w:r>
      <w:r w:rsidRPr="00512CE8">
        <w:t>Δ</w:t>
      </w:r>
      <w:r w:rsidRPr="00512CE8">
        <w:rPr>
          <w:lang w:val="en-US"/>
        </w:rPr>
        <w:t xml:space="preserve">⁹-THC was subjected to aromatization under various oxidative conditions to investigate its conversion to CBN (Table </w:t>
      </w:r>
      <w:r w:rsidR="00C045E3">
        <w:rPr>
          <w:lang w:val="en-US"/>
        </w:rPr>
        <w:t>S</w:t>
      </w:r>
      <w:r w:rsidRPr="00512CE8">
        <w:rPr>
          <w:lang w:val="en-US"/>
        </w:rPr>
        <w:t>3). Reactions employing a combination of I</w:t>
      </w:r>
      <w:r w:rsidRPr="00512CE8">
        <w:rPr>
          <w:rFonts w:ascii="Cambria Math" w:hAnsi="Cambria Math" w:cs="Cambria Math"/>
          <w:lang w:val="en-US"/>
        </w:rPr>
        <w:t>₂</w:t>
      </w:r>
      <w:r w:rsidRPr="00512CE8">
        <w:rPr>
          <w:lang w:val="en-US"/>
        </w:rPr>
        <w:t xml:space="preserve"> and DDQ as oxidants were evaluated for up to 12 h. </w:t>
      </w:r>
      <w:r>
        <w:rPr>
          <w:lang w:val="en-US"/>
        </w:rPr>
        <w:t>T</w:t>
      </w:r>
      <w:r w:rsidRPr="00512CE8">
        <w:rPr>
          <w:lang w:val="en-US"/>
        </w:rPr>
        <w:t xml:space="preserve">he optimal conditions for </w:t>
      </w:r>
      <w:r w:rsidRPr="00512CE8">
        <w:t>Δ</w:t>
      </w:r>
      <w:r w:rsidRPr="00512CE8">
        <w:rPr>
          <w:lang w:val="en-US"/>
        </w:rPr>
        <w:t>⁹-THC aromatization to CBN were established as treatment with 2 equivalents of iodine for 4 h</w:t>
      </w:r>
      <w:r>
        <w:rPr>
          <w:lang w:val="en-US"/>
        </w:rPr>
        <w:t xml:space="preserve"> (Table </w:t>
      </w:r>
      <w:r w:rsidR="00C045E3">
        <w:rPr>
          <w:lang w:val="en-US"/>
        </w:rPr>
        <w:t>S</w:t>
      </w:r>
      <w:r>
        <w:rPr>
          <w:lang w:val="en-US"/>
        </w:rPr>
        <w:t>3, entry 7)</w:t>
      </w:r>
      <w:r w:rsidRPr="00512CE8">
        <w:rPr>
          <w:lang w:val="en-US"/>
        </w:rPr>
        <w:t>.</w:t>
      </w:r>
    </w:p>
    <w:p w14:paraId="6F8B8EDA" w14:textId="77777777" w:rsidR="006F1292" w:rsidRDefault="006F1292" w:rsidP="006F1292">
      <w:pPr>
        <w:spacing w:line="360" w:lineRule="auto"/>
        <w:ind w:firstLine="708"/>
        <w:jc w:val="both"/>
        <w:rPr>
          <w:lang w:val="en-US"/>
        </w:rPr>
      </w:pPr>
      <w:r w:rsidRPr="00512CE8">
        <w:rPr>
          <w:i/>
          <w:iCs/>
          <w:lang w:val="en-US"/>
        </w:rPr>
        <w:t>Optimized experimental procedure</w:t>
      </w:r>
      <w:r>
        <w:rPr>
          <w:lang w:val="en-US"/>
        </w:rPr>
        <w:t xml:space="preserve">: </w:t>
      </w:r>
      <w:r w:rsidRPr="006B06E7">
        <w:rPr>
          <w:lang w:val="en-US"/>
        </w:rPr>
        <w:t xml:space="preserve">In a 25 mL round-bottom flask containing </w:t>
      </w:r>
      <w:r w:rsidRPr="006B06E7">
        <w:t>Δ</w:t>
      </w:r>
      <w:r w:rsidRPr="006B06E7">
        <w:rPr>
          <w:lang w:val="en-US"/>
        </w:rPr>
        <w:t xml:space="preserve">⁹-THC (20 mg, 0.063 mmol, 1.0 </w:t>
      </w:r>
      <w:proofErr w:type="spellStart"/>
      <w:r w:rsidRPr="006B06E7">
        <w:rPr>
          <w:lang w:val="en-US"/>
        </w:rPr>
        <w:t>equiv</w:t>
      </w:r>
      <w:proofErr w:type="spellEnd"/>
      <w:r w:rsidRPr="006B06E7">
        <w:rPr>
          <w:lang w:val="en-US"/>
        </w:rPr>
        <w:t xml:space="preserve">), iodine (2.0 </w:t>
      </w:r>
      <w:proofErr w:type="spellStart"/>
      <w:r w:rsidRPr="006B06E7">
        <w:rPr>
          <w:lang w:val="en-US"/>
        </w:rPr>
        <w:t>equiv</w:t>
      </w:r>
      <w:proofErr w:type="spellEnd"/>
      <w:r w:rsidRPr="006B06E7">
        <w:rPr>
          <w:lang w:val="en-US"/>
        </w:rPr>
        <w:t>, 0.126 mmol, 32 mg) and toluene (</w:t>
      </w:r>
      <w:r>
        <w:rPr>
          <w:lang w:val="en-US"/>
        </w:rPr>
        <w:t>10</w:t>
      </w:r>
      <w:r w:rsidRPr="006B06E7">
        <w:rPr>
          <w:lang w:val="en-US"/>
        </w:rPr>
        <w:t xml:space="preserve"> mL) were added. The reaction mixture was heated under reflux with magnetic stirring for 4h. After completion, the crude reaction mixture was treated with</w:t>
      </w:r>
      <w:r>
        <w:rPr>
          <w:lang w:val="en-US"/>
        </w:rPr>
        <w:t xml:space="preserve"> 5 mL of</w:t>
      </w:r>
      <w:r w:rsidRPr="006B06E7">
        <w:rPr>
          <w:lang w:val="en-US"/>
        </w:rPr>
        <w:t xml:space="preserve"> an aqueous 5% sodium thiosulfate (</w:t>
      </w:r>
      <w:proofErr w:type="spellStart"/>
      <w:r w:rsidRPr="006B06E7">
        <w:rPr>
          <w:lang w:val="en-US"/>
        </w:rPr>
        <w:t>Na</w:t>
      </w:r>
      <w:r w:rsidRPr="006B06E7">
        <w:rPr>
          <w:rFonts w:ascii="Cambria Math" w:hAnsi="Cambria Math" w:cs="Cambria Math"/>
          <w:lang w:val="en-US"/>
        </w:rPr>
        <w:t>₂</w:t>
      </w:r>
      <w:r w:rsidRPr="006B06E7">
        <w:rPr>
          <w:lang w:val="en-US"/>
        </w:rPr>
        <w:t>S</w:t>
      </w:r>
      <w:r w:rsidRPr="006B06E7">
        <w:rPr>
          <w:rFonts w:ascii="Cambria Math" w:hAnsi="Cambria Math" w:cs="Cambria Math"/>
          <w:lang w:val="en-US"/>
        </w:rPr>
        <w:t>₂</w:t>
      </w:r>
      <w:r w:rsidRPr="006B06E7">
        <w:rPr>
          <w:lang w:val="en-US"/>
        </w:rPr>
        <w:t>O</w:t>
      </w:r>
      <w:proofErr w:type="spellEnd"/>
      <w:r w:rsidRPr="006B06E7">
        <w:rPr>
          <w:rFonts w:ascii="Cambria Math" w:hAnsi="Cambria Math" w:cs="Cambria Math"/>
          <w:lang w:val="en-US"/>
        </w:rPr>
        <w:t>₃</w:t>
      </w:r>
      <w:r w:rsidRPr="006B06E7">
        <w:rPr>
          <w:lang w:val="en-US"/>
        </w:rPr>
        <w:t xml:space="preserve">) solution and extracted with ethyl acetate (5 mL). The organic phase was dried over </w:t>
      </w:r>
      <w:proofErr w:type="spellStart"/>
      <w:r w:rsidRPr="006B06E7">
        <w:rPr>
          <w:lang w:val="en-US"/>
        </w:rPr>
        <w:t>MgSO</w:t>
      </w:r>
      <w:proofErr w:type="spellEnd"/>
      <w:r w:rsidRPr="006B06E7">
        <w:rPr>
          <w:rFonts w:ascii="Cambria Math" w:hAnsi="Cambria Math" w:cs="Cambria Math"/>
          <w:lang w:val="en-US"/>
        </w:rPr>
        <w:t>₄</w:t>
      </w:r>
      <w:r w:rsidRPr="006B06E7">
        <w:rPr>
          <w:lang w:val="en-US"/>
        </w:rPr>
        <w:t xml:space="preserve">, filtered, and concentrated under reduced pressure. The product was purified by silica gel column chromatography using 10% ethyl acetate in hexane as eluent. Cannabinol (CBN) was obtained as an orange oil in </w:t>
      </w:r>
      <w:r>
        <w:rPr>
          <w:lang w:val="en-US"/>
        </w:rPr>
        <w:t xml:space="preserve">52% </w:t>
      </w:r>
      <w:r w:rsidRPr="006B06E7">
        <w:rPr>
          <w:lang w:val="en-US"/>
        </w:rPr>
        <w:t>yields.</w:t>
      </w:r>
    </w:p>
    <w:p w14:paraId="2C8AC739" w14:textId="77777777" w:rsidR="00976DB5" w:rsidRDefault="00976DB5" w:rsidP="006B06E7">
      <w:pPr>
        <w:spacing w:line="360" w:lineRule="auto"/>
        <w:ind w:firstLine="708"/>
        <w:jc w:val="both"/>
        <w:rPr>
          <w:lang w:val="en-US"/>
        </w:rPr>
      </w:pPr>
    </w:p>
    <w:p w14:paraId="1BA241D9" w14:textId="77777777" w:rsidR="00512CE8" w:rsidRDefault="00512CE8" w:rsidP="006B06E7">
      <w:pPr>
        <w:spacing w:line="360" w:lineRule="auto"/>
        <w:ind w:firstLine="708"/>
        <w:jc w:val="both"/>
        <w:rPr>
          <w:lang w:val="en-US"/>
        </w:rPr>
      </w:pPr>
    </w:p>
    <w:p w14:paraId="6E883C75" w14:textId="77777777" w:rsidR="006F1292" w:rsidRDefault="006F1292" w:rsidP="006B06E7">
      <w:pPr>
        <w:spacing w:line="360" w:lineRule="auto"/>
        <w:ind w:firstLine="708"/>
        <w:jc w:val="both"/>
        <w:rPr>
          <w:lang w:val="en-US"/>
        </w:rPr>
      </w:pPr>
    </w:p>
    <w:p w14:paraId="1E78F817" w14:textId="77777777" w:rsidR="006F1292" w:rsidRDefault="006F1292" w:rsidP="006B06E7">
      <w:pPr>
        <w:spacing w:line="360" w:lineRule="auto"/>
        <w:ind w:firstLine="708"/>
        <w:jc w:val="both"/>
        <w:rPr>
          <w:lang w:val="en-US"/>
        </w:rPr>
      </w:pPr>
    </w:p>
    <w:p w14:paraId="1B7250D8" w14:textId="77777777" w:rsidR="006F1292" w:rsidRDefault="006F1292" w:rsidP="006B06E7">
      <w:pPr>
        <w:spacing w:line="360" w:lineRule="auto"/>
        <w:ind w:firstLine="708"/>
        <w:jc w:val="both"/>
        <w:rPr>
          <w:lang w:val="en-US"/>
        </w:rPr>
      </w:pPr>
    </w:p>
    <w:p w14:paraId="4F093A03" w14:textId="77777777" w:rsidR="006F1292" w:rsidRDefault="006F1292" w:rsidP="006B06E7">
      <w:pPr>
        <w:spacing w:line="360" w:lineRule="auto"/>
        <w:ind w:firstLine="708"/>
        <w:jc w:val="both"/>
        <w:rPr>
          <w:lang w:val="en-US"/>
        </w:rPr>
      </w:pPr>
    </w:p>
    <w:p w14:paraId="0FB07BDB" w14:textId="77777777" w:rsidR="006F1292" w:rsidRDefault="006F1292" w:rsidP="006B06E7">
      <w:pPr>
        <w:spacing w:line="360" w:lineRule="auto"/>
        <w:ind w:firstLine="708"/>
        <w:jc w:val="both"/>
        <w:rPr>
          <w:lang w:val="en-US"/>
        </w:rPr>
      </w:pPr>
    </w:p>
    <w:p w14:paraId="1ECEC245" w14:textId="77777777" w:rsidR="006F1292" w:rsidRDefault="006F1292" w:rsidP="006B06E7">
      <w:pPr>
        <w:spacing w:line="360" w:lineRule="auto"/>
        <w:ind w:firstLine="708"/>
        <w:jc w:val="both"/>
        <w:rPr>
          <w:lang w:val="en-US"/>
        </w:rPr>
      </w:pPr>
    </w:p>
    <w:p w14:paraId="74330725" w14:textId="77777777" w:rsidR="006F1292" w:rsidRDefault="006F1292" w:rsidP="006B06E7">
      <w:pPr>
        <w:spacing w:line="360" w:lineRule="auto"/>
        <w:ind w:firstLine="708"/>
        <w:jc w:val="both"/>
        <w:rPr>
          <w:lang w:val="en-US"/>
        </w:rPr>
      </w:pPr>
    </w:p>
    <w:p w14:paraId="52DC4865" w14:textId="77777777" w:rsidR="006F1292" w:rsidRDefault="006F1292" w:rsidP="006B06E7">
      <w:pPr>
        <w:spacing w:line="360" w:lineRule="auto"/>
        <w:ind w:firstLine="708"/>
        <w:jc w:val="both"/>
        <w:rPr>
          <w:lang w:val="en-US"/>
        </w:rPr>
      </w:pPr>
    </w:p>
    <w:p w14:paraId="045D20BF" w14:textId="77777777" w:rsidR="006F1292" w:rsidRDefault="006F1292" w:rsidP="006B06E7">
      <w:pPr>
        <w:spacing w:line="360" w:lineRule="auto"/>
        <w:ind w:firstLine="708"/>
        <w:jc w:val="both"/>
        <w:rPr>
          <w:lang w:val="en-US"/>
        </w:rPr>
      </w:pPr>
    </w:p>
    <w:p w14:paraId="2403AAD6" w14:textId="649AD9FD" w:rsidR="00512CE8" w:rsidRPr="00512CE8" w:rsidRDefault="00512CE8" w:rsidP="00512CE8">
      <w:pPr>
        <w:pStyle w:val="Beschriftung"/>
        <w:keepNext/>
        <w:jc w:val="center"/>
        <w:rPr>
          <w:rFonts w:ascii="Arial" w:hAnsi="Arial" w:cs="Arial"/>
          <w:i w:val="0"/>
          <w:iCs w:val="0"/>
          <w:color w:val="auto"/>
          <w:sz w:val="22"/>
          <w:szCs w:val="22"/>
          <w:lang w:val="en-US"/>
        </w:rPr>
      </w:pPr>
      <w:r w:rsidRPr="00512CE8">
        <w:rPr>
          <w:rFonts w:ascii="Arial" w:hAnsi="Arial" w:cs="Arial"/>
          <w:i w:val="0"/>
          <w:iCs w:val="0"/>
          <w:color w:val="auto"/>
          <w:sz w:val="22"/>
          <w:szCs w:val="22"/>
          <w:lang w:val="en-US"/>
        </w:rPr>
        <w:lastRenderedPageBreak/>
        <w:t xml:space="preserve">Table </w:t>
      </w:r>
      <w:r w:rsidR="00C045E3">
        <w:rPr>
          <w:rFonts w:ascii="Arial" w:hAnsi="Arial" w:cs="Arial"/>
          <w:i w:val="0"/>
          <w:iCs w:val="0"/>
          <w:color w:val="auto"/>
          <w:sz w:val="22"/>
          <w:szCs w:val="22"/>
          <w:lang w:val="en-US"/>
        </w:rPr>
        <w:t>S</w:t>
      </w:r>
      <w:r w:rsidRPr="00512CE8">
        <w:rPr>
          <w:rFonts w:ascii="Arial" w:hAnsi="Arial" w:cs="Arial"/>
          <w:i w:val="0"/>
          <w:iCs w:val="0"/>
          <w:color w:val="auto"/>
          <w:sz w:val="22"/>
          <w:szCs w:val="22"/>
        </w:rPr>
        <w:fldChar w:fldCharType="begin"/>
      </w:r>
      <w:r w:rsidRPr="00512CE8">
        <w:rPr>
          <w:rFonts w:ascii="Arial" w:hAnsi="Arial" w:cs="Arial"/>
          <w:i w:val="0"/>
          <w:iCs w:val="0"/>
          <w:color w:val="auto"/>
          <w:sz w:val="22"/>
          <w:szCs w:val="22"/>
          <w:lang w:val="en-US"/>
        </w:rPr>
        <w:instrText xml:space="preserve"> SEQ Table \* ARABIC </w:instrText>
      </w:r>
      <w:r w:rsidRPr="00512CE8">
        <w:rPr>
          <w:rFonts w:ascii="Arial" w:hAnsi="Arial" w:cs="Arial"/>
          <w:i w:val="0"/>
          <w:iCs w:val="0"/>
          <w:color w:val="auto"/>
          <w:sz w:val="22"/>
          <w:szCs w:val="22"/>
        </w:rPr>
        <w:fldChar w:fldCharType="separate"/>
      </w:r>
      <w:r w:rsidR="00130A17">
        <w:rPr>
          <w:rFonts w:ascii="Arial" w:hAnsi="Arial" w:cs="Arial"/>
          <w:i w:val="0"/>
          <w:iCs w:val="0"/>
          <w:noProof/>
          <w:color w:val="auto"/>
          <w:sz w:val="22"/>
          <w:szCs w:val="22"/>
          <w:lang w:val="en-US"/>
        </w:rPr>
        <w:t>3</w:t>
      </w:r>
      <w:r w:rsidRPr="00512CE8">
        <w:rPr>
          <w:rFonts w:ascii="Arial" w:hAnsi="Arial" w:cs="Arial"/>
          <w:i w:val="0"/>
          <w:iCs w:val="0"/>
          <w:color w:val="auto"/>
          <w:sz w:val="22"/>
          <w:szCs w:val="22"/>
        </w:rPr>
        <w:fldChar w:fldCharType="end"/>
      </w:r>
      <w:r w:rsidRPr="00512CE8">
        <w:rPr>
          <w:rFonts w:ascii="Arial" w:hAnsi="Arial" w:cs="Arial"/>
          <w:i w:val="0"/>
          <w:iCs w:val="0"/>
          <w:color w:val="auto"/>
          <w:sz w:val="22"/>
          <w:szCs w:val="22"/>
          <w:lang w:val="en-US"/>
        </w:rPr>
        <w:t xml:space="preserve">: Optimization of the aromatization reaction of </w:t>
      </w:r>
      <w:r w:rsidRPr="00512CE8">
        <w:rPr>
          <w:rFonts w:ascii="Arial" w:hAnsi="Arial" w:cs="Arial"/>
          <w:i w:val="0"/>
          <w:iCs w:val="0"/>
          <w:color w:val="auto"/>
          <w:sz w:val="22"/>
          <w:szCs w:val="22"/>
        </w:rPr>
        <w:t>Δ</w:t>
      </w:r>
      <w:r w:rsidRPr="00512CE8">
        <w:rPr>
          <w:rFonts w:ascii="Arial" w:hAnsi="Arial" w:cs="Arial"/>
          <w:i w:val="0"/>
          <w:iCs w:val="0"/>
          <w:color w:val="auto"/>
          <w:sz w:val="22"/>
          <w:szCs w:val="22"/>
          <w:vertAlign w:val="superscript"/>
          <w:lang w:val="en-US"/>
        </w:rPr>
        <w:t>9</w:t>
      </w:r>
      <w:r w:rsidRPr="00512CE8">
        <w:rPr>
          <w:rFonts w:ascii="Arial" w:hAnsi="Arial" w:cs="Arial"/>
          <w:i w:val="0"/>
          <w:iCs w:val="0"/>
          <w:color w:val="auto"/>
          <w:sz w:val="22"/>
          <w:szCs w:val="22"/>
          <w:lang w:val="en-US"/>
        </w:rPr>
        <w:t>–THC.</w:t>
      </w:r>
    </w:p>
    <w:tbl>
      <w:tblPr>
        <w:tblStyle w:val="Tabellenraster"/>
        <w:tblW w:w="7082" w:type="dxa"/>
        <w:jc w:val="center"/>
        <w:tblLook w:val="04A0" w:firstRow="1" w:lastRow="0" w:firstColumn="1" w:lastColumn="0" w:noHBand="0" w:noVBand="1"/>
      </w:tblPr>
      <w:tblGrid>
        <w:gridCol w:w="1555"/>
        <w:gridCol w:w="1984"/>
        <w:gridCol w:w="1701"/>
        <w:gridCol w:w="1842"/>
      </w:tblGrid>
      <w:tr w:rsidR="00512CE8" w:rsidRPr="00544CDE" w14:paraId="3BE6685D" w14:textId="77777777" w:rsidTr="00512CE8">
        <w:trPr>
          <w:trHeight w:val="558"/>
          <w:jc w:val="center"/>
        </w:trPr>
        <w:tc>
          <w:tcPr>
            <w:tcW w:w="1555" w:type="dxa"/>
            <w:noWrap/>
            <w:vAlign w:val="center"/>
            <w:hideMark/>
          </w:tcPr>
          <w:p w14:paraId="6377FBEF" w14:textId="77777777" w:rsidR="00512CE8" w:rsidRPr="00544CDE" w:rsidRDefault="00512CE8" w:rsidP="00CF01F6">
            <w:pPr>
              <w:jc w:val="center"/>
              <w:rPr>
                <w:rFonts w:eastAsia="Times New Roman"/>
                <w:b/>
                <w:bCs/>
              </w:rPr>
            </w:pPr>
            <w:r w:rsidRPr="00544CDE">
              <w:rPr>
                <w:rFonts w:eastAsia="Times New Roman"/>
                <w:b/>
                <w:bCs/>
              </w:rPr>
              <w:t>Entry</w:t>
            </w:r>
          </w:p>
        </w:tc>
        <w:tc>
          <w:tcPr>
            <w:tcW w:w="1984" w:type="dxa"/>
            <w:vAlign w:val="center"/>
            <w:hideMark/>
          </w:tcPr>
          <w:p w14:paraId="0D08F5EA" w14:textId="77777777" w:rsidR="00512CE8" w:rsidRPr="00544CDE" w:rsidRDefault="00512CE8" w:rsidP="00CF01F6">
            <w:pPr>
              <w:jc w:val="center"/>
              <w:rPr>
                <w:rFonts w:eastAsia="Times New Roman"/>
                <w:b/>
                <w:bCs/>
              </w:rPr>
            </w:pPr>
            <w:r w:rsidRPr="00544CDE">
              <w:rPr>
                <w:rFonts w:eastAsia="Times New Roman"/>
                <w:b/>
                <w:bCs/>
              </w:rPr>
              <w:t>Conditions</w:t>
            </w:r>
          </w:p>
        </w:tc>
        <w:tc>
          <w:tcPr>
            <w:tcW w:w="1701" w:type="dxa"/>
            <w:vAlign w:val="center"/>
            <w:hideMark/>
          </w:tcPr>
          <w:p w14:paraId="2BCECFAD" w14:textId="77777777" w:rsidR="00512CE8" w:rsidRPr="00544CDE" w:rsidRDefault="00512CE8" w:rsidP="00CF01F6">
            <w:pPr>
              <w:jc w:val="center"/>
              <w:rPr>
                <w:rFonts w:eastAsia="Times New Roman"/>
                <w:b/>
                <w:bCs/>
              </w:rPr>
            </w:pPr>
            <w:r w:rsidRPr="00544CDE">
              <w:rPr>
                <w:rFonts w:eastAsia="Times New Roman"/>
                <w:b/>
                <w:bCs/>
              </w:rPr>
              <w:t>Time (hours)</w:t>
            </w:r>
          </w:p>
        </w:tc>
        <w:tc>
          <w:tcPr>
            <w:tcW w:w="1842" w:type="dxa"/>
            <w:vAlign w:val="center"/>
            <w:hideMark/>
          </w:tcPr>
          <w:p w14:paraId="3801E622" w14:textId="77777777" w:rsidR="00512CE8" w:rsidRPr="00544CDE" w:rsidRDefault="00512CE8" w:rsidP="00CF01F6">
            <w:pPr>
              <w:jc w:val="center"/>
              <w:rPr>
                <w:rFonts w:eastAsia="Times New Roman"/>
                <w:b/>
                <w:bCs/>
                <w:vertAlign w:val="superscript"/>
              </w:rPr>
            </w:pPr>
            <w:proofErr w:type="spellStart"/>
            <w:r w:rsidRPr="00544CDE">
              <w:rPr>
                <w:rFonts w:eastAsia="Times New Roman"/>
                <w:b/>
                <w:bCs/>
              </w:rPr>
              <w:t>Yield</w:t>
            </w:r>
            <w:r w:rsidRPr="00544CDE">
              <w:rPr>
                <w:rFonts w:eastAsia="Times New Roman"/>
                <w:b/>
                <w:bCs/>
                <w:vertAlign w:val="superscript"/>
              </w:rPr>
              <w:t>a</w:t>
            </w:r>
            <w:proofErr w:type="spellEnd"/>
          </w:p>
        </w:tc>
      </w:tr>
      <w:tr w:rsidR="00512CE8" w:rsidRPr="00544CDE" w14:paraId="0F2E8BCA" w14:textId="77777777" w:rsidTr="00512CE8">
        <w:trPr>
          <w:trHeight w:val="300"/>
          <w:jc w:val="center"/>
        </w:trPr>
        <w:tc>
          <w:tcPr>
            <w:tcW w:w="1555" w:type="dxa"/>
            <w:noWrap/>
            <w:vAlign w:val="center"/>
          </w:tcPr>
          <w:p w14:paraId="113E929A"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1</w:t>
            </w:r>
          </w:p>
        </w:tc>
        <w:tc>
          <w:tcPr>
            <w:tcW w:w="1984" w:type="dxa"/>
            <w:noWrap/>
            <w:vAlign w:val="center"/>
          </w:tcPr>
          <w:p w14:paraId="288AD71E"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(0.5 equiv.)</w:t>
            </w:r>
          </w:p>
          <w:p w14:paraId="716B6413" w14:textId="77777777" w:rsidR="00512CE8" w:rsidRPr="00544CDE" w:rsidRDefault="00512CE8" w:rsidP="00CF01F6">
            <w:pPr>
              <w:spacing w:line="360" w:lineRule="auto"/>
              <w:jc w:val="center"/>
              <w:rPr>
                <w:rFonts w:eastAsia="Times New Roman"/>
              </w:rPr>
            </w:pPr>
            <w:r w:rsidRPr="00544CDE">
              <w:rPr>
                <w:rFonts w:eastAsia="Times New Roman"/>
              </w:rPr>
              <w:t xml:space="preserve">DDQ (0.5 </w:t>
            </w:r>
            <w:proofErr w:type="spellStart"/>
            <w:r w:rsidRPr="00544CDE">
              <w:rPr>
                <w:rFonts w:eastAsia="Times New Roman"/>
              </w:rPr>
              <w:t>equiv</w:t>
            </w:r>
            <w:proofErr w:type="spellEnd"/>
            <w:r w:rsidRPr="00544CDE">
              <w:rPr>
                <w:rFonts w:eastAsia="Times New Roman"/>
              </w:rPr>
              <w:t>)</w:t>
            </w:r>
          </w:p>
        </w:tc>
        <w:tc>
          <w:tcPr>
            <w:tcW w:w="1701" w:type="dxa"/>
            <w:noWrap/>
            <w:vAlign w:val="center"/>
          </w:tcPr>
          <w:p w14:paraId="3FEB265D" w14:textId="77777777" w:rsidR="00512CE8" w:rsidRPr="00544CDE" w:rsidRDefault="00512CE8" w:rsidP="00CF01F6">
            <w:pPr>
              <w:spacing w:line="360" w:lineRule="auto"/>
              <w:jc w:val="center"/>
              <w:rPr>
                <w:rFonts w:eastAsia="Times New Roman"/>
              </w:rPr>
            </w:pPr>
            <w:r w:rsidRPr="00544CDE">
              <w:rPr>
                <w:rFonts w:eastAsia="Times New Roman"/>
              </w:rPr>
              <w:t>4</w:t>
            </w:r>
          </w:p>
        </w:tc>
        <w:tc>
          <w:tcPr>
            <w:tcW w:w="1842" w:type="dxa"/>
            <w:noWrap/>
            <w:vAlign w:val="center"/>
          </w:tcPr>
          <w:p w14:paraId="3B2B8232" w14:textId="77777777" w:rsidR="00512CE8" w:rsidRPr="00544CDE" w:rsidRDefault="00512CE8" w:rsidP="00CF01F6">
            <w:pPr>
              <w:spacing w:line="360" w:lineRule="auto"/>
              <w:jc w:val="center"/>
              <w:rPr>
                <w:rFonts w:eastAsia="Times New Roman"/>
              </w:rPr>
            </w:pPr>
            <w:r w:rsidRPr="00544CDE">
              <w:rPr>
                <w:rFonts w:eastAsia="Times New Roman"/>
              </w:rPr>
              <w:t>24%</w:t>
            </w:r>
          </w:p>
        </w:tc>
      </w:tr>
      <w:tr w:rsidR="00512CE8" w:rsidRPr="00544CDE" w14:paraId="3CCACD99" w14:textId="77777777" w:rsidTr="00512CE8">
        <w:trPr>
          <w:trHeight w:val="300"/>
          <w:jc w:val="center"/>
        </w:trPr>
        <w:tc>
          <w:tcPr>
            <w:tcW w:w="1555" w:type="dxa"/>
            <w:noWrap/>
            <w:vAlign w:val="center"/>
          </w:tcPr>
          <w:p w14:paraId="07B56CC6"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2</w:t>
            </w:r>
          </w:p>
        </w:tc>
        <w:tc>
          <w:tcPr>
            <w:tcW w:w="1984" w:type="dxa"/>
            <w:noWrap/>
            <w:vAlign w:val="center"/>
          </w:tcPr>
          <w:p w14:paraId="561A97BC"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(0.5 equiv.)</w:t>
            </w:r>
          </w:p>
          <w:p w14:paraId="553BDCCA" w14:textId="77777777" w:rsidR="00512CE8" w:rsidRPr="00544CDE" w:rsidRDefault="00512CE8" w:rsidP="00CF01F6">
            <w:pPr>
              <w:spacing w:line="360" w:lineRule="auto"/>
              <w:jc w:val="center"/>
              <w:rPr>
                <w:rFonts w:eastAsia="Times New Roman"/>
              </w:rPr>
            </w:pPr>
            <w:r w:rsidRPr="00544CDE">
              <w:rPr>
                <w:rFonts w:eastAsia="Times New Roman"/>
              </w:rPr>
              <w:t xml:space="preserve">DDQ (0.5 </w:t>
            </w:r>
            <w:proofErr w:type="spellStart"/>
            <w:r w:rsidRPr="00544CDE">
              <w:rPr>
                <w:rFonts w:eastAsia="Times New Roman"/>
              </w:rPr>
              <w:t>equiv</w:t>
            </w:r>
            <w:proofErr w:type="spellEnd"/>
            <w:r w:rsidRPr="00544CDE">
              <w:rPr>
                <w:rFonts w:eastAsia="Times New Roman"/>
              </w:rPr>
              <w:t>)</w:t>
            </w:r>
          </w:p>
        </w:tc>
        <w:tc>
          <w:tcPr>
            <w:tcW w:w="1701" w:type="dxa"/>
            <w:noWrap/>
            <w:vAlign w:val="center"/>
          </w:tcPr>
          <w:p w14:paraId="749214E2" w14:textId="77777777" w:rsidR="00512CE8" w:rsidRPr="00544CDE" w:rsidRDefault="00512CE8" w:rsidP="00CF01F6">
            <w:pPr>
              <w:spacing w:line="360" w:lineRule="auto"/>
              <w:jc w:val="center"/>
              <w:rPr>
                <w:rFonts w:eastAsia="Times New Roman"/>
              </w:rPr>
            </w:pPr>
            <w:r w:rsidRPr="00544CDE">
              <w:rPr>
                <w:rFonts w:eastAsia="Times New Roman"/>
              </w:rPr>
              <w:t>6</w:t>
            </w:r>
          </w:p>
        </w:tc>
        <w:tc>
          <w:tcPr>
            <w:tcW w:w="1842" w:type="dxa"/>
            <w:noWrap/>
            <w:vAlign w:val="center"/>
          </w:tcPr>
          <w:p w14:paraId="23382AB3" w14:textId="77777777" w:rsidR="00512CE8" w:rsidRPr="00544CDE" w:rsidRDefault="00512CE8" w:rsidP="00CF01F6">
            <w:pPr>
              <w:spacing w:line="360" w:lineRule="auto"/>
              <w:jc w:val="center"/>
              <w:rPr>
                <w:rFonts w:eastAsia="Times New Roman"/>
              </w:rPr>
            </w:pPr>
            <w:r w:rsidRPr="00544CDE">
              <w:rPr>
                <w:rFonts w:eastAsia="Times New Roman"/>
              </w:rPr>
              <w:t>29%</w:t>
            </w:r>
          </w:p>
        </w:tc>
      </w:tr>
      <w:tr w:rsidR="00512CE8" w:rsidRPr="00544CDE" w14:paraId="0711775A" w14:textId="77777777" w:rsidTr="00512CE8">
        <w:trPr>
          <w:trHeight w:val="300"/>
          <w:jc w:val="center"/>
        </w:trPr>
        <w:tc>
          <w:tcPr>
            <w:tcW w:w="1555" w:type="dxa"/>
            <w:noWrap/>
            <w:vAlign w:val="center"/>
          </w:tcPr>
          <w:p w14:paraId="4B3E45BE"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3</w:t>
            </w:r>
          </w:p>
        </w:tc>
        <w:tc>
          <w:tcPr>
            <w:tcW w:w="1984" w:type="dxa"/>
            <w:noWrap/>
            <w:vAlign w:val="center"/>
          </w:tcPr>
          <w:p w14:paraId="2F0657BA"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(0.5 equiv.)</w:t>
            </w:r>
          </w:p>
          <w:p w14:paraId="21603BE9" w14:textId="77777777" w:rsidR="00512CE8" w:rsidRPr="00544CDE" w:rsidRDefault="00512CE8" w:rsidP="00CF01F6">
            <w:pPr>
              <w:spacing w:line="360" w:lineRule="auto"/>
              <w:jc w:val="center"/>
              <w:rPr>
                <w:rFonts w:eastAsia="Times New Roman"/>
              </w:rPr>
            </w:pPr>
            <w:r w:rsidRPr="00544CDE">
              <w:rPr>
                <w:rFonts w:eastAsia="Times New Roman"/>
              </w:rPr>
              <w:t xml:space="preserve">DDQ (0.5 </w:t>
            </w:r>
            <w:proofErr w:type="spellStart"/>
            <w:r w:rsidRPr="00544CDE">
              <w:rPr>
                <w:rFonts w:eastAsia="Times New Roman"/>
              </w:rPr>
              <w:t>equiv</w:t>
            </w:r>
            <w:proofErr w:type="spellEnd"/>
            <w:r w:rsidRPr="00544CDE">
              <w:rPr>
                <w:rFonts w:eastAsia="Times New Roman"/>
              </w:rPr>
              <w:t>)</w:t>
            </w:r>
          </w:p>
        </w:tc>
        <w:tc>
          <w:tcPr>
            <w:tcW w:w="1701" w:type="dxa"/>
            <w:noWrap/>
            <w:vAlign w:val="center"/>
          </w:tcPr>
          <w:p w14:paraId="03E71C1C" w14:textId="77777777" w:rsidR="00512CE8" w:rsidRPr="00544CDE" w:rsidRDefault="00512CE8" w:rsidP="00CF01F6">
            <w:pPr>
              <w:spacing w:line="360" w:lineRule="auto"/>
              <w:jc w:val="center"/>
              <w:rPr>
                <w:rFonts w:eastAsia="Times New Roman"/>
              </w:rPr>
            </w:pPr>
            <w:r w:rsidRPr="00544CDE">
              <w:rPr>
                <w:rFonts w:eastAsia="Times New Roman"/>
              </w:rPr>
              <w:t>12</w:t>
            </w:r>
          </w:p>
        </w:tc>
        <w:tc>
          <w:tcPr>
            <w:tcW w:w="1842" w:type="dxa"/>
            <w:noWrap/>
            <w:vAlign w:val="center"/>
          </w:tcPr>
          <w:p w14:paraId="542E1611" w14:textId="77777777" w:rsidR="00512CE8" w:rsidRPr="00544CDE" w:rsidRDefault="00512CE8" w:rsidP="00CF01F6">
            <w:pPr>
              <w:spacing w:line="360" w:lineRule="auto"/>
              <w:jc w:val="center"/>
              <w:rPr>
                <w:rFonts w:eastAsia="Times New Roman"/>
              </w:rPr>
            </w:pPr>
            <w:r w:rsidRPr="00544CDE">
              <w:rPr>
                <w:rFonts w:eastAsia="Times New Roman"/>
              </w:rPr>
              <w:t>24%</w:t>
            </w:r>
          </w:p>
        </w:tc>
      </w:tr>
      <w:tr w:rsidR="00512CE8" w:rsidRPr="00544CDE" w14:paraId="23AFEA93" w14:textId="77777777" w:rsidTr="00512CE8">
        <w:trPr>
          <w:trHeight w:val="300"/>
          <w:jc w:val="center"/>
        </w:trPr>
        <w:tc>
          <w:tcPr>
            <w:tcW w:w="1555" w:type="dxa"/>
            <w:noWrap/>
            <w:vAlign w:val="center"/>
          </w:tcPr>
          <w:p w14:paraId="441C5DC2"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4</w:t>
            </w:r>
          </w:p>
        </w:tc>
        <w:tc>
          <w:tcPr>
            <w:tcW w:w="1984" w:type="dxa"/>
            <w:noWrap/>
            <w:vAlign w:val="center"/>
          </w:tcPr>
          <w:p w14:paraId="0F45BFCF"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(2 equiv.)</w:t>
            </w:r>
          </w:p>
        </w:tc>
        <w:tc>
          <w:tcPr>
            <w:tcW w:w="1701" w:type="dxa"/>
            <w:noWrap/>
            <w:vAlign w:val="center"/>
          </w:tcPr>
          <w:p w14:paraId="01DC23FF" w14:textId="77777777" w:rsidR="00512CE8" w:rsidRPr="00544CDE" w:rsidRDefault="00512CE8" w:rsidP="00CF01F6">
            <w:pPr>
              <w:spacing w:line="360" w:lineRule="auto"/>
              <w:jc w:val="center"/>
              <w:rPr>
                <w:rFonts w:eastAsia="Times New Roman"/>
              </w:rPr>
            </w:pPr>
            <w:r w:rsidRPr="00544CDE">
              <w:rPr>
                <w:rFonts w:eastAsia="Times New Roman"/>
              </w:rPr>
              <w:t>1</w:t>
            </w:r>
          </w:p>
        </w:tc>
        <w:tc>
          <w:tcPr>
            <w:tcW w:w="1842" w:type="dxa"/>
            <w:noWrap/>
            <w:vAlign w:val="center"/>
          </w:tcPr>
          <w:p w14:paraId="755D9F29" w14:textId="77777777" w:rsidR="00512CE8" w:rsidRPr="00544CDE" w:rsidRDefault="00512CE8" w:rsidP="00CF01F6">
            <w:pPr>
              <w:spacing w:line="360" w:lineRule="auto"/>
              <w:jc w:val="center"/>
              <w:rPr>
                <w:rFonts w:eastAsia="Times New Roman"/>
              </w:rPr>
            </w:pPr>
            <w:r w:rsidRPr="00544CDE">
              <w:rPr>
                <w:rFonts w:eastAsia="Times New Roman"/>
              </w:rPr>
              <w:t>13%</w:t>
            </w:r>
          </w:p>
        </w:tc>
      </w:tr>
      <w:tr w:rsidR="00512CE8" w:rsidRPr="00544CDE" w14:paraId="7E57EDB5" w14:textId="77777777" w:rsidTr="00512CE8">
        <w:trPr>
          <w:trHeight w:val="300"/>
          <w:jc w:val="center"/>
        </w:trPr>
        <w:tc>
          <w:tcPr>
            <w:tcW w:w="1555" w:type="dxa"/>
            <w:noWrap/>
            <w:vAlign w:val="center"/>
          </w:tcPr>
          <w:p w14:paraId="2EC6CB91"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5</w:t>
            </w:r>
          </w:p>
        </w:tc>
        <w:tc>
          <w:tcPr>
            <w:tcW w:w="1984" w:type="dxa"/>
            <w:noWrap/>
            <w:vAlign w:val="center"/>
          </w:tcPr>
          <w:p w14:paraId="1B7C3C11"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(2 equiv.)</w:t>
            </w:r>
          </w:p>
        </w:tc>
        <w:tc>
          <w:tcPr>
            <w:tcW w:w="1701" w:type="dxa"/>
            <w:noWrap/>
            <w:vAlign w:val="center"/>
          </w:tcPr>
          <w:p w14:paraId="0819091C" w14:textId="77777777" w:rsidR="00512CE8" w:rsidRPr="00544CDE" w:rsidRDefault="00512CE8" w:rsidP="00CF01F6">
            <w:pPr>
              <w:spacing w:line="360" w:lineRule="auto"/>
              <w:jc w:val="center"/>
              <w:rPr>
                <w:rFonts w:eastAsia="Times New Roman"/>
              </w:rPr>
            </w:pPr>
            <w:r w:rsidRPr="00544CDE">
              <w:rPr>
                <w:rFonts w:eastAsia="Times New Roman"/>
              </w:rPr>
              <w:t>2</w:t>
            </w:r>
          </w:p>
        </w:tc>
        <w:tc>
          <w:tcPr>
            <w:tcW w:w="1842" w:type="dxa"/>
            <w:noWrap/>
            <w:vAlign w:val="center"/>
          </w:tcPr>
          <w:p w14:paraId="437F1BBD" w14:textId="77777777" w:rsidR="00512CE8" w:rsidRPr="00544CDE" w:rsidRDefault="00512CE8" w:rsidP="00CF01F6">
            <w:pPr>
              <w:spacing w:line="360" w:lineRule="auto"/>
              <w:jc w:val="center"/>
              <w:rPr>
                <w:rFonts w:eastAsia="Times New Roman"/>
              </w:rPr>
            </w:pPr>
            <w:r w:rsidRPr="00544CDE">
              <w:rPr>
                <w:rFonts w:eastAsia="Times New Roman"/>
              </w:rPr>
              <w:t>33%</w:t>
            </w:r>
          </w:p>
        </w:tc>
      </w:tr>
      <w:tr w:rsidR="00512CE8" w:rsidRPr="00544CDE" w14:paraId="5F9A5433" w14:textId="77777777" w:rsidTr="00512CE8">
        <w:trPr>
          <w:trHeight w:val="300"/>
          <w:jc w:val="center"/>
        </w:trPr>
        <w:tc>
          <w:tcPr>
            <w:tcW w:w="1555" w:type="dxa"/>
            <w:noWrap/>
            <w:vAlign w:val="center"/>
          </w:tcPr>
          <w:p w14:paraId="0E4746F9"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6</w:t>
            </w:r>
          </w:p>
        </w:tc>
        <w:tc>
          <w:tcPr>
            <w:tcW w:w="1984" w:type="dxa"/>
            <w:noWrap/>
            <w:vAlign w:val="center"/>
          </w:tcPr>
          <w:p w14:paraId="5F7A68A4"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(2 equiv.)</w:t>
            </w:r>
          </w:p>
        </w:tc>
        <w:tc>
          <w:tcPr>
            <w:tcW w:w="1701" w:type="dxa"/>
            <w:noWrap/>
            <w:vAlign w:val="center"/>
          </w:tcPr>
          <w:p w14:paraId="760D3F88" w14:textId="77777777" w:rsidR="00512CE8" w:rsidRPr="00544CDE" w:rsidRDefault="00512CE8" w:rsidP="00CF01F6">
            <w:pPr>
              <w:spacing w:line="360" w:lineRule="auto"/>
              <w:jc w:val="center"/>
              <w:rPr>
                <w:rFonts w:eastAsia="Times New Roman"/>
              </w:rPr>
            </w:pPr>
            <w:r w:rsidRPr="00544CDE">
              <w:rPr>
                <w:rFonts w:eastAsia="Times New Roman"/>
              </w:rPr>
              <w:t>3</w:t>
            </w:r>
          </w:p>
        </w:tc>
        <w:tc>
          <w:tcPr>
            <w:tcW w:w="1842" w:type="dxa"/>
            <w:noWrap/>
            <w:vAlign w:val="center"/>
          </w:tcPr>
          <w:p w14:paraId="754B2A15" w14:textId="77777777" w:rsidR="00512CE8" w:rsidRPr="00544CDE" w:rsidRDefault="00512CE8" w:rsidP="00CF01F6">
            <w:pPr>
              <w:spacing w:line="360" w:lineRule="auto"/>
              <w:jc w:val="center"/>
              <w:rPr>
                <w:rFonts w:eastAsia="Times New Roman"/>
              </w:rPr>
            </w:pPr>
            <w:r w:rsidRPr="00544CDE">
              <w:rPr>
                <w:rFonts w:eastAsia="Times New Roman"/>
              </w:rPr>
              <w:t>40%</w:t>
            </w:r>
          </w:p>
        </w:tc>
      </w:tr>
      <w:tr w:rsidR="00512CE8" w:rsidRPr="00544CDE" w14:paraId="594CDF3A" w14:textId="77777777" w:rsidTr="00512CE8">
        <w:trPr>
          <w:trHeight w:val="300"/>
          <w:jc w:val="center"/>
        </w:trPr>
        <w:tc>
          <w:tcPr>
            <w:tcW w:w="1555" w:type="dxa"/>
            <w:noWrap/>
            <w:vAlign w:val="center"/>
          </w:tcPr>
          <w:p w14:paraId="3E9D0A02" w14:textId="77777777" w:rsidR="00512CE8" w:rsidRPr="00C045E3" w:rsidRDefault="00512CE8" w:rsidP="00CF01F6">
            <w:pPr>
              <w:spacing w:line="360" w:lineRule="auto"/>
              <w:jc w:val="center"/>
              <w:rPr>
                <w:rFonts w:eastAsia="Times New Roman"/>
                <w:b/>
                <w:bCs/>
                <w:color w:val="000000"/>
              </w:rPr>
            </w:pPr>
            <w:r w:rsidRPr="00C045E3">
              <w:rPr>
                <w:rFonts w:eastAsia="Times New Roman"/>
                <w:b/>
                <w:bCs/>
                <w:color w:val="000000"/>
              </w:rPr>
              <w:t>7</w:t>
            </w:r>
          </w:p>
        </w:tc>
        <w:tc>
          <w:tcPr>
            <w:tcW w:w="1984" w:type="dxa"/>
            <w:noWrap/>
            <w:vAlign w:val="center"/>
          </w:tcPr>
          <w:p w14:paraId="2995D4A1" w14:textId="77777777" w:rsidR="00512CE8" w:rsidRPr="00C045E3" w:rsidRDefault="00512CE8" w:rsidP="00CF01F6">
            <w:pPr>
              <w:spacing w:line="360" w:lineRule="auto"/>
              <w:jc w:val="center"/>
              <w:rPr>
                <w:rFonts w:eastAsia="Times New Roman"/>
                <w:b/>
                <w:bCs/>
              </w:rPr>
            </w:pPr>
            <w:r w:rsidRPr="00C045E3">
              <w:rPr>
                <w:rFonts w:eastAsia="Times New Roman"/>
                <w:b/>
                <w:bCs/>
              </w:rPr>
              <w:t>I</w:t>
            </w:r>
            <w:r w:rsidRPr="00C045E3">
              <w:rPr>
                <w:rFonts w:eastAsia="Times New Roman"/>
                <w:b/>
                <w:bCs/>
                <w:vertAlign w:val="subscript"/>
              </w:rPr>
              <w:t>2</w:t>
            </w:r>
            <w:r w:rsidRPr="00C045E3">
              <w:rPr>
                <w:rFonts w:eastAsia="Times New Roman"/>
                <w:b/>
                <w:bCs/>
              </w:rPr>
              <w:t xml:space="preserve"> (2 equiv.)</w:t>
            </w:r>
          </w:p>
        </w:tc>
        <w:tc>
          <w:tcPr>
            <w:tcW w:w="1701" w:type="dxa"/>
            <w:noWrap/>
            <w:vAlign w:val="center"/>
          </w:tcPr>
          <w:p w14:paraId="740AFF86" w14:textId="77777777" w:rsidR="00512CE8" w:rsidRPr="00C045E3" w:rsidRDefault="00512CE8" w:rsidP="00CF01F6">
            <w:pPr>
              <w:spacing w:line="360" w:lineRule="auto"/>
              <w:jc w:val="center"/>
              <w:rPr>
                <w:rFonts w:eastAsia="Times New Roman"/>
                <w:b/>
                <w:bCs/>
              </w:rPr>
            </w:pPr>
            <w:r w:rsidRPr="00C045E3">
              <w:rPr>
                <w:rFonts w:eastAsia="Times New Roman"/>
                <w:b/>
                <w:bCs/>
              </w:rPr>
              <w:t>4</w:t>
            </w:r>
          </w:p>
        </w:tc>
        <w:tc>
          <w:tcPr>
            <w:tcW w:w="1842" w:type="dxa"/>
            <w:noWrap/>
            <w:vAlign w:val="center"/>
          </w:tcPr>
          <w:p w14:paraId="64F9AC1E" w14:textId="77777777" w:rsidR="00512CE8" w:rsidRPr="00C045E3" w:rsidRDefault="00512CE8" w:rsidP="00CF01F6">
            <w:pPr>
              <w:spacing w:line="360" w:lineRule="auto"/>
              <w:jc w:val="center"/>
              <w:rPr>
                <w:rFonts w:eastAsia="Times New Roman"/>
                <w:b/>
                <w:bCs/>
              </w:rPr>
            </w:pPr>
            <w:r w:rsidRPr="00C045E3">
              <w:rPr>
                <w:rFonts w:eastAsia="Times New Roman"/>
                <w:b/>
                <w:bCs/>
              </w:rPr>
              <w:t>52%</w:t>
            </w:r>
          </w:p>
        </w:tc>
      </w:tr>
      <w:tr w:rsidR="00512CE8" w:rsidRPr="00544CDE" w14:paraId="1160B4C6" w14:textId="77777777" w:rsidTr="00512CE8">
        <w:trPr>
          <w:trHeight w:val="300"/>
          <w:jc w:val="center"/>
        </w:trPr>
        <w:tc>
          <w:tcPr>
            <w:tcW w:w="1555" w:type="dxa"/>
            <w:noWrap/>
            <w:vAlign w:val="center"/>
          </w:tcPr>
          <w:p w14:paraId="751C9639"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8</w:t>
            </w:r>
          </w:p>
        </w:tc>
        <w:tc>
          <w:tcPr>
            <w:tcW w:w="1984" w:type="dxa"/>
            <w:noWrap/>
            <w:vAlign w:val="center"/>
          </w:tcPr>
          <w:p w14:paraId="64BC06F6"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(2 equiv.)</w:t>
            </w:r>
          </w:p>
        </w:tc>
        <w:tc>
          <w:tcPr>
            <w:tcW w:w="1701" w:type="dxa"/>
            <w:noWrap/>
            <w:vAlign w:val="center"/>
          </w:tcPr>
          <w:p w14:paraId="1C63E7C2" w14:textId="77777777" w:rsidR="00512CE8" w:rsidRPr="00544CDE" w:rsidRDefault="00512CE8" w:rsidP="00CF01F6">
            <w:pPr>
              <w:spacing w:line="360" w:lineRule="auto"/>
              <w:jc w:val="center"/>
              <w:rPr>
                <w:rFonts w:eastAsia="Times New Roman"/>
              </w:rPr>
            </w:pPr>
            <w:r w:rsidRPr="00544CDE">
              <w:rPr>
                <w:rFonts w:eastAsia="Times New Roman"/>
              </w:rPr>
              <w:t>6</w:t>
            </w:r>
          </w:p>
        </w:tc>
        <w:tc>
          <w:tcPr>
            <w:tcW w:w="1842" w:type="dxa"/>
            <w:noWrap/>
            <w:vAlign w:val="center"/>
          </w:tcPr>
          <w:p w14:paraId="3FBEAF87" w14:textId="77777777" w:rsidR="00512CE8" w:rsidRPr="00544CDE" w:rsidRDefault="00512CE8" w:rsidP="00CF01F6">
            <w:pPr>
              <w:spacing w:line="360" w:lineRule="auto"/>
              <w:jc w:val="center"/>
              <w:rPr>
                <w:rFonts w:eastAsia="Times New Roman"/>
              </w:rPr>
            </w:pPr>
            <w:r w:rsidRPr="00544CDE">
              <w:rPr>
                <w:rFonts w:eastAsia="Times New Roman"/>
              </w:rPr>
              <w:t>42%</w:t>
            </w:r>
          </w:p>
        </w:tc>
      </w:tr>
      <w:tr w:rsidR="00512CE8" w:rsidRPr="00544CDE" w14:paraId="11724D24" w14:textId="77777777" w:rsidTr="00512CE8">
        <w:trPr>
          <w:trHeight w:val="300"/>
          <w:jc w:val="center"/>
        </w:trPr>
        <w:tc>
          <w:tcPr>
            <w:tcW w:w="1555" w:type="dxa"/>
            <w:noWrap/>
            <w:vAlign w:val="center"/>
          </w:tcPr>
          <w:p w14:paraId="4603C488" w14:textId="77777777" w:rsidR="00512CE8" w:rsidRPr="00544CDE" w:rsidRDefault="00512CE8" w:rsidP="00CF01F6">
            <w:pPr>
              <w:spacing w:line="360" w:lineRule="auto"/>
              <w:jc w:val="center"/>
              <w:rPr>
                <w:rFonts w:eastAsia="Times New Roman"/>
                <w:color w:val="000000"/>
              </w:rPr>
            </w:pPr>
            <w:r w:rsidRPr="00544CDE">
              <w:rPr>
                <w:rFonts w:eastAsia="Times New Roman"/>
                <w:color w:val="000000"/>
              </w:rPr>
              <w:t>9</w:t>
            </w:r>
          </w:p>
        </w:tc>
        <w:tc>
          <w:tcPr>
            <w:tcW w:w="1984" w:type="dxa"/>
            <w:noWrap/>
            <w:vAlign w:val="center"/>
          </w:tcPr>
          <w:p w14:paraId="19975C84" w14:textId="77777777" w:rsidR="00512CE8" w:rsidRPr="00544CDE" w:rsidRDefault="00512CE8" w:rsidP="00CF01F6">
            <w:pPr>
              <w:spacing w:line="360" w:lineRule="auto"/>
              <w:jc w:val="center"/>
              <w:rPr>
                <w:rFonts w:eastAsia="Times New Roman"/>
              </w:rPr>
            </w:pPr>
            <w:r w:rsidRPr="00544CDE">
              <w:rPr>
                <w:rFonts w:eastAsia="Times New Roman"/>
              </w:rPr>
              <w:t>I</w:t>
            </w:r>
            <w:r w:rsidRPr="00544CDE">
              <w:rPr>
                <w:rFonts w:eastAsia="Times New Roman"/>
                <w:vertAlign w:val="subscript"/>
              </w:rPr>
              <w:t>2</w:t>
            </w:r>
            <w:r w:rsidRPr="00544CDE">
              <w:rPr>
                <w:rFonts w:eastAsia="Times New Roman"/>
              </w:rPr>
              <w:t xml:space="preserve"> (2 equiv.)</w:t>
            </w:r>
          </w:p>
        </w:tc>
        <w:tc>
          <w:tcPr>
            <w:tcW w:w="1701" w:type="dxa"/>
            <w:noWrap/>
            <w:vAlign w:val="center"/>
          </w:tcPr>
          <w:p w14:paraId="5EC4F5E3" w14:textId="77777777" w:rsidR="00512CE8" w:rsidRPr="00544CDE" w:rsidRDefault="00512CE8" w:rsidP="00CF01F6">
            <w:pPr>
              <w:spacing w:line="360" w:lineRule="auto"/>
              <w:jc w:val="center"/>
              <w:rPr>
                <w:rFonts w:eastAsia="Times New Roman"/>
              </w:rPr>
            </w:pPr>
            <w:r w:rsidRPr="00544CDE">
              <w:rPr>
                <w:rFonts w:eastAsia="Times New Roman"/>
              </w:rPr>
              <w:t>12</w:t>
            </w:r>
          </w:p>
        </w:tc>
        <w:tc>
          <w:tcPr>
            <w:tcW w:w="1842" w:type="dxa"/>
            <w:noWrap/>
            <w:vAlign w:val="center"/>
          </w:tcPr>
          <w:p w14:paraId="4519FFAC" w14:textId="77777777" w:rsidR="00512CE8" w:rsidRPr="00544CDE" w:rsidRDefault="00512CE8" w:rsidP="00CF01F6">
            <w:pPr>
              <w:spacing w:line="360" w:lineRule="auto"/>
              <w:jc w:val="center"/>
              <w:rPr>
                <w:rFonts w:eastAsia="Times New Roman"/>
              </w:rPr>
            </w:pPr>
            <w:r w:rsidRPr="00544CDE">
              <w:rPr>
                <w:rFonts w:eastAsia="Times New Roman"/>
              </w:rPr>
              <w:t>39%</w:t>
            </w:r>
          </w:p>
        </w:tc>
      </w:tr>
    </w:tbl>
    <w:p w14:paraId="16493441" w14:textId="77777777" w:rsidR="00512CE8" w:rsidRPr="00260192" w:rsidRDefault="00512CE8" w:rsidP="00512CE8">
      <w:pPr>
        <w:shd w:val="clear" w:color="auto" w:fill="FFFFFF"/>
        <w:spacing w:line="240" w:lineRule="auto"/>
        <w:jc w:val="center"/>
        <w:rPr>
          <w:rFonts w:eastAsia="Times New Roman"/>
          <w:color w:val="222222"/>
          <w:sz w:val="18"/>
          <w:szCs w:val="18"/>
          <w:lang w:val="en-US"/>
        </w:rPr>
      </w:pPr>
      <w:r>
        <w:rPr>
          <w:rFonts w:eastAsia="Times New Roman"/>
          <w:color w:val="222222"/>
          <w:sz w:val="18"/>
          <w:szCs w:val="18"/>
          <w:u w:val="single"/>
          <w:lang w:val="en-US"/>
        </w:rPr>
        <w:t xml:space="preserve">a: </w:t>
      </w:r>
      <w:r>
        <w:rPr>
          <w:rFonts w:eastAsia="Times New Roman"/>
          <w:color w:val="222222"/>
          <w:sz w:val="18"/>
          <w:szCs w:val="18"/>
          <w:lang w:val="en-US"/>
        </w:rPr>
        <w:t>yields were determined by NMR using 1,3-benzodioxole as internal standard.</w:t>
      </w:r>
    </w:p>
    <w:p w14:paraId="76359425" w14:textId="78F3A00D" w:rsidR="00F81B8A" w:rsidRPr="00F81B8A" w:rsidRDefault="00673DB9" w:rsidP="00F81B8A">
      <w:pPr>
        <w:spacing w:line="360" w:lineRule="auto"/>
        <w:ind w:firstLine="708"/>
        <w:jc w:val="center"/>
        <w:rPr>
          <w:lang w:val="en-US"/>
        </w:rPr>
      </w:pPr>
      <w:r w:rsidRPr="00673DB9">
        <w:rPr>
          <w:noProof/>
          <w14:ligatures w14:val="standardContextual"/>
        </w:rPr>
        <w:object w:dxaOrig="9535" w:dyaOrig="3415" w14:anchorId="7B9E3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5pt;height:102.75pt;mso-width-percent:0;mso-height-percent:0;mso-width-percent:0;mso-height-percent:0" o:ole="">
            <v:imagedata r:id="rId18" o:title=""/>
          </v:shape>
          <o:OLEObject Type="Embed" ProgID="ACD.ChemSketchCDX" ShapeID="_x0000_i1025" DrawAspect="Content" ObjectID="_1829374200" r:id="rId19"/>
        </w:object>
      </w:r>
    </w:p>
    <w:p w14:paraId="1E506D89" w14:textId="77777777" w:rsidR="003C73A9" w:rsidRDefault="003C73A9" w:rsidP="006B06E7">
      <w:pPr>
        <w:spacing w:line="360" w:lineRule="auto"/>
        <w:ind w:firstLine="708"/>
        <w:jc w:val="both"/>
        <w:rPr>
          <w:i/>
          <w:iCs/>
          <w:lang w:val="en-US"/>
        </w:rPr>
      </w:pPr>
    </w:p>
    <w:p w14:paraId="1C77DBA7" w14:textId="77777777" w:rsidR="00976DB5" w:rsidRPr="006B06E7" w:rsidRDefault="00976DB5" w:rsidP="006B06E7">
      <w:pPr>
        <w:spacing w:line="360" w:lineRule="auto"/>
        <w:ind w:firstLine="708"/>
        <w:jc w:val="both"/>
        <w:rPr>
          <w:lang w:val="en-US"/>
        </w:rPr>
      </w:pPr>
    </w:p>
    <w:p w14:paraId="2642C17F" w14:textId="41AF8C54" w:rsidR="00527C60" w:rsidRPr="00976DB5" w:rsidRDefault="006A40B4" w:rsidP="00976DB5">
      <w:pPr>
        <w:pStyle w:val="berschrift2"/>
        <w:spacing w:line="360" w:lineRule="auto"/>
        <w:jc w:val="both"/>
        <w:rPr>
          <w:rFonts w:ascii="Arial" w:hAnsi="Arial" w:cs="Arial"/>
          <w:color w:val="auto"/>
          <w:sz w:val="22"/>
          <w:szCs w:val="22"/>
          <w:lang w:val="en-US"/>
        </w:rPr>
      </w:pPr>
      <w:bookmarkStart w:id="19" w:name="_Hlk216950976"/>
      <w:bookmarkStart w:id="20" w:name="_Toc216797625"/>
      <w:r>
        <w:rPr>
          <w:rFonts w:ascii="Arial" w:hAnsi="Arial" w:cs="Arial"/>
          <w:color w:val="auto"/>
          <w:sz w:val="22"/>
          <w:szCs w:val="22"/>
          <w:lang w:val="en-US"/>
        </w:rPr>
        <w:t>S</w:t>
      </w:r>
      <w:r w:rsidR="00527C60" w:rsidRPr="00976DB5">
        <w:rPr>
          <w:rFonts w:ascii="Arial" w:hAnsi="Arial" w:cs="Arial"/>
          <w:color w:val="auto"/>
          <w:sz w:val="22"/>
          <w:szCs w:val="22"/>
          <w:lang w:val="en-US"/>
        </w:rPr>
        <w:t>5.</w:t>
      </w:r>
      <w:r w:rsidR="00976DB5" w:rsidRPr="00976DB5">
        <w:rPr>
          <w:rFonts w:ascii="Arial" w:hAnsi="Arial" w:cs="Arial"/>
          <w:color w:val="auto"/>
          <w:sz w:val="22"/>
          <w:szCs w:val="22"/>
          <w:lang w:val="en-US"/>
        </w:rPr>
        <w:t>3</w:t>
      </w:r>
      <w:bookmarkEnd w:id="19"/>
      <w:r w:rsidR="00527C60" w:rsidRPr="00976DB5">
        <w:rPr>
          <w:rFonts w:ascii="Arial" w:hAnsi="Arial" w:cs="Arial"/>
          <w:color w:val="auto"/>
          <w:sz w:val="22"/>
          <w:szCs w:val="22"/>
          <w:lang w:val="en-US"/>
        </w:rPr>
        <w:t>) Synthesis of CBN from Δ</w:t>
      </w:r>
      <w:r w:rsidR="00527C60" w:rsidRPr="00976DB5">
        <w:rPr>
          <w:rFonts w:ascii="Arial" w:hAnsi="Arial" w:cs="Arial"/>
          <w:color w:val="auto"/>
          <w:sz w:val="22"/>
          <w:szCs w:val="22"/>
          <w:vertAlign w:val="superscript"/>
          <w:lang w:val="en-US"/>
        </w:rPr>
        <w:t>9</w:t>
      </w:r>
      <w:r w:rsidR="00527C60" w:rsidRPr="00976DB5">
        <w:rPr>
          <w:rFonts w:ascii="Arial" w:hAnsi="Arial" w:cs="Arial"/>
          <w:color w:val="auto"/>
          <w:sz w:val="22"/>
          <w:szCs w:val="22"/>
          <w:lang w:val="en-US"/>
        </w:rPr>
        <w:t>-THC-rich extracts</w:t>
      </w:r>
      <w:bookmarkEnd w:id="20"/>
    </w:p>
    <w:p w14:paraId="7C732D8C" w14:textId="0923EFA2" w:rsidR="006B06E7" w:rsidRDefault="00CD1D1B" w:rsidP="006B06E7">
      <w:pPr>
        <w:spacing w:line="360" w:lineRule="auto"/>
        <w:ind w:firstLine="708"/>
        <w:jc w:val="both"/>
        <w:rPr>
          <w:lang w:val="en-US"/>
        </w:rPr>
      </w:pPr>
      <w:r w:rsidRPr="00CD1D1B">
        <w:rPr>
          <w:lang w:val="en-US"/>
        </w:rPr>
        <w:t xml:space="preserve">Aromatization reactions were performed </w:t>
      </w:r>
      <w:r w:rsidR="005B378D">
        <w:rPr>
          <w:lang w:val="en-US"/>
        </w:rPr>
        <w:t xml:space="preserve">following the optimized procedure, </w:t>
      </w:r>
      <w:r w:rsidRPr="00CD1D1B">
        <w:rPr>
          <w:lang w:val="en-US"/>
        </w:rPr>
        <w:t xml:space="preserve">on each extract using iodine (2.0 </w:t>
      </w:r>
      <w:proofErr w:type="spellStart"/>
      <w:r w:rsidRPr="00CD1D1B">
        <w:rPr>
          <w:lang w:val="en-US"/>
        </w:rPr>
        <w:t>equiv</w:t>
      </w:r>
      <w:proofErr w:type="spellEnd"/>
      <w:r w:rsidRPr="00CD1D1B">
        <w:rPr>
          <w:lang w:val="en-US"/>
        </w:rPr>
        <w:t xml:space="preserve">), calculated based on the </w:t>
      </w:r>
      <w:r w:rsidR="002A3F00">
        <w:rPr>
          <w:lang w:val="en-US"/>
        </w:rPr>
        <w:t>Δ</w:t>
      </w:r>
      <w:r w:rsidR="002A3F00" w:rsidRPr="002A3F00">
        <w:rPr>
          <w:vertAlign w:val="superscript"/>
          <w:lang w:val="en-US"/>
        </w:rPr>
        <w:t>9</w:t>
      </w:r>
      <w:r w:rsidR="002A3F00">
        <w:rPr>
          <w:lang w:val="en-US"/>
        </w:rPr>
        <w:t>-</w:t>
      </w:r>
      <w:r w:rsidRPr="00CD1D1B">
        <w:rPr>
          <w:lang w:val="en-US"/>
        </w:rPr>
        <w:t xml:space="preserve">THC mass fraction determined by </w:t>
      </w:r>
      <w:r w:rsidRPr="00CD1D1B">
        <w:rPr>
          <w:vertAlign w:val="superscript"/>
          <w:lang w:val="en-US"/>
        </w:rPr>
        <w:t>1</w:t>
      </w:r>
      <w:r w:rsidRPr="00CD1D1B">
        <w:rPr>
          <w:lang w:val="en-US"/>
        </w:rPr>
        <w:t xml:space="preserve">H </w:t>
      </w:r>
      <w:r>
        <w:rPr>
          <w:lang w:val="en-US"/>
        </w:rPr>
        <w:t>q</w:t>
      </w:r>
      <w:r w:rsidRPr="00CD1D1B">
        <w:rPr>
          <w:lang w:val="en-US"/>
        </w:rPr>
        <w:t xml:space="preserve">NMR (Table </w:t>
      </w:r>
      <w:r w:rsidR="00C045E3">
        <w:rPr>
          <w:lang w:val="en-US"/>
        </w:rPr>
        <w:t>S</w:t>
      </w:r>
      <w:r w:rsidRPr="00CD1D1B">
        <w:rPr>
          <w:lang w:val="en-US"/>
        </w:rPr>
        <w:t xml:space="preserve">2). To standardize the reaction conditions with respect to the amount of iodine employed, an additional set of reactions was carried out assuming the total mass of extract used (50 mg) as equivalent to pure </w:t>
      </w:r>
      <w:r w:rsidR="002A3F00">
        <w:rPr>
          <w:lang w:val="en-US"/>
        </w:rPr>
        <w:t>Δ</w:t>
      </w:r>
      <w:r w:rsidR="002A3F00" w:rsidRPr="002A3F00">
        <w:rPr>
          <w:vertAlign w:val="superscript"/>
          <w:lang w:val="en-US"/>
        </w:rPr>
        <w:t>9</w:t>
      </w:r>
      <w:r w:rsidR="002A3F00">
        <w:rPr>
          <w:lang w:val="en-US"/>
        </w:rPr>
        <w:t>-T</w:t>
      </w:r>
      <w:r w:rsidRPr="00CD1D1B">
        <w:rPr>
          <w:lang w:val="en-US"/>
        </w:rPr>
        <w:t xml:space="preserve">HC (50 mg, 0.159 mmol). This approach resulted in a significant effective excess of iodine relative to the actual </w:t>
      </w:r>
      <w:r w:rsidR="002A3F00">
        <w:rPr>
          <w:lang w:val="en-US"/>
        </w:rPr>
        <w:t>Δ</w:t>
      </w:r>
      <w:r w:rsidR="002A3F00" w:rsidRPr="002A3F00">
        <w:rPr>
          <w:vertAlign w:val="superscript"/>
          <w:lang w:val="en-US"/>
        </w:rPr>
        <w:t>9</w:t>
      </w:r>
      <w:r w:rsidR="002A3F00">
        <w:rPr>
          <w:lang w:val="en-US"/>
        </w:rPr>
        <w:t>-T</w:t>
      </w:r>
      <w:r w:rsidRPr="00CD1D1B">
        <w:rPr>
          <w:lang w:val="en-US"/>
        </w:rPr>
        <w:t>HC content.</w:t>
      </w:r>
      <w:r w:rsidR="002A3F00">
        <w:rPr>
          <w:lang w:val="en-US"/>
        </w:rPr>
        <w:t xml:space="preserve"> Results are shown in Table </w:t>
      </w:r>
      <w:r w:rsidR="00C045E3">
        <w:rPr>
          <w:lang w:val="en-US"/>
        </w:rPr>
        <w:t>S</w:t>
      </w:r>
      <w:r w:rsidR="002A3F00">
        <w:rPr>
          <w:lang w:val="en-US"/>
        </w:rPr>
        <w:t xml:space="preserve">4. </w:t>
      </w:r>
      <w:r w:rsidR="001213F3" w:rsidRPr="001213F3">
        <w:rPr>
          <w:lang w:val="en-US"/>
        </w:rPr>
        <w:t>The value of the combined relative uncertainty (</w:t>
      </w:r>
      <w:r w:rsidR="001213F3" w:rsidRPr="001213F3">
        <w:rPr>
          <w:rFonts w:eastAsia="Times New Roman"/>
          <w:i/>
          <w:iCs/>
          <w:lang w:val="en-US"/>
        </w:rPr>
        <w:t>u</w:t>
      </w:r>
      <w:r w:rsidR="001213F3" w:rsidRPr="001213F3">
        <w:rPr>
          <w:rFonts w:eastAsia="Times New Roman"/>
          <w:i/>
          <w:iCs/>
          <w:vertAlign w:val="subscript"/>
          <w:lang w:val="en-US"/>
        </w:rPr>
        <w:t>c</w:t>
      </w:r>
      <w:r w:rsidR="001213F3" w:rsidRPr="001213F3">
        <w:rPr>
          <w:rFonts w:eastAsia="Times New Roman"/>
          <w:i/>
          <w:iCs/>
          <w:lang w:val="en-US"/>
        </w:rPr>
        <w:t xml:space="preserve"> </w:t>
      </w:r>
      <w:proofErr w:type="spellStart"/>
      <w:r w:rsidR="001213F3" w:rsidRPr="001213F3">
        <w:rPr>
          <w:rFonts w:eastAsia="Times New Roman"/>
          <w:i/>
          <w:iCs/>
          <w:lang w:val="en-US"/>
        </w:rPr>
        <w:t>rel</w:t>
      </w:r>
      <w:proofErr w:type="spellEnd"/>
      <w:r w:rsidR="001213F3" w:rsidRPr="001213F3">
        <w:rPr>
          <w:rFonts w:eastAsia="Times New Roman"/>
          <w:lang w:val="en-US"/>
        </w:rPr>
        <w:t>%)</w:t>
      </w:r>
      <w:r w:rsidR="001213F3" w:rsidRPr="001213F3">
        <w:rPr>
          <w:lang w:val="en-US"/>
        </w:rPr>
        <w:t>, in the fifth column, indicates the dispersion of the measurement of the respective extracts, showing how large the error is in relation to the value being measured.</w:t>
      </w:r>
    </w:p>
    <w:p w14:paraId="49D9027E" w14:textId="4E4BCDF3" w:rsidR="002A3F00" w:rsidRPr="001E6539" w:rsidRDefault="002A3F00" w:rsidP="002A3F00">
      <w:pPr>
        <w:shd w:val="clear" w:color="auto" w:fill="FFFFFF"/>
        <w:spacing w:line="360" w:lineRule="auto"/>
        <w:jc w:val="center"/>
        <w:rPr>
          <w:rFonts w:eastAsia="Times New Roman"/>
          <w:color w:val="222222"/>
          <w:lang w:val="en-US"/>
        </w:rPr>
      </w:pPr>
    </w:p>
    <w:p w14:paraId="54C66670" w14:textId="19A9B4C0" w:rsidR="005B378D" w:rsidRPr="005B378D" w:rsidRDefault="005B378D" w:rsidP="005B378D">
      <w:pPr>
        <w:pStyle w:val="Beschriftung"/>
        <w:keepNext/>
        <w:jc w:val="center"/>
        <w:rPr>
          <w:rFonts w:ascii="Arial" w:hAnsi="Arial" w:cs="Arial"/>
          <w:i w:val="0"/>
          <w:iCs w:val="0"/>
          <w:color w:val="auto"/>
          <w:sz w:val="22"/>
          <w:szCs w:val="22"/>
          <w:lang w:val="en-US"/>
        </w:rPr>
      </w:pPr>
      <w:r w:rsidRPr="005B378D">
        <w:rPr>
          <w:rFonts w:ascii="Arial" w:hAnsi="Arial" w:cs="Arial"/>
          <w:i w:val="0"/>
          <w:iCs w:val="0"/>
          <w:color w:val="auto"/>
          <w:sz w:val="22"/>
          <w:szCs w:val="22"/>
          <w:lang w:val="en-US"/>
        </w:rPr>
        <w:lastRenderedPageBreak/>
        <w:t xml:space="preserve">Table </w:t>
      </w:r>
      <w:r w:rsidR="00C045E3">
        <w:rPr>
          <w:rFonts w:ascii="Arial" w:hAnsi="Arial" w:cs="Arial"/>
          <w:i w:val="0"/>
          <w:iCs w:val="0"/>
          <w:color w:val="auto"/>
          <w:sz w:val="22"/>
          <w:szCs w:val="22"/>
          <w:lang w:val="en-US"/>
        </w:rPr>
        <w:t>S</w:t>
      </w:r>
      <w:r w:rsidRPr="005B378D">
        <w:rPr>
          <w:rFonts w:ascii="Arial" w:hAnsi="Arial" w:cs="Arial"/>
          <w:i w:val="0"/>
          <w:iCs w:val="0"/>
          <w:color w:val="auto"/>
          <w:sz w:val="22"/>
          <w:szCs w:val="22"/>
        </w:rPr>
        <w:fldChar w:fldCharType="begin"/>
      </w:r>
      <w:r w:rsidRPr="005B378D">
        <w:rPr>
          <w:rFonts w:ascii="Arial" w:hAnsi="Arial" w:cs="Arial"/>
          <w:i w:val="0"/>
          <w:iCs w:val="0"/>
          <w:color w:val="auto"/>
          <w:sz w:val="22"/>
          <w:szCs w:val="22"/>
          <w:lang w:val="en-US"/>
        </w:rPr>
        <w:instrText xml:space="preserve"> SEQ Table \* ARABIC </w:instrText>
      </w:r>
      <w:r w:rsidRPr="005B378D">
        <w:rPr>
          <w:rFonts w:ascii="Arial" w:hAnsi="Arial" w:cs="Arial"/>
          <w:i w:val="0"/>
          <w:iCs w:val="0"/>
          <w:color w:val="auto"/>
          <w:sz w:val="22"/>
          <w:szCs w:val="22"/>
        </w:rPr>
        <w:fldChar w:fldCharType="separate"/>
      </w:r>
      <w:r w:rsidR="00130A17">
        <w:rPr>
          <w:rFonts w:ascii="Arial" w:hAnsi="Arial" w:cs="Arial"/>
          <w:i w:val="0"/>
          <w:iCs w:val="0"/>
          <w:noProof/>
          <w:color w:val="auto"/>
          <w:sz w:val="22"/>
          <w:szCs w:val="22"/>
          <w:lang w:val="en-US"/>
        </w:rPr>
        <w:t>4</w:t>
      </w:r>
      <w:r w:rsidRPr="005B378D">
        <w:rPr>
          <w:rFonts w:ascii="Arial" w:hAnsi="Arial" w:cs="Arial"/>
          <w:i w:val="0"/>
          <w:iCs w:val="0"/>
          <w:color w:val="auto"/>
          <w:sz w:val="22"/>
          <w:szCs w:val="22"/>
        </w:rPr>
        <w:fldChar w:fldCharType="end"/>
      </w:r>
      <w:r w:rsidRPr="005B378D">
        <w:rPr>
          <w:rFonts w:ascii="Arial" w:hAnsi="Arial" w:cs="Arial"/>
          <w:i w:val="0"/>
          <w:iCs w:val="0"/>
          <w:color w:val="auto"/>
          <w:sz w:val="22"/>
          <w:szCs w:val="22"/>
          <w:lang w:val="en-US"/>
        </w:rPr>
        <w:t xml:space="preserve">: Quantification of reactions with cannabis extracts by </w:t>
      </w:r>
      <w:r w:rsidRPr="005B378D">
        <w:rPr>
          <w:rFonts w:ascii="Arial" w:hAnsi="Arial" w:cs="Arial"/>
          <w:i w:val="0"/>
          <w:iCs w:val="0"/>
          <w:color w:val="auto"/>
          <w:sz w:val="22"/>
          <w:szCs w:val="22"/>
          <w:vertAlign w:val="superscript"/>
          <w:lang w:val="en-US"/>
        </w:rPr>
        <w:t>1</w:t>
      </w:r>
      <w:r w:rsidRPr="005B378D">
        <w:rPr>
          <w:rFonts w:ascii="Arial" w:hAnsi="Arial" w:cs="Arial"/>
          <w:i w:val="0"/>
          <w:iCs w:val="0"/>
          <w:color w:val="auto"/>
          <w:sz w:val="22"/>
          <w:szCs w:val="22"/>
          <w:lang w:val="en-US"/>
        </w:rPr>
        <w:t>H-qNMR.</w:t>
      </w:r>
    </w:p>
    <w:tbl>
      <w:tblPr>
        <w:tblStyle w:val="Tabellenraster"/>
        <w:tblW w:w="8240" w:type="dxa"/>
        <w:jc w:val="center"/>
        <w:tblLook w:val="04A0" w:firstRow="1" w:lastRow="0" w:firstColumn="1" w:lastColumn="0" w:noHBand="0" w:noVBand="1"/>
      </w:tblPr>
      <w:tblGrid>
        <w:gridCol w:w="1555"/>
        <w:gridCol w:w="1838"/>
        <w:gridCol w:w="1280"/>
        <w:gridCol w:w="1861"/>
        <w:gridCol w:w="1706"/>
      </w:tblGrid>
      <w:tr w:rsidR="002A3F00" w:rsidRPr="002A18A2" w14:paraId="17054EE7" w14:textId="77777777" w:rsidTr="00CF01F6">
        <w:trPr>
          <w:trHeight w:val="756"/>
          <w:jc w:val="center"/>
        </w:trPr>
        <w:tc>
          <w:tcPr>
            <w:tcW w:w="1555" w:type="dxa"/>
            <w:noWrap/>
            <w:vAlign w:val="center"/>
            <w:hideMark/>
          </w:tcPr>
          <w:p w14:paraId="25417311" w14:textId="77777777" w:rsidR="002A3F00" w:rsidRPr="002A18A2" w:rsidRDefault="002A3F00" w:rsidP="00CF01F6">
            <w:pPr>
              <w:jc w:val="center"/>
              <w:rPr>
                <w:rFonts w:eastAsia="Times New Roman"/>
                <w:b/>
                <w:bCs/>
              </w:rPr>
            </w:pPr>
            <w:r w:rsidRPr="002A18A2">
              <w:rPr>
                <w:rFonts w:eastAsia="Times New Roman"/>
                <w:b/>
                <w:bCs/>
              </w:rPr>
              <w:t>Extract</w:t>
            </w:r>
          </w:p>
        </w:tc>
        <w:tc>
          <w:tcPr>
            <w:tcW w:w="1838" w:type="dxa"/>
          </w:tcPr>
          <w:p w14:paraId="5AE81E1A" w14:textId="77777777" w:rsidR="002A3F00" w:rsidRPr="002A18A2" w:rsidRDefault="002A3F00" w:rsidP="00CF01F6">
            <w:pPr>
              <w:jc w:val="center"/>
              <w:rPr>
                <w:rFonts w:eastAsia="Times New Roman"/>
                <w:b/>
                <w:bCs/>
              </w:rPr>
            </w:pPr>
            <w:r w:rsidRPr="002A18A2">
              <w:rPr>
                <w:rFonts w:eastAsia="Times New Roman"/>
                <w:b/>
                <w:bCs/>
              </w:rPr>
              <w:t xml:space="preserve">Mass fraction of </w:t>
            </w:r>
            <w:r w:rsidRPr="002A18A2">
              <w:rPr>
                <w:b/>
                <w:bCs/>
              </w:rPr>
              <w:t>Δ</w:t>
            </w:r>
            <w:r w:rsidRPr="002A18A2">
              <w:rPr>
                <w:b/>
                <w:bCs/>
                <w:vertAlign w:val="superscript"/>
              </w:rPr>
              <w:t>9</w:t>
            </w:r>
            <w:r w:rsidRPr="002A18A2">
              <w:rPr>
                <w:b/>
                <w:bCs/>
              </w:rPr>
              <w:t>–</w:t>
            </w:r>
            <w:r w:rsidRPr="002A18A2">
              <w:rPr>
                <w:rFonts w:eastAsia="Times New Roman"/>
                <w:b/>
                <w:bCs/>
              </w:rPr>
              <w:t>THC in the extract</w:t>
            </w:r>
          </w:p>
          <w:p w14:paraId="15D7BDDD" w14:textId="77777777" w:rsidR="002A3F00" w:rsidRPr="002A18A2" w:rsidRDefault="002A3F00" w:rsidP="00CF01F6">
            <w:pPr>
              <w:jc w:val="center"/>
              <w:rPr>
                <w:rFonts w:eastAsia="Times New Roman"/>
                <w:b/>
                <w:bCs/>
              </w:rPr>
            </w:pPr>
            <w:r w:rsidRPr="002A18A2">
              <w:rPr>
                <w:rFonts w:eastAsia="Times New Roman"/>
                <w:b/>
                <w:bCs/>
              </w:rPr>
              <w:t>(g/100 g)</w:t>
            </w:r>
          </w:p>
        </w:tc>
        <w:tc>
          <w:tcPr>
            <w:tcW w:w="1280" w:type="dxa"/>
            <w:vAlign w:val="center"/>
            <w:hideMark/>
          </w:tcPr>
          <w:p w14:paraId="109B88C7" w14:textId="77777777" w:rsidR="002A3F00" w:rsidRPr="002A18A2" w:rsidRDefault="002A3F00" w:rsidP="00CF01F6">
            <w:pPr>
              <w:jc w:val="center"/>
              <w:rPr>
                <w:rFonts w:eastAsia="Times New Roman"/>
                <w:b/>
                <w:bCs/>
                <w:lang w:val="pt-BR"/>
              </w:rPr>
            </w:pPr>
            <w:r w:rsidRPr="002A18A2">
              <w:rPr>
                <w:rFonts w:eastAsia="Times New Roman"/>
                <w:b/>
                <w:bCs/>
                <w:lang w:val="pt-BR"/>
              </w:rPr>
              <w:t>I</w:t>
            </w:r>
            <w:r w:rsidRPr="002A18A2">
              <w:rPr>
                <w:rFonts w:eastAsia="Times New Roman"/>
                <w:b/>
                <w:bCs/>
                <w:vertAlign w:val="subscript"/>
                <w:lang w:val="pt-BR"/>
              </w:rPr>
              <w:t>2</w:t>
            </w:r>
            <w:r w:rsidRPr="002A18A2">
              <w:rPr>
                <w:rFonts w:eastAsia="Times New Roman"/>
                <w:b/>
                <w:bCs/>
                <w:lang w:val="pt-BR"/>
              </w:rPr>
              <w:t xml:space="preserve"> (mg)</w:t>
            </w:r>
          </w:p>
        </w:tc>
        <w:tc>
          <w:tcPr>
            <w:tcW w:w="1861" w:type="dxa"/>
            <w:vAlign w:val="center"/>
            <w:hideMark/>
          </w:tcPr>
          <w:p w14:paraId="39DAE454" w14:textId="77777777" w:rsidR="002A3F00" w:rsidRPr="002A18A2" w:rsidRDefault="002A3F00" w:rsidP="00CF01F6">
            <w:pPr>
              <w:jc w:val="center"/>
              <w:rPr>
                <w:rFonts w:eastAsia="Times New Roman"/>
                <w:b/>
                <w:bCs/>
              </w:rPr>
            </w:pPr>
            <w:r w:rsidRPr="002A18A2">
              <w:rPr>
                <w:rFonts w:eastAsia="Times New Roman"/>
                <w:b/>
                <w:bCs/>
              </w:rPr>
              <w:t>Mass fraction of CBN after reaction</w:t>
            </w:r>
          </w:p>
          <w:p w14:paraId="1D764089" w14:textId="77777777" w:rsidR="002A3F00" w:rsidRPr="002A18A2" w:rsidRDefault="002A3F00" w:rsidP="00CF01F6">
            <w:pPr>
              <w:jc w:val="center"/>
              <w:rPr>
                <w:rFonts w:eastAsia="Times New Roman"/>
                <w:b/>
                <w:bCs/>
              </w:rPr>
            </w:pPr>
            <w:r w:rsidRPr="002A18A2">
              <w:rPr>
                <w:rFonts w:eastAsia="Times New Roman"/>
                <w:b/>
                <w:bCs/>
              </w:rPr>
              <w:t>(g/100 g)</w:t>
            </w:r>
          </w:p>
        </w:tc>
        <w:tc>
          <w:tcPr>
            <w:tcW w:w="1706" w:type="dxa"/>
            <w:vAlign w:val="center"/>
            <w:hideMark/>
          </w:tcPr>
          <w:p w14:paraId="5C968F53" w14:textId="77777777" w:rsidR="002A3F00" w:rsidRPr="002A18A2" w:rsidRDefault="002A3F00" w:rsidP="00CF01F6">
            <w:pPr>
              <w:jc w:val="center"/>
              <w:rPr>
                <w:rFonts w:eastAsia="Times New Roman"/>
                <w:b/>
                <w:bCs/>
                <w:lang w:val="pt-BR"/>
              </w:rPr>
            </w:pPr>
            <w:r w:rsidRPr="002A18A2">
              <w:rPr>
                <w:rFonts w:eastAsia="Times New Roman"/>
                <w:b/>
                <w:bCs/>
                <w:i/>
                <w:iCs/>
                <w:lang w:val="pt-BR"/>
              </w:rPr>
              <w:t>u</w:t>
            </w:r>
            <w:r w:rsidRPr="002A18A2">
              <w:rPr>
                <w:rFonts w:eastAsia="Times New Roman"/>
                <w:b/>
                <w:bCs/>
                <w:i/>
                <w:iCs/>
                <w:vertAlign w:val="subscript"/>
                <w:lang w:val="pt-BR"/>
              </w:rPr>
              <w:t>c</w:t>
            </w:r>
            <w:r w:rsidRPr="002A18A2">
              <w:rPr>
                <w:rFonts w:eastAsia="Times New Roman"/>
                <w:b/>
                <w:bCs/>
                <w:i/>
                <w:iCs/>
                <w:lang w:val="pt-BR"/>
              </w:rPr>
              <w:t xml:space="preserve"> rel</w:t>
            </w:r>
            <w:r w:rsidRPr="002A18A2">
              <w:rPr>
                <w:rFonts w:eastAsia="Times New Roman"/>
                <w:b/>
                <w:bCs/>
                <w:lang w:val="pt-BR"/>
              </w:rPr>
              <w:t>%</w:t>
            </w:r>
          </w:p>
        </w:tc>
      </w:tr>
      <w:tr w:rsidR="002A3F00" w:rsidRPr="002A18A2" w14:paraId="2D39C1F8" w14:textId="77777777" w:rsidTr="00CF01F6">
        <w:trPr>
          <w:trHeight w:val="300"/>
          <w:jc w:val="center"/>
        </w:trPr>
        <w:tc>
          <w:tcPr>
            <w:tcW w:w="1555" w:type="dxa"/>
            <w:vMerge w:val="restart"/>
            <w:noWrap/>
            <w:vAlign w:val="center"/>
            <w:hideMark/>
          </w:tcPr>
          <w:p w14:paraId="41B0AF09" w14:textId="77777777" w:rsidR="002A3F00" w:rsidRPr="002A18A2" w:rsidRDefault="002A3F00" w:rsidP="00CF01F6">
            <w:pPr>
              <w:jc w:val="center"/>
              <w:rPr>
                <w:rFonts w:eastAsia="Times New Roman"/>
                <w:color w:val="000000"/>
              </w:rPr>
            </w:pPr>
            <w:proofErr w:type="spellStart"/>
            <w:r w:rsidRPr="002A18A2">
              <w:rPr>
                <w:rFonts w:eastAsia="Times New Roman"/>
                <w:color w:val="000000"/>
              </w:rPr>
              <w:t>Ia</w:t>
            </w:r>
            <w:proofErr w:type="spellEnd"/>
            <w:r w:rsidRPr="002A18A2">
              <w:rPr>
                <w:rFonts w:eastAsia="Times New Roman"/>
                <w:color w:val="000000"/>
              </w:rPr>
              <w:t xml:space="preserve"> (207)</w:t>
            </w:r>
          </w:p>
        </w:tc>
        <w:tc>
          <w:tcPr>
            <w:tcW w:w="1838" w:type="dxa"/>
            <w:vMerge w:val="restart"/>
            <w:vAlign w:val="center"/>
          </w:tcPr>
          <w:p w14:paraId="3237D22C" w14:textId="77777777" w:rsidR="002A3F00" w:rsidRPr="002A18A2" w:rsidRDefault="002A3F00" w:rsidP="00CF01F6">
            <w:pPr>
              <w:jc w:val="center"/>
              <w:rPr>
                <w:rFonts w:eastAsia="Times New Roman"/>
              </w:rPr>
            </w:pPr>
            <w:r w:rsidRPr="002A18A2">
              <w:rPr>
                <w:rFonts w:eastAsia="Times New Roman"/>
              </w:rPr>
              <w:t>19.4</w:t>
            </w:r>
          </w:p>
        </w:tc>
        <w:tc>
          <w:tcPr>
            <w:tcW w:w="1280" w:type="dxa"/>
            <w:noWrap/>
            <w:vAlign w:val="center"/>
            <w:hideMark/>
          </w:tcPr>
          <w:p w14:paraId="2286BD06" w14:textId="77777777" w:rsidR="002A3F00" w:rsidRPr="002A18A2" w:rsidRDefault="002A3F00" w:rsidP="00CF01F6">
            <w:pPr>
              <w:jc w:val="center"/>
              <w:rPr>
                <w:rFonts w:eastAsia="Times New Roman"/>
                <w:vertAlign w:val="superscript"/>
              </w:rPr>
            </w:pPr>
            <w:r w:rsidRPr="002A18A2">
              <w:rPr>
                <w:rFonts w:eastAsia="Times New Roman"/>
              </w:rPr>
              <w:t>15.23</w:t>
            </w:r>
            <w:r w:rsidRPr="002A18A2">
              <w:rPr>
                <w:rFonts w:eastAsia="Times New Roman"/>
                <w:vertAlign w:val="superscript"/>
              </w:rPr>
              <w:t>a</w:t>
            </w:r>
          </w:p>
        </w:tc>
        <w:tc>
          <w:tcPr>
            <w:tcW w:w="1861" w:type="dxa"/>
            <w:noWrap/>
            <w:vAlign w:val="center"/>
            <w:hideMark/>
          </w:tcPr>
          <w:p w14:paraId="260E5D42" w14:textId="77777777" w:rsidR="002A3F00" w:rsidRPr="002A18A2" w:rsidRDefault="002A3F00" w:rsidP="00CF01F6">
            <w:pPr>
              <w:jc w:val="center"/>
              <w:rPr>
                <w:rFonts w:eastAsia="Times New Roman"/>
              </w:rPr>
            </w:pPr>
            <w:r w:rsidRPr="002A18A2">
              <w:rPr>
                <w:rFonts w:eastAsia="Times New Roman"/>
              </w:rPr>
              <w:t>21.83</w:t>
            </w:r>
          </w:p>
        </w:tc>
        <w:tc>
          <w:tcPr>
            <w:tcW w:w="1706" w:type="dxa"/>
            <w:noWrap/>
            <w:vAlign w:val="center"/>
            <w:hideMark/>
          </w:tcPr>
          <w:p w14:paraId="101C6ACC" w14:textId="77777777" w:rsidR="002A3F00" w:rsidRPr="002A18A2" w:rsidRDefault="002A3F00" w:rsidP="00CF01F6">
            <w:pPr>
              <w:jc w:val="center"/>
              <w:rPr>
                <w:rFonts w:eastAsia="Times New Roman"/>
              </w:rPr>
            </w:pPr>
            <w:r w:rsidRPr="002A18A2">
              <w:rPr>
                <w:rFonts w:eastAsia="Times New Roman"/>
              </w:rPr>
              <w:t>1.08</w:t>
            </w:r>
          </w:p>
        </w:tc>
      </w:tr>
      <w:tr w:rsidR="002A3F00" w:rsidRPr="002A18A2" w14:paraId="327B1A50" w14:textId="77777777" w:rsidTr="00CF01F6">
        <w:trPr>
          <w:trHeight w:val="300"/>
          <w:jc w:val="center"/>
        </w:trPr>
        <w:tc>
          <w:tcPr>
            <w:tcW w:w="1555" w:type="dxa"/>
            <w:vMerge/>
            <w:noWrap/>
            <w:vAlign w:val="center"/>
          </w:tcPr>
          <w:p w14:paraId="1BD300DE" w14:textId="77777777" w:rsidR="002A3F00" w:rsidRPr="002A18A2" w:rsidRDefault="002A3F00" w:rsidP="00CF01F6">
            <w:pPr>
              <w:jc w:val="center"/>
              <w:rPr>
                <w:rFonts w:eastAsia="Times New Roman"/>
                <w:color w:val="000000"/>
              </w:rPr>
            </w:pPr>
          </w:p>
        </w:tc>
        <w:tc>
          <w:tcPr>
            <w:tcW w:w="1838" w:type="dxa"/>
            <w:vMerge/>
            <w:vAlign w:val="center"/>
          </w:tcPr>
          <w:p w14:paraId="08D4F9DA" w14:textId="77777777" w:rsidR="002A3F00" w:rsidRPr="002A18A2" w:rsidRDefault="002A3F00" w:rsidP="00CF01F6">
            <w:pPr>
              <w:jc w:val="center"/>
              <w:rPr>
                <w:rFonts w:eastAsia="Times New Roman"/>
              </w:rPr>
            </w:pPr>
          </w:p>
        </w:tc>
        <w:tc>
          <w:tcPr>
            <w:tcW w:w="1280" w:type="dxa"/>
            <w:noWrap/>
            <w:vAlign w:val="center"/>
          </w:tcPr>
          <w:p w14:paraId="6D81D252" w14:textId="77777777" w:rsidR="002A3F00" w:rsidRPr="002A18A2" w:rsidRDefault="002A3F00" w:rsidP="00CF01F6">
            <w:pPr>
              <w:jc w:val="center"/>
              <w:rPr>
                <w:rFonts w:eastAsia="Times New Roman"/>
                <w:vertAlign w:val="superscript"/>
              </w:rPr>
            </w:pPr>
            <w:r w:rsidRPr="002A18A2">
              <w:rPr>
                <w:rFonts w:eastAsia="Times New Roman"/>
              </w:rPr>
              <w:t>39.95</w:t>
            </w:r>
            <w:r w:rsidRPr="002A18A2">
              <w:rPr>
                <w:rFonts w:eastAsia="Times New Roman"/>
                <w:vertAlign w:val="superscript"/>
              </w:rPr>
              <w:t>b</w:t>
            </w:r>
          </w:p>
        </w:tc>
        <w:tc>
          <w:tcPr>
            <w:tcW w:w="1861" w:type="dxa"/>
            <w:noWrap/>
            <w:vAlign w:val="center"/>
          </w:tcPr>
          <w:p w14:paraId="286E817C" w14:textId="77777777" w:rsidR="002A3F00" w:rsidRPr="002A18A2" w:rsidRDefault="002A3F00" w:rsidP="00CF01F6">
            <w:pPr>
              <w:jc w:val="center"/>
              <w:rPr>
                <w:rFonts w:eastAsia="Times New Roman"/>
              </w:rPr>
            </w:pPr>
            <w:r w:rsidRPr="002A18A2">
              <w:rPr>
                <w:rFonts w:eastAsia="Times New Roman"/>
              </w:rPr>
              <w:t>22.45</w:t>
            </w:r>
          </w:p>
        </w:tc>
        <w:tc>
          <w:tcPr>
            <w:tcW w:w="1706" w:type="dxa"/>
            <w:noWrap/>
            <w:vAlign w:val="center"/>
          </w:tcPr>
          <w:p w14:paraId="326A48E4" w14:textId="77777777" w:rsidR="002A3F00" w:rsidRPr="002A18A2" w:rsidRDefault="002A3F00" w:rsidP="00CF01F6">
            <w:pPr>
              <w:jc w:val="center"/>
              <w:rPr>
                <w:rFonts w:eastAsia="Times New Roman"/>
              </w:rPr>
            </w:pPr>
            <w:r w:rsidRPr="002A18A2">
              <w:rPr>
                <w:rFonts w:eastAsia="Times New Roman"/>
              </w:rPr>
              <w:t>1.16</w:t>
            </w:r>
          </w:p>
        </w:tc>
      </w:tr>
      <w:tr w:rsidR="002A3F00" w:rsidRPr="002A18A2" w14:paraId="5C206F1A" w14:textId="77777777" w:rsidTr="00CF01F6">
        <w:trPr>
          <w:trHeight w:val="300"/>
          <w:jc w:val="center"/>
        </w:trPr>
        <w:tc>
          <w:tcPr>
            <w:tcW w:w="1555" w:type="dxa"/>
            <w:vMerge w:val="restart"/>
            <w:noWrap/>
            <w:vAlign w:val="center"/>
            <w:hideMark/>
          </w:tcPr>
          <w:p w14:paraId="37AD2D7B" w14:textId="77777777" w:rsidR="002A3F00" w:rsidRPr="002A18A2" w:rsidRDefault="002A3F00" w:rsidP="00CF01F6">
            <w:pPr>
              <w:jc w:val="center"/>
              <w:rPr>
                <w:rFonts w:eastAsia="Times New Roman"/>
                <w:color w:val="000000"/>
              </w:rPr>
            </w:pPr>
            <w:proofErr w:type="spellStart"/>
            <w:r w:rsidRPr="002A18A2">
              <w:rPr>
                <w:rFonts w:eastAsia="Times New Roman"/>
                <w:color w:val="000000"/>
              </w:rPr>
              <w:t>IIa</w:t>
            </w:r>
            <w:proofErr w:type="spellEnd"/>
            <w:r w:rsidRPr="002A18A2">
              <w:rPr>
                <w:rFonts w:eastAsia="Times New Roman"/>
                <w:color w:val="000000"/>
              </w:rPr>
              <w:t xml:space="preserve"> (208)</w:t>
            </w:r>
          </w:p>
        </w:tc>
        <w:tc>
          <w:tcPr>
            <w:tcW w:w="1838" w:type="dxa"/>
            <w:vMerge w:val="restart"/>
            <w:vAlign w:val="center"/>
          </w:tcPr>
          <w:p w14:paraId="09B686ED" w14:textId="77777777" w:rsidR="002A3F00" w:rsidRPr="002A18A2" w:rsidRDefault="002A3F00" w:rsidP="00CF01F6">
            <w:pPr>
              <w:jc w:val="center"/>
              <w:rPr>
                <w:rFonts w:eastAsia="Times New Roman"/>
              </w:rPr>
            </w:pPr>
            <w:r w:rsidRPr="002A18A2">
              <w:rPr>
                <w:rFonts w:eastAsia="Times New Roman"/>
              </w:rPr>
              <w:t>14.5</w:t>
            </w:r>
          </w:p>
        </w:tc>
        <w:tc>
          <w:tcPr>
            <w:tcW w:w="1280" w:type="dxa"/>
            <w:noWrap/>
            <w:vAlign w:val="center"/>
            <w:hideMark/>
          </w:tcPr>
          <w:p w14:paraId="3A62F143" w14:textId="77777777" w:rsidR="002A3F00" w:rsidRPr="002A18A2" w:rsidRDefault="002A3F00" w:rsidP="00CF01F6">
            <w:pPr>
              <w:jc w:val="center"/>
              <w:rPr>
                <w:rFonts w:eastAsia="Times New Roman"/>
                <w:vertAlign w:val="superscript"/>
              </w:rPr>
            </w:pPr>
            <w:r w:rsidRPr="002A18A2">
              <w:rPr>
                <w:rFonts w:eastAsia="Times New Roman"/>
              </w:rPr>
              <w:t>11.67</w:t>
            </w:r>
            <w:r w:rsidRPr="002A18A2">
              <w:rPr>
                <w:rFonts w:eastAsia="Times New Roman"/>
                <w:vertAlign w:val="superscript"/>
              </w:rPr>
              <w:t>a</w:t>
            </w:r>
          </w:p>
        </w:tc>
        <w:tc>
          <w:tcPr>
            <w:tcW w:w="1861" w:type="dxa"/>
            <w:noWrap/>
            <w:vAlign w:val="center"/>
            <w:hideMark/>
          </w:tcPr>
          <w:p w14:paraId="00CE75E7" w14:textId="77777777" w:rsidR="002A3F00" w:rsidRPr="002A18A2" w:rsidRDefault="002A3F00" w:rsidP="00CF01F6">
            <w:pPr>
              <w:jc w:val="center"/>
              <w:rPr>
                <w:rFonts w:eastAsia="Times New Roman"/>
              </w:rPr>
            </w:pPr>
            <w:r w:rsidRPr="002A18A2">
              <w:rPr>
                <w:rFonts w:eastAsia="Times New Roman"/>
              </w:rPr>
              <w:t>19.79</w:t>
            </w:r>
          </w:p>
        </w:tc>
        <w:tc>
          <w:tcPr>
            <w:tcW w:w="1706" w:type="dxa"/>
            <w:noWrap/>
            <w:vAlign w:val="center"/>
          </w:tcPr>
          <w:p w14:paraId="0B8DDB3D" w14:textId="77777777" w:rsidR="002A3F00" w:rsidRPr="002A18A2" w:rsidRDefault="002A3F00" w:rsidP="00CF01F6">
            <w:pPr>
              <w:jc w:val="center"/>
              <w:rPr>
                <w:rFonts w:eastAsia="Times New Roman"/>
              </w:rPr>
            </w:pPr>
            <w:r w:rsidRPr="002A18A2">
              <w:rPr>
                <w:rFonts w:eastAsia="Times New Roman"/>
              </w:rPr>
              <w:t>1.35</w:t>
            </w:r>
          </w:p>
        </w:tc>
      </w:tr>
      <w:tr w:rsidR="002A3F00" w:rsidRPr="002A18A2" w14:paraId="75DAD970" w14:textId="77777777" w:rsidTr="00CF01F6">
        <w:trPr>
          <w:trHeight w:val="300"/>
          <w:jc w:val="center"/>
        </w:trPr>
        <w:tc>
          <w:tcPr>
            <w:tcW w:w="1555" w:type="dxa"/>
            <w:vMerge/>
            <w:noWrap/>
            <w:vAlign w:val="center"/>
          </w:tcPr>
          <w:p w14:paraId="635329C6" w14:textId="77777777" w:rsidR="002A3F00" w:rsidRPr="002A18A2" w:rsidRDefault="002A3F00" w:rsidP="00CF01F6">
            <w:pPr>
              <w:jc w:val="center"/>
              <w:rPr>
                <w:rFonts w:eastAsia="Times New Roman"/>
                <w:color w:val="000000"/>
              </w:rPr>
            </w:pPr>
          </w:p>
        </w:tc>
        <w:tc>
          <w:tcPr>
            <w:tcW w:w="1838" w:type="dxa"/>
            <w:vMerge/>
            <w:vAlign w:val="center"/>
          </w:tcPr>
          <w:p w14:paraId="087673B0" w14:textId="77777777" w:rsidR="002A3F00" w:rsidRPr="002A18A2" w:rsidRDefault="002A3F00" w:rsidP="00CF01F6">
            <w:pPr>
              <w:jc w:val="center"/>
              <w:rPr>
                <w:rFonts w:eastAsia="Times New Roman"/>
              </w:rPr>
            </w:pPr>
          </w:p>
        </w:tc>
        <w:tc>
          <w:tcPr>
            <w:tcW w:w="1280" w:type="dxa"/>
            <w:noWrap/>
            <w:vAlign w:val="center"/>
          </w:tcPr>
          <w:p w14:paraId="4340E9D9" w14:textId="77777777" w:rsidR="002A3F00" w:rsidRPr="002A18A2" w:rsidRDefault="002A3F00" w:rsidP="00CF01F6">
            <w:pPr>
              <w:jc w:val="center"/>
              <w:rPr>
                <w:rFonts w:eastAsia="Times New Roman"/>
                <w:vertAlign w:val="superscript"/>
              </w:rPr>
            </w:pPr>
            <w:r w:rsidRPr="002A18A2">
              <w:rPr>
                <w:rFonts w:eastAsia="Times New Roman"/>
              </w:rPr>
              <w:t>39.95</w:t>
            </w:r>
            <w:r w:rsidRPr="002A18A2">
              <w:rPr>
                <w:rFonts w:eastAsia="Times New Roman"/>
                <w:vertAlign w:val="superscript"/>
              </w:rPr>
              <w:t>b</w:t>
            </w:r>
          </w:p>
        </w:tc>
        <w:tc>
          <w:tcPr>
            <w:tcW w:w="1861" w:type="dxa"/>
            <w:noWrap/>
            <w:vAlign w:val="center"/>
          </w:tcPr>
          <w:p w14:paraId="2C580B8A" w14:textId="77777777" w:rsidR="002A3F00" w:rsidRPr="002A18A2" w:rsidRDefault="002A3F00" w:rsidP="00CF01F6">
            <w:pPr>
              <w:jc w:val="center"/>
              <w:rPr>
                <w:rFonts w:eastAsia="Times New Roman"/>
              </w:rPr>
            </w:pPr>
            <w:r w:rsidRPr="002A18A2">
              <w:rPr>
                <w:rFonts w:eastAsia="Times New Roman"/>
              </w:rPr>
              <w:t>22.49</w:t>
            </w:r>
          </w:p>
        </w:tc>
        <w:tc>
          <w:tcPr>
            <w:tcW w:w="1706" w:type="dxa"/>
            <w:noWrap/>
            <w:vAlign w:val="center"/>
          </w:tcPr>
          <w:p w14:paraId="48BF8194" w14:textId="77777777" w:rsidR="002A3F00" w:rsidRPr="002A18A2" w:rsidRDefault="002A3F00" w:rsidP="00CF01F6">
            <w:pPr>
              <w:jc w:val="center"/>
              <w:rPr>
                <w:rFonts w:eastAsia="Times New Roman"/>
              </w:rPr>
            </w:pPr>
            <w:r w:rsidRPr="002A18A2">
              <w:rPr>
                <w:rFonts w:eastAsia="Times New Roman"/>
              </w:rPr>
              <w:t>1.09</w:t>
            </w:r>
          </w:p>
        </w:tc>
      </w:tr>
      <w:tr w:rsidR="002A3F00" w:rsidRPr="002A18A2" w14:paraId="34054BBD" w14:textId="77777777" w:rsidTr="00CF01F6">
        <w:trPr>
          <w:trHeight w:val="300"/>
          <w:jc w:val="center"/>
        </w:trPr>
        <w:tc>
          <w:tcPr>
            <w:tcW w:w="1555" w:type="dxa"/>
            <w:vMerge w:val="restart"/>
            <w:noWrap/>
            <w:vAlign w:val="center"/>
            <w:hideMark/>
          </w:tcPr>
          <w:p w14:paraId="67D4933F" w14:textId="77777777" w:rsidR="002A3F00" w:rsidRPr="002A18A2" w:rsidRDefault="002A3F00" w:rsidP="00CF01F6">
            <w:pPr>
              <w:jc w:val="center"/>
              <w:rPr>
                <w:rFonts w:eastAsia="Times New Roman"/>
                <w:color w:val="000000"/>
              </w:rPr>
            </w:pPr>
            <w:r w:rsidRPr="002A18A2">
              <w:rPr>
                <w:rFonts w:eastAsia="Times New Roman"/>
                <w:color w:val="000000"/>
              </w:rPr>
              <w:t>IIIa (209)</w:t>
            </w:r>
          </w:p>
        </w:tc>
        <w:tc>
          <w:tcPr>
            <w:tcW w:w="1838" w:type="dxa"/>
            <w:vMerge w:val="restart"/>
            <w:vAlign w:val="center"/>
          </w:tcPr>
          <w:p w14:paraId="6121D7F0" w14:textId="77777777" w:rsidR="002A3F00" w:rsidRPr="002A18A2" w:rsidRDefault="002A3F00" w:rsidP="00CF01F6">
            <w:pPr>
              <w:jc w:val="center"/>
              <w:rPr>
                <w:rFonts w:eastAsia="Times New Roman"/>
              </w:rPr>
            </w:pPr>
            <w:r w:rsidRPr="002A18A2">
              <w:rPr>
                <w:rFonts w:eastAsia="Times New Roman"/>
              </w:rPr>
              <w:t>10.8</w:t>
            </w:r>
          </w:p>
        </w:tc>
        <w:tc>
          <w:tcPr>
            <w:tcW w:w="1280" w:type="dxa"/>
            <w:noWrap/>
            <w:vAlign w:val="center"/>
            <w:hideMark/>
          </w:tcPr>
          <w:p w14:paraId="6A65FC49" w14:textId="77777777" w:rsidR="002A3F00" w:rsidRPr="002A18A2" w:rsidRDefault="002A3F00" w:rsidP="00CF01F6">
            <w:pPr>
              <w:jc w:val="center"/>
              <w:rPr>
                <w:rFonts w:eastAsia="Times New Roman"/>
                <w:vertAlign w:val="superscript"/>
              </w:rPr>
            </w:pPr>
            <w:r w:rsidRPr="002A18A2">
              <w:rPr>
                <w:rFonts w:eastAsia="Times New Roman"/>
              </w:rPr>
              <w:t>8.62</w:t>
            </w:r>
            <w:r w:rsidRPr="002A18A2">
              <w:rPr>
                <w:rFonts w:eastAsia="Times New Roman"/>
                <w:vertAlign w:val="superscript"/>
              </w:rPr>
              <w:t>a</w:t>
            </w:r>
          </w:p>
        </w:tc>
        <w:tc>
          <w:tcPr>
            <w:tcW w:w="1861" w:type="dxa"/>
            <w:noWrap/>
            <w:vAlign w:val="center"/>
            <w:hideMark/>
          </w:tcPr>
          <w:p w14:paraId="658C5E26" w14:textId="77777777" w:rsidR="002A3F00" w:rsidRPr="002A18A2" w:rsidRDefault="002A3F00" w:rsidP="00CF01F6">
            <w:pPr>
              <w:jc w:val="center"/>
              <w:rPr>
                <w:rFonts w:eastAsia="Times New Roman"/>
              </w:rPr>
            </w:pPr>
            <w:r w:rsidRPr="002A18A2">
              <w:rPr>
                <w:rFonts w:eastAsia="Times New Roman"/>
              </w:rPr>
              <w:t>13.82</w:t>
            </w:r>
          </w:p>
        </w:tc>
        <w:tc>
          <w:tcPr>
            <w:tcW w:w="1706" w:type="dxa"/>
            <w:noWrap/>
            <w:vAlign w:val="center"/>
          </w:tcPr>
          <w:p w14:paraId="5504CBA5" w14:textId="77777777" w:rsidR="002A3F00" w:rsidRPr="002A18A2" w:rsidRDefault="002A3F00" w:rsidP="00CF01F6">
            <w:pPr>
              <w:jc w:val="center"/>
              <w:rPr>
                <w:rFonts w:eastAsia="Times New Roman"/>
              </w:rPr>
            </w:pPr>
            <w:r w:rsidRPr="002A18A2">
              <w:rPr>
                <w:rFonts w:eastAsia="Times New Roman"/>
              </w:rPr>
              <w:t>1.07</w:t>
            </w:r>
          </w:p>
        </w:tc>
      </w:tr>
      <w:tr w:rsidR="002A3F00" w:rsidRPr="002A18A2" w14:paraId="43E40F42" w14:textId="77777777" w:rsidTr="00CF01F6">
        <w:trPr>
          <w:trHeight w:val="300"/>
          <w:jc w:val="center"/>
        </w:trPr>
        <w:tc>
          <w:tcPr>
            <w:tcW w:w="1555" w:type="dxa"/>
            <w:vMerge/>
            <w:noWrap/>
            <w:vAlign w:val="center"/>
          </w:tcPr>
          <w:p w14:paraId="4A37607C" w14:textId="77777777" w:rsidR="002A3F00" w:rsidRPr="002A18A2" w:rsidRDefault="002A3F00" w:rsidP="00CF01F6">
            <w:pPr>
              <w:jc w:val="center"/>
              <w:rPr>
                <w:rFonts w:eastAsia="Times New Roman"/>
                <w:color w:val="000000"/>
              </w:rPr>
            </w:pPr>
          </w:p>
        </w:tc>
        <w:tc>
          <w:tcPr>
            <w:tcW w:w="1838" w:type="dxa"/>
            <w:vMerge/>
            <w:vAlign w:val="center"/>
          </w:tcPr>
          <w:p w14:paraId="497D522F" w14:textId="77777777" w:rsidR="002A3F00" w:rsidRPr="002A18A2" w:rsidRDefault="002A3F00" w:rsidP="00CF01F6">
            <w:pPr>
              <w:jc w:val="center"/>
              <w:rPr>
                <w:rFonts w:eastAsia="Times New Roman"/>
              </w:rPr>
            </w:pPr>
          </w:p>
        </w:tc>
        <w:tc>
          <w:tcPr>
            <w:tcW w:w="1280" w:type="dxa"/>
            <w:noWrap/>
            <w:vAlign w:val="center"/>
          </w:tcPr>
          <w:p w14:paraId="67C6A672" w14:textId="77777777" w:rsidR="002A3F00" w:rsidRPr="002A18A2" w:rsidRDefault="002A3F00" w:rsidP="00CF01F6">
            <w:pPr>
              <w:jc w:val="center"/>
              <w:rPr>
                <w:rFonts w:eastAsia="Times New Roman"/>
                <w:vertAlign w:val="superscript"/>
              </w:rPr>
            </w:pPr>
            <w:r w:rsidRPr="002A18A2">
              <w:rPr>
                <w:rFonts w:eastAsia="Times New Roman"/>
              </w:rPr>
              <w:t>39.95</w:t>
            </w:r>
            <w:r w:rsidRPr="002A18A2">
              <w:rPr>
                <w:rFonts w:eastAsia="Times New Roman"/>
                <w:vertAlign w:val="superscript"/>
              </w:rPr>
              <w:t>b</w:t>
            </w:r>
          </w:p>
        </w:tc>
        <w:tc>
          <w:tcPr>
            <w:tcW w:w="1861" w:type="dxa"/>
            <w:noWrap/>
            <w:vAlign w:val="center"/>
          </w:tcPr>
          <w:p w14:paraId="4AEC474B" w14:textId="77777777" w:rsidR="002A3F00" w:rsidRPr="002A18A2" w:rsidRDefault="002A3F00" w:rsidP="00CF01F6">
            <w:pPr>
              <w:jc w:val="center"/>
              <w:rPr>
                <w:rFonts w:eastAsia="Times New Roman"/>
              </w:rPr>
            </w:pPr>
            <w:r w:rsidRPr="002A18A2">
              <w:rPr>
                <w:rFonts w:eastAsia="Times New Roman"/>
              </w:rPr>
              <w:t>12.61</w:t>
            </w:r>
          </w:p>
        </w:tc>
        <w:tc>
          <w:tcPr>
            <w:tcW w:w="1706" w:type="dxa"/>
            <w:noWrap/>
            <w:vAlign w:val="center"/>
          </w:tcPr>
          <w:p w14:paraId="6577E6F4" w14:textId="77777777" w:rsidR="002A3F00" w:rsidRPr="002A18A2" w:rsidRDefault="002A3F00" w:rsidP="00CF01F6">
            <w:pPr>
              <w:jc w:val="center"/>
              <w:rPr>
                <w:rFonts w:eastAsia="Times New Roman"/>
              </w:rPr>
            </w:pPr>
            <w:r w:rsidRPr="002A18A2">
              <w:rPr>
                <w:rFonts w:eastAsia="Times New Roman"/>
              </w:rPr>
              <w:t>1.05</w:t>
            </w:r>
          </w:p>
        </w:tc>
      </w:tr>
      <w:tr w:rsidR="002A3F00" w:rsidRPr="002A18A2" w14:paraId="4B856B5D" w14:textId="77777777" w:rsidTr="00CF01F6">
        <w:trPr>
          <w:trHeight w:val="300"/>
          <w:jc w:val="center"/>
        </w:trPr>
        <w:tc>
          <w:tcPr>
            <w:tcW w:w="1555" w:type="dxa"/>
            <w:vMerge w:val="restart"/>
            <w:noWrap/>
            <w:vAlign w:val="center"/>
            <w:hideMark/>
          </w:tcPr>
          <w:p w14:paraId="1F2A310B" w14:textId="77777777" w:rsidR="002A3F00" w:rsidRPr="002A18A2" w:rsidRDefault="002A3F00" w:rsidP="00CF01F6">
            <w:pPr>
              <w:jc w:val="center"/>
              <w:rPr>
                <w:rFonts w:eastAsia="Times New Roman"/>
                <w:color w:val="000000"/>
              </w:rPr>
            </w:pPr>
            <w:r w:rsidRPr="002A18A2">
              <w:rPr>
                <w:rFonts w:eastAsia="Times New Roman"/>
                <w:color w:val="000000"/>
              </w:rPr>
              <w:t>Aa (210)</w:t>
            </w:r>
          </w:p>
        </w:tc>
        <w:tc>
          <w:tcPr>
            <w:tcW w:w="1838" w:type="dxa"/>
            <w:vMerge w:val="restart"/>
            <w:vAlign w:val="center"/>
          </w:tcPr>
          <w:p w14:paraId="30A83336" w14:textId="77777777" w:rsidR="002A3F00" w:rsidRPr="002A18A2" w:rsidRDefault="002A3F00" w:rsidP="00CF01F6">
            <w:pPr>
              <w:jc w:val="center"/>
              <w:rPr>
                <w:rFonts w:eastAsia="Times New Roman"/>
              </w:rPr>
            </w:pPr>
            <w:r w:rsidRPr="002A18A2">
              <w:rPr>
                <w:rFonts w:eastAsia="Times New Roman"/>
              </w:rPr>
              <w:t>16.9</w:t>
            </w:r>
          </w:p>
        </w:tc>
        <w:tc>
          <w:tcPr>
            <w:tcW w:w="1280" w:type="dxa"/>
            <w:noWrap/>
            <w:vAlign w:val="center"/>
            <w:hideMark/>
          </w:tcPr>
          <w:p w14:paraId="3FC16BA5" w14:textId="77777777" w:rsidR="002A3F00" w:rsidRPr="002A18A2" w:rsidRDefault="002A3F00" w:rsidP="00CF01F6">
            <w:pPr>
              <w:jc w:val="center"/>
              <w:rPr>
                <w:rFonts w:eastAsia="Times New Roman"/>
                <w:vertAlign w:val="superscript"/>
              </w:rPr>
            </w:pPr>
            <w:r w:rsidRPr="002A18A2">
              <w:rPr>
                <w:rFonts w:eastAsia="Times New Roman"/>
              </w:rPr>
              <w:t>13.70</w:t>
            </w:r>
            <w:r w:rsidRPr="002A18A2">
              <w:rPr>
                <w:rFonts w:eastAsia="Times New Roman"/>
                <w:vertAlign w:val="superscript"/>
              </w:rPr>
              <w:t>a</w:t>
            </w:r>
          </w:p>
        </w:tc>
        <w:tc>
          <w:tcPr>
            <w:tcW w:w="1861" w:type="dxa"/>
            <w:noWrap/>
            <w:vAlign w:val="center"/>
            <w:hideMark/>
          </w:tcPr>
          <w:p w14:paraId="7A4B684A" w14:textId="77777777" w:rsidR="002A3F00" w:rsidRPr="002A18A2" w:rsidRDefault="002A3F00" w:rsidP="00CF01F6">
            <w:pPr>
              <w:jc w:val="center"/>
              <w:rPr>
                <w:rFonts w:eastAsia="Times New Roman"/>
              </w:rPr>
            </w:pPr>
            <w:r w:rsidRPr="002A18A2">
              <w:rPr>
                <w:rFonts w:eastAsia="Times New Roman"/>
              </w:rPr>
              <w:t>14.49</w:t>
            </w:r>
          </w:p>
        </w:tc>
        <w:tc>
          <w:tcPr>
            <w:tcW w:w="1706" w:type="dxa"/>
            <w:noWrap/>
            <w:vAlign w:val="center"/>
          </w:tcPr>
          <w:p w14:paraId="39ECC66F" w14:textId="77777777" w:rsidR="002A3F00" w:rsidRPr="002A18A2" w:rsidRDefault="002A3F00" w:rsidP="00CF01F6">
            <w:pPr>
              <w:jc w:val="center"/>
              <w:rPr>
                <w:rFonts w:eastAsia="Times New Roman"/>
              </w:rPr>
            </w:pPr>
            <w:r w:rsidRPr="002A18A2">
              <w:rPr>
                <w:rFonts w:eastAsia="Times New Roman"/>
              </w:rPr>
              <w:t>1.05</w:t>
            </w:r>
          </w:p>
        </w:tc>
      </w:tr>
      <w:tr w:rsidR="002A3F00" w:rsidRPr="002A18A2" w14:paraId="433A88D2" w14:textId="77777777" w:rsidTr="00CF01F6">
        <w:trPr>
          <w:trHeight w:val="300"/>
          <w:jc w:val="center"/>
        </w:trPr>
        <w:tc>
          <w:tcPr>
            <w:tcW w:w="1555" w:type="dxa"/>
            <w:vMerge/>
            <w:noWrap/>
            <w:vAlign w:val="center"/>
          </w:tcPr>
          <w:p w14:paraId="58749CDC" w14:textId="77777777" w:rsidR="002A3F00" w:rsidRPr="002A18A2" w:rsidRDefault="002A3F00" w:rsidP="00CF01F6">
            <w:pPr>
              <w:jc w:val="center"/>
              <w:rPr>
                <w:rFonts w:eastAsia="Times New Roman"/>
                <w:color w:val="000000"/>
              </w:rPr>
            </w:pPr>
          </w:p>
        </w:tc>
        <w:tc>
          <w:tcPr>
            <w:tcW w:w="1838" w:type="dxa"/>
            <w:vMerge/>
            <w:vAlign w:val="center"/>
          </w:tcPr>
          <w:p w14:paraId="0CB2881B" w14:textId="77777777" w:rsidR="002A3F00" w:rsidRPr="002A18A2" w:rsidRDefault="002A3F00" w:rsidP="00CF01F6">
            <w:pPr>
              <w:jc w:val="center"/>
              <w:rPr>
                <w:rFonts w:eastAsia="Times New Roman"/>
              </w:rPr>
            </w:pPr>
          </w:p>
        </w:tc>
        <w:tc>
          <w:tcPr>
            <w:tcW w:w="1280" w:type="dxa"/>
            <w:noWrap/>
            <w:vAlign w:val="center"/>
          </w:tcPr>
          <w:p w14:paraId="381C21AA" w14:textId="77777777" w:rsidR="002A3F00" w:rsidRPr="002A18A2" w:rsidRDefault="002A3F00" w:rsidP="00CF01F6">
            <w:pPr>
              <w:jc w:val="center"/>
              <w:rPr>
                <w:rFonts w:eastAsia="Times New Roman"/>
                <w:vertAlign w:val="superscript"/>
              </w:rPr>
            </w:pPr>
            <w:r w:rsidRPr="002A18A2">
              <w:rPr>
                <w:rFonts w:eastAsia="Times New Roman"/>
              </w:rPr>
              <w:t>39.95</w:t>
            </w:r>
            <w:r w:rsidRPr="002A18A2">
              <w:rPr>
                <w:rFonts w:eastAsia="Times New Roman"/>
                <w:vertAlign w:val="superscript"/>
              </w:rPr>
              <w:t>b</w:t>
            </w:r>
          </w:p>
        </w:tc>
        <w:tc>
          <w:tcPr>
            <w:tcW w:w="1861" w:type="dxa"/>
            <w:noWrap/>
            <w:vAlign w:val="center"/>
          </w:tcPr>
          <w:p w14:paraId="2A4456E4" w14:textId="77777777" w:rsidR="002A3F00" w:rsidRPr="002A18A2" w:rsidRDefault="002A3F00" w:rsidP="00CF01F6">
            <w:pPr>
              <w:jc w:val="center"/>
              <w:rPr>
                <w:rFonts w:eastAsia="Times New Roman"/>
              </w:rPr>
            </w:pPr>
            <w:r w:rsidRPr="002A18A2">
              <w:rPr>
                <w:rFonts w:eastAsia="Times New Roman"/>
              </w:rPr>
              <w:t>26.95</w:t>
            </w:r>
          </w:p>
        </w:tc>
        <w:tc>
          <w:tcPr>
            <w:tcW w:w="1706" w:type="dxa"/>
            <w:noWrap/>
            <w:vAlign w:val="center"/>
          </w:tcPr>
          <w:p w14:paraId="1AC64465" w14:textId="77777777" w:rsidR="002A3F00" w:rsidRPr="002A18A2" w:rsidRDefault="002A3F00" w:rsidP="00CF01F6">
            <w:pPr>
              <w:jc w:val="center"/>
              <w:rPr>
                <w:rFonts w:eastAsia="Times New Roman"/>
              </w:rPr>
            </w:pPr>
            <w:r w:rsidRPr="002A18A2">
              <w:rPr>
                <w:rFonts w:eastAsia="Times New Roman"/>
              </w:rPr>
              <w:t>1.06</w:t>
            </w:r>
          </w:p>
        </w:tc>
      </w:tr>
      <w:tr w:rsidR="002A3F00" w:rsidRPr="002A18A2" w14:paraId="35211007" w14:textId="77777777" w:rsidTr="00CF01F6">
        <w:trPr>
          <w:trHeight w:val="300"/>
          <w:jc w:val="center"/>
        </w:trPr>
        <w:tc>
          <w:tcPr>
            <w:tcW w:w="1555" w:type="dxa"/>
            <w:vMerge w:val="restart"/>
            <w:noWrap/>
            <w:vAlign w:val="center"/>
            <w:hideMark/>
          </w:tcPr>
          <w:p w14:paraId="379FA79F" w14:textId="77777777" w:rsidR="002A3F00" w:rsidRPr="002A18A2" w:rsidRDefault="002A3F00" w:rsidP="00CF01F6">
            <w:pPr>
              <w:jc w:val="center"/>
              <w:rPr>
                <w:rFonts w:eastAsia="Times New Roman"/>
                <w:color w:val="000000"/>
              </w:rPr>
            </w:pPr>
            <w:r w:rsidRPr="002A18A2">
              <w:rPr>
                <w:rFonts w:eastAsia="Times New Roman"/>
                <w:color w:val="000000"/>
              </w:rPr>
              <w:t>Ba (211)</w:t>
            </w:r>
          </w:p>
        </w:tc>
        <w:tc>
          <w:tcPr>
            <w:tcW w:w="1838" w:type="dxa"/>
            <w:vMerge w:val="restart"/>
            <w:vAlign w:val="center"/>
          </w:tcPr>
          <w:p w14:paraId="02EE559C" w14:textId="77777777" w:rsidR="002A3F00" w:rsidRPr="002A18A2" w:rsidRDefault="002A3F00" w:rsidP="00CF01F6">
            <w:pPr>
              <w:jc w:val="center"/>
              <w:rPr>
                <w:rFonts w:eastAsia="Times New Roman"/>
              </w:rPr>
            </w:pPr>
            <w:r w:rsidRPr="002A18A2">
              <w:rPr>
                <w:rFonts w:eastAsia="Times New Roman"/>
              </w:rPr>
              <w:t>26.6</w:t>
            </w:r>
          </w:p>
        </w:tc>
        <w:tc>
          <w:tcPr>
            <w:tcW w:w="1280" w:type="dxa"/>
            <w:noWrap/>
            <w:vAlign w:val="center"/>
            <w:hideMark/>
          </w:tcPr>
          <w:p w14:paraId="0C56E2CB" w14:textId="77777777" w:rsidR="002A3F00" w:rsidRPr="002A18A2" w:rsidRDefault="002A3F00" w:rsidP="00CF01F6">
            <w:pPr>
              <w:jc w:val="center"/>
              <w:rPr>
                <w:rFonts w:eastAsia="Times New Roman"/>
                <w:vertAlign w:val="superscript"/>
              </w:rPr>
            </w:pPr>
            <w:r w:rsidRPr="002A18A2">
              <w:rPr>
                <w:rFonts w:eastAsia="Times New Roman"/>
              </w:rPr>
              <w:t>21.82</w:t>
            </w:r>
            <w:r w:rsidRPr="002A18A2">
              <w:rPr>
                <w:rFonts w:eastAsia="Times New Roman"/>
                <w:vertAlign w:val="superscript"/>
              </w:rPr>
              <w:t>a</w:t>
            </w:r>
          </w:p>
        </w:tc>
        <w:tc>
          <w:tcPr>
            <w:tcW w:w="1861" w:type="dxa"/>
            <w:noWrap/>
            <w:vAlign w:val="center"/>
            <w:hideMark/>
          </w:tcPr>
          <w:p w14:paraId="7C474429" w14:textId="77777777" w:rsidR="002A3F00" w:rsidRPr="002A18A2" w:rsidRDefault="002A3F00" w:rsidP="00CF01F6">
            <w:pPr>
              <w:jc w:val="center"/>
              <w:rPr>
                <w:rFonts w:eastAsia="Times New Roman"/>
              </w:rPr>
            </w:pPr>
            <w:r w:rsidRPr="002A18A2">
              <w:rPr>
                <w:rFonts w:eastAsia="Times New Roman"/>
              </w:rPr>
              <w:t>25.69</w:t>
            </w:r>
          </w:p>
        </w:tc>
        <w:tc>
          <w:tcPr>
            <w:tcW w:w="1706" w:type="dxa"/>
            <w:noWrap/>
            <w:vAlign w:val="center"/>
          </w:tcPr>
          <w:p w14:paraId="550ED57D" w14:textId="77777777" w:rsidR="002A3F00" w:rsidRPr="002A18A2" w:rsidRDefault="002A3F00" w:rsidP="00CF01F6">
            <w:pPr>
              <w:jc w:val="center"/>
              <w:rPr>
                <w:rFonts w:eastAsia="Times New Roman"/>
              </w:rPr>
            </w:pPr>
            <w:r w:rsidRPr="002A18A2">
              <w:rPr>
                <w:rFonts w:eastAsia="Times New Roman"/>
              </w:rPr>
              <w:t>1.05</w:t>
            </w:r>
          </w:p>
        </w:tc>
      </w:tr>
      <w:tr w:rsidR="002A3F00" w:rsidRPr="002A18A2" w14:paraId="774149A0" w14:textId="77777777" w:rsidTr="00CF01F6">
        <w:trPr>
          <w:trHeight w:val="300"/>
          <w:jc w:val="center"/>
        </w:trPr>
        <w:tc>
          <w:tcPr>
            <w:tcW w:w="1555" w:type="dxa"/>
            <w:vMerge/>
            <w:noWrap/>
            <w:vAlign w:val="center"/>
          </w:tcPr>
          <w:p w14:paraId="50709A6F" w14:textId="77777777" w:rsidR="002A3F00" w:rsidRPr="002A18A2" w:rsidRDefault="002A3F00" w:rsidP="00CF01F6">
            <w:pPr>
              <w:jc w:val="center"/>
              <w:rPr>
                <w:rFonts w:eastAsia="Times New Roman"/>
                <w:color w:val="000000"/>
              </w:rPr>
            </w:pPr>
          </w:p>
        </w:tc>
        <w:tc>
          <w:tcPr>
            <w:tcW w:w="1838" w:type="dxa"/>
            <w:vMerge/>
            <w:vAlign w:val="center"/>
          </w:tcPr>
          <w:p w14:paraId="0AE16F84" w14:textId="77777777" w:rsidR="002A3F00" w:rsidRPr="002A18A2" w:rsidRDefault="002A3F00" w:rsidP="00CF01F6">
            <w:pPr>
              <w:jc w:val="center"/>
              <w:rPr>
                <w:rFonts w:eastAsia="Times New Roman"/>
              </w:rPr>
            </w:pPr>
          </w:p>
        </w:tc>
        <w:tc>
          <w:tcPr>
            <w:tcW w:w="1280" w:type="dxa"/>
            <w:noWrap/>
            <w:vAlign w:val="center"/>
          </w:tcPr>
          <w:p w14:paraId="057FD09B" w14:textId="77777777" w:rsidR="002A3F00" w:rsidRPr="002A18A2" w:rsidRDefault="002A3F00" w:rsidP="00CF01F6">
            <w:pPr>
              <w:jc w:val="center"/>
              <w:rPr>
                <w:rFonts w:eastAsia="Times New Roman"/>
                <w:vertAlign w:val="superscript"/>
              </w:rPr>
            </w:pPr>
            <w:r w:rsidRPr="002A18A2">
              <w:rPr>
                <w:rFonts w:eastAsia="Times New Roman"/>
              </w:rPr>
              <w:t>39.95</w:t>
            </w:r>
            <w:r w:rsidRPr="002A18A2">
              <w:rPr>
                <w:rFonts w:eastAsia="Times New Roman"/>
                <w:vertAlign w:val="superscript"/>
              </w:rPr>
              <w:t>b</w:t>
            </w:r>
          </w:p>
        </w:tc>
        <w:tc>
          <w:tcPr>
            <w:tcW w:w="1861" w:type="dxa"/>
            <w:noWrap/>
            <w:vAlign w:val="center"/>
          </w:tcPr>
          <w:p w14:paraId="13727FE3" w14:textId="77777777" w:rsidR="002A3F00" w:rsidRPr="002A18A2" w:rsidRDefault="002A3F00" w:rsidP="00CF01F6">
            <w:pPr>
              <w:jc w:val="center"/>
              <w:rPr>
                <w:rFonts w:eastAsia="Times New Roman"/>
              </w:rPr>
            </w:pPr>
            <w:r w:rsidRPr="002A18A2">
              <w:rPr>
                <w:rFonts w:eastAsia="Times New Roman"/>
              </w:rPr>
              <w:t>33.65</w:t>
            </w:r>
          </w:p>
        </w:tc>
        <w:tc>
          <w:tcPr>
            <w:tcW w:w="1706" w:type="dxa"/>
            <w:noWrap/>
            <w:vAlign w:val="center"/>
          </w:tcPr>
          <w:p w14:paraId="2AA0D612" w14:textId="77777777" w:rsidR="002A3F00" w:rsidRPr="002A18A2" w:rsidRDefault="002A3F00" w:rsidP="00CF01F6">
            <w:pPr>
              <w:jc w:val="center"/>
              <w:rPr>
                <w:rFonts w:eastAsia="Times New Roman"/>
              </w:rPr>
            </w:pPr>
            <w:r w:rsidRPr="002A18A2">
              <w:rPr>
                <w:rFonts w:eastAsia="Times New Roman"/>
              </w:rPr>
              <w:t>1.08</w:t>
            </w:r>
          </w:p>
        </w:tc>
      </w:tr>
      <w:tr w:rsidR="002A3F00" w:rsidRPr="002A18A2" w14:paraId="7F379A2C" w14:textId="77777777" w:rsidTr="00CF01F6">
        <w:trPr>
          <w:trHeight w:val="300"/>
          <w:jc w:val="center"/>
        </w:trPr>
        <w:tc>
          <w:tcPr>
            <w:tcW w:w="1555" w:type="dxa"/>
            <w:vMerge w:val="restart"/>
            <w:noWrap/>
            <w:vAlign w:val="center"/>
            <w:hideMark/>
          </w:tcPr>
          <w:p w14:paraId="1EB27E35" w14:textId="77777777" w:rsidR="002A3F00" w:rsidRPr="002A18A2" w:rsidRDefault="002A3F00" w:rsidP="00CF01F6">
            <w:pPr>
              <w:jc w:val="center"/>
              <w:rPr>
                <w:rFonts w:eastAsia="Times New Roman"/>
                <w:color w:val="000000"/>
              </w:rPr>
            </w:pPr>
            <w:r w:rsidRPr="002A18A2">
              <w:rPr>
                <w:rFonts w:eastAsia="Times New Roman"/>
                <w:color w:val="000000"/>
              </w:rPr>
              <w:t>Ca (212)</w:t>
            </w:r>
          </w:p>
        </w:tc>
        <w:tc>
          <w:tcPr>
            <w:tcW w:w="1838" w:type="dxa"/>
            <w:vMerge w:val="restart"/>
            <w:vAlign w:val="center"/>
          </w:tcPr>
          <w:p w14:paraId="40A06D21" w14:textId="77777777" w:rsidR="002A3F00" w:rsidRPr="002A18A2" w:rsidRDefault="002A3F00" w:rsidP="00CF01F6">
            <w:pPr>
              <w:jc w:val="center"/>
              <w:rPr>
                <w:rFonts w:eastAsia="Times New Roman"/>
              </w:rPr>
            </w:pPr>
            <w:r w:rsidRPr="002A18A2">
              <w:rPr>
                <w:rFonts w:eastAsia="Times New Roman"/>
              </w:rPr>
              <w:t>24.3</w:t>
            </w:r>
          </w:p>
        </w:tc>
        <w:tc>
          <w:tcPr>
            <w:tcW w:w="1280" w:type="dxa"/>
            <w:noWrap/>
            <w:vAlign w:val="center"/>
            <w:hideMark/>
          </w:tcPr>
          <w:p w14:paraId="65875577" w14:textId="77777777" w:rsidR="002A3F00" w:rsidRPr="002A18A2" w:rsidRDefault="002A3F00" w:rsidP="00CF01F6">
            <w:pPr>
              <w:jc w:val="center"/>
              <w:rPr>
                <w:rFonts w:eastAsia="Times New Roman"/>
                <w:vertAlign w:val="superscript"/>
              </w:rPr>
            </w:pPr>
            <w:r w:rsidRPr="002A18A2">
              <w:rPr>
                <w:rFonts w:eastAsia="Times New Roman"/>
              </w:rPr>
              <w:t>19.80</w:t>
            </w:r>
            <w:r w:rsidRPr="002A18A2">
              <w:rPr>
                <w:rFonts w:eastAsia="Times New Roman"/>
                <w:vertAlign w:val="superscript"/>
              </w:rPr>
              <w:t>a</w:t>
            </w:r>
          </w:p>
        </w:tc>
        <w:tc>
          <w:tcPr>
            <w:tcW w:w="1861" w:type="dxa"/>
            <w:noWrap/>
            <w:vAlign w:val="center"/>
            <w:hideMark/>
          </w:tcPr>
          <w:p w14:paraId="13E6A534" w14:textId="77777777" w:rsidR="002A3F00" w:rsidRPr="002A18A2" w:rsidRDefault="002A3F00" w:rsidP="00CF01F6">
            <w:pPr>
              <w:jc w:val="center"/>
              <w:rPr>
                <w:rFonts w:eastAsia="Times New Roman"/>
              </w:rPr>
            </w:pPr>
            <w:r w:rsidRPr="002A18A2">
              <w:rPr>
                <w:rFonts w:eastAsia="Times New Roman"/>
              </w:rPr>
              <w:t>25.02</w:t>
            </w:r>
          </w:p>
        </w:tc>
        <w:tc>
          <w:tcPr>
            <w:tcW w:w="1706" w:type="dxa"/>
            <w:noWrap/>
            <w:vAlign w:val="center"/>
          </w:tcPr>
          <w:p w14:paraId="125C6FBE" w14:textId="77777777" w:rsidR="002A3F00" w:rsidRPr="002A18A2" w:rsidRDefault="002A3F00" w:rsidP="00CF01F6">
            <w:pPr>
              <w:jc w:val="center"/>
              <w:rPr>
                <w:rFonts w:eastAsia="Times New Roman"/>
              </w:rPr>
            </w:pPr>
            <w:r w:rsidRPr="002A18A2">
              <w:rPr>
                <w:rFonts w:eastAsia="Times New Roman"/>
              </w:rPr>
              <w:t>1.28</w:t>
            </w:r>
          </w:p>
        </w:tc>
      </w:tr>
      <w:tr w:rsidR="002A3F00" w:rsidRPr="002A18A2" w14:paraId="23736179" w14:textId="77777777" w:rsidTr="00CF01F6">
        <w:trPr>
          <w:trHeight w:val="300"/>
          <w:jc w:val="center"/>
        </w:trPr>
        <w:tc>
          <w:tcPr>
            <w:tcW w:w="1555" w:type="dxa"/>
            <w:vMerge/>
            <w:noWrap/>
            <w:vAlign w:val="center"/>
          </w:tcPr>
          <w:p w14:paraId="13227523" w14:textId="77777777" w:rsidR="002A3F00" w:rsidRPr="002A18A2" w:rsidRDefault="002A3F00" w:rsidP="00CF01F6">
            <w:pPr>
              <w:jc w:val="center"/>
              <w:rPr>
                <w:rFonts w:eastAsia="Times New Roman"/>
                <w:color w:val="000000"/>
              </w:rPr>
            </w:pPr>
          </w:p>
        </w:tc>
        <w:tc>
          <w:tcPr>
            <w:tcW w:w="1838" w:type="dxa"/>
            <w:vMerge/>
            <w:vAlign w:val="center"/>
          </w:tcPr>
          <w:p w14:paraId="2BF4699A" w14:textId="77777777" w:rsidR="002A3F00" w:rsidRPr="002A18A2" w:rsidRDefault="002A3F00" w:rsidP="00CF01F6">
            <w:pPr>
              <w:jc w:val="center"/>
              <w:rPr>
                <w:rFonts w:eastAsia="Times New Roman"/>
              </w:rPr>
            </w:pPr>
          </w:p>
        </w:tc>
        <w:tc>
          <w:tcPr>
            <w:tcW w:w="1280" w:type="dxa"/>
            <w:noWrap/>
            <w:vAlign w:val="center"/>
          </w:tcPr>
          <w:p w14:paraId="5A840106" w14:textId="77777777" w:rsidR="002A3F00" w:rsidRPr="002A18A2" w:rsidRDefault="002A3F00" w:rsidP="00CF01F6">
            <w:pPr>
              <w:jc w:val="center"/>
              <w:rPr>
                <w:rFonts w:eastAsia="Times New Roman"/>
                <w:vertAlign w:val="superscript"/>
              </w:rPr>
            </w:pPr>
            <w:r w:rsidRPr="002A18A2">
              <w:rPr>
                <w:rFonts w:eastAsia="Times New Roman"/>
              </w:rPr>
              <w:t>39.95</w:t>
            </w:r>
            <w:r w:rsidRPr="002A18A2">
              <w:rPr>
                <w:rFonts w:eastAsia="Times New Roman"/>
                <w:vertAlign w:val="superscript"/>
              </w:rPr>
              <w:t>b</w:t>
            </w:r>
          </w:p>
        </w:tc>
        <w:tc>
          <w:tcPr>
            <w:tcW w:w="1861" w:type="dxa"/>
            <w:noWrap/>
            <w:vAlign w:val="center"/>
          </w:tcPr>
          <w:p w14:paraId="15283958" w14:textId="77777777" w:rsidR="002A3F00" w:rsidRPr="002A18A2" w:rsidRDefault="002A3F00" w:rsidP="00CF01F6">
            <w:pPr>
              <w:jc w:val="center"/>
              <w:rPr>
                <w:rFonts w:eastAsia="Times New Roman"/>
              </w:rPr>
            </w:pPr>
            <w:r w:rsidRPr="002A18A2">
              <w:rPr>
                <w:rFonts w:eastAsia="Times New Roman"/>
              </w:rPr>
              <w:t>28.12</w:t>
            </w:r>
          </w:p>
        </w:tc>
        <w:tc>
          <w:tcPr>
            <w:tcW w:w="1706" w:type="dxa"/>
            <w:noWrap/>
            <w:vAlign w:val="center"/>
          </w:tcPr>
          <w:p w14:paraId="432CA99A" w14:textId="77777777" w:rsidR="002A3F00" w:rsidRPr="002A18A2" w:rsidRDefault="002A3F00" w:rsidP="00CF01F6">
            <w:pPr>
              <w:jc w:val="center"/>
              <w:rPr>
                <w:rFonts w:eastAsia="Times New Roman"/>
              </w:rPr>
            </w:pPr>
            <w:r w:rsidRPr="002A18A2">
              <w:rPr>
                <w:rFonts w:eastAsia="Times New Roman"/>
              </w:rPr>
              <w:t>1.27</w:t>
            </w:r>
          </w:p>
        </w:tc>
      </w:tr>
      <w:tr w:rsidR="002A3F00" w:rsidRPr="002A18A2" w14:paraId="3FA98C26" w14:textId="77777777" w:rsidTr="00CF01F6">
        <w:trPr>
          <w:trHeight w:val="300"/>
          <w:jc w:val="center"/>
        </w:trPr>
        <w:tc>
          <w:tcPr>
            <w:tcW w:w="1555" w:type="dxa"/>
            <w:vMerge w:val="restart"/>
            <w:noWrap/>
            <w:vAlign w:val="center"/>
          </w:tcPr>
          <w:p w14:paraId="1C6F2159" w14:textId="77777777" w:rsidR="002A3F00" w:rsidRPr="002A18A2" w:rsidRDefault="002A3F00" w:rsidP="00CF01F6">
            <w:pPr>
              <w:jc w:val="center"/>
              <w:rPr>
                <w:rFonts w:eastAsia="Times New Roman"/>
                <w:color w:val="000000"/>
              </w:rPr>
            </w:pPr>
            <w:r w:rsidRPr="002A18A2">
              <w:rPr>
                <w:rFonts w:eastAsia="Times New Roman"/>
                <w:color w:val="000000"/>
              </w:rPr>
              <w:t>In (213)</w:t>
            </w:r>
          </w:p>
        </w:tc>
        <w:tc>
          <w:tcPr>
            <w:tcW w:w="1838" w:type="dxa"/>
            <w:vMerge w:val="restart"/>
            <w:vAlign w:val="center"/>
          </w:tcPr>
          <w:p w14:paraId="6E5F0442" w14:textId="77777777" w:rsidR="002A3F00" w:rsidRPr="002A18A2" w:rsidRDefault="002A3F00" w:rsidP="00CF01F6">
            <w:pPr>
              <w:jc w:val="center"/>
              <w:rPr>
                <w:rFonts w:eastAsia="Times New Roman"/>
              </w:rPr>
            </w:pPr>
            <w:r w:rsidRPr="002A18A2">
              <w:rPr>
                <w:rFonts w:eastAsia="Times New Roman"/>
              </w:rPr>
              <w:t>31.23</w:t>
            </w:r>
          </w:p>
        </w:tc>
        <w:tc>
          <w:tcPr>
            <w:tcW w:w="1280" w:type="dxa"/>
            <w:noWrap/>
            <w:vAlign w:val="center"/>
          </w:tcPr>
          <w:p w14:paraId="4E334945" w14:textId="77777777" w:rsidR="002A3F00" w:rsidRPr="002A18A2" w:rsidRDefault="002A3F00" w:rsidP="00CF01F6">
            <w:pPr>
              <w:jc w:val="center"/>
              <w:rPr>
                <w:rFonts w:eastAsia="Times New Roman"/>
              </w:rPr>
            </w:pPr>
            <w:r w:rsidRPr="002A18A2">
              <w:rPr>
                <w:rFonts w:eastAsia="Times New Roman"/>
              </w:rPr>
              <w:t>23.4</w:t>
            </w:r>
          </w:p>
        </w:tc>
        <w:tc>
          <w:tcPr>
            <w:tcW w:w="1861" w:type="dxa"/>
            <w:noWrap/>
            <w:vAlign w:val="center"/>
          </w:tcPr>
          <w:p w14:paraId="208EA81F" w14:textId="77777777" w:rsidR="002A3F00" w:rsidRPr="002A18A2" w:rsidRDefault="002A3F00" w:rsidP="00CF01F6">
            <w:pPr>
              <w:jc w:val="center"/>
              <w:rPr>
                <w:rFonts w:eastAsia="Times New Roman"/>
              </w:rPr>
            </w:pPr>
            <w:r w:rsidRPr="002A18A2">
              <w:rPr>
                <w:rFonts w:eastAsia="Times New Roman"/>
              </w:rPr>
              <w:t>31.58</w:t>
            </w:r>
          </w:p>
        </w:tc>
        <w:tc>
          <w:tcPr>
            <w:tcW w:w="1706" w:type="dxa"/>
            <w:noWrap/>
            <w:vAlign w:val="center"/>
          </w:tcPr>
          <w:p w14:paraId="1BD46EC0" w14:textId="77777777" w:rsidR="002A3F00" w:rsidRPr="002A18A2" w:rsidRDefault="002A3F00" w:rsidP="00CF01F6">
            <w:pPr>
              <w:jc w:val="center"/>
              <w:rPr>
                <w:rFonts w:eastAsia="Times New Roman"/>
              </w:rPr>
            </w:pPr>
            <w:r w:rsidRPr="002A18A2">
              <w:rPr>
                <w:rFonts w:eastAsia="Times New Roman"/>
              </w:rPr>
              <w:t>1.28</w:t>
            </w:r>
          </w:p>
        </w:tc>
      </w:tr>
      <w:tr w:rsidR="002A3F00" w:rsidRPr="002A18A2" w14:paraId="2429C088" w14:textId="77777777" w:rsidTr="00CF01F6">
        <w:trPr>
          <w:trHeight w:val="300"/>
          <w:jc w:val="center"/>
        </w:trPr>
        <w:tc>
          <w:tcPr>
            <w:tcW w:w="1555" w:type="dxa"/>
            <w:vMerge/>
            <w:noWrap/>
            <w:vAlign w:val="center"/>
          </w:tcPr>
          <w:p w14:paraId="667263D2" w14:textId="77777777" w:rsidR="002A3F00" w:rsidRPr="002A18A2" w:rsidRDefault="002A3F00" w:rsidP="00CF01F6">
            <w:pPr>
              <w:jc w:val="center"/>
              <w:rPr>
                <w:rFonts w:eastAsia="Times New Roman"/>
                <w:color w:val="000000"/>
              </w:rPr>
            </w:pPr>
          </w:p>
        </w:tc>
        <w:tc>
          <w:tcPr>
            <w:tcW w:w="1838" w:type="dxa"/>
            <w:vMerge/>
          </w:tcPr>
          <w:p w14:paraId="4D6C5D35" w14:textId="77777777" w:rsidR="002A3F00" w:rsidRPr="002A18A2" w:rsidRDefault="002A3F00" w:rsidP="00CF01F6">
            <w:pPr>
              <w:jc w:val="center"/>
              <w:rPr>
                <w:rFonts w:eastAsia="Times New Roman"/>
              </w:rPr>
            </w:pPr>
          </w:p>
        </w:tc>
        <w:tc>
          <w:tcPr>
            <w:tcW w:w="1280" w:type="dxa"/>
            <w:noWrap/>
            <w:vAlign w:val="center"/>
          </w:tcPr>
          <w:p w14:paraId="5140A600" w14:textId="77777777" w:rsidR="002A3F00" w:rsidRPr="002A18A2" w:rsidRDefault="002A3F00" w:rsidP="00CF01F6">
            <w:pPr>
              <w:jc w:val="center"/>
              <w:rPr>
                <w:rFonts w:eastAsia="Times New Roman"/>
              </w:rPr>
            </w:pPr>
            <w:r w:rsidRPr="002A18A2">
              <w:rPr>
                <w:rFonts w:eastAsia="Times New Roman"/>
              </w:rPr>
              <w:t>39.95</w:t>
            </w:r>
          </w:p>
        </w:tc>
        <w:tc>
          <w:tcPr>
            <w:tcW w:w="1861" w:type="dxa"/>
            <w:noWrap/>
            <w:vAlign w:val="center"/>
          </w:tcPr>
          <w:p w14:paraId="382D2F7C" w14:textId="77777777" w:rsidR="002A3F00" w:rsidRPr="002A18A2" w:rsidRDefault="002A3F00" w:rsidP="00CF01F6">
            <w:pPr>
              <w:jc w:val="center"/>
              <w:rPr>
                <w:rFonts w:eastAsia="Times New Roman"/>
              </w:rPr>
            </w:pPr>
            <w:r w:rsidRPr="002A18A2">
              <w:rPr>
                <w:rFonts w:eastAsia="Times New Roman"/>
              </w:rPr>
              <w:t>30.91</w:t>
            </w:r>
          </w:p>
        </w:tc>
        <w:tc>
          <w:tcPr>
            <w:tcW w:w="1706" w:type="dxa"/>
            <w:noWrap/>
            <w:vAlign w:val="center"/>
          </w:tcPr>
          <w:p w14:paraId="38836796" w14:textId="77777777" w:rsidR="002A3F00" w:rsidRPr="002A18A2" w:rsidRDefault="002A3F00" w:rsidP="00CF01F6">
            <w:pPr>
              <w:jc w:val="center"/>
              <w:rPr>
                <w:rFonts w:eastAsia="Times New Roman"/>
              </w:rPr>
            </w:pPr>
            <w:r w:rsidRPr="002A18A2">
              <w:rPr>
                <w:rFonts w:eastAsia="Times New Roman"/>
              </w:rPr>
              <w:t>1.35</w:t>
            </w:r>
          </w:p>
        </w:tc>
      </w:tr>
    </w:tbl>
    <w:p w14:paraId="70CBEF7B" w14:textId="77777777" w:rsidR="002A3F00" w:rsidRPr="00952EA4" w:rsidRDefault="002A3F00" w:rsidP="002A3F00">
      <w:pPr>
        <w:shd w:val="clear" w:color="auto" w:fill="FFFFFF"/>
        <w:spacing w:line="240" w:lineRule="auto"/>
        <w:jc w:val="both"/>
        <w:rPr>
          <w:rFonts w:eastAsia="Times New Roman"/>
          <w:color w:val="222222"/>
          <w:sz w:val="18"/>
          <w:szCs w:val="18"/>
          <w:lang w:val="en-US"/>
        </w:rPr>
      </w:pPr>
      <w:r w:rsidRPr="00952EA4">
        <w:rPr>
          <w:rFonts w:eastAsia="Times New Roman"/>
          <w:color w:val="222222"/>
          <w:sz w:val="18"/>
          <w:szCs w:val="18"/>
          <w:u w:val="single"/>
          <w:lang w:val="en-US"/>
        </w:rPr>
        <w:t>Reaction conditions</w:t>
      </w:r>
      <w:r w:rsidRPr="00952EA4">
        <w:rPr>
          <w:rFonts w:eastAsia="Times New Roman"/>
          <w:color w:val="222222"/>
          <w:sz w:val="18"/>
          <w:szCs w:val="18"/>
          <w:lang w:val="en-US"/>
        </w:rPr>
        <w:t>: all reactions were</w:t>
      </w:r>
      <w:r>
        <w:rPr>
          <w:rFonts w:eastAsia="Times New Roman"/>
          <w:color w:val="222222"/>
          <w:sz w:val="18"/>
          <w:szCs w:val="18"/>
          <w:lang w:val="en-US"/>
        </w:rPr>
        <w:t xml:space="preserve"> </w:t>
      </w:r>
      <w:r w:rsidRPr="00952EA4">
        <w:rPr>
          <w:rFonts w:eastAsia="Times New Roman"/>
          <w:color w:val="222222"/>
          <w:sz w:val="18"/>
          <w:szCs w:val="18"/>
          <w:lang w:val="en-US"/>
        </w:rPr>
        <w:t xml:space="preserve">run using 50 mg of extract in toluene under reflux for 4 hours. a: 2 equivalents in mmol of iodine considering the mass fraction of </w:t>
      </w:r>
      <w:r w:rsidRPr="00952EA4">
        <w:rPr>
          <w:sz w:val="18"/>
          <w:szCs w:val="18"/>
          <w:lang w:val="en-US"/>
        </w:rPr>
        <w:t>Δ</w:t>
      </w:r>
      <w:r w:rsidRPr="00952EA4">
        <w:rPr>
          <w:sz w:val="18"/>
          <w:szCs w:val="18"/>
          <w:vertAlign w:val="superscript"/>
          <w:lang w:val="en-US"/>
        </w:rPr>
        <w:t>9</w:t>
      </w:r>
      <w:r w:rsidRPr="00952EA4">
        <w:rPr>
          <w:sz w:val="18"/>
          <w:szCs w:val="18"/>
          <w:lang w:val="en-US"/>
        </w:rPr>
        <w:t>–</w:t>
      </w:r>
      <w:r w:rsidRPr="00952EA4">
        <w:rPr>
          <w:rFonts w:eastAsia="Times New Roman"/>
          <w:color w:val="222222"/>
          <w:sz w:val="18"/>
          <w:szCs w:val="18"/>
          <w:lang w:val="en-US"/>
        </w:rPr>
        <w:t xml:space="preserve">THC in 50 mg of extract; b: 1 equivalent in mmol of iodine considering 50mg of extract as the total mass of </w:t>
      </w:r>
      <w:r w:rsidRPr="00952EA4">
        <w:rPr>
          <w:sz w:val="18"/>
          <w:szCs w:val="18"/>
          <w:lang w:val="en-US"/>
        </w:rPr>
        <w:t>Δ</w:t>
      </w:r>
      <w:r w:rsidRPr="00952EA4">
        <w:rPr>
          <w:sz w:val="18"/>
          <w:szCs w:val="18"/>
          <w:vertAlign w:val="superscript"/>
          <w:lang w:val="en-US"/>
        </w:rPr>
        <w:t>9</w:t>
      </w:r>
      <w:r w:rsidRPr="00952EA4">
        <w:rPr>
          <w:sz w:val="18"/>
          <w:szCs w:val="18"/>
          <w:lang w:val="en-US"/>
        </w:rPr>
        <w:t>–</w:t>
      </w:r>
      <w:r w:rsidRPr="00952EA4">
        <w:rPr>
          <w:rFonts w:eastAsia="Times New Roman"/>
          <w:color w:val="222222"/>
          <w:sz w:val="18"/>
          <w:szCs w:val="18"/>
          <w:lang w:val="en-US"/>
        </w:rPr>
        <w:t>THC.</w:t>
      </w:r>
    </w:p>
    <w:p w14:paraId="796D01BD" w14:textId="77777777" w:rsidR="006B06E7" w:rsidRPr="006B06E7" w:rsidRDefault="006B06E7" w:rsidP="002A3F00">
      <w:pPr>
        <w:spacing w:line="360" w:lineRule="auto"/>
        <w:jc w:val="both"/>
        <w:rPr>
          <w:lang w:val="en-US"/>
        </w:rPr>
      </w:pPr>
    </w:p>
    <w:p w14:paraId="29878369" w14:textId="06A74910" w:rsidR="004E392D" w:rsidRPr="00976DB5" w:rsidRDefault="006A40B4" w:rsidP="00976DB5">
      <w:pPr>
        <w:pStyle w:val="berschrift2"/>
        <w:spacing w:line="360" w:lineRule="auto"/>
        <w:jc w:val="both"/>
        <w:rPr>
          <w:rFonts w:ascii="Arial" w:hAnsi="Arial" w:cs="Arial"/>
          <w:color w:val="auto"/>
          <w:sz w:val="22"/>
          <w:szCs w:val="22"/>
          <w:lang w:val="en-US"/>
        </w:rPr>
      </w:pPr>
      <w:bookmarkStart w:id="21" w:name="_Toc216797626"/>
      <w:r>
        <w:rPr>
          <w:rFonts w:ascii="Arial" w:hAnsi="Arial" w:cs="Arial"/>
          <w:color w:val="auto"/>
          <w:sz w:val="22"/>
          <w:szCs w:val="22"/>
          <w:lang w:val="en-US"/>
        </w:rPr>
        <w:t>S</w:t>
      </w:r>
      <w:r w:rsidR="004E392D" w:rsidRPr="00976DB5">
        <w:rPr>
          <w:rFonts w:ascii="Arial" w:hAnsi="Arial" w:cs="Arial"/>
          <w:color w:val="auto"/>
          <w:sz w:val="22"/>
          <w:szCs w:val="22"/>
          <w:lang w:val="en-US"/>
        </w:rPr>
        <w:t>5.</w:t>
      </w:r>
      <w:r w:rsidR="00976DB5" w:rsidRPr="00976DB5">
        <w:rPr>
          <w:rFonts w:ascii="Arial" w:hAnsi="Arial" w:cs="Arial"/>
          <w:color w:val="auto"/>
          <w:sz w:val="22"/>
          <w:szCs w:val="22"/>
          <w:lang w:val="en-US"/>
        </w:rPr>
        <w:t>4</w:t>
      </w:r>
      <w:r w:rsidR="004E392D" w:rsidRPr="00976DB5">
        <w:rPr>
          <w:rFonts w:ascii="Arial" w:hAnsi="Arial" w:cs="Arial"/>
          <w:color w:val="auto"/>
          <w:sz w:val="22"/>
          <w:szCs w:val="22"/>
          <w:lang w:val="en-US"/>
        </w:rPr>
        <w:t>) Isolation of Δ</w:t>
      </w:r>
      <w:r w:rsidR="004E392D" w:rsidRPr="00976DB5">
        <w:rPr>
          <w:rFonts w:ascii="Arial" w:hAnsi="Arial" w:cs="Arial"/>
          <w:color w:val="auto"/>
          <w:sz w:val="22"/>
          <w:szCs w:val="22"/>
          <w:vertAlign w:val="superscript"/>
          <w:lang w:val="en-US"/>
        </w:rPr>
        <w:t>9</w:t>
      </w:r>
      <w:r w:rsidR="004E392D" w:rsidRPr="00976DB5">
        <w:rPr>
          <w:rFonts w:ascii="Arial" w:hAnsi="Arial" w:cs="Arial"/>
          <w:color w:val="auto"/>
          <w:sz w:val="22"/>
          <w:szCs w:val="22"/>
          <w:lang w:val="en-US"/>
        </w:rPr>
        <w:t>-THC and CBN from cannabis extract</w:t>
      </w:r>
      <w:bookmarkEnd w:id="21"/>
    </w:p>
    <w:p w14:paraId="222E441E" w14:textId="7DCC2FC2" w:rsidR="002B371E" w:rsidRDefault="002B371E" w:rsidP="00527C60">
      <w:pPr>
        <w:spacing w:line="360" w:lineRule="auto"/>
        <w:ind w:firstLine="708"/>
        <w:jc w:val="both"/>
        <w:rPr>
          <w:lang w:val="en-US"/>
        </w:rPr>
      </w:pPr>
      <w:r w:rsidRPr="002B371E">
        <w:rPr>
          <w:i/>
          <w:iCs/>
          <w:lang w:val="en-US"/>
        </w:rPr>
        <w:t>From cannabis plant</w:t>
      </w:r>
      <w:r>
        <w:rPr>
          <w:i/>
          <w:iCs/>
          <w:lang w:val="en-US"/>
        </w:rPr>
        <w:t xml:space="preserve"> extract</w:t>
      </w:r>
      <w:r w:rsidRPr="002B371E">
        <w:rPr>
          <w:i/>
          <w:iCs/>
          <w:lang w:val="en-US"/>
        </w:rPr>
        <w:t>:</w:t>
      </w:r>
      <w:r>
        <w:rPr>
          <w:lang w:val="en-US"/>
        </w:rPr>
        <w:t xml:space="preserve"> </w:t>
      </w:r>
      <w:r w:rsidRPr="002B371E">
        <w:t>Δ</w:t>
      </w:r>
      <w:r w:rsidRPr="002B371E">
        <w:rPr>
          <w:lang w:val="en-US"/>
        </w:rPr>
        <w:t>⁹-THC and cannabinol (CBN) were isolated by preparative liquid chromatography</w:t>
      </w:r>
      <w:r w:rsidR="00087AAB">
        <w:rPr>
          <w:lang w:val="en-US"/>
        </w:rPr>
        <w:t xml:space="preserve"> (see section 3.1)</w:t>
      </w:r>
      <w:r w:rsidRPr="002B371E">
        <w:rPr>
          <w:lang w:val="en-US"/>
        </w:rPr>
        <w:t xml:space="preserve">, eluting at retention times of 8.75 and 7.57 min, respectively. From 12 g of crude plant extract, </w:t>
      </w:r>
      <w:r w:rsidRPr="002B371E">
        <w:t>Δ</w:t>
      </w:r>
      <w:r w:rsidRPr="002B371E">
        <w:rPr>
          <w:lang w:val="en-US"/>
        </w:rPr>
        <w:t xml:space="preserve">⁹-THC </w:t>
      </w:r>
      <w:r>
        <w:rPr>
          <w:lang w:val="en-US"/>
        </w:rPr>
        <w:t xml:space="preserve">was obtained in </w:t>
      </w:r>
      <w:r w:rsidRPr="002B371E">
        <w:rPr>
          <w:lang w:val="en-US"/>
        </w:rPr>
        <w:t xml:space="preserve">4.74% </w:t>
      </w:r>
      <w:r>
        <w:rPr>
          <w:lang w:val="en-US"/>
        </w:rPr>
        <w:t xml:space="preserve">yield </w:t>
      </w:r>
      <w:r w:rsidRPr="002B371E">
        <w:rPr>
          <w:lang w:val="en-US"/>
        </w:rPr>
        <w:t xml:space="preserve">(568.80 mg) and CBN </w:t>
      </w:r>
      <w:r>
        <w:rPr>
          <w:lang w:val="en-US"/>
        </w:rPr>
        <w:t>was</w:t>
      </w:r>
      <w:r w:rsidRPr="002B371E">
        <w:rPr>
          <w:lang w:val="en-US"/>
        </w:rPr>
        <w:t xml:space="preserve"> obtained in 1.48% </w:t>
      </w:r>
      <w:r>
        <w:rPr>
          <w:lang w:val="en-US"/>
        </w:rPr>
        <w:t xml:space="preserve">yield </w:t>
      </w:r>
      <w:r w:rsidRPr="002B371E">
        <w:rPr>
          <w:lang w:val="en-US"/>
        </w:rPr>
        <w:t>(177.60 mg)</w:t>
      </w:r>
      <w:r>
        <w:rPr>
          <w:lang w:val="en-US"/>
        </w:rPr>
        <w:t>.</w:t>
      </w:r>
      <w:r w:rsidRPr="002B371E">
        <w:rPr>
          <w:lang w:val="en-US"/>
        </w:rPr>
        <w:t xml:space="preserve"> </w:t>
      </w:r>
    </w:p>
    <w:p w14:paraId="5C2E8698" w14:textId="0C019B3F" w:rsidR="002B371E" w:rsidRDefault="002B371E" w:rsidP="00527C60">
      <w:pPr>
        <w:spacing w:line="360" w:lineRule="auto"/>
        <w:ind w:firstLine="708"/>
        <w:jc w:val="both"/>
        <w:rPr>
          <w:lang w:val="en-US"/>
        </w:rPr>
      </w:pPr>
      <w:r w:rsidRPr="002B371E">
        <w:rPr>
          <w:i/>
          <w:iCs/>
          <w:lang w:val="en-US"/>
        </w:rPr>
        <w:t>From CBN-enriched crude extract:</w:t>
      </w:r>
      <w:r>
        <w:rPr>
          <w:lang w:val="en-US"/>
        </w:rPr>
        <w:t xml:space="preserve"> P</w:t>
      </w:r>
      <w:r w:rsidRPr="002B371E">
        <w:rPr>
          <w:lang w:val="en-US"/>
        </w:rPr>
        <w:t>reparative LC</w:t>
      </w:r>
      <w:r w:rsidR="00087AAB">
        <w:rPr>
          <w:lang w:val="en-US"/>
        </w:rPr>
        <w:t xml:space="preserve"> (see section 3.1)</w:t>
      </w:r>
      <w:r w:rsidRPr="002B371E">
        <w:rPr>
          <w:lang w:val="en-US"/>
        </w:rPr>
        <w:t xml:space="preserve"> of crude extract enriched in CBN</w:t>
      </w:r>
      <w:r>
        <w:rPr>
          <w:lang w:val="en-US"/>
        </w:rPr>
        <w:t xml:space="preserve"> (</w:t>
      </w:r>
      <w:r w:rsidRPr="002B371E">
        <w:rPr>
          <w:lang w:val="en-US"/>
        </w:rPr>
        <w:t>586.51 mg</w:t>
      </w:r>
      <w:r>
        <w:rPr>
          <w:lang w:val="en-US"/>
        </w:rPr>
        <w:t>)</w:t>
      </w:r>
      <w:r w:rsidRPr="002B371E">
        <w:rPr>
          <w:lang w:val="en-US"/>
        </w:rPr>
        <w:t xml:space="preserve"> using the optimized synthetic protocol afforded CBN in a significantly higher yield of 24.05% (141.06 mg).</w:t>
      </w:r>
    </w:p>
    <w:p w14:paraId="36FD66BB" w14:textId="65B87D23" w:rsidR="002B371E" w:rsidRDefault="002B371E" w:rsidP="00527C60">
      <w:pPr>
        <w:spacing w:line="360" w:lineRule="auto"/>
        <w:ind w:firstLine="708"/>
        <w:jc w:val="both"/>
        <w:rPr>
          <w:lang w:val="en-US"/>
        </w:rPr>
      </w:pPr>
      <w:r>
        <w:rPr>
          <w:lang w:val="en-US"/>
        </w:rPr>
        <w:t xml:space="preserve">Figure </w:t>
      </w:r>
      <w:r w:rsidR="00C045E3">
        <w:rPr>
          <w:lang w:val="en-US"/>
        </w:rPr>
        <w:t>S</w:t>
      </w:r>
      <w:r w:rsidR="00087AAB">
        <w:rPr>
          <w:lang w:val="en-US"/>
        </w:rPr>
        <w:t>6</w:t>
      </w:r>
      <w:r>
        <w:rPr>
          <w:lang w:val="en-US"/>
        </w:rPr>
        <w:t xml:space="preserve"> illustrates the preparative LC-DAD chromatograms comparing</w:t>
      </w:r>
      <w:r w:rsidR="00087AAB">
        <w:rPr>
          <w:lang w:val="en-US"/>
        </w:rPr>
        <w:t xml:space="preserve"> the chromatograms of</w:t>
      </w:r>
      <w:r>
        <w:rPr>
          <w:lang w:val="en-US"/>
        </w:rPr>
        <w:t xml:space="preserve"> </w:t>
      </w:r>
      <w:r w:rsidR="00087AAB">
        <w:rPr>
          <w:lang w:val="en-US"/>
        </w:rPr>
        <w:t>both extracts, monitored at 210 nm.</w:t>
      </w:r>
    </w:p>
    <w:p w14:paraId="654CE946" w14:textId="77777777" w:rsidR="003C73A9" w:rsidRDefault="003C73A9" w:rsidP="00527C60">
      <w:pPr>
        <w:spacing w:line="360" w:lineRule="auto"/>
        <w:ind w:firstLine="708"/>
        <w:jc w:val="both"/>
        <w:rPr>
          <w:lang w:val="en-US"/>
        </w:rPr>
      </w:pPr>
    </w:p>
    <w:p w14:paraId="134B0493" w14:textId="77777777" w:rsidR="003C73A9" w:rsidRPr="002B371E" w:rsidRDefault="003C73A9" w:rsidP="00527C60">
      <w:pPr>
        <w:spacing w:line="360" w:lineRule="auto"/>
        <w:ind w:firstLine="708"/>
        <w:jc w:val="both"/>
        <w:rPr>
          <w:lang w:val="en-US"/>
        </w:rPr>
      </w:pPr>
    </w:p>
    <w:p w14:paraId="0790D346" w14:textId="77777777" w:rsidR="00087AAB" w:rsidRDefault="00087AAB" w:rsidP="00087AAB">
      <w:pPr>
        <w:keepNext/>
        <w:spacing w:line="360" w:lineRule="auto"/>
        <w:ind w:firstLine="708"/>
        <w:jc w:val="center"/>
      </w:pPr>
      <w:r>
        <w:rPr>
          <w:noProof/>
        </w:rPr>
        <w:lastRenderedPageBreak/>
        <w:drawing>
          <wp:inline distT="0" distB="0" distL="0" distR="0" wp14:anchorId="4146ACCF" wp14:editId="4B59C2DD">
            <wp:extent cx="4004441" cy="3662463"/>
            <wp:effectExtent l="0" t="0" r="0" b="0"/>
            <wp:docPr id="316136123" name="Imagem 1" descr="Uma imagem contendo 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36123" name="Imagem 1" descr="Uma imagem contendo Diagrama&#10;&#10;O conteúdo gerado por IA pode estar incorre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7179" cy="3683259"/>
                    </a:xfrm>
                    <a:prstGeom prst="rect">
                      <a:avLst/>
                    </a:prstGeom>
                    <a:noFill/>
                  </pic:spPr>
                </pic:pic>
              </a:graphicData>
            </a:graphic>
          </wp:inline>
        </w:drawing>
      </w:r>
    </w:p>
    <w:p w14:paraId="478816DE" w14:textId="71A596AF" w:rsidR="00212AEC" w:rsidRPr="00087AAB" w:rsidRDefault="00087AAB" w:rsidP="00C045E3">
      <w:pPr>
        <w:pStyle w:val="Beschriftung"/>
        <w:spacing w:line="360" w:lineRule="auto"/>
        <w:jc w:val="center"/>
        <w:rPr>
          <w:rFonts w:ascii="Arial" w:hAnsi="Arial" w:cs="Arial"/>
          <w:i w:val="0"/>
          <w:iCs w:val="0"/>
          <w:color w:val="auto"/>
          <w:sz w:val="22"/>
          <w:szCs w:val="22"/>
          <w:lang w:val="en-US"/>
        </w:rPr>
      </w:pPr>
      <w:r w:rsidRPr="00087AAB">
        <w:rPr>
          <w:rFonts w:ascii="Arial" w:hAnsi="Arial" w:cs="Arial"/>
          <w:i w:val="0"/>
          <w:iCs w:val="0"/>
          <w:color w:val="auto"/>
          <w:sz w:val="22"/>
          <w:szCs w:val="22"/>
          <w:lang w:val="en-US"/>
        </w:rPr>
        <w:t xml:space="preserve">Figure </w:t>
      </w:r>
      <w:r w:rsidR="00C045E3">
        <w:rPr>
          <w:rFonts w:ascii="Arial" w:hAnsi="Arial" w:cs="Arial"/>
          <w:i w:val="0"/>
          <w:iCs w:val="0"/>
          <w:color w:val="auto"/>
          <w:sz w:val="22"/>
          <w:szCs w:val="22"/>
          <w:lang w:val="en-US"/>
        </w:rPr>
        <w:t>S</w:t>
      </w:r>
      <w:r w:rsidRPr="00087AAB">
        <w:rPr>
          <w:rFonts w:ascii="Arial" w:hAnsi="Arial" w:cs="Arial"/>
          <w:i w:val="0"/>
          <w:iCs w:val="0"/>
          <w:color w:val="auto"/>
          <w:sz w:val="22"/>
          <w:szCs w:val="22"/>
        </w:rPr>
        <w:fldChar w:fldCharType="begin"/>
      </w:r>
      <w:r w:rsidRPr="00087AAB">
        <w:rPr>
          <w:rFonts w:ascii="Arial" w:hAnsi="Arial" w:cs="Arial"/>
          <w:i w:val="0"/>
          <w:iCs w:val="0"/>
          <w:color w:val="auto"/>
          <w:sz w:val="22"/>
          <w:szCs w:val="22"/>
          <w:lang w:val="en-US"/>
        </w:rPr>
        <w:instrText xml:space="preserve"> SEQ Figure \* ARABIC </w:instrText>
      </w:r>
      <w:r w:rsidRPr="00087AAB">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6</w:t>
      </w:r>
      <w:r w:rsidRPr="00087AAB">
        <w:rPr>
          <w:rFonts w:ascii="Arial" w:hAnsi="Arial" w:cs="Arial"/>
          <w:i w:val="0"/>
          <w:iCs w:val="0"/>
          <w:color w:val="auto"/>
          <w:sz w:val="22"/>
          <w:szCs w:val="22"/>
        </w:rPr>
        <w:fldChar w:fldCharType="end"/>
      </w:r>
      <w:r w:rsidRPr="00087AAB">
        <w:rPr>
          <w:rFonts w:ascii="Arial" w:hAnsi="Arial" w:cs="Arial"/>
          <w:i w:val="0"/>
          <w:iCs w:val="0"/>
          <w:color w:val="auto"/>
          <w:sz w:val="22"/>
          <w:szCs w:val="22"/>
          <w:lang w:val="en-US"/>
        </w:rPr>
        <w:t>: Preparative LC-DAD chromatograms of cannabis plant extract</w:t>
      </w:r>
      <w:r w:rsidRPr="00087AAB">
        <w:rPr>
          <w:rFonts w:ascii="Arial" w:hAnsi="Arial" w:cs="Arial"/>
          <w:i w:val="0"/>
          <w:iCs w:val="0"/>
          <w:noProof/>
          <w:color w:val="auto"/>
          <w:sz w:val="22"/>
          <w:szCs w:val="22"/>
          <w:lang w:val="en-US"/>
        </w:rPr>
        <w:t xml:space="preserve"> and CBN-enriched extract.</w:t>
      </w:r>
    </w:p>
    <w:p w14:paraId="0FAC3046" w14:textId="5AAA966B" w:rsidR="00527C60" w:rsidRPr="00976DB5" w:rsidRDefault="006A40B4" w:rsidP="00976DB5">
      <w:pPr>
        <w:pStyle w:val="berschrift2"/>
        <w:spacing w:line="360" w:lineRule="auto"/>
        <w:jc w:val="both"/>
        <w:rPr>
          <w:rFonts w:ascii="Arial" w:hAnsi="Arial" w:cs="Arial"/>
          <w:color w:val="auto"/>
          <w:sz w:val="22"/>
          <w:szCs w:val="22"/>
          <w:lang w:val="en-US"/>
        </w:rPr>
      </w:pPr>
      <w:bookmarkStart w:id="22" w:name="_Toc216797627"/>
      <w:r>
        <w:rPr>
          <w:rFonts w:ascii="Arial" w:hAnsi="Arial" w:cs="Arial"/>
          <w:color w:val="auto"/>
          <w:sz w:val="22"/>
          <w:szCs w:val="22"/>
          <w:lang w:val="en-US"/>
        </w:rPr>
        <w:t>S</w:t>
      </w:r>
      <w:r w:rsidR="00527C60" w:rsidRPr="00976DB5">
        <w:rPr>
          <w:rFonts w:ascii="Arial" w:hAnsi="Arial" w:cs="Arial"/>
          <w:color w:val="auto"/>
          <w:sz w:val="22"/>
          <w:szCs w:val="22"/>
          <w:lang w:val="en-US"/>
        </w:rPr>
        <w:t>5.</w:t>
      </w:r>
      <w:r w:rsidR="00976DB5" w:rsidRPr="00976DB5">
        <w:rPr>
          <w:rFonts w:ascii="Arial" w:hAnsi="Arial" w:cs="Arial"/>
          <w:color w:val="auto"/>
          <w:sz w:val="22"/>
          <w:szCs w:val="22"/>
          <w:lang w:val="en-US"/>
        </w:rPr>
        <w:t>5</w:t>
      </w:r>
      <w:r w:rsidR="00527C60" w:rsidRPr="00976DB5">
        <w:rPr>
          <w:rFonts w:ascii="Arial" w:hAnsi="Arial" w:cs="Arial"/>
          <w:color w:val="auto"/>
          <w:sz w:val="22"/>
          <w:szCs w:val="22"/>
          <w:lang w:val="en-US"/>
        </w:rPr>
        <w:t>) Characterization of cannabinoids</w:t>
      </w:r>
      <w:bookmarkEnd w:id="22"/>
    </w:p>
    <w:p w14:paraId="7D4E829D" w14:textId="22ADEA5F" w:rsidR="00527C60" w:rsidRPr="00FB0020" w:rsidRDefault="00527C60" w:rsidP="00527C60">
      <w:pPr>
        <w:spacing w:line="360" w:lineRule="auto"/>
        <w:ind w:firstLine="708"/>
        <w:jc w:val="both"/>
        <w:rPr>
          <w:lang w:val="en-US"/>
        </w:rPr>
      </w:pPr>
      <w:r w:rsidRPr="00527C60">
        <w:rPr>
          <w:lang w:val="en-US"/>
        </w:rPr>
        <w:t>Cannabis extracts and isolated cannabinoids (CBN, Δ⁹–THC) were analyzed using HPLC</w:t>
      </w:r>
      <w:r w:rsidRPr="00527C60">
        <w:rPr>
          <w:rFonts w:ascii="Cambria Math" w:hAnsi="Cambria Math" w:cs="Cambria Math"/>
          <w:lang w:val="en-US"/>
        </w:rPr>
        <w:t>‑</w:t>
      </w:r>
      <w:r w:rsidRPr="00527C60">
        <w:rPr>
          <w:lang w:val="en-US"/>
        </w:rPr>
        <w:t>DAD</w:t>
      </w:r>
      <w:r w:rsidRPr="00527C60">
        <w:rPr>
          <w:rFonts w:ascii="Cambria Math" w:hAnsi="Cambria Math" w:cs="Cambria Math"/>
          <w:lang w:val="en-US"/>
        </w:rPr>
        <w:t>‑</w:t>
      </w:r>
      <w:r w:rsidRPr="00527C60">
        <w:rPr>
          <w:lang w:val="en-US"/>
        </w:rPr>
        <w:t>MS/MS with electrospray ionization in positive mode</w:t>
      </w:r>
      <w:r>
        <w:rPr>
          <w:lang w:val="en-US"/>
        </w:rPr>
        <w:t xml:space="preserve">. </w:t>
      </w:r>
      <w:r w:rsidRPr="00527C60">
        <w:rPr>
          <w:lang w:val="en-US"/>
        </w:rPr>
        <w:t xml:space="preserve">Collision energies ranged from 16 to 32 eV with a dwell time of 40 </w:t>
      </w:r>
      <w:proofErr w:type="spellStart"/>
      <w:r w:rsidRPr="00527C60">
        <w:rPr>
          <w:lang w:val="en-US"/>
        </w:rPr>
        <w:t>ms.</w:t>
      </w:r>
      <w:proofErr w:type="spellEnd"/>
      <w:r w:rsidRPr="00527C60">
        <w:rPr>
          <w:lang w:val="en-US"/>
        </w:rPr>
        <w:t xml:space="preserve"> Identification was based on comparison of MS and MS/MS spectra and retention times with cannabinoid standards and library references</w:t>
      </w:r>
      <w:r w:rsidR="00FB0020">
        <w:rPr>
          <w:lang w:val="en-US"/>
        </w:rPr>
        <w:t xml:space="preserve"> </w:t>
      </w:r>
      <w:sdt>
        <w:sdtPr>
          <w:rPr>
            <w:color w:val="000000"/>
            <w:lang w:val="en-US"/>
          </w:rPr>
          <w:tag w:val="MENDELEY_CITATION_v3_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"/>
          <w:id w:val="-981989782"/>
          <w:placeholder>
            <w:docPart w:val="DefaultPlaceholder_-1854013440"/>
          </w:placeholder>
        </w:sdtPr>
        <w:sdtContent>
          <w:r w:rsidR="00FB0020" w:rsidRPr="00FB0020">
            <w:rPr>
              <w:color w:val="000000"/>
              <w:lang w:val="en-US"/>
            </w:rPr>
            <w:t>[4]</w:t>
          </w:r>
        </w:sdtContent>
      </w:sdt>
      <w:r w:rsidR="00FB0020">
        <w:rPr>
          <w:lang w:val="en-US"/>
        </w:rPr>
        <w:t>.</w:t>
      </w:r>
    </w:p>
    <w:p w14:paraId="3B75FFBE" w14:textId="77777777" w:rsidR="00087AAB" w:rsidRDefault="00087AAB" w:rsidP="006F3F27">
      <w:pPr>
        <w:keepNext/>
        <w:spacing w:line="360" w:lineRule="auto"/>
        <w:jc w:val="center"/>
      </w:pPr>
      <w:r w:rsidRPr="00695165">
        <w:rPr>
          <w:noProof/>
        </w:rPr>
        <w:lastRenderedPageBreak/>
        <w:drawing>
          <wp:inline distT="0" distB="0" distL="0" distR="0" wp14:anchorId="3BF73EBD" wp14:editId="0A1543F6">
            <wp:extent cx="4850820" cy="5092045"/>
            <wp:effectExtent l="0" t="0" r="6985" b="0"/>
            <wp:docPr id="5" name="Imagem 5" descr="Uma imagem contendo 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Tabela&#10;&#10;O conteúdo gerado por IA pode estar incorreto."/>
                    <pic:cNvPicPr/>
                  </pic:nvPicPr>
                  <pic:blipFill>
                    <a:blip r:embed="rId21"/>
                    <a:stretch>
                      <a:fillRect/>
                    </a:stretch>
                  </pic:blipFill>
                  <pic:spPr>
                    <a:xfrm>
                      <a:off x="0" y="0"/>
                      <a:ext cx="4860490" cy="5102196"/>
                    </a:xfrm>
                    <a:prstGeom prst="rect">
                      <a:avLst/>
                    </a:prstGeom>
                  </pic:spPr>
                </pic:pic>
              </a:graphicData>
            </a:graphic>
          </wp:inline>
        </w:drawing>
      </w:r>
    </w:p>
    <w:p w14:paraId="673B3D32" w14:textId="20D3584E" w:rsidR="00087AAB" w:rsidRPr="00087AAB" w:rsidRDefault="00087AAB" w:rsidP="00071CA5">
      <w:pPr>
        <w:pStyle w:val="Beschriftung"/>
        <w:spacing w:line="360" w:lineRule="auto"/>
        <w:jc w:val="center"/>
        <w:rPr>
          <w:rFonts w:ascii="Arial" w:hAnsi="Arial" w:cs="Arial"/>
          <w:i w:val="0"/>
          <w:iCs w:val="0"/>
          <w:sz w:val="22"/>
          <w:szCs w:val="22"/>
          <w:lang w:val="en-US"/>
        </w:rPr>
      </w:pPr>
      <w:r w:rsidRPr="00071CA5">
        <w:rPr>
          <w:rFonts w:ascii="Arial" w:hAnsi="Arial" w:cs="Arial"/>
          <w:i w:val="0"/>
          <w:iCs w:val="0"/>
          <w:color w:val="auto"/>
          <w:sz w:val="22"/>
          <w:szCs w:val="22"/>
          <w:lang w:val="en-US"/>
        </w:rPr>
        <w:t xml:space="preserve">Figure </w:t>
      </w:r>
      <w:r w:rsidR="00071CA5" w:rsidRPr="00071CA5">
        <w:rPr>
          <w:rFonts w:ascii="Arial" w:hAnsi="Arial" w:cs="Arial"/>
          <w:i w:val="0"/>
          <w:iCs w:val="0"/>
          <w:color w:val="auto"/>
          <w:sz w:val="22"/>
          <w:szCs w:val="22"/>
          <w:lang w:val="en-US"/>
        </w:rPr>
        <w:t>S</w:t>
      </w:r>
      <w:r w:rsidRPr="00071CA5">
        <w:rPr>
          <w:rFonts w:ascii="Arial" w:hAnsi="Arial" w:cs="Arial"/>
          <w:i w:val="0"/>
          <w:iCs w:val="0"/>
          <w:color w:val="auto"/>
          <w:sz w:val="22"/>
          <w:szCs w:val="22"/>
        </w:rPr>
        <w:fldChar w:fldCharType="begin"/>
      </w:r>
      <w:r w:rsidRPr="00071CA5">
        <w:rPr>
          <w:rFonts w:ascii="Arial" w:hAnsi="Arial" w:cs="Arial"/>
          <w:i w:val="0"/>
          <w:iCs w:val="0"/>
          <w:color w:val="auto"/>
          <w:sz w:val="22"/>
          <w:szCs w:val="22"/>
          <w:lang w:val="en-US"/>
        </w:rPr>
        <w:instrText xml:space="preserve"> SEQ Figure \* ARABIC </w:instrText>
      </w:r>
      <w:r w:rsidRPr="00071CA5">
        <w:rPr>
          <w:rFonts w:ascii="Arial" w:hAnsi="Arial" w:cs="Arial"/>
          <w:i w:val="0"/>
          <w:iCs w:val="0"/>
          <w:color w:val="auto"/>
          <w:sz w:val="22"/>
          <w:szCs w:val="22"/>
        </w:rPr>
        <w:fldChar w:fldCharType="separate"/>
      </w:r>
      <w:r w:rsidR="00567BED" w:rsidRPr="00071CA5">
        <w:rPr>
          <w:rFonts w:ascii="Arial" w:hAnsi="Arial" w:cs="Arial"/>
          <w:i w:val="0"/>
          <w:iCs w:val="0"/>
          <w:noProof/>
          <w:color w:val="auto"/>
          <w:sz w:val="22"/>
          <w:szCs w:val="22"/>
          <w:lang w:val="en-US"/>
        </w:rPr>
        <w:t>7</w:t>
      </w:r>
      <w:r w:rsidRPr="00071CA5">
        <w:rPr>
          <w:rFonts w:ascii="Arial" w:hAnsi="Arial" w:cs="Arial"/>
          <w:i w:val="0"/>
          <w:iCs w:val="0"/>
          <w:color w:val="auto"/>
          <w:sz w:val="22"/>
          <w:szCs w:val="22"/>
        </w:rPr>
        <w:fldChar w:fldCharType="end"/>
      </w:r>
      <w:r w:rsidRPr="00071CA5">
        <w:rPr>
          <w:rFonts w:ascii="Arial" w:hAnsi="Arial" w:cs="Arial"/>
          <w:i w:val="0"/>
          <w:iCs w:val="0"/>
          <w:color w:val="auto"/>
          <w:sz w:val="22"/>
          <w:szCs w:val="22"/>
          <w:lang w:val="en-US"/>
        </w:rPr>
        <w:t xml:space="preserve">: HPLC-DAD-MS/MS chromatograms of cannabinoids isolated from cannabis extracts, monitored at 210 nm. From top to bottom: CBN isolated from </w:t>
      </w:r>
      <w:r w:rsidR="006F3F27" w:rsidRPr="00071CA5">
        <w:rPr>
          <w:rFonts w:ascii="Arial" w:hAnsi="Arial" w:cs="Arial"/>
          <w:i w:val="0"/>
          <w:iCs w:val="0"/>
          <w:color w:val="auto"/>
          <w:sz w:val="22"/>
          <w:szCs w:val="22"/>
          <w:lang w:val="en-US"/>
        </w:rPr>
        <w:t>synthetically enriched extract; CBN isolated from cannabis plant extract; Δ</w:t>
      </w:r>
      <w:r w:rsidR="006F3F27" w:rsidRPr="00071CA5">
        <w:rPr>
          <w:rFonts w:ascii="Arial" w:hAnsi="Arial" w:cs="Arial"/>
          <w:i w:val="0"/>
          <w:iCs w:val="0"/>
          <w:color w:val="auto"/>
          <w:sz w:val="22"/>
          <w:szCs w:val="22"/>
          <w:vertAlign w:val="superscript"/>
          <w:lang w:val="en-US"/>
        </w:rPr>
        <w:t>9</w:t>
      </w:r>
      <w:r w:rsidR="006F3F27" w:rsidRPr="00071CA5">
        <w:rPr>
          <w:rFonts w:ascii="Arial" w:hAnsi="Arial" w:cs="Arial"/>
          <w:i w:val="0"/>
          <w:iCs w:val="0"/>
          <w:color w:val="auto"/>
          <w:sz w:val="22"/>
          <w:szCs w:val="22"/>
          <w:lang w:val="en-US"/>
        </w:rPr>
        <w:t>-THC isolated from cannabis plant extract; cannabis plant extract; cannabinoids standards</w:t>
      </w:r>
      <w:r w:rsidR="006F3F27">
        <w:rPr>
          <w:rFonts w:ascii="Arial" w:hAnsi="Arial" w:cs="Arial"/>
          <w:i w:val="0"/>
          <w:iCs w:val="0"/>
          <w:sz w:val="22"/>
          <w:szCs w:val="22"/>
          <w:lang w:val="en-US"/>
        </w:rPr>
        <w:t>.</w:t>
      </w:r>
    </w:p>
    <w:p w14:paraId="3B872D91" w14:textId="664EFD84" w:rsidR="006F3F27" w:rsidRDefault="006F3F27" w:rsidP="00527C60">
      <w:pPr>
        <w:spacing w:line="360" w:lineRule="auto"/>
        <w:ind w:firstLine="708"/>
        <w:jc w:val="both"/>
        <w:rPr>
          <w:lang w:val="en-US"/>
        </w:rPr>
      </w:pPr>
      <w:r w:rsidRPr="00391862">
        <w:rPr>
          <w:lang w:val="en-US"/>
        </w:rPr>
        <w:t xml:space="preserve">The ESI-MS spectra of the cannabinoids present in the </w:t>
      </w:r>
      <w:r>
        <w:rPr>
          <w:lang w:val="en-US"/>
        </w:rPr>
        <w:t>c</w:t>
      </w:r>
      <w:r w:rsidRPr="00391862">
        <w:rPr>
          <w:lang w:val="en-US"/>
        </w:rPr>
        <w:t>annabis CRM candidate showed the following diagnostic ions positive acquisition mode: CBN [M+H]</w:t>
      </w:r>
      <w:r w:rsidRPr="00391862">
        <w:rPr>
          <w:vertAlign w:val="superscript"/>
          <w:lang w:val="en-US"/>
        </w:rPr>
        <w:t>+</w:t>
      </w:r>
      <w:r w:rsidRPr="00391862">
        <w:rPr>
          <w:lang w:val="en-US"/>
        </w:rPr>
        <w:t xml:space="preserve"> (</w:t>
      </w:r>
      <w:r w:rsidRPr="00391862">
        <w:rPr>
          <w:i/>
          <w:lang w:val="en-US"/>
        </w:rPr>
        <w:t>m/z</w:t>
      </w:r>
      <w:r w:rsidRPr="00391862">
        <w:rPr>
          <w:lang w:val="en-US"/>
        </w:rPr>
        <w:t xml:space="preserve"> 311) and Δ</w:t>
      </w:r>
      <w:r w:rsidRPr="00391862">
        <w:rPr>
          <w:vertAlign w:val="superscript"/>
          <w:lang w:val="en-US"/>
        </w:rPr>
        <w:t>9</w:t>
      </w:r>
      <w:r w:rsidRPr="00391862">
        <w:rPr>
          <w:lang w:val="en-US"/>
        </w:rPr>
        <w:t>–THC [M+H]</w:t>
      </w:r>
      <w:r w:rsidRPr="00391862">
        <w:rPr>
          <w:vertAlign w:val="superscript"/>
          <w:lang w:val="en-US"/>
        </w:rPr>
        <w:t>+</w:t>
      </w:r>
      <w:r w:rsidRPr="00391862">
        <w:rPr>
          <w:lang w:val="en-US"/>
        </w:rPr>
        <w:t xml:space="preserve"> (</w:t>
      </w:r>
      <w:r w:rsidRPr="00391862">
        <w:rPr>
          <w:i/>
          <w:lang w:val="en-US"/>
        </w:rPr>
        <w:t>m/z</w:t>
      </w:r>
      <w:r w:rsidRPr="00391862">
        <w:rPr>
          <w:lang w:val="en-US"/>
        </w:rPr>
        <w:t xml:space="preserve"> 315). In the ESI-MS/MS analysis, CBN [M+H]</w:t>
      </w:r>
      <w:r w:rsidRPr="00391862">
        <w:rPr>
          <w:vertAlign w:val="superscript"/>
          <w:lang w:val="en-US"/>
        </w:rPr>
        <w:t>+</w:t>
      </w:r>
      <w:r w:rsidRPr="00391862">
        <w:rPr>
          <w:lang w:val="en-US"/>
        </w:rPr>
        <w:t xml:space="preserve"> </w:t>
      </w:r>
      <w:r w:rsidRPr="00391862">
        <w:rPr>
          <w:i/>
          <w:lang w:val="en-US"/>
        </w:rPr>
        <w:t>m/z</w:t>
      </w:r>
      <w:r w:rsidRPr="00391862">
        <w:rPr>
          <w:lang w:val="en-US"/>
        </w:rPr>
        <w:t xml:space="preserve"> 311 presented product ion </w:t>
      </w:r>
      <w:r w:rsidRPr="00391862">
        <w:rPr>
          <w:i/>
          <w:lang w:val="en-US"/>
        </w:rPr>
        <w:t>m/z</w:t>
      </w:r>
      <w:r w:rsidRPr="00391862">
        <w:rPr>
          <w:lang w:val="en-US"/>
        </w:rPr>
        <w:t xml:space="preserve"> 223 and Δ</w:t>
      </w:r>
      <w:r w:rsidRPr="00391862">
        <w:rPr>
          <w:vertAlign w:val="superscript"/>
          <w:lang w:val="en-US"/>
        </w:rPr>
        <w:t>9</w:t>
      </w:r>
      <w:r w:rsidRPr="00391862">
        <w:rPr>
          <w:lang w:val="en-US"/>
        </w:rPr>
        <w:t>-THC [M+H]</w:t>
      </w:r>
      <w:r w:rsidRPr="00391862">
        <w:rPr>
          <w:vertAlign w:val="superscript"/>
          <w:lang w:val="en-US"/>
        </w:rPr>
        <w:t>+</w:t>
      </w:r>
      <w:r w:rsidRPr="00391862">
        <w:rPr>
          <w:lang w:val="en-US"/>
        </w:rPr>
        <w:t xml:space="preserve"> </w:t>
      </w:r>
      <w:r w:rsidRPr="00391862">
        <w:rPr>
          <w:i/>
          <w:lang w:val="en-US"/>
        </w:rPr>
        <w:t>m/z</w:t>
      </w:r>
      <w:r w:rsidRPr="00391862">
        <w:rPr>
          <w:lang w:val="en-US"/>
        </w:rPr>
        <w:t xml:space="preserve"> 315 presented product ions </w:t>
      </w:r>
      <w:r w:rsidRPr="00320200">
        <w:rPr>
          <w:i/>
          <w:lang w:val="en-US"/>
        </w:rPr>
        <w:t>m/z</w:t>
      </w:r>
      <w:r w:rsidRPr="00391862">
        <w:rPr>
          <w:lang w:val="en-US"/>
        </w:rPr>
        <w:t xml:space="preserve"> 193 and </w:t>
      </w:r>
      <w:r w:rsidRPr="00320200">
        <w:rPr>
          <w:i/>
          <w:lang w:val="en-US"/>
        </w:rPr>
        <w:t>m/z</w:t>
      </w:r>
      <w:r w:rsidRPr="00391862">
        <w:rPr>
          <w:lang w:val="en-US"/>
        </w:rPr>
        <w:t xml:space="preserve"> 135, as illustrated in Figure </w:t>
      </w:r>
      <w:r w:rsidR="00071CA5">
        <w:rPr>
          <w:lang w:val="en-US"/>
        </w:rPr>
        <w:t>S</w:t>
      </w:r>
      <w:r>
        <w:rPr>
          <w:lang w:val="en-US"/>
        </w:rPr>
        <w:t>8</w:t>
      </w:r>
      <w:r w:rsidRPr="00391862">
        <w:rPr>
          <w:lang w:val="en-US"/>
        </w:rPr>
        <w:t>.</w:t>
      </w:r>
      <w:r>
        <w:rPr>
          <w:lang w:val="en-US"/>
        </w:rPr>
        <w:t xml:space="preserve"> </w:t>
      </w:r>
      <w:r w:rsidRPr="000646AE">
        <w:rPr>
          <w:lang w:val="en-US"/>
        </w:rPr>
        <w:t>The fragment</w:t>
      </w:r>
      <w:r>
        <w:rPr>
          <w:lang w:val="en-US"/>
        </w:rPr>
        <w:t xml:space="preserve">ation mechanisms of CBN and THC </w:t>
      </w:r>
      <w:r w:rsidRPr="000646AE">
        <w:rPr>
          <w:lang w:val="en-US"/>
        </w:rPr>
        <w:t>were</w:t>
      </w:r>
      <w:r>
        <w:rPr>
          <w:lang w:val="en-US"/>
        </w:rPr>
        <w:t xml:space="preserve"> </w:t>
      </w:r>
      <w:r w:rsidRPr="007217D6">
        <w:rPr>
          <w:lang w:val="en-US"/>
        </w:rPr>
        <w:t>elucidated following Citti et al</w:t>
      </w:r>
      <w:r>
        <w:rPr>
          <w:lang w:val="en-US"/>
        </w:rPr>
        <w:t xml:space="preserve"> </w:t>
      </w:r>
      <w:sdt>
        <w:sdtPr>
          <w:rPr>
            <w:color w:val="000000"/>
            <w:lang w:val="en-US"/>
          </w:rPr>
          <w:tag w:val="MENDELEY_CITATION_v3_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"/>
          <w:id w:val="2067443437"/>
          <w:placeholder>
            <w:docPart w:val="DefaultPlaceholder_-1854013440"/>
          </w:placeholder>
        </w:sdtPr>
        <w:sdtContent>
          <w:r w:rsidR="00FB0020" w:rsidRPr="00FB0020">
            <w:rPr>
              <w:color w:val="000000"/>
              <w:lang w:val="en-US"/>
            </w:rPr>
            <w:t>[7]</w:t>
          </w:r>
        </w:sdtContent>
      </w:sdt>
      <w:r w:rsidR="00FB0020">
        <w:rPr>
          <w:lang w:val="en-US"/>
        </w:rPr>
        <w:t>.</w:t>
      </w:r>
    </w:p>
    <w:p w14:paraId="29F0E502" w14:textId="263DFA88" w:rsidR="006F3F27" w:rsidRPr="00AA6FB1" w:rsidRDefault="006F3F27" w:rsidP="006F3F27">
      <w:pPr>
        <w:keepNext/>
        <w:spacing w:line="360" w:lineRule="auto"/>
        <w:ind w:firstLine="708"/>
        <w:jc w:val="both"/>
        <w:rPr>
          <w:lang w:val="en-US"/>
        </w:rPr>
      </w:pPr>
    </w:p>
    <w:p w14:paraId="1BCC8C62" w14:textId="4DB2F25C" w:rsidR="00542506" w:rsidRDefault="00542506" w:rsidP="00542506">
      <w:pPr>
        <w:keepNext/>
        <w:spacing w:line="360" w:lineRule="auto"/>
        <w:jc w:val="both"/>
      </w:pPr>
      <w:r>
        <w:rPr>
          <w:noProof/>
        </w:rPr>
        <w:drawing>
          <wp:inline distT="0" distB="0" distL="0" distR="0" wp14:anchorId="0455A564" wp14:editId="5C85A0B0">
            <wp:extent cx="5556402" cy="4836795"/>
            <wp:effectExtent l="0" t="0" r="0" b="0"/>
            <wp:docPr id="19796410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61812" cy="4841504"/>
                    </a:xfrm>
                    <a:prstGeom prst="rect">
                      <a:avLst/>
                    </a:prstGeom>
                    <a:noFill/>
                  </pic:spPr>
                </pic:pic>
              </a:graphicData>
            </a:graphic>
          </wp:inline>
        </w:drawing>
      </w:r>
    </w:p>
    <w:p w14:paraId="79EB5614" w14:textId="4A34F0DF" w:rsidR="006F3F27" w:rsidRPr="00AA6FB1" w:rsidRDefault="006F3F27" w:rsidP="006F3F27">
      <w:pPr>
        <w:pStyle w:val="Beschriftung"/>
        <w:spacing w:line="360" w:lineRule="auto"/>
        <w:jc w:val="center"/>
        <w:rPr>
          <w:rFonts w:ascii="Arial" w:hAnsi="Arial" w:cs="Arial"/>
          <w:i w:val="0"/>
          <w:iCs w:val="0"/>
          <w:color w:val="auto"/>
          <w:sz w:val="22"/>
          <w:szCs w:val="22"/>
          <w:lang w:val="en-US"/>
        </w:rPr>
      </w:pPr>
      <w:r w:rsidRPr="002B0B38">
        <w:rPr>
          <w:rFonts w:ascii="Arial" w:hAnsi="Arial" w:cs="Arial"/>
          <w:i w:val="0"/>
          <w:iCs w:val="0"/>
          <w:color w:val="auto"/>
          <w:sz w:val="22"/>
          <w:szCs w:val="22"/>
          <w:lang w:val="en-US"/>
        </w:rPr>
        <w:t xml:space="preserve">Figure </w:t>
      </w:r>
      <w:r w:rsidR="00071CA5">
        <w:rPr>
          <w:rFonts w:ascii="Arial" w:hAnsi="Arial" w:cs="Arial"/>
          <w:i w:val="0"/>
          <w:iCs w:val="0"/>
          <w:color w:val="auto"/>
          <w:sz w:val="22"/>
          <w:szCs w:val="22"/>
          <w:lang w:val="en-US"/>
        </w:rPr>
        <w:t>S</w:t>
      </w:r>
      <w:r w:rsidRPr="002B0B38">
        <w:rPr>
          <w:rFonts w:ascii="Arial" w:hAnsi="Arial" w:cs="Arial"/>
          <w:i w:val="0"/>
          <w:iCs w:val="0"/>
          <w:color w:val="auto"/>
          <w:sz w:val="22"/>
          <w:szCs w:val="22"/>
        </w:rPr>
        <w:fldChar w:fldCharType="begin"/>
      </w:r>
      <w:r w:rsidRPr="002B0B38">
        <w:rPr>
          <w:rFonts w:ascii="Arial" w:hAnsi="Arial" w:cs="Arial"/>
          <w:i w:val="0"/>
          <w:iCs w:val="0"/>
          <w:color w:val="auto"/>
          <w:sz w:val="22"/>
          <w:szCs w:val="22"/>
          <w:lang w:val="en-US"/>
        </w:rPr>
        <w:instrText xml:space="preserve"> SEQ Figure \* ARABIC </w:instrText>
      </w:r>
      <w:r w:rsidRPr="002B0B38">
        <w:rPr>
          <w:rFonts w:ascii="Arial" w:hAnsi="Arial" w:cs="Arial"/>
          <w:i w:val="0"/>
          <w:iCs w:val="0"/>
          <w:color w:val="auto"/>
          <w:sz w:val="22"/>
          <w:szCs w:val="22"/>
        </w:rPr>
        <w:fldChar w:fldCharType="separate"/>
      </w:r>
      <w:r w:rsidR="00567BED" w:rsidRPr="002B0B38">
        <w:rPr>
          <w:rFonts w:ascii="Arial" w:hAnsi="Arial" w:cs="Arial"/>
          <w:i w:val="0"/>
          <w:iCs w:val="0"/>
          <w:noProof/>
          <w:color w:val="auto"/>
          <w:sz w:val="22"/>
          <w:szCs w:val="22"/>
          <w:lang w:val="en-US"/>
        </w:rPr>
        <w:t>8</w:t>
      </w:r>
      <w:r w:rsidRPr="002B0B38">
        <w:rPr>
          <w:rFonts w:ascii="Arial" w:hAnsi="Arial" w:cs="Arial"/>
          <w:i w:val="0"/>
          <w:iCs w:val="0"/>
          <w:color w:val="auto"/>
          <w:sz w:val="22"/>
          <w:szCs w:val="22"/>
        </w:rPr>
        <w:fldChar w:fldCharType="end"/>
      </w:r>
      <w:r w:rsidRPr="002B0B38">
        <w:rPr>
          <w:rFonts w:ascii="Arial" w:hAnsi="Arial" w:cs="Arial"/>
          <w:i w:val="0"/>
          <w:iCs w:val="0"/>
          <w:color w:val="auto"/>
          <w:sz w:val="22"/>
          <w:szCs w:val="22"/>
          <w:lang w:val="en-US"/>
        </w:rPr>
        <w:t xml:space="preserve">:  ESI (+)-MS/MS fragmentation spectrum of CBN and </w:t>
      </w:r>
      <w:r w:rsidRPr="002B0B38">
        <w:rPr>
          <w:rFonts w:ascii="Arial" w:hAnsi="Arial" w:cs="Arial"/>
          <w:i w:val="0"/>
          <w:iCs w:val="0"/>
          <w:color w:val="auto"/>
          <w:sz w:val="22"/>
          <w:szCs w:val="22"/>
        </w:rPr>
        <w:t>Δ</w:t>
      </w:r>
      <w:r w:rsidRPr="002B0B38">
        <w:rPr>
          <w:rFonts w:ascii="Arial" w:hAnsi="Arial" w:cs="Arial"/>
          <w:i w:val="0"/>
          <w:iCs w:val="0"/>
          <w:color w:val="auto"/>
          <w:sz w:val="22"/>
          <w:szCs w:val="22"/>
          <w:lang w:val="en-US"/>
        </w:rPr>
        <w:t>9-THC in the Cannabis CRM candidate, CE 15 eV.</w:t>
      </w:r>
    </w:p>
    <w:p w14:paraId="0B7098D6" w14:textId="423EFC15" w:rsidR="002B0B38" w:rsidRPr="00AA6FB1" w:rsidRDefault="002B0B38" w:rsidP="002B0B38">
      <w:pPr>
        <w:rPr>
          <w:lang w:val="en-US" w:eastAsia="en-US"/>
        </w:rPr>
      </w:pPr>
    </w:p>
    <w:p w14:paraId="2BE84248" w14:textId="3FB082D3" w:rsidR="006F3F27" w:rsidRPr="006F3F27" w:rsidRDefault="006F3F27" w:rsidP="006F3F27">
      <w:pPr>
        <w:spacing w:line="360" w:lineRule="auto"/>
        <w:ind w:firstLine="708"/>
        <w:jc w:val="both"/>
        <w:rPr>
          <w:lang w:val="en-US"/>
        </w:rPr>
      </w:pPr>
      <w:r w:rsidRPr="006F3F27">
        <w:rPr>
          <w:lang w:val="en-US"/>
        </w:rPr>
        <w:t xml:space="preserve">Cannabinoids in the CRM candidates were </w:t>
      </w:r>
      <w:r>
        <w:rPr>
          <w:lang w:val="en-US"/>
        </w:rPr>
        <w:t xml:space="preserve">also </w:t>
      </w:r>
      <w:r w:rsidRPr="006F3F27">
        <w:rPr>
          <w:lang w:val="en-US"/>
        </w:rPr>
        <w:t xml:space="preserve">confirmed by </w:t>
      </w:r>
      <w:bookmarkStart w:id="23" w:name="_Hlk216789308"/>
      <w:r w:rsidRPr="006F3F27">
        <w:rPr>
          <w:lang w:val="en-US"/>
        </w:rPr>
        <w:t>HPLC–PDA–MS/MS using multiple reaction monitoring (MRM)</w:t>
      </w:r>
      <w:bookmarkEnd w:id="23"/>
      <w:r w:rsidRPr="006F3F27">
        <w:rPr>
          <w:lang w:val="en-US"/>
        </w:rPr>
        <w:t xml:space="preserve">. Two transitions were monitored for each analyte: CBN (m/z 311→223, CE 22 eV; m/z 311→241, CE 18 eV) and </w:t>
      </w:r>
      <w:r w:rsidRPr="006F3F27">
        <w:t>Δ</w:t>
      </w:r>
      <w:r w:rsidRPr="006F3F27">
        <w:rPr>
          <w:lang w:val="en-US"/>
        </w:rPr>
        <w:t xml:space="preserve">⁹-THC (m/z 315→193, CE 21 eV; m/z 315→135, CE 20 eV). Identification was achieved by comparison of retention times and MRM transitions with authentic cannabinoid standards (CBD, CBN, and </w:t>
      </w:r>
      <w:r w:rsidRPr="006F3F27">
        <w:t>Δ</w:t>
      </w:r>
      <w:r w:rsidRPr="006F3F27">
        <w:rPr>
          <w:lang w:val="en-US"/>
        </w:rPr>
        <w:t>⁹-THC).</w:t>
      </w:r>
    </w:p>
    <w:p w14:paraId="084391B6" w14:textId="393D5110" w:rsidR="006F3F27" w:rsidRDefault="006F3F27" w:rsidP="006F3F27">
      <w:pPr>
        <w:spacing w:line="360" w:lineRule="auto"/>
        <w:ind w:firstLine="708"/>
        <w:jc w:val="both"/>
        <w:rPr>
          <w:lang w:val="en-US"/>
        </w:rPr>
      </w:pPr>
      <w:r w:rsidRPr="006F3F27">
        <w:rPr>
          <w:lang w:val="en-US"/>
        </w:rPr>
        <w:t xml:space="preserve">MRM analysis </w:t>
      </w:r>
      <w:bookmarkStart w:id="24" w:name="_Hlk216789340"/>
      <w:r w:rsidRPr="006F3F27">
        <w:rPr>
          <w:lang w:val="en-US"/>
        </w:rPr>
        <w:t xml:space="preserve">detected trace amounts of </w:t>
      </w:r>
      <w:r w:rsidRPr="006F3F27">
        <w:t>Δ</w:t>
      </w:r>
      <w:r w:rsidRPr="006F3F27">
        <w:rPr>
          <w:lang w:val="en-US"/>
        </w:rPr>
        <w:t xml:space="preserve">⁹-THC in the CBN fraction isolated from cannabis </w:t>
      </w:r>
      <w:r>
        <w:rPr>
          <w:lang w:val="en-US"/>
        </w:rPr>
        <w:t xml:space="preserve">plant </w:t>
      </w:r>
      <w:r w:rsidRPr="006F3F27">
        <w:rPr>
          <w:lang w:val="en-US"/>
        </w:rPr>
        <w:t xml:space="preserve">extracts and trace amounts of CBN in the </w:t>
      </w:r>
      <w:r w:rsidRPr="006F3F27">
        <w:t>Δ</w:t>
      </w:r>
      <w:r w:rsidRPr="006F3F27">
        <w:rPr>
          <w:lang w:val="en-US"/>
        </w:rPr>
        <w:t xml:space="preserve">⁹-THC fraction, reflecting the similar polarity and chromatographic behavior of </w:t>
      </w:r>
      <w:r w:rsidR="001E3891" w:rsidRPr="006F3F27">
        <w:rPr>
          <w:lang w:val="en-US"/>
        </w:rPr>
        <w:t>Phyto cannabinoids</w:t>
      </w:r>
      <w:r w:rsidRPr="006F3F27">
        <w:rPr>
          <w:lang w:val="en-US"/>
        </w:rPr>
        <w:t xml:space="preserve">. In contrast, CBN obtained from </w:t>
      </w:r>
      <w:r w:rsidRPr="006F3F27">
        <w:t>Δ</w:t>
      </w:r>
      <w:r w:rsidRPr="006F3F27">
        <w:rPr>
          <w:lang w:val="en-US"/>
        </w:rPr>
        <w:t xml:space="preserve">⁹-THC-rich </w:t>
      </w:r>
      <w:r w:rsidRPr="006F3F27">
        <w:rPr>
          <w:i/>
          <w:iCs/>
          <w:lang w:val="en-US"/>
        </w:rPr>
        <w:t>Cannabis sativa</w:t>
      </w:r>
      <w:r w:rsidRPr="006F3F27">
        <w:rPr>
          <w:lang w:val="en-US"/>
        </w:rPr>
        <w:t xml:space="preserve"> extracts subjected to the optimized synthetic conversion showed no detectable </w:t>
      </w:r>
      <w:r w:rsidRPr="006F3F27">
        <w:t>Δ</w:t>
      </w:r>
      <w:r w:rsidRPr="006F3F27">
        <w:rPr>
          <w:lang w:val="en-US"/>
        </w:rPr>
        <w:t xml:space="preserve">⁹-THC or other impurities under the </w:t>
      </w:r>
      <w:r w:rsidRPr="006F3F27">
        <w:rPr>
          <w:lang w:val="en-US"/>
        </w:rPr>
        <w:lastRenderedPageBreak/>
        <w:t>conditions employed, demonstrating the advantage of producing CBN via controlled conversion of THC rather than direct isolation from the complex plant matrix.</w:t>
      </w:r>
      <w:bookmarkEnd w:id="24"/>
    </w:p>
    <w:p w14:paraId="61F4EF9A" w14:textId="77777777" w:rsidR="006F3F27" w:rsidRDefault="006F3F27" w:rsidP="006F3F27">
      <w:pPr>
        <w:keepNext/>
        <w:spacing w:line="360" w:lineRule="auto"/>
        <w:jc w:val="both"/>
      </w:pPr>
      <w:r w:rsidRPr="008103A8">
        <w:rPr>
          <w:noProof/>
        </w:rPr>
        <w:drawing>
          <wp:inline distT="0" distB="0" distL="0" distR="0" wp14:anchorId="2868CA30" wp14:editId="6D462EDE">
            <wp:extent cx="5400040" cy="4853464"/>
            <wp:effectExtent l="0" t="0" r="0" b="4445"/>
            <wp:docPr id="2" name="Imagem 2"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O conteúdo gerado por IA pode estar incorreto."/>
                    <pic:cNvPicPr/>
                  </pic:nvPicPr>
                  <pic:blipFill>
                    <a:blip r:embed="rId23"/>
                    <a:stretch>
                      <a:fillRect/>
                    </a:stretch>
                  </pic:blipFill>
                  <pic:spPr>
                    <a:xfrm>
                      <a:off x="0" y="0"/>
                      <a:ext cx="5400040" cy="4853464"/>
                    </a:xfrm>
                    <a:prstGeom prst="rect">
                      <a:avLst/>
                    </a:prstGeom>
                  </pic:spPr>
                </pic:pic>
              </a:graphicData>
            </a:graphic>
          </wp:inline>
        </w:drawing>
      </w:r>
    </w:p>
    <w:p w14:paraId="459A33BE" w14:textId="7DE43D7B" w:rsidR="006F3F27" w:rsidRPr="006F3F27" w:rsidRDefault="006F3F27" w:rsidP="0085066D">
      <w:pPr>
        <w:pStyle w:val="Beschriftung"/>
        <w:spacing w:line="360" w:lineRule="auto"/>
        <w:jc w:val="center"/>
        <w:rPr>
          <w:rFonts w:ascii="Arial" w:hAnsi="Arial" w:cs="Arial"/>
          <w:i w:val="0"/>
          <w:iCs w:val="0"/>
          <w:color w:val="auto"/>
          <w:sz w:val="22"/>
          <w:szCs w:val="22"/>
          <w:lang w:val="en-US"/>
        </w:rPr>
      </w:pPr>
      <w:r w:rsidRPr="009077DA">
        <w:rPr>
          <w:rFonts w:ascii="Arial" w:hAnsi="Arial" w:cs="Arial"/>
          <w:i w:val="0"/>
          <w:iCs w:val="0"/>
          <w:color w:val="auto"/>
          <w:sz w:val="22"/>
          <w:szCs w:val="22"/>
          <w:lang w:val="en-US"/>
        </w:rPr>
        <w:t xml:space="preserve">Figure </w:t>
      </w:r>
      <w:r w:rsidR="00071CA5">
        <w:rPr>
          <w:rFonts w:ascii="Arial" w:hAnsi="Arial" w:cs="Arial"/>
          <w:i w:val="0"/>
          <w:iCs w:val="0"/>
          <w:color w:val="auto"/>
          <w:sz w:val="22"/>
          <w:szCs w:val="22"/>
          <w:lang w:val="en-US"/>
        </w:rPr>
        <w:t>S</w:t>
      </w:r>
      <w:r w:rsidRPr="009077DA">
        <w:rPr>
          <w:rFonts w:ascii="Arial" w:hAnsi="Arial" w:cs="Arial"/>
          <w:i w:val="0"/>
          <w:iCs w:val="0"/>
          <w:color w:val="auto"/>
          <w:sz w:val="22"/>
          <w:szCs w:val="22"/>
        </w:rPr>
        <w:fldChar w:fldCharType="begin"/>
      </w:r>
      <w:r w:rsidRPr="009077DA">
        <w:rPr>
          <w:rFonts w:ascii="Arial" w:hAnsi="Arial" w:cs="Arial"/>
          <w:i w:val="0"/>
          <w:iCs w:val="0"/>
          <w:color w:val="auto"/>
          <w:sz w:val="22"/>
          <w:szCs w:val="22"/>
          <w:lang w:val="en-US"/>
        </w:rPr>
        <w:instrText xml:space="preserve"> SEQ Figure \* ARABIC </w:instrText>
      </w:r>
      <w:r w:rsidRPr="009077DA">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9</w:t>
      </w:r>
      <w:r w:rsidRPr="009077DA">
        <w:rPr>
          <w:rFonts w:ascii="Arial" w:hAnsi="Arial" w:cs="Arial"/>
          <w:i w:val="0"/>
          <w:iCs w:val="0"/>
          <w:color w:val="auto"/>
          <w:sz w:val="22"/>
          <w:szCs w:val="22"/>
        </w:rPr>
        <w:fldChar w:fldCharType="end"/>
      </w:r>
      <w:r w:rsidRPr="009077DA">
        <w:rPr>
          <w:rFonts w:ascii="Arial" w:hAnsi="Arial" w:cs="Arial"/>
          <w:i w:val="0"/>
          <w:iCs w:val="0"/>
          <w:color w:val="auto"/>
          <w:sz w:val="22"/>
          <w:szCs w:val="22"/>
          <w:lang w:val="en-US"/>
        </w:rPr>
        <w:t xml:space="preserve">: HPLC-PDA-MS/MS ion chromatogram using MRM method monitoring the transition ions (CBN m/z 311→m/z 223; </w:t>
      </w:r>
      <w:r w:rsidRPr="009077DA">
        <w:rPr>
          <w:rFonts w:ascii="Arial" w:hAnsi="Arial" w:cs="Arial"/>
          <w:i w:val="0"/>
          <w:iCs w:val="0"/>
          <w:color w:val="auto"/>
          <w:sz w:val="22"/>
          <w:szCs w:val="22"/>
        </w:rPr>
        <w:t>Δ</w:t>
      </w:r>
      <w:r w:rsidRPr="009077DA">
        <w:rPr>
          <w:rFonts w:ascii="Arial" w:hAnsi="Arial" w:cs="Arial"/>
          <w:i w:val="0"/>
          <w:iCs w:val="0"/>
          <w:color w:val="auto"/>
          <w:sz w:val="22"/>
          <w:szCs w:val="22"/>
          <w:lang w:val="en-US"/>
        </w:rPr>
        <w:t xml:space="preserve">9-THC m/z 315→ m/z 135), to identify cannabinoids in MRC candidates. </w:t>
      </w:r>
      <w:r w:rsidR="009077DA" w:rsidRPr="009077DA">
        <w:rPr>
          <w:rFonts w:ascii="Arial" w:hAnsi="Arial" w:cs="Arial"/>
          <w:i w:val="0"/>
          <w:iCs w:val="0"/>
          <w:color w:val="auto"/>
          <w:sz w:val="22"/>
          <w:szCs w:val="22"/>
          <w:lang w:val="en-US"/>
        </w:rPr>
        <w:t>(</w:t>
      </w:r>
      <w:r w:rsidRPr="009077DA">
        <w:rPr>
          <w:rFonts w:ascii="Arial" w:hAnsi="Arial" w:cs="Arial"/>
          <w:i w:val="0"/>
          <w:iCs w:val="0"/>
          <w:color w:val="auto"/>
          <w:sz w:val="22"/>
          <w:szCs w:val="22"/>
          <w:lang w:val="en-US"/>
        </w:rPr>
        <w:t>a) CBN obtained from Δ9–THC-rich extract; (b) CBN isolated from cannabis; (c) Δ</w:t>
      </w:r>
      <w:r w:rsidRPr="009077DA">
        <w:rPr>
          <w:rFonts w:ascii="Arial" w:hAnsi="Arial" w:cs="Arial"/>
          <w:i w:val="0"/>
          <w:iCs w:val="0"/>
          <w:color w:val="auto"/>
          <w:sz w:val="22"/>
          <w:szCs w:val="22"/>
          <w:vertAlign w:val="superscript"/>
          <w:lang w:val="en-US"/>
        </w:rPr>
        <w:t>9</w:t>
      </w:r>
      <w:r w:rsidRPr="009077DA">
        <w:rPr>
          <w:rFonts w:ascii="Arial" w:hAnsi="Arial" w:cs="Arial"/>
          <w:i w:val="0"/>
          <w:iCs w:val="0"/>
          <w:color w:val="auto"/>
          <w:sz w:val="22"/>
          <w:szCs w:val="22"/>
          <w:lang w:val="en-US"/>
        </w:rPr>
        <w:t>-THC isolated from cannabis; (d) cannabinoid standards</w:t>
      </w:r>
    </w:p>
    <w:p w14:paraId="4E36D60B" w14:textId="77777777" w:rsidR="006F3F27" w:rsidRDefault="006F3F27" w:rsidP="00527C60">
      <w:pPr>
        <w:spacing w:line="360" w:lineRule="auto"/>
        <w:ind w:firstLine="708"/>
        <w:jc w:val="both"/>
        <w:rPr>
          <w:lang w:val="en-US"/>
        </w:rPr>
      </w:pPr>
    </w:p>
    <w:p w14:paraId="6A23C676" w14:textId="38179C02" w:rsidR="00527C60" w:rsidRDefault="00F20C7A" w:rsidP="00466613">
      <w:pPr>
        <w:spacing w:line="360" w:lineRule="auto"/>
        <w:ind w:firstLine="708"/>
        <w:jc w:val="both"/>
        <w:rPr>
          <w:lang w:val="en-US"/>
        </w:rPr>
      </w:pPr>
      <w:r w:rsidRPr="00F20C7A">
        <w:rPr>
          <w:lang w:val="en-US"/>
        </w:rPr>
        <w:t xml:space="preserve">Cannabinoids CRM candidates in isolates obtained from synthetic material and plant sources, were confirmed by quantitative </w:t>
      </w:r>
      <w:r>
        <w:rPr>
          <w:vertAlign w:val="superscript"/>
          <w:lang w:val="en-US"/>
        </w:rPr>
        <w:t>1</w:t>
      </w:r>
      <w:r w:rsidRPr="00F20C7A">
        <w:rPr>
          <w:lang w:val="en-US"/>
        </w:rPr>
        <w:t>H NMR using external calibration by the PULCON method</w:t>
      </w:r>
      <w:r>
        <w:rPr>
          <w:lang w:val="en-US"/>
        </w:rPr>
        <w:t>.</w:t>
      </w:r>
      <w:r w:rsidRPr="00F20C7A">
        <w:rPr>
          <w:lang w:val="en-US"/>
        </w:rPr>
        <w:t xml:space="preserve"> The characteristic chemical shifts (</w:t>
      </w:r>
      <w:r w:rsidRPr="00F20C7A">
        <w:t>δ</w:t>
      </w:r>
      <w:r w:rsidRPr="00F20C7A">
        <w:rPr>
          <w:lang w:val="en-US"/>
        </w:rPr>
        <w:t xml:space="preserve">, ppm) corresponding to CBN and </w:t>
      </w:r>
      <w:r w:rsidRPr="00F20C7A">
        <w:t>Δ</w:t>
      </w:r>
      <w:r w:rsidRPr="00F20C7A">
        <w:rPr>
          <w:lang w:val="en-US"/>
        </w:rPr>
        <w:t xml:space="preserve">⁹-THC were assigned in accordance with reported </w:t>
      </w:r>
      <w:r w:rsidRPr="000B00AC">
        <w:rPr>
          <w:lang w:val="en-US"/>
        </w:rPr>
        <w:t>values[8]. Representative</w:t>
      </w:r>
      <w:r w:rsidRPr="00F20C7A">
        <w:rPr>
          <w:lang w:val="en-US"/>
        </w:rPr>
        <w:t xml:space="preserve"> </w:t>
      </w:r>
      <w:r>
        <w:rPr>
          <w:vertAlign w:val="superscript"/>
          <w:lang w:val="en-US"/>
        </w:rPr>
        <w:t>1</w:t>
      </w:r>
      <w:r w:rsidRPr="00F20C7A">
        <w:rPr>
          <w:lang w:val="en-US"/>
        </w:rPr>
        <w:t xml:space="preserve">H qNMR spectra of plant-based CRM candidates and isolated cannabinoids are shown in Figure </w:t>
      </w:r>
      <w:r w:rsidR="00071CA5">
        <w:rPr>
          <w:lang w:val="en-US"/>
        </w:rPr>
        <w:t>S</w:t>
      </w:r>
      <w:r w:rsidRPr="00F20C7A">
        <w:rPr>
          <w:lang w:val="en-US"/>
        </w:rPr>
        <w:t>1</w:t>
      </w:r>
      <w:r>
        <w:rPr>
          <w:lang w:val="en-US"/>
        </w:rPr>
        <w:t>0.</w:t>
      </w:r>
      <w:r w:rsidR="00466613" w:rsidRPr="00391862">
        <w:rPr>
          <w:lang w:val="en-US"/>
        </w:rPr>
        <w:t xml:space="preserve"> </w:t>
      </w:r>
    </w:p>
    <w:p w14:paraId="7D541A54" w14:textId="6D80DC7C" w:rsidR="00836712" w:rsidRDefault="00EF5BCA" w:rsidP="00836712">
      <w:pPr>
        <w:keepNext/>
        <w:spacing w:line="360" w:lineRule="auto"/>
        <w:jc w:val="center"/>
      </w:pPr>
      <w:r>
        <w:rPr>
          <w:noProof/>
        </w:rPr>
        <w:lastRenderedPageBreak/>
        <w:drawing>
          <wp:inline distT="0" distB="0" distL="0" distR="0" wp14:anchorId="0485EFE1" wp14:editId="00948D67">
            <wp:extent cx="5353010" cy="3937635"/>
            <wp:effectExtent l="0" t="0" r="635" b="5715"/>
            <wp:docPr id="7865643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66876" cy="3947834"/>
                    </a:xfrm>
                    <a:prstGeom prst="rect">
                      <a:avLst/>
                    </a:prstGeom>
                    <a:noFill/>
                  </pic:spPr>
                </pic:pic>
              </a:graphicData>
            </a:graphic>
          </wp:inline>
        </w:drawing>
      </w:r>
    </w:p>
    <w:p w14:paraId="546B79FD" w14:textId="5FE5B821" w:rsidR="00836712" w:rsidRPr="00AA6FB1" w:rsidRDefault="00836712" w:rsidP="0085066D">
      <w:pPr>
        <w:pStyle w:val="Beschriftung"/>
        <w:spacing w:line="360" w:lineRule="auto"/>
        <w:jc w:val="center"/>
        <w:rPr>
          <w:rFonts w:ascii="Arial" w:hAnsi="Arial" w:cs="Arial"/>
          <w:i w:val="0"/>
          <w:iCs w:val="0"/>
          <w:color w:val="auto"/>
          <w:sz w:val="22"/>
          <w:szCs w:val="22"/>
          <w:lang w:val="en-US"/>
        </w:rPr>
      </w:pPr>
      <w:r w:rsidRPr="0090525D">
        <w:rPr>
          <w:rFonts w:ascii="Arial" w:hAnsi="Arial" w:cs="Arial"/>
          <w:i w:val="0"/>
          <w:iCs w:val="0"/>
          <w:color w:val="auto"/>
          <w:sz w:val="22"/>
          <w:szCs w:val="22"/>
          <w:lang w:val="en-US"/>
        </w:rPr>
        <w:t xml:space="preserve">Figure </w:t>
      </w:r>
      <w:r w:rsidR="00071CA5">
        <w:rPr>
          <w:rFonts w:ascii="Arial" w:hAnsi="Arial" w:cs="Arial"/>
          <w:i w:val="0"/>
          <w:iCs w:val="0"/>
          <w:color w:val="auto"/>
          <w:sz w:val="22"/>
          <w:szCs w:val="22"/>
          <w:lang w:val="en-US"/>
        </w:rPr>
        <w:t>S</w:t>
      </w:r>
      <w:r w:rsidRPr="0090525D">
        <w:rPr>
          <w:rFonts w:ascii="Arial" w:hAnsi="Arial" w:cs="Arial"/>
          <w:i w:val="0"/>
          <w:iCs w:val="0"/>
          <w:color w:val="auto"/>
          <w:sz w:val="22"/>
          <w:szCs w:val="22"/>
        </w:rPr>
        <w:fldChar w:fldCharType="begin"/>
      </w:r>
      <w:r w:rsidRPr="0090525D">
        <w:rPr>
          <w:rFonts w:ascii="Arial" w:hAnsi="Arial" w:cs="Arial"/>
          <w:i w:val="0"/>
          <w:iCs w:val="0"/>
          <w:color w:val="auto"/>
          <w:sz w:val="22"/>
          <w:szCs w:val="22"/>
          <w:lang w:val="en-US"/>
        </w:rPr>
        <w:instrText xml:space="preserve"> SEQ Figure \* ARABIC </w:instrText>
      </w:r>
      <w:r w:rsidRPr="0090525D">
        <w:rPr>
          <w:rFonts w:ascii="Arial" w:hAnsi="Arial" w:cs="Arial"/>
          <w:i w:val="0"/>
          <w:iCs w:val="0"/>
          <w:color w:val="auto"/>
          <w:sz w:val="22"/>
          <w:szCs w:val="22"/>
        </w:rPr>
        <w:fldChar w:fldCharType="separate"/>
      </w:r>
      <w:r w:rsidR="00567BED">
        <w:rPr>
          <w:rFonts w:ascii="Arial" w:hAnsi="Arial" w:cs="Arial"/>
          <w:i w:val="0"/>
          <w:iCs w:val="0"/>
          <w:noProof/>
          <w:color w:val="auto"/>
          <w:sz w:val="22"/>
          <w:szCs w:val="22"/>
          <w:lang w:val="en-US"/>
        </w:rPr>
        <w:t>10</w:t>
      </w:r>
      <w:r w:rsidRPr="0090525D">
        <w:rPr>
          <w:rFonts w:ascii="Arial" w:hAnsi="Arial" w:cs="Arial"/>
          <w:i w:val="0"/>
          <w:iCs w:val="0"/>
          <w:color w:val="auto"/>
          <w:sz w:val="22"/>
          <w:szCs w:val="22"/>
        </w:rPr>
        <w:fldChar w:fldCharType="end"/>
      </w:r>
      <w:r w:rsidRPr="0090525D">
        <w:rPr>
          <w:rFonts w:ascii="Arial" w:hAnsi="Arial" w:cs="Arial"/>
          <w:i w:val="0"/>
          <w:iCs w:val="0"/>
          <w:color w:val="auto"/>
          <w:sz w:val="22"/>
          <w:szCs w:val="22"/>
          <w:lang w:val="en-US"/>
        </w:rPr>
        <w:t xml:space="preserve">: </w:t>
      </w:r>
      <w:r w:rsidRPr="0090525D">
        <w:rPr>
          <w:rFonts w:ascii="Arial" w:hAnsi="Arial" w:cs="Arial"/>
          <w:i w:val="0"/>
          <w:iCs w:val="0"/>
          <w:color w:val="auto"/>
          <w:sz w:val="22"/>
          <w:szCs w:val="22"/>
          <w:vertAlign w:val="superscript"/>
          <w:lang w:val="en-US"/>
        </w:rPr>
        <w:t>1</w:t>
      </w:r>
      <w:r w:rsidRPr="0090525D">
        <w:rPr>
          <w:rFonts w:ascii="Arial" w:hAnsi="Arial" w:cs="Arial"/>
          <w:i w:val="0"/>
          <w:iCs w:val="0"/>
          <w:color w:val="auto"/>
          <w:sz w:val="22"/>
          <w:szCs w:val="22"/>
          <w:lang w:val="en-US"/>
        </w:rPr>
        <w:t>H NMR spectra (500 MHz, CDCl</w:t>
      </w:r>
      <w:r w:rsidRPr="003C73A9">
        <w:rPr>
          <w:rFonts w:ascii="Arial" w:hAnsi="Arial" w:cs="Arial"/>
          <w:i w:val="0"/>
          <w:iCs w:val="0"/>
          <w:color w:val="auto"/>
          <w:sz w:val="22"/>
          <w:szCs w:val="22"/>
          <w:vertAlign w:val="subscript"/>
          <w:lang w:val="en-US"/>
        </w:rPr>
        <w:t>3</w:t>
      </w:r>
      <w:r w:rsidRPr="0090525D">
        <w:rPr>
          <w:rFonts w:ascii="Arial" w:hAnsi="Arial" w:cs="Arial"/>
          <w:i w:val="0"/>
          <w:iCs w:val="0"/>
          <w:color w:val="auto"/>
          <w:sz w:val="22"/>
          <w:szCs w:val="22"/>
          <w:lang w:val="en-US"/>
        </w:rPr>
        <w:t>) of the CRM candidates.</w:t>
      </w:r>
      <w:r w:rsidR="0090525D" w:rsidRPr="0090525D">
        <w:rPr>
          <w:rFonts w:ascii="Arial" w:hAnsi="Arial" w:cs="Arial"/>
          <w:i w:val="0"/>
          <w:iCs w:val="0"/>
          <w:color w:val="auto"/>
          <w:sz w:val="22"/>
          <w:szCs w:val="22"/>
          <w:lang w:val="en-US"/>
        </w:rPr>
        <w:t xml:space="preserve"> Top left: CBN obtained from conversion of Δ</w:t>
      </w:r>
      <w:r w:rsidR="0090525D" w:rsidRPr="0090525D">
        <w:rPr>
          <w:rFonts w:ascii="Arial" w:hAnsi="Arial" w:cs="Arial"/>
          <w:i w:val="0"/>
          <w:iCs w:val="0"/>
          <w:color w:val="auto"/>
          <w:sz w:val="22"/>
          <w:szCs w:val="22"/>
          <w:vertAlign w:val="superscript"/>
          <w:lang w:val="en-US"/>
        </w:rPr>
        <w:t>9</w:t>
      </w:r>
      <w:r w:rsidR="0090525D" w:rsidRPr="0090525D">
        <w:rPr>
          <w:rFonts w:ascii="Arial" w:hAnsi="Arial" w:cs="Arial"/>
          <w:i w:val="0"/>
          <w:iCs w:val="0"/>
          <w:color w:val="auto"/>
          <w:sz w:val="22"/>
          <w:szCs w:val="22"/>
          <w:lang w:val="en-US"/>
        </w:rPr>
        <w:t>-THC in plant extract; top right: Δ</w:t>
      </w:r>
      <w:r w:rsidR="0090525D" w:rsidRPr="0090525D">
        <w:rPr>
          <w:rFonts w:ascii="Arial" w:hAnsi="Arial" w:cs="Arial"/>
          <w:i w:val="0"/>
          <w:iCs w:val="0"/>
          <w:color w:val="auto"/>
          <w:sz w:val="22"/>
          <w:szCs w:val="22"/>
          <w:vertAlign w:val="superscript"/>
          <w:lang w:val="en-US"/>
        </w:rPr>
        <w:t>9</w:t>
      </w:r>
      <w:r w:rsidR="0090525D" w:rsidRPr="0090525D">
        <w:rPr>
          <w:rFonts w:ascii="Arial" w:hAnsi="Arial" w:cs="Arial"/>
          <w:i w:val="0"/>
          <w:iCs w:val="0"/>
          <w:color w:val="auto"/>
          <w:sz w:val="22"/>
          <w:szCs w:val="22"/>
          <w:lang w:val="en-US"/>
        </w:rPr>
        <w:t>-THC isolated from cannabis plant extract; bottom: cannabis plant extract. Chemical shifts for CBN: (a) δ 8.15 ppm (1H, s); (b)  δ 6.44 ppm (1H, d); chemical shifts for Δ</w:t>
      </w:r>
      <w:r w:rsidR="0090525D" w:rsidRPr="0090525D">
        <w:rPr>
          <w:rFonts w:ascii="Arial" w:hAnsi="Arial" w:cs="Arial"/>
          <w:i w:val="0"/>
          <w:iCs w:val="0"/>
          <w:color w:val="auto"/>
          <w:sz w:val="22"/>
          <w:szCs w:val="22"/>
          <w:vertAlign w:val="superscript"/>
          <w:lang w:val="en-US"/>
        </w:rPr>
        <w:t>9</w:t>
      </w:r>
      <w:r w:rsidR="0090525D" w:rsidRPr="0090525D">
        <w:rPr>
          <w:rFonts w:ascii="Arial" w:hAnsi="Arial" w:cs="Arial"/>
          <w:i w:val="0"/>
          <w:iCs w:val="0"/>
          <w:color w:val="auto"/>
          <w:sz w:val="22"/>
          <w:szCs w:val="22"/>
          <w:lang w:val="en-US"/>
        </w:rPr>
        <w:t>-THC: (c) δ 6.14 ppm (1H, d); (d) δ 3.20 ppm (1H, dm).</w:t>
      </w:r>
    </w:p>
    <w:p w14:paraId="34957CC6" w14:textId="5F77A13C" w:rsidR="00130A17" w:rsidRPr="00AA6FB1" w:rsidRDefault="00130A17" w:rsidP="00130A17">
      <w:pPr>
        <w:spacing w:before="240" w:after="240"/>
        <w:jc w:val="both"/>
        <w:rPr>
          <w:lang w:val="en-US"/>
        </w:rPr>
      </w:pPr>
    </w:p>
    <w:p w14:paraId="67318C13" w14:textId="3E00E4D5" w:rsidR="00130A17" w:rsidRPr="00130A17" w:rsidRDefault="00130A17" w:rsidP="00130A17">
      <w:pPr>
        <w:pStyle w:val="Beschriftung"/>
        <w:keepNext/>
        <w:jc w:val="center"/>
        <w:rPr>
          <w:rFonts w:ascii="Arial" w:hAnsi="Arial" w:cs="Arial"/>
          <w:i w:val="0"/>
          <w:iCs w:val="0"/>
          <w:color w:val="auto"/>
          <w:sz w:val="22"/>
          <w:szCs w:val="22"/>
          <w:lang w:val="en-US"/>
        </w:rPr>
      </w:pPr>
      <w:r w:rsidRPr="00130A17">
        <w:rPr>
          <w:rFonts w:ascii="Arial" w:hAnsi="Arial" w:cs="Arial"/>
          <w:i w:val="0"/>
          <w:iCs w:val="0"/>
          <w:color w:val="auto"/>
          <w:sz w:val="22"/>
          <w:szCs w:val="22"/>
          <w:lang w:val="en-US"/>
        </w:rPr>
        <w:t xml:space="preserve">Table </w:t>
      </w:r>
      <w:r w:rsidR="00071CA5">
        <w:rPr>
          <w:rFonts w:ascii="Arial" w:hAnsi="Arial" w:cs="Arial"/>
          <w:i w:val="0"/>
          <w:iCs w:val="0"/>
          <w:color w:val="auto"/>
          <w:sz w:val="22"/>
          <w:szCs w:val="22"/>
          <w:lang w:val="en-US"/>
        </w:rPr>
        <w:t>S</w:t>
      </w:r>
      <w:r w:rsidRPr="00130A17">
        <w:rPr>
          <w:rFonts w:ascii="Arial" w:hAnsi="Arial" w:cs="Arial"/>
          <w:i w:val="0"/>
          <w:iCs w:val="0"/>
          <w:color w:val="auto"/>
          <w:sz w:val="22"/>
          <w:szCs w:val="22"/>
        </w:rPr>
        <w:fldChar w:fldCharType="begin"/>
      </w:r>
      <w:r w:rsidRPr="00130A17">
        <w:rPr>
          <w:rFonts w:ascii="Arial" w:hAnsi="Arial" w:cs="Arial"/>
          <w:i w:val="0"/>
          <w:iCs w:val="0"/>
          <w:color w:val="auto"/>
          <w:sz w:val="22"/>
          <w:szCs w:val="22"/>
          <w:lang w:val="en-US"/>
        </w:rPr>
        <w:instrText xml:space="preserve"> SEQ Table \* ARABIC </w:instrText>
      </w:r>
      <w:r w:rsidRPr="00130A17">
        <w:rPr>
          <w:rFonts w:ascii="Arial" w:hAnsi="Arial" w:cs="Arial"/>
          <w:i w:val="0"/>
          <w:iCs w:val="0"/>
          <w:color w:val="auto"/>
          <w:sz w:val="22"/>
          <w:szCs w:val="22"/>
        </w:rPr>
        <w:fldChar w:fldCharType="separate"/>
      </w:r>
      <w:r w:rsidRPr="00130A17">
        <w:rPr>
          <w:rFonts w:ascii="Arial" w:hAnsi="Arial" w:cs="Arial"/>
          <w:i w:val="0"/>
          <w:iCs w:val="0"/>
          <w:noProof/>
          <w:color w:val="auto"/>
          <w:sz w:val="22"/>
          <w:szCs w:val="22"/>
          <w:lang w:val="en-US"/>
        </w:rPr>
        <w:t>5</w:t>
      </w:r>
      <w:r w:rsidRPr="00130A17">
        <w:rPr>
          <w:rFonts w:ascii="Arial" w:hAnsi="Arial" w:cs="Arial"/>
          <w:i w:val="0"/>
          <w:iCs w:val="0"/>
          <w:color w:val="auto"/>
          <w:sz w:val="22"/>
          <w:szCs w:val="22"/>
        </w:rPr>
        <w:fldChar w:fldCharType="end"/>
      </w:r>
      <w:r w:rsidRPr="00130A17">
        <w:rPr>
          <w:rFonts w:ascii="Arial" w:hAnsi="Arial" w:cs="Arial"/>
          <w:i w:val="0"/>
          <w:iCs w:val="0"/>
          <w:color w:val="auto"/>
          <w:sz w:val="22"/>
          <w:szCs w:val="22"/>
          <w:lang w:val="en-US"/>
        </w:rPr>
        <w:t xml:space="preserve">: Characterization of Cannabis CRM candidate by </w:t>
      </w:r>
      <w:r w:rsidRPr="00130A17">
        <w:rPr>
          <w:rFonts w:ascii="Arial" w:hAnsi="Arial" w:cs="Arial"/>
          <w:i w:val="0"/>
          <w:iCs w:val="0"/>
          <w:color w:val="auto"/>
          <w:sz w:val="22"/>
          <w:szCs w:val="22"/>
          <w:vertAlign w:val="superscript"/>
          <w:lang w:val="en-US"/>
        </w:rPr>
        <w:t>1</w:t>
      </w:r>
      <w:r w:rsidRPr="00130A17">
        <w:rPr>
          <w:rFonts w:ascii="Arial" w:hAnsi="Arial" w:cs="Arial"/>
          <w:i w:val="0"/>
          <w:iCs w:val="0"/>
          <w:color w:val="auto"/>
          <w:sz w:val="22"/>
          <w:szCs w:val="22"/>
          <w:lang w:val="en-US"/>
        </w:rPr>
        <w:t>H-qNMR.</w:t>
      </w:r>
    </w:p>
    <w:tbl>
      <w:tblPr>
        <w:tblStyle w:val="Tabellenraster"/>
        <w:tblW w:w="8642" w:type="dxa"/>
        <w:jc w:val="center"/>
        <w:tblLook w:val="04A0" w:firstRow="1" w:lastRow="0" w:firstColumn="1" w:lastColumn="0" w:noHBand="0" w:noVBand="1"/>
      </w:tblPr>
      <w:tblGrid>
        <w:gridCol w:w="1476"/>
        <w:gridCol w:w="1638"/>
        <w:gridCol w:w="1984"/>
        <w:gridCol w:w="1701"/>
        <w:gridCol w:w="1843"/>
      </w:tblGrid>
      <w:tr w:rsidR="00130A17" w:rsidRPr="007A61FF" w14:paraId="11CC295F" w14:textId="77777777" w:rsidTr="00130A17">
        <w:trPr>
          <w:trHeight w:val="1185"/>
          <w:jc w:val="center"/>
        </w:trPr>
        <w:tc>
          <w:tcPr>
            <w:tcW w:w="1476" w:type="dxa"/>
            <w:noWrap/>
            <w:vAlign w:val="center"/>
            <w:hideMark/>
          </w:tcPr>
          <w:p w14:paraId="65E083C1" w14:textId="77777777" w:rsidR="00130A17" w:rsidRDefault="00130A17" w:rsidP="00CF01F6">
            <w:pPr>
              <w:jc w:val="center"/>
              <w:rPr>
                <w:rFonts w:eastAsia="Times New Roman"/>
                <w:b/>
                <w:bCs/>
              </w:rPr>
            </w:pPr>
            <w:r w:rsidRPr="00C614B1">
              <w:rPr>
                <w:rFonts w:eastAsia="Times New Roman"/>
                <w:b/>
                <w:bCs/>
              </w:rPr>
              <w:t>Cannabis</w:t>
            </w:r>
          </w:p>
          <w:p w14:paraId="712B7C6B" w14:textId="77777777" w:rsidR="00130A17" w:rsidRPr="00544CDE" w:rsidRDefault="00130A17" w:rsidP="00CF01F6">
            <w:pPr>
              <w:jc w:val="center"/>
              <w:rPr>
                <w:rFonts w:eastAsia="Times New Roman"/>
                <w:b/>
                <w:bCs/>
              </w:rPr>
            </w:pPr>
            <w:r>
              <w:rPr>
                <w:rFonts w:eastAsia="Times New Roman"/>
                <w:b/>
                <w:bCs/>
              </w:rPr>
              <w:t>Extract</w:t>
            </w:r>
          </w:p>
          <w:p w14:paraId="2C5117FF" w14:textId="77777777" w:rsidR="00130A17" w:rsidRPr="00544CDE" w:rsidRDefault="00130A17" w:rsidP="00CF01F6">
            <w:pPr>
              <w:jc w:val="center"/>
              <w:rPr>
                <w:rFonts w:eastAsia="Times New Roman"/>
                <w:b/>
                <w:bCs/>
              </w:rPr>
            </w:pPr>
          </w:p>
        </w:tc>
        <w:tc>
          <w:tcPr>
            <w:tcW w:w="1638" w:type="dxa"/>
            <w:vAlign w:val="center"/>
            <w:hideMark/>
          </w:tcPr>
          <w:p w14:paraId="3E1266AE" w14:textId="77777777" w:rsidR="00130A17" w:rsidRDefault="00130A17" w:rsidP="00CF01F6">
            <w:pPr>
              <w:jc w:val="center"/>
              <w:rPr>
                <w:rFonts w:eastAsia="Times New Roman"/>
                <w:b/>
                <w:bCs/>
              </w:rPr>
            </w:pPr>
            <w:r w:rsidRPr="00544CDE">
              <w:rPr>
                <w:rFonts w:eastAsia="Times New Roman"/>
                <w:b/>
                <w:bCs/>
              </w:rPr>
              <w:t xml:space="preserve">Mass fraction CBN </w:t>
            </w:r>
          </w:p>
          <w:p w14:paraId="62FA0144" w14:textId="77777777" w:rsidR="00130A17" w:rsidRPr="00544CDE" w:rsidRDefault="00130A17" w:rsidP="00CF01F6">
            <w:pPr>
              <w:jc w:val="center"/>
              <w:rPr>
                <w:rFonts w:eastAsia="Times New Roman"/>
                <w:b/>
                <w:bCs/>
              </w:rPr>
            </w:pPr>
            <w:r w:rsidRPr="00544CDE">
              <w:rPr>
                <w:rFonts w:eastAsia="Times New Roman"/>
                <w:b/>
                <w:bCs/>
              </w:rPr>
              <w:t>(g/100 g)</w:t>
            </w:r>
          </w:p>
        </w:tc>
        <w:tc>
          <w:tcPr>
            <w:tcW w:w="1984" w:type="dxa"/>
            <w:vAlign w:val="center"/>
            <w:hideMark/>
          </w:tcPr>
          <w:p w14:paraId="2C0F88A9" w14:textId="77777777" w:rsidR="00130A17" w:rsidRPr="00544CDE" w:rsidRDefault="00130A17" w:rsidP="00CF01F6">
            <w:pPr>
              <w:jc w:val="center"/>
              <w:rPr>
                <w:rFonts w:eastAsia="Times New Roman"/>
                <w:b/>
                <w:bCs/>
              </w:rPr>
            </w:pPr>
            <w:r w:rsidRPr="00544CDE">
              <w:rPr>
                <w:rFonts w:eastAsia="Times New Roman"/>
                <w:b/>
                <w:bCs/>
              </w:rPr>
              <w:t>Expanded uncertainty CBN (</w:t>
            </w:r>
            <w:r w:rsidRPr="00AE56BE">
              <w:rPr>
                <w:rFonts w:eastAsia="Times New Roman"/>
                <w:b/>
                <w:bCs/>
                <w:i/>
              </w:rPr>
              <w:t xml:space="preserve">k </w:t>
            </w:r>
            <w:r w:rsidRPr="00544CDE">
              <w:rPr>
                <w:rFonts w:eastAsia="Times New Roman"/>
                <w:b/>
                <w:bCs/>
              </w:rPr>
              <w:t>= 2; 95 %) (g/100 g)</w:t>
            </w:r>
          </w:p>
        </w:tc>
        <w:tc>
          <w:tcPr>
            <w:tcW w:w="1701" w:type="dxa"/>
            <w:vAlign w:val="center"/>
            <w:hideMark/>
          </w:tcPr>
          <w:p w14:paraId="6AFA9801" w14:textId="77777777" w:rsidR="00130A17" w:rsidRDefault="00130A17" w:rsidP="00CF01F6">
            <w:pPr>
              <w:jc w:val="center"/>
              <w:rPr>
                <w:rFonts w:eastAsia="Times New Roman"/>
                <w:b/>
                <w:bCs/>
              </w:rPr>
            </w:pPr>
            <w:r w:rsidRPr="00544CDE">
              <w:rPr>
                <w:rFonts w:eastAsia="Times New Roman"/>
                <w:b/>
                <w:bCs/>
              </w:rPr>
              <w:t xml:space="preserve">Mass fraction </w:t>
            </w:r>
            <w:r w:rsidRPr="001161BF">
              <w:rPr>
                <w:rFonts w:eastAsia="Times New Roman"/>
                <w:b/>
                <w:bCs/>
              </w:rPr>
              <w:t>Δ</w:t>
            </w:r>
            <w:r w:rsidRPr="001161BF">
              <w:rPr>
                <w:rFonts w:eastAsia="Times New Roman"/>
                <w:b/>
                <w:bCs/>
                <w:vertAlign w:val="superscript"/>
              </w:rPr>
              <w:t>9</w:t>
            </w:r>
            <w:r w:rsidRPr="001161BF">
              <w:rPr>
                <w:rFonts w:eastAsia="Times New Roman"/>
                <w:b/>
                <w:bCs/>
              </w:rPr>
              <w:t>–</w:t>
            </w:r>
            <w:r w:rsidRPr="00544CDE">
              <w:rPr>
                <w:rFonts w:eastAsia="Times New Roman"/>
                <w:b/>
                <w:bCs/>
              </w:rPr>
              <w:t xml:space="preserve">THC </w:t>
            </w:r>
          </w:p>
          <w:p w14:paraId="2AA64BAF" w14:textId="77777777" w:rsidR="00130A17" w:rsidRPr="00544CDE" w:rsidRDefault="00130A17" w:rsidP="00CF01F6">
            <w:pPr>
              <w:jc w:val="center"/>
              <w:rPr>
                <w:rFonts w:eastAsia="Times New Roman"/>
                <w:b/>
                <w:bCs/>
              </w:rPr>
            </w:pPr>
            <w:r w:rsidRPr="00544CDE">
              <w:rPr>
                <w:rFonts w:eastAsia="Times New Roman"/>
                <w:b/>
                <w:bCs/>
              </w:rPr>
              <w:t>(g/100 g)</w:t>
            </w:r>
          </w:p>
        </w:tc>
        <w:tc>
          <w:tcPr>
            <w:tcW w:w="1843" w:type="dxa"/>
            <w:vAlign w:val="center"/>
            <w:hideMark/>
          </w:tcPr>
          <w:p w14:paraId="48B25303" w14:textId="77777777" w:rsidR="00130A17" w:rsidRDefault="00130A17" w:rsidP="00CF01F6">
            <w:pPr>
              <w:jc w:val="center"/>
              <w:rPr>
                <w:rFonts w:eastAsia="Times New Roman"/>
                <w:b/>
                <w:bCs/>
              </w:rPr>
            </w:pPr>
            <w:r w:rsidRPr="00544CDE">
              <w:rPr>
                <w:rFonts w:eastAsia="Times New Roman"/>
                <w:b/>
                <w:bCs/>
              </w:rPr>
              <w:t>Expanded uncertainty</w:t>
            </w:r>
          </w:p>
          <w:p w14:paraId="7C277D24" w14:textId="77777777" w:rsidR="00130A17" w:rsidRDefault="00130A17" w:rsidP="00CF01F6">
            <w:pPr>
              <w:jc w:val="center"/>
              <w:rPr>
                <w:rFonts w:eastAsia="Times New Roman"/>
                <w:b/>
                <w:bCs/>
              </w:rPr>
            </w:pPr>
            <w:r w:rsidRPr="00544CDE">
              <w:rPr>
                <w:rFonts w:eastAsia="Times New Roman"/>
                <w:b/>
                <w:bCs/>
              </w:rPr>
              <w:t xml:space="preserve"> </w:t>
            </w:r>
            <w:r w:rsidRPr="001161BF">
              <w:rPr>
                <w:rFonts w:eastAsia="Times New Roman"/>
                <w:b/>
                <w:bCs/>
              </w:rPr>
              <w:t>Δ</w:t>
            </w:r>
            <w:r w:rsidRPr="001161BF">
              <w:rPr>
                <w:rFonts w:eastAsia="Times New Roman"/>
                <w:b/>
                <w:bCs/>
                <w:vertAlign w:val="superscript"/>
              </w:rPr>
              <w:t>9</w:t>
            </w:r>
            <w:r w:rsidRPr="001161BF">
              <w:rPr>
                <w:rFonts w:eastAsia="Times New Roman"/>
                <w:b/>
                <w:bCs/>
              </w:rPr>
              <w:t>–</w:t>
            </w:r>
            <w:r w:rsidRPr="00544CDE">
              <w:rPr>
                <w:rFonts w:eastAsia="Times New Roman"/>
                <w:b/>
                <w:bCs/>
              </w:rPr>
              <w:t>THC (</w:t>
            </w:r>
            <w:r w:rsidRPr="001161BF">
              <w:rPr>
                <w:rFonts w:eastAsia="Times New Roman"/>
                <w:b/>
                <w:bCs/>
              </w:rPr>
              <w:t>k</w:t>
            </w:r>
            <w:r w:rsidRPr="00544CDE">
              <w:rPr>
                <w:rFonts w:eastAsia="Times New Roman"/>
                <w:b/>
                <w:bCs/>
              </w:rPr>
              <w:t xml:space="preserve"> = 2; 95 %)</w:t>
            </w:r>
          </w:p>
          <w:p w14:paraId="11F8D33B" w14:textId="77777777" w:rsidR="00130A17" w:rsidRPr="00544CDE" w:rsidRDefault="00130A17" w:rsidP="00CF01F6">
            <w:pPr>
              <w:jc w:val="center"/>
              <w:rPr>
                <w:rFonts w:eastAsia="Times New Roman"/>
                <w:b/>
                <w:bCs/>
              </w:rPr>
            </w:pPr>
            <w:r w:rsidRPr="00544CDE">
              <w:rPr>
                <w:rFonts w:eastAsia="Times New Roman"/>
                <w:b/>
                <w:bCs/>
              </w:rPr>
              <w:t>(g/100 g)</w:t>
            </w:r>
          </w:p>
        </w:tc>
      </w:tr>
      <w:tr w:rsidR="00130A17" w:rsidRPr="00544CDE" w14:paraId="1C20A665" w14:textId="77777777" w:rsidTr="00130A17">
        <w:trPr>
          <w:trHeight w:val="300"/>
          <w:jc w:val="center"/>
        </w:trPr>
        <w:tc>
          <w:tcPr>
            <w:tcW w:w="1476" w:type="dxa"/>
            <w:noWrap/>
          </w:tcPr>
          <w:p w14:paraId="605BD80F" w14:textId="77777777" w:rsidR="00130A17" w:rsidRPr="00544CDE" w:rsidRDefault="00130A17" w:rsidP="00CF01F6">
            <w:pPr>
              <w:spacing w:line="360" w:lineRule="auto"/>
              <w:jc w:val="center"/>
              <w:rPr>
                <w:rFonts w:eastAsia="Times New Roman"/>
                <w:color w:val="000000"/>
              </w:rPr>
            </w:pPr>
            <w:r w:rsidRPr="00E740F8">
              <w:rPr>
                <w:rFonts w:eastAsia="Times New Roman"/>
                <w:color w:val="000000"/>
              </w:rPr>
              <w:t>Replicate A</w:t>
            </w:r>
          </w:p>
        </w:tc>
        <w:tc>
          <w:tcPr>
            <w:tcW w:w="1638" w:type="dxa"/>
            <w:noWrap/>
            <w:vAlign w:val="center"/>
            <w:hideMark/>
          </w:tcPr>
          <w:p w14:paraId="3E7C9A48" w14:textId="77777777" w:rsidR="00130A17" w:rsidRPr="00544CDE" w:rsidRDefault="00130A17" w:rsidP="00CF01F6">
            <w:pPr>
              <w:spacing w:line="360" w:lineRule="auto"/>
              <w:jc w:val="center"/>
              <w:rPr>
                <w:rFonts w:eastAsia="Times New Roman"/>
              </w:rPr>
            </w:pPr>
            <w:r>
              <w:rPr>
                <w:rFonts w:eastAsia="Times New Roman"/>
              </w:rPr>
              <w:t>5.17</w:t>
            </w:r>
          </w:p>
        </w:tc>
        <w:tc>
          <w:tcPr>
            <w:tcW w:w="1984" w:type="dxa"/>
            <w:noWrap/>
            <w:vAlign w:val="center"/>
            <w:hideMark/>
          </w:tcPr>
          <w:p w14:paraId="4D378609" w14:textId="77777777" w:rsidR="00130A17" w:rsidRPr="00544CDE" w:rsidRDefault="00130A17" w:rsidP="00CF01F6">
            <w:pPr>
              <w:spacing w:line="360" w:lineRule="auto"/>
              <w:jc w:val="center"/>
              <w:rPr>
                <w:rFonts w:eastAsia="Times New Roman"/>
              </w:rPr>
            </w:pPr>
            <w:r>
              <w:rPr>
                <w:rFonts w:eastAsia="Times New Roman"/>
              </w:rPr>
              <w:t>0.04</w:t>
            </w:r>
          </w:p>
        </w:tc>
        <w:tc>
          <w:tcPr>
            <w:tcW w:w="1701" w:type="dxa"/>
            <w:noWrap/>
            <w:vAlign w:val="center"/>
          </w:tcPr>
          <w:p w14:paraId="661DE4DA" w14:textId="77777777" w:rsidR="00130A17" w:rsidRPr="00544CDE" w:rsidRDefault="00130A17" w:rsidP="00CF01F6">
            <w:pPr>
              <w:spacing w:line="360" w:lineRule="auto"/>
              <w:jc w:val="center"/>
              <w:rPr>
                <w:rFonts w:eastAsia="Times New Roman"/>
              </w:rPr>
            </w:pPr>
            <w:r>
              <w:rPr>
                <w:rFonts w:eastAsia="Times New Roman"/>
              </w:rPr>
              <w:t>30.14</w:t>
            </w:r>
          </w:p>
        </w:tc>
        <w:tc>
          <w:tcPr>
            <w:tcW w:w="1843" w:type="dxa"/>
            <w:noWrap/>
            <w:vAlign w:val="center"/>
          </w:tcPr>
          <w:p w14:paraId="23E17A61" w14:textId="77777777" w:rsidR="00130A17" w:rsidRPr="00544CDE" w:rsidRDefault="00130A17" w:rsidP="00CF01F6">
            <w:pPr>
              <w:spacing w:line="360" w:lineRule="auto"/>
              <w:jc w:val="center"/>
              <w:rPr>
                <w:rFonts w:eastAsia="Times New Roman"/>
              </w:rPr>
            </w:pPr>
            <w:r>
              <w:rPr>
                <w:rFonts w:eastAsia="Times New Roman"/>
              </w:rPr>
              <w:t>0.23</w:t>
            </w:r>
          </w:p>
        </w:tc>
      </w:tr>
      <w:tr w:rsidR="00130A17" w:rsidRPr="00544CDE" w14:paraId="45A5D8ED" w14:textId="77777777" w:rsidTr="00130A17">
        <w:trPr>
          <w:trHeight w:val="300"/>
          <w:jc w:val="center"/>
        </w:trPr>
        <w:tc>
          <w:tcPr>
            <w:tcW w:w="1476" w:type="dxa"/>
            <w:noWrap/>
          </w:tcPr>
          <w:p w14:paraId="2B9C2B49" w14:textId="77777777" w:rsidR="00130A17" w:rsidRPr="00544CDE" w:rsidRDefault="00130A17" w:rsidP="00CF01F6">
            <w:pPr>
              <w:spacing w:line="360" w:lineRule="auto"/>
              <w:jc w:val="center"/>
              <w:rPr>
                <w:rFonts w:eastAsia="Times New Roman"/>
                <w:color w:val="000000"/>
              </w:rPr>
            </w:pPr>
            <w:r w:rsidRPr="00E740F8">
              <w:rPr>
                <w:rFonts w:eastAsia="Times New Roman"/>
                <w:color w:val="000000"/>
              </w:rPr>
              <w:t xml:space="preserve">Replicate </w:t>
            </w:r>
            <w:r>
              <w:rPr>
                <w:rFonts w:eastAsia="Times New Roman"/>
                <w:color w:val="000000"/>
              </w:rPr>
              <w:t>B</w:t>
            </w:r>
          </w:p>
        </w:tc>
        <w:tc>
          <w:tcPr>
            <w:tcW w:w="1638" w:type="dxa"/>
            <w:noWrap/>
            <w:vAlign w:val="center"/>
          </w:tcPr>
          <w:p w14:paraId="21356B02" w14:textId="77777777" w:rsidR="00130A17" w:rsidRPr="00544CDE" w:rsidRDefault="00130A17" w:rsidP="00CF01F6">
            <w:pPr>
              <w:spacing w:line="360" w:lineRule="auto"/>
              <w:jc w:val="center"/>
              <w:rPr>
                <w:rFonts w:eastAsia="Times New Roman"/>
              </w:rPr>
            </w:pPr>
            <w:r>
              <w:rPr>
                <w:rFonts w:eastAsia="Times New Roman"/>
              </w:rPr>
              <w:t>5.15</w:t>
            </w:r>
          </w:p>
        </w:tc>
        <w:tc>
          <w:tcPr>
            <w:tcW w:w="1984" w:type="dxa"/>
            <w:noWrap/>
            <w:vAlign w:val="center"/>
            <w:hideMark/>
          </w:tcPr>
          <w:p w14:paraId="1956FD40" w14:textId="77777777" w:rsidR="00130A17" w:rsidRPr="00544CDE" w:rsidRDefault="00130A17" w:rsidP="00CF01F6">
            <w:pPr>
              <w:spacing w:line="360" w:lineRule="auto"/>
              <w:jc w:val="center"/>
              <w:rPr>
                <w:rFonts w:eastAsia="Times New Roman"/>
              </w:rPr>
            </w:pPr>
            <w:r>
              <w:rPr>
                <w:rFonts w:eastAsia="Times New Roman"/>
              </w:rPr>
              <w:t>0.04</w:t>
            </w:r>
          </w:p>
        </w:tc>
        <w:tc>
          <w:tcPr>
            <w:tcW w:w="1701" w:type="dxa"/>
            <w:noWrap/>
            <w:vAlign w:val="center"/>
          </w:tcPr>
          <w:p w14:paraId="393E4BB4" w14:textId="77777777" w:rsidR="00130A17" w:rsidRPr="00544CDE" w:rsidRDefault="00130A17" w:rsidP="00CF01F6">
            <w:pPr>
              <w:spacing w:line="360" w:lineRule="auto"/>
              <w:jc w:val="center"/>
              <w:rPr>
                <w:rFonts w:eastAsia="Times New Roman"/>
              </w:rPr>
            </w:pPr>
            <w:r>
              <w:rPr>
                <w:rFonts w:eastAsia="Times New Roman"/>
              </w:rPr>
              <w:t>29.58</w:t>
            </w:r>
          </w:p>
        </w:tc>
        <w:tc>
          <w:tcPr>
            <w:tcW w:w="1843" w:type="dxa"/>
            <w:noWrap/>
            <w:vAlign w:val="center"/>
          </w:tcPr>
          <w:p w14:paraId="25EB0EDC" w14:textId="77777777" w:rsidR="00130A17" w:rsidRPr="00544CDE" w:rsidRDefault="00130A17" w:rsidP="00CF01F6">
            <w:pPr>
              <w:spacing w:line="360" w:lineRule="auto"/>
              <w:jc w:val="center"/>
              <w:rPr>
                <w:rFonts w:eastAsia="Times New Roman"/>
              </w:rPr>
            </w:pPr>
            <w:r>
              <w:rPr>
                <w:rFonts w:eastAsia="Times New Roman"/>
              </w:rPr>
              <w:t>0.25</w:t>
            </w:r>
          </w:p>
        </w:tc>
      </w:tr>
      <w:tr w:rsidR="00130A17" w:rsidRPr="00544CDE" w14:paraId="3C272F5C" w14:textId="77777777" w:rsidTr="00130A17">
        <w:trPr>
          <w:trHeight w:val="300"/>
          <w:jc w:val="center"/>
        </w:trPr>
        <w:tc>
          <w:tcPr>
            <w:tcW w:w="1476" w:type="dxa"/>
            <w:noWrap/>
          </w:tcPr>
          <w:p w14:paraId="067FCF1F" w14:textId="77777777" w:rsidR="00130A17" w:rsidRPr="00544CDE" w:rsidRDefault="00130A17" w:rsidP="00CF01F6">
            <w:pPr>
              <w:spacing w:line="360" w:lineRule="auto"/>
              <w:jc w:val="center"/>
              <w:rPr>
                <w:rFonts w:eastAsia="Times New Roman"/>
                <w:color w:val="000000"/>
              </w:rPr>
            </w:pPr>
            <w:r w:rsidRPr="00E740F8">
              <w:rPr>
                <w:rFonts w:eastAsia="Times New Roman"/>
                <w:color w:val="000000"/>
              </w:rPr>
              <w:t xml:space="preserve">Replicate </w:t>
            </w:r>
            <w:r>
              <w:rPr>
                <w:rFonts w:eastAsia="Times New Roman"/>
                <w:color w:val="000000"/>
              </w:rPr>
              <w:t>C</w:t>
            </w:r>
          </w:p>
        </w:tc>
        <w:tc>
          <w:tcPr>
            <w:tcW w:w="1638" w:type="dxa"/>
            <w:noWrap/>
            <w:vAlign w:val="center"/>
          </w:tcPr>
          <w:p w14:paraId="703995A0" w14:textId="77777777" w:rsidR="00130A17" w:rsidRPr="00544CDE" w:rsidRDefault="00130A17" w:rsidP="00CF01F6">
            <w:pPr>
              <w:spacing w:line="360" w:lineRule="auto"/>
              <w:jc w:val="center"/>
              <w:rPr>
                <w:rFonts w:eastAsia="Times New Roman"/>
              </w:rPr>
            </w:pPr>
            <w:r>
              <w:rPr>
                <w:rFonts w:eastAsia="Times New Roman"/>
              </w:rPr>
              <w:t>4.99</w:t>
            </w:r>
          </w:p>
        </w:tc>
        <w:tc>
          <w:tcPr>
            <w:tcW w:w="1984" w:type="dxa"/>
            <w:noWrap/>
            <w:vAlign w:val="center"/>
            <w:hideMark/>
          </w:tcPr>
          <w:p w14:paraId="6C2E1242" w14:textId="77777777" w:rsidR="00130A17" w:rsidRPr="00544CDE" w:rsidRDefault="00130A17" w:rsidP="00CF01F6">
            <w:pPr>
              <w:spacing w:line="360" w:lineRule="auto"/>
              <w:jc w:val="center"/>
              <w:rPr>
                <w:rFonts w:eastAsia="Times New Roman"/>
              </w:rPr>
            </w:pPr>
            <w:r>
              <w:rPr>
                <w:rFonts w:eastAsia="Times New Roman"/>
              </w:rPr>
              <w:t>0.04</w:t>
            </w:r>
          </w:p>
        </w:tc>
        <w:tc>
          <w:tcPr>
            <w:tcW w:w="1701" w:type="dxa"/>
            <w:noWrap/>
            <w:vAlign w:val="center"/>
          </w:tcPr>
          <w:p w14:paraId="3E7F66FC" w14:textId="77777777" w:rsidR="00130A17" w:rsidRPr="00544CDE" w:rsidRDefault="00130A17" w:rsidP="00CF01F6">
            <w:pPr>
              <w:spacing w:line="360" w:lineRule="auto"/>
              <w:jc w:val="center"/>
              <w:rPr>
                <w:rFonts w:eastAsia="Times New Roman"/>
              </w:rPr>
            </w:pPr>
            <w:r>
              <w:rPr>
                <w:rFonts w:eastAsia="Times New Roman"/>
              </w:rPr>
              <w:t>28.93</w:t>
            </w:r>
          </w:p>
        </w:tc>
        <w:tc>
          <w:tcPr>
            <w:tcW w:w="1843" w:type="dxa"/>
            <w:noWrap/>
            <w:vAlign w:val="center"/>
          </w:tcPr>
          <w:p w14:paraId="389EB8E0" w14:textId="77777777" w:rsidR="00130A17" w:rsidRPr="00544CDE" w:rsidRDefault="00130A17" w:rsidP="00CF01F6">
            <w:pPr>
              <w:spacing w:line="360" w:lineRule="auto"/>
              <w:jc w:val="center"/>
              <w:rPr>
                <w:rFonts w:eastAsia="Times New Roman"/>
              </w:rPr>
            </w:pPr>
            <w:r>
              <w:rPr>
                <w:rFonts w:eastAsia="Times New Roman"/>
              </w:rPr>
              <w:t>0.21</w:t>
            </w:r>
          </w:p>
        </w:tc>
      </w:tr>
    </w:tbl>
    <w:p w14:paraId="5EB3D8EA" w14:textId="77777777" w:rsidR="00130A17" w:rsidRDefault="00130A17" w:rsidP="00130A17">
      <w:pPr>
        <w:rPr>
          <w:lang w:val="en-US" w:eastAsia="en-US"/>
        </w:rPr>
      </w:pPr>
    </w:p>
    <w:p w14:paraId="5200C11D" w14:textId="43579A1E" w:rsidR="00567BED" w:rsidRDefault="00567BED" w:rsidP="00567BED">
      <w:pPr>
        <w:spacing w:line="360" w:lineRule="auto"/>
        <w:ind w:firstLine="708"/>
        <w:jc w:val="both"/>
        <w:rPr>
          <w:lang w:val="en-US" w:eastAsia="en-US"/>
        </w:rPr>
      </w:pPr>
      <w:r w:rsidRPr="00567BED">
        <w:rPr>
          <w:lang w:val="en-US" w:eastAsia="en-US"/>
        </w:rPr>
        <w:t xml:space="preserve">Measurement uncertainty was estimated using the law of propagation of uncertainties, considering all sources of uncertainty associated with the input quantities of the measurand, as defined in Equation 8 and illustrated in Figure </w:t>
      </w:r>
      <w:r w:rsidR="00071CA5">
        <w:rPr>
          <w:lang w:val="en-US" w:eastAsia="en-US"/>
        </w:rPr>
        <w:t>S</w:t>
      </w:r>
      <w:r w:rsidRPr="00567BED">
        <w:rPr>
          <w:lang w:val="en-US" w:eastAsia="en-US"/>
        </w:rPr>
        <w:t>1</w:t>
      </w:r>
      <w:r>
        <w:rPr>
          <w:lang w:val="en-US" w:eastAsia="en-US"/>
        </w:rPr>
        <w:t>1.</w:t>
      </w:r>
    </w:p>
    <w:p w14:paraId="68C3DF4D" w14:textId="77777777" w:rsidR="00567BED" w:rsidRDefault="00567BED" w:rsidP="00567BED">
      <w:pPr>
        <w:keepNext/>
        <w:spacing w:line="360" w:lineRule="auto"/>
        <w:jc w:val="center"/>
      </w:pPr>
      <w:r>
        <w:rPr>
          <w:noProof/>
        </w:rPr>
        <w:lastRenderedPageBreak/>
        <w:drawing>
          <wp:inline distT="0" distB="0" distL="0" distR="0" wp14:anchorId="35FFFFF9" wp14:editId="30040DBF">
            <wp:extent cx="5194469" cy="1655347"/>
            <wp:effectExtent l="0" t="0" r="6350" b="2540"/>
            <wp:docPr id="674472863" name="Imagem 41" descr="Imagem em preto e branco de uma plac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2863" name="Imagem 41" descr="Imagem em preto e branco de uma placa&#10;&#10;O conteúdo gerado por IA pode estar incorre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35304" cy="1668360"/>
                    </a:xfrm>
                    <a:prstGeom prst="rect">
                      <a:avLst/>
                    </a:prstGeom>
                    <a:noFill/>
                  </pic:spPr>
                </pic:pic>
              </a:graphicData>
            </a:graphic>
          </wp:inline>
        </w:drawing>
      </w:r>
    </w:p>
    <w:p w14:paraId="35C459A3" w14:textId="12C04977" w:rsidR="00567BED" w:rsidRDefault="00567BED" w:rsidP="00567BED">
      <w:pPr>
        <w:pStyle w:val="Beschriftung"/>
        <w:jc w:val="center"/>
        <w:rPr>
          <w:rFonts w:ascii="Arial" w:hAnsi="Arial" w:cs="Arial"/>
          <w:i w:val="0"/>
          <w:iCs w:val="0"/>
          <w:color w:val="auto"/>
          <w:sz w:val="22"/>
          <w:szCs w:val="22"/>
          <w:lang w:val="en-US"/>
        </w:rPr>
      </w:pPr>
      <w:r w:rsidRPr="00567BED">
        <w:rPr>
          <w:rFonts w:ascii="Arial" w:hAnsi="Arial" w:cs="Arial"/>
          <w:i w:val="0"/>
          <w:iCs w:val="0"/>
          <w:color w:val="auto"/>
          <w:sz w:val="22"/>
          <w:szCs w:val="22"/>
          <w:lang w:val="en-US"/>
        </w:rPr>
        <w:t xml:space="preserve">Figure </w:t>
      </w:r>
      <w:r w:rsidR="00071CA5">
        <w:rPr>
          <w:rFonts w:ascii="Arial" w:hAnsi="Arial" w:cs="Arial"/>
          <w:i w:val="0"/>
          <w:iCs w:val="0"/>
          <w:color w:val="auto"/>
          <w:sz w:val="22"/>
          <w:szCs w:val="22"/>
          <w:lang w:val="en-US"/>
        </w:rPr>
        <w:t>S</w:t>
      </w:r>
      <w:r w:rsidRPr="00567BED">
        <w:rPr>
          <w:rFonts w:ascii="Arial" w:hAnsi="Arial" w:cs="Arial"/>
          <w:i w:val="0"/>
          <w:iCs w:val="0"/>
          <w:color w:val="auto"/>
          <w:sz w:val="22"/>
          <w:szCs w:val="22"/>
        </w:rPr>
        <w:fldChar w:fldCharType="begin"/>
      </w:r>
      <w:r w:rsidRPr="00567BED">
        <w:rPr>
          <w:rFonts w:ascii="Arial" w:hAnsi="Arial" w:cs="Arial"/>
          <w:i w:val="0"/>
          <w:iCs w:val="0"/>
          <w:color w:val="auto"/>
          <w:sz w:val="22"/>
          <w:szCs w:val="22"/>
          <w:lang w:val="en-US"/>
        </w:rPr>
        <w:instrText xml:space="preserve"> SEQ Figure \* ARABIC </w:instrText>
      </w:r>
      <w:r w:rsidRPr="00567BED">
        <w:rPr>
          <w:rFonts w:ascii="Arial" w:hAnsi="Arial" w:cs="Arial"/>
          <w:i w:val="0"/>
          <w:iCs w:val="0"/>
          <w:color w:val="auto"/>
          <w:sz w:val="22"/>
          <w:szCs w:val="22"/>
        </w:rPr>
        <w:fldChar w:fldCharType="separate"/>
      </w:r>
      <w:r w:rsidRPr="00567BED">
        <w:rPr>
          <w:rFonts w:ascii="Arial" w:hAnsi="Arial" w:cs="Arial"/>
          <w:i w:val="0"/>
          <w:iCs w:val="0"/>
          <w:noProof/>
          <w:color w:val="auto"/>
          <w:sz w:val="22"/>
          <w:szCs w:val="22"/>
          <w:lang w:val="en-US"/>
        </w:rPr>
        <w:t>11</w:t>
      </w:r>
      <w:r w:rsidRPr="00567BED">
        <w:rPr>
          <w:rFonts w:ascii="Arial" w:hAnsi="Arial" w:cs="Arial"/>
          <w:i w:val="0"/>
          <w:iCs w:val="0"/>
          <w:color w:val="auto"/>
          <w:sz w:val="22"/>
          <w:szCs w:val="22"/>
        </w:rPr>
        <w:fldChar w:fldCharType="end"/>
      </w:r>
      <w:r w:rsidRPr="00567BED">
        <w:rPr>
          <w:rFonts w:ascii="Arial" w:hAnsi="Arial" w:cs="Arial"/>
          <w:i w:val="0"/>
          <w:iCs w:val="0"/>
          <w:color w:val="auto"/>
          <w:sz w:val="22"/>
          <w:szCs w:val="22"/>
          <w:lang w:val="en-US"/>
        </w:rPr>
        <w:t xml:space="preserve">: Ishikawa diagram showing sources of uncertainty for </w:t>
      </w:r>
      <w:r w:rsidRPr="00567BED">
        <w:rPr>
          <w:rFonts w:ascii="Arial" w:hAnsi="Arial" w:cs="Arial"/>
          <w:i w:val="0"/>
          <w:iCs w:val="0"/>
          <w:color w:val="auto"/>
          <w:sz w:val="22"/>
          <w:szCs w:val="22"/>
          <w:vertAlign w:val="superscript"/>
          <w:lang w:val="en-US"/>
        </w:rPr>
        <w:t>1</w:t>
      </w:r>
      <w:r w:rsidRPr="00567BED">
        <w:rPr>
          <w:rFonts w:ascii="Arial" w:hAnsi="Arial" w:cs="Arial"/>
          <w:i w:val="0"/>
          <w:iCs w:val="0"/>
          <w:color w:val="auto"/>
          <w:sz w:val="22"/>
          <w:szCs w:val="22"/>
          <w:lang w:val="en-US"/>
        </w:rPr>
        <w:t>H qNMR analysis.</w:t>
      </w:r>
    </w:p>
    <w:p w14:paraId="3C3477D1" w14:textId="77777777" w:rsidR="00BE4C10" w:rsidRDefault="00BE4C10" w:rsidP="00546EB6">
      <w:pPr>
        <w:spacing w:line="360" w:lineRule="auto"/>
        <w:ind w:firstLine="708"/>
        <w:jc w:val="both"/>
        <w:rPr>
          <w:lang w:val="en-US" w:eastAsia="en-US"/>
        </w:rPr>
      </w:pPr>
    </w:p>
    <w:p w14:paraId="7600C513" w14:textId="45A73F4E" w:rsidR="00546EB6" w:rsidRDefault="00546EB6" w:rsidP="00546EB6">
      <w:pPr>
        <w:spacing w:line="360" w:lineRule="auto"/>
        <w:ind w:firstLine="708"/>
        <w:jc w:val="both"/>
        <w:rPr>
          <w:lang w:val="en-US" w:eastAsia="en-US"/>
        </w:rPr>
      </w:pPr>
      <w:r w:rsidRPr="00546EB6">
        <w:rPr>
          <w:lang w:val="en-US" w:eastAsia="en-US"/>
        </w:rPr>
        <w:t xml:space="preserve">The relative contributions of uncertainty sources to the determination of CBN and </w:t>
      </w:r>
      <w:r w:rsidRPr="00546EB6">
        <w:rPr>
          <w:lang w:eastAsia="en-US"/>
        </w:rPr>
        <w:t>Δ</w:t>
      </w:r>
      <w:r w:rsidRPr="00546EB6">
        <w:rPr>
          <w:lang w:val="en-US" w:eastAsia="en-US"/>
        </w:rPr>
        <w:t xml:space="preserve">⁹-THC mass fractions by quantitative </w:t>
      </w:r>
      <w:r w:rsidRPr="00546EB6">
        <w:rPr>
          <w:vertAlign w:val="superscript"/>
          <w:lang w:val="en-US" w:eastAsia="en-US"/>
        </w:rPr>
        <w:t>1</w:t>
      </w:r>
      <w:r w:rsidRPr="00546EB6">
        <w:rPr>
          <w:lang w:val="en-US" w:eastAsia="en-US"/>
        </w:rPr>
        <w:t>H NMR were evaluated individually for each selected cannabinoid signal in the CRM candidate extract. Uncertainty components associated with all input quantities were considered in the calculation of the combined uncertainty, with the uncertainty related to weighing of the reference standard (DMSO</w:t>
      </w:r>
      <w:r w:rsidRPr="00546EB6">
        <w:rPr>
          <w:rFonts w:ascii="Cambria Math" w:hAnsi="Cambria Math" w:cs="Cambria Math"/>
          <w:lang w:val="en-US" w:eastAsia="en-US"/>
        </w:rPr>
        <w:t>₂</w:t>
      </w:r>
      <w:r w:rsidRPr="00546EB6">
        <w:rPr>
          <w:lang w:val="en-US" w:eastAsia="en-US"/>
        </w:rPr>
        <w:t xml:space="preserve">) representing the dominant contribution. Quantification of cannabinoids was performed using the PULCON method, and mass fractions obtained by </w:t>
      </w:r>
      <w:r w:rsidRPr="00546EB6">
        <w:rPr>
          <w:vertAlign w:val="superscript"/>
          <w:lang w:val="en-US" w:eastAsia="en-US"/>
        </w:rPr>
        <w:t>1</w:t>
      </w:r>
      <w:r w:rsidRPr="00546EB6">
        <w:rPr>
          <w:lang w:val="en-US" w:eastAsia="en-US"/>
        </w:rPr>
        <w:t xml:space="preserve">H qNMR (k = 2) were 5.1 g/100 g for CBN and 29.6 g/100 g for </w:t>
      </w:r>
      <w:r w:rsidRPr="00546EB6">
        <w:rPr>
          <w:lang w:eastAsia="en-US"/>
        </w:rPr>
        <w:t>Δ</w:t>
      </w:r>
      <w:r w:rsidRPr="00546EB6">
        <w:rPr>
          <w:lang w:val="en-US" w:eastAsia="en-US"/>
        </w:rPr>
        <w:t xml:space="preserve">⁹-THC in the extract. Based on an extraction yield of 18%, the corresponding mass fractions in the original plant material were calculated as approximately 0.9 g/100 g for CBN and 5.4 g/100 g for </w:t>
      </w:r>
      <w:r w:rsidRPr="00546EB6">
        <w:rPr>
          <w:lang w:eastAsia="en-US"/>
        </w:rPr>
        <w:t>Δ</w:t>
      </w:r>
      <w:r w:rsidRPr="00546EB6">
        <w:rPr>
          <w:lang w:val="en-US" w:eastAsia="en-US"/>
        </w:rPr>
        <w:t>⁹-THC.</w:t>
      </w:r>
    </w:p>
    <w:p w14:paraId="0D1ACECE" w14:textId="5D597C22" w:rsidR="00E77638" w:rsidRPr="00976DB5" w:rsidRDefault="006A40B4" w:rsidP="00976DB5">
      <w:pPr>
        <w:pStyle w:val="berschrift1"/>
        <w:spacing w:line="360" w:lineRule="auto"/>
        <w:jc w:val="both"/>
        <w:rPr>
          <w:rFonts w:ascii="Arial" w:hAnsi="Arial" w:cs="Arial"/>
          <w:b/>
          <w:bCs/>
          <w:color w:val="auto"/>
          <w:sz w:val="24"/>
          <w:szCs w:val="24"/>
          <w:lang w:val="en-US" w:eastAsia="en-US"/>
        </w:rPr>
      </w:pPr>
      <w:bookmarkStart w:id="25" w:name="_Toc216797628"/>
      <w:r>
        <w:rPr>
          <w:rFonts w:ascii="Arial" w:hAnsi="Arial" w:cs="Arial"/>
          <w:b/>
          <w:bCs/>
          <w:color w:val="auto"/>
          <w:sz w:val="24"/>
          <w:szCs w:val="24"/>
          <w:lang w:val="en-US" w:eastAsia="en-US"/>
        </w:rPr>
        <w:t>S</w:t>
      </w:r>
      <w:r w:rsidR="00E77638" w:rsidRPr="00976DB5">
        <w:rPr>
          <w:rFonts w:ascii="Arial" w:hAnsi="Arial" w:cs="Arial"/>
          <w:b/>
          <w:bCs/>
          <w:color w:val="auto"/>
          <w:sz w:val="24"/>
          <w:szCs w:val="24"/>
          <w:lang w:val="en-US" w:eastAsia="en-US"/>
        </w:rPr>
        <w:t>6) Cannabis and Cannabinoid Certified Reference Materials</w:t>
      </w:r>
      <w:bookmarkEnd w:id="25"/>
    </w:p>
    <w:p w14:paraId="7FEFBBC8" w14:textId="4CFC0875" w:rsidR="00E77638" w:rsidRPr="00976DB5" w:rsidRDefault="006A40B4" w:rsidP="00976DB5">
      <w:pPr>
        <w:pStyle w:val="berschrift2"/>
        <w:spacing w:line="360" w:lineRule="auto"/>
        <w:jc w:val="both"/>
        <w:rPr>
          <w:rFonts w:ascii="Arial" w:hAnsi="Arial" w:cs="Arial"/>
          <w:color w:val="auto"/>
          <w:sz w:val="22"/>
          <w:szCs w:val="22"/>
          <w:lang w:val="en-US" w:eastAsia="en-US"/>
        </w:rPr>
      </w:pPr>
      <w:bookmarkStart w:id="26" w:name="_Toc216797629"/>
      <w:r>
        <w:rPr>
          <w:rFonts w:ascii="Arial" w:hAnsi="Arial" w:cs="Arial"/>
          <w:color w:val="auto"/>
          <w:sz w:val="22"/>
          <w:szCs w:val="22"/>
          <w:lang w:val="en-US" w:eastAsia="en-US"/>
        </w:rPr>
        <w:t>S</w:t>
      </w:r>
      <w:r w:rsidR="00E77638" w:rsidRPr="00976DB5">
        <w:rPr>
          <w:rFonts w:ascii="Arial" w:hAnsi="Arial" w:cs="Arial"/>
          <w:color w:val="auto"/>
          <w:sz w:val="22"/>
          <w:szCs w:val="22"/>
          <w:lang w:val="en-US" w:eastAsia="en-US"/>
        </w:rPr>
        <w:t>6.1) Estimation of uncertainties</w:t>
      </w:r>
      <w:bookmarkEnd w:id="26"/>
    </w:p>
    <w:p w14:paraId="1EED3360" w14:textId="25A2516C" w:rsidR="00E77638" w:rsidRPr="0080097B" w:rsidRDefault="00E77638" w:rsidP="00DB4F70">
      <w:pPr>
        <w:spacing w:line="360" w:lineRule="auto"/>
        <w:ind w:firstLine="708"/>
        <w:jc w:val="both"/>
        <w:rPr>
          <w:lang w:val="en-US"/>
        </w:rPr>
      </w:pPr>
      <w:r w:rsidRPr="0080097B">
        <w:rPr>
          <w:lang w:val="en-US"/>
        </w:rPr>
        <w:t xml:space="preserve">The uncertainty due to between unit </w:t>
      </w:r>
      <w:r w:rsidRPr="0080097B">
        <w:rPr>
          <w:rFonts w:eastAsiaTheme="minorHAnsi"/>
          <w:szCs w:val="20"/>
          <w:lang w:val="en-US"/>
        </w:rPr>
        <w:t>(</w:t>
      </w:r>
      <w:proofErr w:type="spellStart"/>
      <w:r w:rsidRPr="0080097B">
        <w:rPr>
          <w:lang w:val="en-US"/>
        </w:rPr>
        <w:t>bu</w:t>
      </w:r>
      <w:proofErr w:type="spellEnd"/>
      <w:r w:rsidRPr="0080097B">
        <w:rPr>
          <w:lang w:val="en-US"/>
        </w:rPr>
        <w:t xml:space="preserve">) homogeneity was calculated with </w:t>
      </w:r>
      <w:r w:rsidRPr="0073702F">
        <w:rPr>
          <w:lang w:val="en-US"/>
        </w:rPr>
        <w:t xml:space="preserve">Equation </w:t>
      </w:r>
      <w:r w:rsidR="00303FC3" w:rsidRPr="0073702F">
        <w:rPr>
          <w:lang w:val="en-US"/>
        </w:rPr>
        <w:t>3</w:t>
      </w:r>
      <w:r w:rsidR="00BE4C10" w:rsidRPr="0073702F">
        <w:rPr>
          <w:lang w:val="en-US"/>
        </w:rPr>
        <w:t xml:space="preserve"> </w:t>
      </w:r>
      <w:sdt>
        <w:sdtPr>
          <w:rPr>
            <w:color w:val="000000"/>
            <w:lang w:val="en-US"/>
          </w:rPr>
          <w:tag w:val="MENDELEY_CITATION_v3_eyJjaXRhdGlvbklEIjoiTUVOREVMRVlfQ0lUQVRJT05fYjVlNDgwMTMtNjgyMy00YzhkLWE1OTEtYmE0Nzk1MTcwZjBm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
          <w:id w:val="2043541437"/>
          <w:placeholder>
            <w:docPart w:val="1386F9A7F2A941FCAE087131591C95DE"/>
          </w:placeholder>
        </w:sdtPr>
        <w:sdtContent>
          <w:r w:rsidR="00FB0020" w:rsidRPr="0073702F">
            <w:rPr>
              <w:color w:val="000000"/>
              <w:lang w:val="en-US"/>
            </w:rPr>
            <w:t>[8]</w:t>
          </w:r>
        </w:sdtContent>
      </w:sdt>
      <w:r w:rsidRPr="0073702F">
        <w:rPr>
          <w:lang w:val="en-US"/>
        </w:rPr>
        <w:t>.</w:t>
      </w:r>
      <w:r w:rsidRPr="0080097B">
        <w:rPr>
          <w:lang w:val="en-US"/>
        </w:rPr>
        <w:t xml:space="preserve"> </w:t>
      </w:r>
    </w:p>
    <w:p w14:paraId="0CD8AE96" w14:textId="77777777" w:rsidR="00E77638" w:rsidRPr="0080097B" w:rsidRDefault="00E77638" w:rsidP="00E77638">
      <w:pPr>
        <w:rPr>
          <w:lang w:val="en-US"/>
        </w:rPr>
      </w:pPr>
    </w:p>
    <w:tbl>
      <w:tblPr>
        <w:tblW w:w="4966" w:type="dxa"/>
        <w:jc w:val="center"/>
        <w:tblCellMar>
          <w:left w:w="0" w:type="dxa"/>
          <w:right w:w="0" w:type="dxa"/>
        </w:tblCellMar>
        <w:tblLook w:val="04A0" w:firstRow="1" w:lastRow="0" w:firstColumn="1" w:lastColumn="0" w:noHBand="0" w:noVBand="1"/>
      </w:tblPr>
      <w:tblGrid>
        <w:gridCol w:w="4960"/>
        <w:gridCol w:w="6"/>
      </w:tblGrid>
      <w:tr w:rsidR="00E77638" w:rsidRPr="00BE4C10" w14:paraId="7C8679C3" w14:textId="77777777" w:rsidTr="00CF01F6">
        <w:trPr>
          <w:jc w:val="center"/>
        </w:trPr>
        <w:tc>
          <w:tcPr>
            <w:tcW w:w="4960" w:type="dxa"/>
            <w:vAlign w:val="center"/>
          </w:tcPr>
          <w:tbl>
            <w:tblPr>
              <w:tblW w:w="4960" w:type="dxa"/>
              <w:jc w:val="center"/>
              <w:tblCellMar>
                <w:left w:w="0" w:type="dxa"/>
                <w:right w:w="0" w:type="dxa"/>
              </w:tblCellMar>
              <w:tblLook w:val="04A0" w:firstRow="1" w:lastRow="0" w:firstColumn="1" w:lastColumn="0" w:noHBand="0" w:noVBand="1"/>
            </w:tblPr>
            <w:tblGrid>
              <w:gridCol w:w="4677"/>
              <w:gridCol w:w="283"/>
            </w:tblGrid>
            <w:tr w:rsidR="00E77638" w:rsidRPr="00BE4C10" w14:paraId="3114AD12" w14:textId="77777777" w:rsidTr="00CF01F6">
              <w:trPr>
                <w:jc w:val="center"/>
              </w:trPr>
              <w:tc>
                <w:tcPr>
                  <w:tcW w:w="4677" w:type="dxa"/>
                  <w:vAlign w:val="center"/>
                </w:tcPr>
                <w:p w14:paraId="6FAE799F" w14:textId="4B9FD2E0" w:rsidR="00E77638" w:rsidRPr="00BE4C10" w:rsidRDefault="00000000" w:rsidP="00CF01F6">
                  <w:pPr>
                    <w:pStyle w:val="Textkrper"/>
                    <w:ind w:right="-9"/>
                    <w:rPr>
                      <w:rFonts w:ascii="Arial" w:hAnsi="Arial" w:cs="Arial"/>
                      <w:i/>
                    </w:rPr>
                  </w:pPr>
                  <m:oMathPara>
                    <m:oMathParaPr>
                      <m:jc m:val="left"/>
                    </m:oMathParaPr>
                    <m:oMath>
                      <m:sSubSup>
                        <m:sSubSupPr>
                          <m:ctrlPr>
                            <w:rPr>
                              <w:rFonts w:ascii="Cambria Math" w:hAnsi="Cambria Math" w:cs="Arial"/>
                              <w:i/>
                            </w:rPr>
                          </m:ctrlPr>
                        </m:sSubSupPr>
                        <m:e>
                          <m:r>
                            <w:rPr>
                              <w:rFonts w:ascii="Cambria Math" w:hAnsi="Cambria Math" w:cs="Arial"/>
                            </w:rPr>
                            <m:t>u</m:t>
                          </m:r>
                        </m:e>
                        <m:sub>
                          <m:r>
                            <w:rPr>
                              <w:rFonts w:ascii="Cambria Math" w:hAnsi="Cambria Math" w:cs="Arial"/>
                            </w:rPr>
                            <m:t>bu</m:t>
                          </m:r>
                        </m:sub>
                        <m:sup/>
                      </m:sSubSup>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MS</m:t>
                                  </m:r>
                                </m:e>
                                <m:sub>
                                  <m:r>
                                    <w:rPr>
                                      <w:rFonts w:ascii="Cambria Math" w:hAnsi="Cambria Math" w:cs="Arial"/>
                                    </w:rPr>
                                    <m:t>between</m:t>
                                  </m:r>
                                </m:sub>
                              </m:sSub>
                              <m:r>
                                <w:rPr>
                                  <w:rFonts w:ascii="Cambria Math" w:hAnsi="Cambria Math" w:cs="Arial"/>
                                </w:rPr>
                                <m:t>-</m:t>
                              </m:r>
                              <m:sSub>
                                <m:sSubPr>
                                  <m:ctrlPr>
                                    <w:rPr>
                                      <w:rFonts w:ascii="Cambria Math" w:hAnsi="Cambria Math" w:cs="Arial"/>
                                      <w:i/>
                                    </w:rPr>
                                  </m:ctrlPr>
                                </m:sSubPr>
                                <m:e>
                                  <m:r>
                                    <w:rPr>
                                      <w:rFonts w:ascii="Cambria Math" w:hAnsi="Cambria Math" w:cs="Arial"/>
                                    </w:rPr>
                                    <m:t>MS</m:t>
                                  </m:r>
                                </m:e>
                                <m:sub>
                                  <m:r>
                                    <w:rPr>
                                      <w:rFonts w:ascii="Cambria Math" w:hAnsi="Cambria Math" w:cs="Arial"/>
                                    </w:rPr>
                                    <m:t>within</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r</m:t>
                                  </m:r>
                                </m:sub>
                              </m:sSub>
                            </m:den>
                          </m:f>
                        </m:e>
                      </m:rad>
                    </m:oMath>
                  </m:oMathPara>
                </w:p>
              </w:tc>
              <w:tc>
                <w:tcPr>
                  <w:tcW w:w="283" w:type="dxa"/>
                  <w:tcMar>
                    <w:left w:w="0" w:type="dxa"/>
                    <w:right w:w="0" w:type="dxa"/>
                  </w:tcMar>
                  <w:vAlign w:val="center"/>
                </w:tcPr>
                <w:p w14:paraId="137CAD65" w14:textId="4F043CF3" w:rsidR="00E77638" w:rsidRPr="00BE4C10" w:rsidRDefault="00303FC3" w:rsidP="00CF01F6">
                  <w:pPr>
                    <w:spacing w:before="120" w:after="120"/>
                    <w:jc w:val="center"/>
                  </w:pPr>
                  <w:r w:rsidRPr="00BE4C10">
                    <w:t>3</w:t>
                  </w:r>
                </w:p>
              </w:tc>
            </w:tr>
          </w:tbl>
          <w:p w14:paraId="014059EB" w14:textId="77777777" w:rsidR="00E77638" w:rsidRPr="00BE4C10" w:rsidRDefault="00E77638" w:rsidP="00CF01F6">
            <w:pPr>
              <w:pStyle w:val="Textkrper"/>
              <w:ind w:right="-9"/>
              <w:rPr>
                <w:rFonts w:ascii="Arial" w:eastAsia="Arial" w:hAnsi="Arial" w:cs="Arial"/>
              </w:rPr>
            </w:pPr>
          </w:p>
        </w:tc>
        <w:tc>
          <w:tcPr>
            <w:tcW w:w="6" w:type="dxa"/>
            <w:tcMar>
              <w:left w:w="0" w:type="dxa"/>
              <w:right w:w="0" w:type="dxa"/>
            </w:tcMar>
            <w:vAlign w:val="center"/>
          </w:tcPr>
          <w:p w14:paraId="1CC63FB3" w14:textId="77777777" w:rsidR="00E77638" w:rsidRPr="00BE4C10" w:rsidRDefault="00E77638" w:rsidP="00CF01F6">
            <w:pPr>
              <w:spacing w:before="120" w:after="120"/>
              <w:jc w:val="right"/>
            </w:pPr>
          </w:p>
        </w:tc>
      </w:tr>
      <w:tr w:rsidR="00E77638" w:rsidRPr="0080097B" w14:paraId="3379DD25" w14:textId="77777777" w:rsidTr="00CF01F6">
        <w:trPr>
          <w:jc w:val="center"/>
        </w:trPr>
        <w:tc>
          <w:tcPr>
            <w:tcW w:w="4960" w:type="dxa"/>
            <w:vAlign w:val="center"/>
          </w:tcPr>
          <w:p w14:paraId="4DFA1AF9" w14:textId="77777777" w:rsidR="00E77638" w:rsidRPr="0080097B" w:rsidRDefault="00E77638" w:rsidP="00CF01F6">
            <w:pPr>
              <w:pStyle w:val="Textkrper"/>
              <w:ind w:right="-9"/>
              <w:rPr>
                <w:rFonts w:ascii="Arial" w:eastAsia="Arial" w:hAnsi="Arial" w:cs="Arial"/>
              </w:rPr>
            </w:pPr>
          </w:p>
        </w:tc>
        <w:tc>
          <w:tcPr>
            <w:tcW w:w="6" w:type="dxa"/>
            <w:tcMar>
              <w:left w:w="0" w:type="dxa"/>
              <w:right w:w="0" w:type="dxa"/>
            </w:tcMar>
            <w:vAlign w:val="center"/>
          </w:tcPr>
          <w:p w14:paraId="0EE99EB2" w14:textId="77777777" w:rsidR="00E77638" w:rsidRPr="0080097B" w:rsidRDefault="00E77638" w:rsidP="00CF01F6">
            <w:pPr>
              <w:spacing w:before="120" w:after="120"/>
              <w:jc w:val="right"/>
            </w:pPr>
          </w:p>
        </w:tc>
      </w:tr>
    </w:tbl>
    <w:p w14:paraId="12A2955B" w14:textId="5481526A" w:rsidR="00DB4F70" w:rsidRDefault="00E77638" w:rsidP="00DB4F70">
      <w:pPr>
        <w:spacing w:line="360" w:lineRule="auto"/>
        <w:ind w:firstLine="708"/>
        <w:jc w:val="both"/>
        <w:rPr>
          <w:rFonts w:eastAsiaTheme="minorHAnsi"/>
          <w:lang w:val="en-US"/>
        </w:rPr>
      </w:pPr>
      <w:r w:rsidRPr="0080097B">
        <w:rPr>
          <w:lang w:val="en-US"/>
        </w:rPr>
        <w:t>Where</w:t>
      </w:r>
      <w:r w:rsidRPr="0080097B">
        <w:rPr>
          <w:rFonts w:eastAsiaTheme="minorHAnsi"/>
          <w:i/>
          <w:iCs/>
          <w:lang w:val="en-US"/>
        </w:rPr>
        <w:t xml:space="preserve"> </w:t>
      </w:r>
      <w:proofErr w:type="spellStart"/>
      <w:r w:rsidR="00665707">
        <w:rPr>
          <w:rFonts w:eastAsiaTheme="minorHAnsi"/>
          <w:i/>
          <w:iCs/>
          <w:lang w:val="en-US"/>
        </w:rPr>
        <w:t>u</w:t>
      </w:r>
      <w:r w:rsidRPr="0080097B">
        <w:rPr>
          <w:rFonts w:eastAsiaTheme="minorHAnsi"/>
          <w:iCs/>
          <w:vertAlign w:val="subscript"/>
          <w:lang w:val="en-US"/>
        </w:rPr>
        <w:t>bu</w:t>
      </w:r>
      <w:proofErr w:type="spellEnd"/>
      <w:r w:rsidRPr="0080097B">
        <w:rPr>
          <w:lang w:val="en-US"/>
        </w:rPr>
        <w:t xml:space="preserve"> is</w:t>
      </w:r>
      <w:r w:rsidRPr="0080097B">
        <w:rPr>
          <w:rFonts w:eastAsiaTheme="minorHAnsi"/>
          <w:lang w:val="en-US"/>
        </w:rPr>
        <w:t xml:space="preserve"> the uncertainty due to </w:t>
      </w:r>
      <w:r w:rsidRPr="0080097B">
        <w:rPr>
          <w:lang w:val="en-US"/>
        </w:rPr>
        <w:t xml:space="preserve">between unit </w:t>
      </w:r>
      <w:r w:rsidRPr="0080097B">
        <w:rPr>
          <w:rFonts w:eastAsiaTheme="minorHAnsi"/>
          <w:lang w:val="en-US"/>
        </w:rPr>
        <w:t>homogeneity</w:t>
      </w:r>
      <w:r w:rsidR="00665707">
        <w:rPr>
          <w:rFonts w:eastAsiaTheme="minorHAnsi"/>
          <w:lang w:val="en-US"/>
        </w:rPr>
        <w:t>,</w:t>
      </w:r>
      <w:r w:rsidRPr="0080097B">
        <w:rPr>
          <w:rFonts w:eastAsiaTheme="minorHAnsi"/>
          <w:lang w:val="en-US"/>
        </w:rPr>
        <w:t xml:space="preserve"> </w:t>
      </w:r>
      <w:proofErr w:type="spellStart"/>
      <w:r w:rsidRPr="0080097B">
        <w:rPr>
          <w:rFonts w:eastAsiaTheme="minorHAnsi"/>
          <w:lang w:val="en-US"/>
        </w:rPr>
        <w:t>MS</w:t>
      </w:r>
      <w:r w:rsidRPr="0080097B">
        <w:rPr>
          <w:rFonts w:eastAsiaTheme="minorHAnsi"/>
          <w:vertAlign w:val="subscript"/>
          <w:lang w:val="en-US"/>
        </w:rPr>
        <w:t>within</w:t>
      </w:r>
      <w:proofErr w:type="spellEnd"/>
      <w:r w:rsidRPr="0080097B">
        <w:rPr>
          <w:rFonts w:eastAsiaTheme="minorHAnsi"/>
          <w:lang w:val="en-US"/>
        </w:rPr>
        <w:t xml:space="preserve"> is mean square within groups</w:t>
      </w:r>
      <w:r w:rsidR="00665707">
        <w:rPr>
          <w:rFonts w:eastAsiaTheme="minorHAnsi"/>
          <w:lang w:val="en-US"/>
        </w:rPr>
        <w:t xml:space="preserve"> (different replicates of the same unit)</w:t>
      </w:r>
      <w:r w:rsidRPr="0080097B">
        <w:rPr>
          <w:rFonts w:eastAsiaTheme="minorHAnsi"/>
          <w:lang w:val="en-US"/>
        </w:rPr>
        <w:t xml:space="preserve">, </w:t>
      </w:r>
      <w:proofErr w:type="spellStart"/>
      <w:r w:rsidRPr="0080097B">
        <w:rPr>
          <w:rFonts w:eastAsiaTheme="minorHAnsi"/>
          <w:lang w:val="en-US"/>
        </w:rPr>
        <w:t>MS</w:t>
      </w:r>
      <w:r w:rsidRPr="0080097B">
        <w:rPr>
          <w:rFonts w:eastAsiaTheme="minorHAnsi"/>
          <w:vertAlign w:val="subscript"/>
          <w:lang w:val="en-US"/>
        </w:rPr>
        <w:t>between</w:t>
      </w:r>
      <w:proofErr w:type="spellEnd"/>
      <w:r w:rsidRPr="0080097B">
        <w:rPr>
          <w:rFonts w:eastAsiaTheme="minorHAnsi"/>
          <w:lang w:val="en-US"/>
        </w:rPr>
        <w:t xml:space="preserve"> is mean square </w:t>
      </w:r>
      <w:r w:rsidRPr="0080097B">
        <w:rPr>
          <w:lang w:val="en-US"/>
        </w:rPr>
        <w:t>between</w:t>
      </w:r>
      <w:r w:rsidRPr="0080097B">
        <w:rPr>
          <w:rFonts w:eastAsiaTheme="minorHAnsi"/>
          <w:lang w:val="en-US"/>
        </w:rPr>
        <w:t xml:space="preserve"> groups</w:t>
      </w:r>
      <w:r w:rsidR="00665707">
        <w:rPr>
          <w:rFonts w:eastAsiaTheme="minorHAnsi"/>
          <w:lang w:val="en-US"/>
        </w:rPr>
        <w:t xml:space="preserve"> (different units)</w:t>
      </w:r>
      <w:r w:rsidRPr="0080097B">
        <w:rPr>
          <w:rFonts w:eastAsiaTheme="minorHAnsi"/>
          <w:lang w:val="en-US"/>
        </w:rPr>
        <w:t>, and n</w:t>
      </w:r>
      <w:r w:rsidRPr="0080097B">
        <w:rPr>
          <w:rFonts w:eastAsiaTheme="minorHAnsi"/>
          <w:vertAlign w:val="subscript"/>
          <w:lang w:val="en-US"/>
        </w:rPr>
        <w:t>r</w:t>
      </w:r>
      <w:r w:rsidRPr="0080097B">
        <w:rPr>
          <w:rFonts w:eastAsiaTheme="minorHAnsi"/>
          <w:lang w:val="en-US"/>
        </w:rPr>
        <w:t xml:space="preserve"> is number of replicates.</w:t>
      </w:r>
    </w:p>
    <w:p w14:paraId="6E8A688D" w14:textId="3A271449" w:rsidR="00E77638" w:rsidRPr="007A4D96" w:rsidRDefault="00E77638" w:rsidP="00DB4F70">
      <w:pPr>
        <w:spacing w:line="360" w:lineRule="auto"/>
        <w:ind w:firstLine="708"/>
        <w:jc w:val="both"/>
        <w:rPr>
          <w:lang w:val="en-US"/>
        </w:rPr>
      </w:pPr>
      <w:r w:rsidRPr="007A4D96">
        <w:rPr>
          <w:lang w:val="en-US"/>
        </w:rPr>
        <w:t xml:space="preserve">The uncertainty due to within unit </w:t>
      </w:r>
      <w:r w:rsidRPr="007A4D96">
        <w:rPr>
          <w:rFonts w:eastAsiaTheme="minorHAnsi"/>
          <w:lang w:val="en-US"/>
        </w:rPr>
        <w:t>(</w:t>
      </w:r>
      <w:proofErr w:type="spellStart"/>
      <w:r w:rsidRPr="007A4D96">
        <w:rPr>
          <w:lang w:val="en-US"/>
        </w:rPr>
        <w:t>wu</w:t>
      </w:r>
      <w:proofErr w:type="spellEnd"/>
      <w:r w:rsidRPr="007A4D96">
        <w:rPr>
          <w:lang w:val="en-US"/>
        </w:rPr>
        <w:t xml:space="preserve">) homogeneity was calculated with Equation </w:t>
      </w:r>
      <w:r w:rsidR="00303FC3" w:rsidRPr="007A4D96">
        <w:rPr>
          <w:lang w:val="en-US"/>
        </w:rPr>
        <w:t>4</w:t>
      </w:r>
      <w:r w:rsidRPr="007A4D96">
        <w:rPr>
          <w:lang w:val="en-US"/>
        </w:rPr>
        <w:t xml:space="preserve">. </w:t>
      </w:r>
    </w:p>
    <w:p w14:paraId="4ED9D472" w14:textId="77777777" w:rsidR="00E77638" w:rsidRPr="007A4D96" w:rsidRDefault="00E77638" w:rsidP="00E77638">
      <w:pPr>
        <w:rPr>
          <w:lang w:val="en-US"/>
        </w:rPr>
      </w:pPr>
    </w:p>
    <w:tbl>
      <w:tblPr>
        <w:tblW w:w="4960" w:type="dxa"/>
        <w:jc w:val="center"/>
        <w:tblCellMar>
          <w:left w:w="0" w:type="dxa"/>
          <w:right w:w="0" w:type="dxa"/>
        </w:tblCellMar>
        <w:tblLook w:val="04A0" w:firstRow="1" w:lastRow="0" w:firstColumn="1" w:lastColumn="0" w:noHBand="0" w:noVBand="1"/>
      </w:tblPr>
      <w:tblGrid>
        <w:gridCol w:w="4677"/>
        <w:gridCol w:w="283"/>
      </w:tblGrid>
      <w:tr w:rsidR="00E77638" w:rsidRPr="0080097B" w14:paraId="7271A3D8" w14:textId="77777777" w:rsidTr="00CF01F6">
        <w:trPr>
          <w:jc w:val="center"/>
        </w:trPr>
        <w:tc>
          <w:tcPr>
            <w:tcW w:w="4677" w:type="dxa"/>
            <w:vAlign w:val="center"/>
          </w:tcPr>
          <w:p w14:paraId="15B7F08F" w14:textId="3985D601" w:rsidR="00E77638" w:rsidRPr="007A4D96" w:rsidRDefault="00000000" w:rsidP="00CF01F6">
            <w:pPr>
              <w:pStyle w:val="Textkrper"/>
              <w:ind w:right="-9"/>
              <w:rPr>
                <w:rFonts w:ascii="Arial" w:hAnsi="Arial" w:cs="Arial"/>
                <w:i/>
              </w:rPr>
            </w:pPr>
            <m:oMathPara>
              <m:oMathParaPr>
                <m:jc m:val="left"/>
              </m:oMathParaPr>
              <m:oMath>
                <m:sSubSup>
                  <m:sSubSupPr>
                    <m:ctrlPr>
                      <w:rPr>
                        <w:rFonts w:ascii="Cambria Math" w:hAnsi="Cambria Math" w:cs="Arial"/>
                        <w:i/>
                      </w:rPr>
                    </m:ctrlPr>
                  </m:sSubSupPr>
                  <m:e>
                    <m:r>
                      <w:rPr>
                        <w:rFonts w:ascii="Cambria Math" w:hAnsi="Cambria Math" w:cs="Arial"/>
                      </w:rPr>
                      <m:t>u</m:t>
                    </m:r>
                  </m:e>
                  <m:sub>
                    <m:r>
                      <w:rPr>
                        <w:rFonts w:ascii="Cambria Math" w:hAnsi="Cambria Math" w:cs="Arial"/>
                      </w:rPr>
                      <m:t>wu</m:t>
                    </m:r>
                  </m:sub>
                  <m:sup/>
                </m:sSubSup>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MS</m:t>
                            </m:r>
                          </m:e>
                          <m:sub>
                            <m:r>
                              <w:rPr>
                                <w:rFonts w:ascii="Cambria Math" w:hAnsi="Cambria Math" w:cs="Arial"/>
                              </w:rPr>
                              <m:t>between</m:t>
                            </m:r>
                          </m:sub>
                        </m:sSub>
                        <m:r>
                          <w:rPr>
                            <w:rFonts w:ascii="Cambria Math" w:hAnsi="Cambria Math" w:cs="Arial"/>
                          </w:rPr>
                          <m:t>-</m:t>
                        </m:r>
                        <m:sSub>
                          <m:sSubPr>
                            <m:ctrlPr>
                              <w:rPr>
                                <w:rFonts w:ascii="Cambria Math" w:hAnsi="Cambria Math" w:cs="Arial"/>
                                <w:i/>
                              </w:rPr>
                            </m:ctrlPr>
                          </m:sSubPr>
                          <m:e>
                            <m:r>
                              <w:rPr>
                                <w:rFonts w:ascii="Cambria Math" w:hAnsi="Cambria Math" w:cs="Arial"/>
                              </w:rPr>
                              <m:t>MS</m:t>
                            </m:r>
                          </m:e>
                          <m:sub>
                            <m:r>
                              <w:rPr>
                                <w:rFonts w:ascii="Cambria Math" w:hAnsi="Cambria Math" w:cs="Arial"/>
                              </w:rPr>
                              <m:t>within</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r</m:t>
                            </m:r>
                          </m:sub>
                        </m:sSub>
                      </m:den>
                    </m:f>
                  </m:e>
                </m:rad>
              </m:oMath>
            </m:oMathPara>
          </w:p>
        </w:tc>
        <w:tc>
          <w:tcPr>
            <w:tcW w:w="283" w:type="dxa"/>
            <w:tcMar>
              <w:left w:w="0" w:type="dxa"/>
              <w:right w:w="0" w:type="dxa"/>
            </w:tcMar>
            <w:vAlign w:val="center"/>
          </w:tcPr>
          <w:p w14:paraId="4C945AF1" w14:textId="69BD6AA0" w:rsidR="00E77638" w:rsidRPr="0080097B" w:rsidRDefault="00303FC3" w:rsidP="00CF01F6">
            <w:pPr>
              <w:spacing w:before="120" w:after="120"/>
              <w:jc w:val="center"/>
            </w:pPr>
            <w:r w:rsidRPr="007A4D96">
              <w:t>4</w:t>
            </w:r>
          </w:p>
        </w:tc>
      </w:tr>
    </w:tbl>
    <w:p w14:paraId="0CA77C93" w14:textId="77777777" w:rsidR="00E77638" w:rsidRPr="0080097B" w:rsidRDefault="00E77638" w:rsidP="00E77638"/>
    <w:p w14:paraId="495CFF15" w14:textId="544AB387" w:rsidR="00DB4F70" w:rsidRDefault="00E77638" w:rsidP="00DB4F70">
      <w:pPr>
        <w:spacing w:line="360" w:lineRule="auto"/>
        <w:ind w:firstLine="708"/>
        <w:jc w:val="both"/>
        <w:rPr>
          <w:lang w:val="en-US"/>
        </w:rPr>
      </w:pPr>
      <w:r w:rsidRPr="0080097B">
        <w:rPr>
          <w:lang w:val="en-US"/>
        </w:rPr>
        <w:t xml:space="preserve">Where </w:t>
      </w:r>
      <w:proofErr w:type="spellStart"/>
      <w:r w:rsidR="00665707">
        <w:rPr>
          <w:rFonts w:eastAsiaTheme="minorHAnsi"/>
          <w:i/>
          <w:iCs/>
          <w:lang w:val="en-US"/>
        </w:rPr>
        <w:t>u</w:t>
      </w:r>
      <w:r w:rsidRPr="00665707">
        <w:rPr>
          <w:rFonts w:eastAsiaTheme="minorHAnsi"/>
          <w:i/>
          <w:iCs/>
          <w:vertAlign w:val="subscript"/>
          <w:lang w:val="en-US"/>
        </w:rPr>
        <w:t>wu</w:t>
      </w:r>
      <w:proofErr w:type="spellEnd"/>
      <w:r w:rsidRPr="0080097B">
        <w:rPr>
          <w:lang w:val="en-US"/>
        </w:rPr>
        <w:t xml:space="preserve"> is the within-unit component of variance from a homogeneity study, expressed as a standard deviation, </w:t>
      </w:r>
      <w:proofErr w:type="spellStart"/>
      <w:r w:rsidRPr="0080097B">
        <w:rPr>
          <w:rFonts w:eastAsiaTheme="minorHAnsi"/>
          <w:lang w:val="en-US"/>
        </w:rPr>
        <w:t>MS</w:t>
      </w:r>
      <w:r w:rsidRPr="0080097B">
        <w:rPr>
          <w:rFonts w:eastAsiaTheme="minorHAnsi"/>
          <w:vertAlign w:val="subscript"/>
          <w:lang w:val="en-US"/>
        </w:rPr>
        <w:t>between</w:t>
      </w:r>
      <w:proofErr w:type="spellEnd"/>
      <w:r w:rsidRPr="0080097B">
        <w:rPr>
          <w:lang w:val="en-US"/>
        </w:rPr>
        <w:t xml:space="preserve"> is the mean square between aliquots, and </w:t>
      </w:r>
      <w:proofErr w:type="spellStart"/>
      <w:r w:rsidRPr="0080097B">
        <w:rPr>
          <w:rFonts w:eastAsiaTheme="minorHAnsi"/>
          <w:lang w:val="en-US"/>
        </w:rPr>
        <w:t>MS</w:t>
      </w:r>
      <w:r w:rsidRPr="0080097B">
        <w:rPr>
          <w:rFonts w:eastAsiaTheme="minorHAnsi"/>
          <w:vertAlign w:val="subscript"/>
          <w:lang w:val="en-US"/>
        </w:rPr>
        <w:t>within</w:t>
      </w:r>
      <w:proofErr w:type="spellEnd"/>
      <w:r w:rsidRPr="0080097B">
        <w:rPr>
          <w:rFonts w:eastAsiaTheme="minorHAnsi"/>
          <w:lang w:val="en-US"/>
        </w:rPr>
        <w:t xml:space="preserve"> </w:t>
      </w:r>
      <w:r w:rsidRPr="0080097B">
        <w:rPr>
          <w:lang w:val="en-US"/>
        </w:rPr>
        <w:t>is the mean square within aliquots.</w:t>
      </w:r>
    </w:p>
    <w:p w14:paraId="6163DF81" w14:textId="79236C25" w:rsidR="00E77638" w:rsidRPr="00DB4F70" w:rsidRDefault="00E77638" w:rsidP="00DB4F70">
      <w:pPr>
        <w:spacing w:line="360" w:lineRule="auto"/>
        <w:ind w:firstLine="708"/>
        <w:jc w:val="both"/>
        <w:rPr>
          <w:lang w:val="en-US"/>
        </w:rPr>
      </w:pPr>
      <w:r w:rsidRPr="00DB4F70">
        <w:rPr>
          <w:lang w:val="en-US"/>
        </w:rPr>
        <w:t>The uncertainty associated with heterogeneity (</w:t>
      </w:r>
      <m:oMath>
        <m:sSub>
          <m:sSubPr>
            <m:ctrlPr>
              <w:rPr>
                <w:rFonts w:ascii="Cambria Math" w:hAnsi="Cambria Math"/>
              </w:rPr>
            </m:ctrlPr>
          </m:sSubPr>
          <m:e>
            <m:r>
              <w:rPr>
                <w:rFonts w:ascii="Cambria Math" w:hAnsi="Cambria Math"/>
              </w:rPr>
              <m:t>u</m:t>
            </m:r>
          </m:e>
          <m:sub>
            <m:r>
              <w:rPr>
                <w:rFonts w:ascii="Cambria Math" w:hAnsi="Cambria Math"/>
                <w:lang w:val="en-US"/>
              </w:rPr>
              <m:t>h</m:t>
            </m:r>
          </m:sub>
        </m:sSub>
      </m:oMath>
      <w:r w:rsidRPr="00DB4F70">
        <w:rPr>
          <w:lang w:val="en-US"/>
        </w:rPr>
        <w:t xml:space="preserve">) was calculated according to </w:t>
      </w:r>
      <w:r w:rsidRPr="005E1AC1">
        <w:rPr>
          <w:lang w:val="en-US"/>
        </w:rPr>
        <w:t xml:space="preserve">Equation </w:t>
      </w:r>
      <w:r w:rsidR="00303FC3" w:rsidRPr="005E1AC1">
        <w:rPr>
          <w:lang w:val="en-US"/>
        </w:rPr>
        <w:t>5</w:t>
      </w:r>
      <w:sdt>
        <w:sdtPr>
          <w:rPr>
            <w:color w:val="000000"/>
          </w:rPr>
          <w:tag w:val="MENDELEY_CITATION_v3_eyJjaXRhdGlvbklEIjoiTUVOREVMRVlfQ0lUQVRJT05fMTY3MTE3OTYtNDQ2ZC00OTk3LTk1ZTgtNjJlOWYyYWZiMDEz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
          <w:id w:val="596292841"/>
          <w:placeholder>
            <w:docPart w:val="F78FDB492EF04996A49F35E014C9CFF0"/>
          </w:placeholder>
        </w:sdtPr>
        <w:sdtContent>
          <w:r w:rsidR="00FB0020" w:rsidRPr="00FB0020">
            <w:rPr>
              <w:color w:val="000000"/>
              <w:lang w:val="en-US"/>
            </w:rPr>
            <w:t>[8]</w:t>
          </w:r>
        </w:sdtContent>
      </w:sdt>
      <w:r w:rsidRPr="005E1AC1">
        <w:rPr>
          <w:lang w:val="en-US"/>
        </w:rPr>
        <w:t>.</w:t>
      </w:r>
    </w:p>
    <w:p w14:paraId="4F824795" w14:textId="478FE180" w:rsidR="00E77638" w:rsidRPr="0080097B" w:rsidRDefault="00000000" w:rsidP="00E77638">
      <w:pPr>
        <w:ind w:left="2127" w:right="284"/>
        <w:jc w:val="center"/>
        <w:rPr>
          <w:lang w:val="en-US"/>
        </w:rPr>
      </w:pPr>
      <m:oMath>
        <m:sSub>
          <m:sSubPr>
            <m:ctrlPr>
              <w:rPr>
                <w:rFonts w:ascii="Cambria Math" w:hAnsi="Cambria Math"/>
                <w:szCs w:val="24"/>
                <w:lang w:eastAsia="en-US"/>
              </w:rPr>
            </m:ctrlPr>
          </m:sSubPr>
          <m:e>
            <m:r>
              <w:rPr>
                <w:rFonts w:ascii="Cambria Math" w:hAnsi="Cambria Math"/>
                <w:szCs w:val="24"/>
              </w:rPr>
              <m:t>u</m:t>
            </m:r>
          </m:e>
          <m:sub>
            <m:r>
              <m:rPr>
                <m:sty m:val="p"/>
              </m:rPr>
              <w:rPr>
                <w:rFonts w:ascii="Cambria Math" w:hAnsi="Cambria Math"/>
                <w:szCs w:val="24"/>
                <w:lang w:val="en-US"/>
              </w:rPr>
              <m:t>hom</m:t>
            </m:r>
          </m:sub>
        </m:sSub>
        <m:r>
          <m:rPr>
            <m:sty m:val="p"/>
          </m:rPr>
          <w:rPr>
            <w:rFonts w:ascii="Cambria Math"/>
            <w:szCs w:val="24"/>
            <w:lang w:val="en-US"/>
          </w:rPr>
          <m:t>=</m:t>
        </m:r>
        <m:rad>
          <m:radPr>
            <m:degHide m:val="1"/>
            <m:ctrlPr>
              <w:rPr>
                <w:rFonts w:ascii="Cambria Math" w:hAnsi="Cambria Math"/>
                <w:iCs/>
                <w:szCs w:val="24"/>
                <w:lang w:eastAsia="en-US"/>
              </w:rPr>
            </m:ctrlPr>
          </m:radPr>
          <m:deg/>
          <m:e>
            <m:sSubSup>
              <m:sSubSupPr>
                <m:ctrlPr>
                  <w:rPr>
                    <w:rFonts w:ascii="Cambria Math" w:hAnsi="Cambria Math"/>
                  </w:rPr>
                </m:ctrlPr>
              </m:sSubSupPr>
              <m:e>
                <m:r>
                  <w:rPr>
                    <w:rFonts w:ascii="Cambria Math" w:hAnsi="Cambria Math"/>
                  </w:rPr>
                  <m:t>u</m:t>
                </m:r>
              </m:e>
              <m:sub>
                <m:r>
                  <m:rPr>
                    <m:sty m:val="p"/>
                  </m:rPr>
                  <w:rPr>
                    <w:rFonts w:ascii="Cambria Math" w:hAnsi="Cambria Math"/>
                    <w:lang w:val="en-US"/>
                  </w:rPr>
                  <m:t>bu</m:t>
                </m:r>
              </m:sub>
              <m:sup>
                <m:r>
                  <m:rPr>
                    <m:sty m:val="p"/>
                  </m:rPr>
                  <w:rPr>
                    <w:rFonts w:ascii="Cambria Math" w:hAnsi="Cambria Math"/>
                    <w:lang w:val="en-US"/>
                  </w:rPr>
                  <m:t>2</m:t>
                </m:r>
              </m:sup>
            </m:sSubSup>
            <m:r>
              <m:rPr>
                <m:sty m:val="p"/>
              </m:rPr>
              <w:rPr>
                <w:rFonts w:ascii="Cambria Math"/>
                <w:szCs w:val="24"/>
                <w:lang w:val="en-US"/>
              </w:rPr>
              <m:t>+</m:t>
            </m:r>
            <m:sSup>
              <m:sSupPr>
                <m:ctrlPr>
                  <w:rPr>
                    <w:rFonts w:ascii="Cambria Math" w:hAnsi="Cambria Math"/>
                    <w:iCs/>
                    <w:szCs w:val="24"/>
                    <w:lang w:eastAsia="en-US"/>
                  </w:rPr>
                </m:ctrlPr>
              </m:sSupPr>
              <m:e>
                <m:sSubSup>
                  <m:sSubSupPr>
                    <m:ctrlPr>
                      <w:rPr>
                        <w:rFonts w:ascii="Cambria Math" w:hAnsi="Cambria Math"/>
                      </w:rPr>
                    </m:ctrlPr>
                  </m:sSubSupPr>
                  <m:e>
                    <m:r>
                      <w:rPr>
                        <w:rFonts w:ascii="Cambria Math" w:hAnsi="Cambria Math"/>
                      </w:rPr>
                      <m:t>u</m:t>
                    </m:r>
                  </m:e>
                  <m:sub>
                    <m:r>
                      <m:rPr>
                        <m:sty m:val="p"/>
                      </m:rPr>
                      <w:rPr>
                        <w:rFonts w:ascii="Cambria Math" w:hAnsi="Cambria Math"/>
                        <w:lang w:val="en-US"/>
                      </w:rPr>
                      <m:t>wu</m:t>
                    </m:r>
                  </m:sub>
                  <m:sup>
                    <m:r>
                      <m:rPr>
                        <m:sty m:val="p"/>
                      </m:rPr>
                      <w:rPr>
                        <w:rFonts w:ascii="Cambria Math" w:hAnsi="Cambria Math"/>
                        <w:lang w:val="en-US"/>
                      </w:rPr>
                      <m:t>2</m:t>
                    </m:r>
                  </m:sup>
                </m:sSubSup>
              </m:e>
              <m:sup/>
            </m:sSup>
          </m:e>
        </m:rad>
      </m:oMath>
      <w:r w:rsidR="00E77638" w:rsidRPr="0080097B">
        <w:rPr>
          <w:lang w:val="en-US"/>
        </w:rPr>
        <w:t xml:space="preserve">       </w:t>
      </w:r>
      <w:r w:rsidR="00E77638" w:rsidRPr="0080097B">
        <w:rPr>
          <w:lang w:val="en-US"/>
        </w:rPr>
        <w:tab/>
        <w:t xml:space="preserve"> </w:t>
      </w:r>
      <w:r w:rsidR="00303FC3" w:rsidRPr="007A4D96">
        <w:rPr>
          <w:lang w:val="en-US"/>
        </w:rPr>
        <w:t>5</w:t>
      </w:r>
    </w:p>
    <w:p w14:paraId="5400F24C" w14:textId="77777777" w:rsidR="00E77638" w:rsidRPr="0080097B" w:rsidRDefault="00E77638" w:rsidP="00E77638">
      <w:pPr>
        <w:ind w:right="284"/>
        <w:jc w:val="both"/>
        <w:rPr>
          <w:lang w:val="en-US"/>
        </w:rPr>
      </w:pPr>
    </w:p>
    <w:p w14:paraId="435C3F47" w14:textId="77777777" w:rsidR="00E77638" w:rsidRPr="0080097B" w:rsidRDefault="00E77638" w:rsidP="00E77638">
      <w:pPr>
        <w:pStyle w:val="Textkrper"/>
        <w:spacing w:before="2" w:line="276" w:lineRule="auto"/>
        <w:ind w:right="-9"/>
        <w:jc w:val="both"/>
        <w:rPr>
          <w:rFonts w:ascii="Arial" w:hAnsi="Arial" w:cs="Arial"/>
        </w:rPr>
      </w:pPr>
    </w:p>
    <w:p w14:paraId="44F44F53" w14:textId="71E9463A" w:rsidR="00E77638" w:rsidRPr="0080097B" w:rsidRDefault="00E77638" w:rsidP="00DB4F70">
      <w:pPr>
        <w:pStyle w:val="Textkrper"/>
        <w:spacing w:before="2" w:line="360" w:lineRule="auto"/>
        <w:ind w:right="-9"/>
        <w:jc w:val="both"/>
        <w:rPr>
          <w:rFonts w:ascii="Arial" w:eastAsiaTheme="minorHAnsi" w:hAnsi="Arial" w:cs="Arial"/>
        </w:rPr>
      </w:pPr>
      <w:r w:rsidRPr="0080097B">
        <w:rPr>
          <w:rFonts w:ascii="Arial" w:hAnsi="Arial" w:cs="Arial"/>
        </w:rPr>
        <w:t xml:space="preserve">The </w:t>
      </w:r>
      <w:r w:rsidRPr="0080097B">
        <w:rPr>
          <w:rFonts w:ascii="Arial" w:eastAsia="Arial" w:hAnsi="Arial" w:cs="Arial"/>
          <w:lang w:eastAsia="pt-BR"/>
        </w:rPr>
        <w:t>percentage</w:t>
      </w:r>
      <w:r w:rsidRPr="0080097B">
        <w:rPr>
          <w:rFonts w:ascii="Arial" w:hAnsi="Arial" w:cs="Arial"/>
        </w:rPr>
        <w:t xml:space="preserve"> </w:t>
      </w:r>
      <w:r w:rsidRPr="0080097B">
        <w:rPr>
          <w:rFonts w:ascii="Arial" w:eastAsia="Arial" w:hAnsi="Arial" w:cs="Arial"/>
          <w:lang w:eastAsia="pt-BR"/>
        </w:rPr>
        <w:t xml:space="preserve">contribution of heterogeneity </w:t>
      </w:r>
      <w:r w:rsidRPr="0080097B">
        <w:rPr>
          <w:rFonts w:ascii="Arial" w:hAnsi="Arial" w:cs="Arial"/>
        </w:rPr>
        <w:t xml:space="preserve">was calculated with Equation </w:t>
      </w:r>
      <w:r w:rsidR="00303FC3" w:rsidRPr="007A4D96">
        <w:rPr>
          <w:rFonts w:ascii="Arial" w:hAnsi="Arial" w:cs="Arial"/>
        </w:rPr>
        <w:t>6</w:t>
      </w:r>
      <w:r w:rsidR="007A4D96" w:rsidRPr="007A4D96">
        <w:rPr>
          <w:rFonts w:ascii="Arial" w:hAnsi="Arial" w:cs="Arial"/>
        </w:rPr>
        <w:t xml:space="preserve"> </w:t>
      </w:r>
      <w:sdt>
        <w:sdtPr>
          <w:rPr>
            <w:rFonts w:ascii="Arial" w:hAnsi="Arial" w:cs="Arial"/>
            <w:color w:val="000000"/>
          </w:rPr>
          <w:tag w:val="MENDELEY_CITATION_v3_eyJjaXRhdGlvbklEIjoiTUVOREVMRVlfQ0lUQVRJT05fYjMyNGVhYTAtZjAyZi00YjkyLTgwYjktZWY1MjkzMTQyMmRj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
          <w:id w:val="1391840954"/>
          <w:placeholder>
            <w:docPart w:val="EF44EC301DA44B30994786C6EE3784E2"/>
          </w:placeholder>
        </w:sdtPr>
        <w:sdtContent>
          <w:r w:rsidR="00FB0020" w:rsidRPr="00FB0020">
            <w:rPr>
              <w:rFonts w:ascii="Arial" w:hAnsi="Arial" w:cs="Arial"/>
              <w:color w:val="000000"/>
            </w:rPr>
            <w:t>[8]</w:t>
          </w:r>
        </w:sdtContent>
      </w:sdt>
      <w:r w:rsidRPr="0080097B">
        <w:rPr>
          <w:rFonts w:ascii="Arial" w:hAnsi="Arial" w:cs="Arial"/>
        </w:rPr>
        <w:t xml:space="preserve">. </w:t>
      </w:r>
    </w:p>
    <w:p w14:paraId="6B93F665" w14:textId="77777777" w:rsidR="00E77638" w:rsidRPr="0080097B" w:rsidRDefault="00E77638" w:rsidP="00E77638">
      <w:pPr>
        <w:pStyle w:val="Textkrper"/>
        <w:spacing w:before="2" w:line="276" w:lineRule="auto"/>
        <w:ind w:right="-9"/>
        <w:jc w:val="center"/>
        <w:rPr>
          <w:rFonts w:ascii="Arial" w:eastAsia="Arial" w:hAnsi="Arial" w:cs="Arial"/>
        </w:rPr>
      </w:pPr>
    </w:p>
    <w:p w14:paraId="26607954" w14:textId="4ECDA72F" w:rsidR="00E77638" w:rsidRPr="0080097B" w:rsidRDefault="00E77638" w:rsidP="00E77638">
      <w:pPr>
        <w:pStyle w:val="Textkrper"/>
        <w:spacing w:before="2" w:line="276" w:lineRule="auto"/>
        <w:ind w:right="-9"/>
        <w:jc w:val="center"/>
        <w:rPr>
          <w:rFonts w:ascii="Arial" w:hAnsi="Arial" w:cs="Arial"/>
        </w:rPr>
      </w:pPr>
      <m:oMath>
        <m:r>
          <m:rPr>
            <m:sty m:val="p"/>
          </m:rPr>
          <w:rPr>
            <w:rFonts w:ascii="Cambria Math" w:hAnsi="Cambria Math" w:cs="Arial"/>
          </w:rPr>
          <m:t>C %=</m:t>
        </m:r>
        <m:sSubSup>
          <m:sSubSupPr>
            <m:ctrlPr>
              <w:rPr>
                <w:rFonts w:ascii="Cambria Math" w:hAnsi="Cambria Math" w:cs="Arial"/>
              </w:rPr>
            </m:ctrlPr>
          </m:sSubSupPr>
          <m:e>
            <m:r>
              <w:rPr>
                <w:rFonts w:ascii="Cambria Math" w:hAnsi="Cambria Math" w:cs="Arial"/>
              </w:rPr>
              <m:t>u</m:t>
            </m:r>
          </m:e>
          <m:sub>
            <m:r>
              <w:rPr>
                <w:rFonts w:ascii="Cambria Math" w:hAnsi="Cambria Math" w:cs="Arial"/>
              </w:rPr>
              <m:t>hom</m:t>
            </m:r>
          </m:sub>
          <m:sup/>
        </m:sSubSup>
        <m:r>
          <w:rPr>
            <w:rFonts w:ascii="Cambria Math" w:hAnsi="Cambria Math" w:cs="Arial"/>
          </w:rPr>
          <m:t xml:space="preserve">×100/ </m:t>
        </m:r>
        <m:r>
          <m:rPr>
            <m:sty m:val="p"/>
          </m:rPr>
          <w:rPr>
            <w:rFonts w:ascii="Cambria Math" w:hAnsi="Cambria Math" w:cs="Arial"/>
          </w:rPr>
          <m:t>X</m:t>
        </m:r>
      </m:oMath>
      <w:r w:rsidRPr="0080097B">
        <w:rPr>
          <w:rFonts w:ascii="Arial" w:hAnsi="Arial" w:cs="Arial"/>
        </w:rPr>
        <w:t xml:space="preserve">            </w:t>
      </w:r>
      <w:r w:rsidRPr="0080097B">
        <w:rPr>
          <w:rFonts w:ascii="Arial" w:hAnsi="Arial" w:cs="Arial"/>
        </w:rPr>
        <w:tab/>
      </w:r>
      <w:r w:rsidRPr="0080097B">
        <w:rPr>
          <w:rFonts w:ascii="Arial" w:hAnsi="Arial" w:cs="Arial"/>
        </w:rPr>
        <w:tab/>
      </w:r>
      <w:r w:rsidRPr="0080097B">
        <w:rPr>
          <w:rFonts w:ascii="Arial" w:hAnsi="Arial" w:cs="Arial"/>
        </w:rPr>
        <w:tab/>
        <w:t xml:space="preserve">        </w:t>
      </w:r>
      <w:r w:rsidR="00303FC3" w:rsidRPr="007A4D96">
        <w:rPr>
          <w:rFonts w:ascii="Arial" w:hAnsi="Arial" w:cs="Arial"/>
        </w:rPr>
        <w:t>6</w:t>
      </w:r>
    </w:p>
    <w:p w14:paraId="5E1B5013" w14:textId="77777777" w:rsidR="00E77638" w:rsidRPr="00CF01F6" w:rsidRDefault="00E77638" w:rsidP="00DB4F70">
      <w:pPr>
        <w:pStyle w:val="TAMainText"/>
      </w:pPr>
    </w:p>
    <w:p w14:paraId="58DBCA75" w14:textId="77777777" w:rsidR="00E77638" w:rsidRPr="0080097B" w:rsidRDefault="00E77638" w:rsidP="00DB4F70">
      <w:pPr>
        <w:pStyle w:val="TAMainText"/>
      </w:pPr>
    </w:p>
    <w:p w14:paraId="02F2D761" w14:textId="77777777" w:rsidR="00E77638" w:rsidRPr="00DB4F70" w:rsidRDefault="00E77638" w:rsidP="00DB4F70">
      <w:pPr>
        <w:pStyle w:val="TAMainText"/>
        <w:ind w:firstLine="708"/>
        <w:rPr>
          <w:b/>
        </w:rPr>
      </w:pPr>
      <w:r w:rsidRPr="00DB4F70">
        <w:t xml:space="preserve">Where, </w:t>
      </w:r>
      <m:oMath>
        <m:sSubSup>
          <m:sSubSupPr>
            <m:ctrlPr>
              <w:rPr>
                <w:rFonts w:ascii="Cambria Math" w:hAnsi="Cambria Math"/>
              </w:rPr>
            </m:ctrlPr>
          </m:sSubSupPr>
          <m:e>
            <m:r>
              <m:rPr>
                <m:sty m:val="bi"/>
              </m:rPr>
              <w:rPr>
                <w:rFonts w:ascii="Cambria Math" w:hAnsi="Cambria Math"/>
              </w:rPr>
              <m:t>u</m:t>
            </m:r>
          </m:e>
          <m:sub>
            <m:r>
              <m:rPr>
                <m:sty m:val="bi"/>
              </m:rPr>
              <w:rPr>
                <w:rFonts w:ascii="Cambria Math" w:hAnsi="Cambria Math"/>
              </w:rPr>
              <m:t>hom</m:t>
            </m:r>
          </m:sub>
          <m:sup/>
        </m:sSubSup>
      </m:oMath>
      <w:r w:rsidRPr="00DB4F70">
        <w:t xml:space="preserve"> IS standard uncertainty associated with heterogeneity; X is the mean of all results.</w:t>
      </w:r>
    </w:p>
    <w:p w14:paraId="488F7BD3" w14:textId="32A3C719" w:rsidR="00E77638" w:rsidRPr="0080097B" w:rsidRDefault="00E77638" w:rsidP="00DB4F70">
      <w:pPr>
        <w:spacing w:line="360" w:lineRule="auto"/>
        <w:ind w:firstLine="708"/>
        <w:jc w:val="both"/>
        <w:rPr>
          <w:lang w:val="en-US"/>
        </w:rPr>
      </w:pPr>
      <w:r w:rsidRPr="0080097B">
        <w:rPr>
          <w:lang w:val="en-US"/>
        </w:rPr>
        <w:t xml:space="preserve">The </w:t>
      </w:r>
      <w:r w:rsidRPr="0080097B">
        <w:rPr>
          <w:szCs w:val="20"/>
          <w:lang w:val="en-US"/>
        </w:rPr>
        <w:t xml:space="preserve">short-term stability </w:t>
      </w:r>
      <w:r w:rsidRPr="0080097B">
        <w:rPr>
          <w:lang w:val="en-US"/>
        </w:rPr>
        <w:t>uncertainty (</w:t>
      </w:r>
      <w:proofErr w:type="spellStart"/>
      <w:r w:rsidRPr="0080097B">
        <w:rPr>
          <w:lang w:val="en-US"/>
        </w:rPr>
        <w:t>u</w:t>
      </w:r>
      <w:r w:rsidRPr="0080097B">
        <w:rPr>
          <w:vertAlign w:val="subscript"/>
          <w:lang w:val="en-US"/>
        </w:rPr>
        <w:t>sts</w:t>
      </w:r>
      <w:proofErr w:type="spellEnd"/>
      <w:r w:rsidRPr="0080097B">
        <w:rPr>
          <w:lang w:val="en-US"/>
        </w:rPr>
        <w:t xml:space="preserve">) was estimated using </w:t>
      </w:r>
      <w:r w:rsidRPr="005E1AC1">
        <w:rPr>
          <w:lang w:val="en-US"/>
        </w:rPr>
        <w:t xml:space="preserve">Equation </w:t>
      </w:r>
      <w:r w:rsidR="00303FC3" w:rsidRPr="005E1AC1">
        <w:rPr>
          <w:lang w:val="en-US"/>
        </w:rPr>
        <w:t>7</w:t>
      </w:r>
      <w:r w:rsidRPr="005E1AC1">
        <w:rPr>
          <w:lang w:val="en-US"/>
        </w:rPr>
        <w:t xml:space="preserve"> </w:t>
      </w:r>
      <w:sdt>
        <w:sdtPr>
          <w:rPr>
            <w:color w:val="000000"/>
            <w:lang w:val="en-US"/>
          </w:rPr>
          <w:tag w:val="MENDELEY_CITATION_v3_eyJjaXRhdGlvbklEIjoiTUVOREVMRVlfQ0lUQVRJT05fZWQxMjhjMTEtNzMxYS00OWU5LTg5ZWItMmFmOGZhMDNmN2Ez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
          <w:id w:val="835187389"/>
          <w:placeholder>
            <w:docPart w:val="D3E3CDE9B5724FDA88950A268DA748E9"/>
          </w:placeholder>
        </w:sdtPr>
        <w:sdtContent>
          <w:r w:rsidR="00FB0020" w:rsidRPr="00FB0020">
            <w:rPr>
              <w:color w:val="000000"/>
              <w:lang w:val="en-US"/>
            </w:rPr>
            <w:t>[8]</w:t>
          </w:r>
        </w:sdtContent>
      </w:sdt>
      <w:r w:rsidRPr="005E1AC1">
        <w:rPr>
          <w:lang w:val="en-US"/>
        </w:rPr>
        <w:t>.</w:t>
      </w:r>
      <w:r w:rsidRPr="0080097B">
        <w:rPr>
          <w:lang w:val="en-US"/>
        </w:rPr>
        <w:t xml:space="preserve"> </w:t>
      </w:r>
    </w:p>
    <w:p w14:paraId="438E2A91" w14:textId="77777777" w:rsidR="00E77638" w:rsidRPr="0080097B" w:rsidRDefault="00E77638" w:rsidP="00E77638">
      <w:pPr>
        <w:rPr>
          <w:szCs w:val="20"/>
          <w:lang w:val="en-US"/>
        </w:rPr>
      </w:pPr>
    </w:p>
    <w:tbl>
      <w:tblPr>
        <w:tblW w:w="5245" w:type="dxa"/>
        <w:jc w:val="center"/>
        <w:tblCellMar>
          <w:left w:w="0" w:type="dxa"/>
          <w:right w:w="0" w:type="dxa"/>
        </w:tblCellMar>
        <w:tblLook w:val="04A0" w:firstRow="1" w:lastRow="0" w:firstColumn="1" w:lastColumn="0" w:noHBand="0" w:noVBand="1"/>
      </w:tblPr>
      <w:tblGrid>
        <w:gridCol w:w="4677"/>
        <w:gridCol w:w="568"/>
      </w:tblGrid>
      <w:tr w:rsidR="00E77638" w:rsidRPr="00032576" w14:paraId="1AF692A6" w14:textId="77777777" w:rsidTr="00CF01F6">
        <w:trPr>
          <w:jc w:val="center"/>
        </w:trPr>
        <w:tc>
          <w:tcPr>
            <w:tcW w:w="4677" w:type="dxa"/>
            <w:vAlign w:val="center"/>
          </w:tcPr>
          <w:p w14:paraId="4003C49B" w14:textId="77777777" w:rsidR="00E77638" w:rsidRPr="00032576" w:rsidRDefault="00000000" w:rsidP="00CF01F6">
            <w:pPr>
              <w:pStyle w:val="Textkrper"/>
              <w:spacing w:before="9"/>
              <w:ind w:left="993" w:hanging="993"/>
              <w:rPr>
                <w:rFonts w:ascii="Cambria Math" w:hAnsi="Cambria Math"/>
              </w:rPr>
            </w:pPr>
            <m:oMathPara>
              <m:oMathParaPr>
                <m:jc m:val="left"/>
              </m:oMathParaP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sts</m:t>
                    </m:r>
                  </m:sub>
                </m:sSub>
                <m:sSub>
                  <m:sSubPr>
                    <m:ctrlPr>
                      <w:rPr>
                        <w:rFonts w:ascii="Cambria Math" w:hAnsi="Cambria Math"/>
                        <w:i/>
                        <w:szCs w:val="20"/>
                      </w:rPr>
                    </m:ctrlPr>
                  </m:sSubPr>
                  <m:e>
                    <m:r>
                      <w:rPr>
                        <w:rFonts w:ascii="Cambria Math" w:hAnsi="Cambria Math"/>
                        <w:szCs w:val="20"/>
                      </w:rPr>
                      <m:t>=S</m:t>
                    </m:r>
                  </m:e>
                  <m:sub>
                    <m:r>
                      <w:rPr>
                        <w:rFonts w:ascii="Cambria Math" w:hAnsi="Cambria Math"/>
                        <w:szCs w:val="20"/>
                      </w:rPr>
                      <m:t>(b1)</m:t>
                    </m:r>
                  </m:sub>
                </m:sSub>
                <m:r>
                  <w:rPr>
                    <w:rFonts w:ascii="Cambria Math" w:hAnsi="Cambria Math"/>
                    <w:szCs w:val="20"/>
                  </w:rPr>
                  <m:t>t</m:t>
                </m:r>
              </m:oMath>
            </m:oMathPara>
          </w:p>
        </w:tc>
        <w:tc>
          <w:tcPr>
            <w:tcW w:w="568" w:type="dxa"/>
            <w:tcMar>
              <w:left w:w="0" w:type="dxa"/>
              <w:right w:w="0" w:type="dxa"/>
            </w:tcMar>
            <w:vAlign w:val="center"/>
          </w:tcPr>
          <w:p w14:paraId="6B9A5688" w14:textId="5D0BB38A" w:rsidR="00E77638" w:rsidRPr="00032576" w:rsidRDefault="00303FC3" w:rsidP="00CF01F6">
            <w:pPr>
              <w:spacing w:before="120" w:after="120"/>
              <w:jc w:val="right"/>
            </w:pPr>
            <w:r w:rsidRPr="00032576">
              <w:t>7</w:t>
            </w:r>
          </w:p>
        </w:tc>
      </w:tr>
    </w:tbl>
    <w:p w14:paraId="0064ABDF" w14:textId="1EA41708" w:rsidR="00E77638" w:rsidRPr="0080097B" w:rsidRDefault="00E77638" w:rsidP="00E77638">
      <w:pPr>
        <w:rPr>
          <w:szCs w:val="20"/>
        </w:rPr>
      </w:pPr>
    </w:p>
    <w:p w14:paraId="31223B04" w14:textId="77777777" w:rsidR="00E77638" w:rsidRPr="0080097B" w:rsidRDefault="00E77638" w:rsidP="00DB4F70">
      <w:pPr>
        <w:adjustRightInd w:val="0"/>
        <w:spacing w:line="360" w:lineRule="auto"/>
        <w:ind w:firstLine="708"/>
        <w:jc w:val="both"/>
        <w:rPr>
          <w:rFonts w:eastAsiaTheme="minorHAnsi"/>
          <w:lang w:val="en-US"/>
        </w:rPr>
      </w:pPr>
      <w:r w:rsidRPr="0080097B">
        <w:rPr>
          <w:rFonts w:eastAsiaTheme="minorHAnsi"/>
          <w:lang w:val="en-US"/>
        </w:rPr>
        <w:t>Where, s(</w:t>
      </w:r>
      <w:r w:rsidRPr="0080097B">
        <w:rPr>
          <w:rFonts w:eastAsiaTheme="minorHAnsi"/>
          <w:i/>
          <w:lang w:val="en-US"/>
        </w:rPr>
        <w:t>b</w:t>
      </w:r>
      <w:r w:rsidRPr="0080097B">
        <w:rPr>
          <w:rFonts w:eastAsiaTheme="minorHAnsi"/>
          <w:lang w:val="en-US"/>
        </w:rPr>
        <w:t>1) is estimate of the standard error of the slope (g.100 g day</w:t>
      </w:r>
      <w:r w:rsidRPr="0080097B">
        <w:rPr>
          <w:rFonts w:eastAsiaTheme="minorHAnsi"/>
          <w:vertAlign w:val="superscript"/>
          <w:lang w:val="en-US"/>
        </w:rPr>
        <w:t xml:space="preserve">-1 </w:t>
      </w:r>
      <w:r w:rsidRPr="0080097B">
        <w:rPr>
          <w:rFonts w:eastAsiaTheme="minorHAnsi"/>
          <w:lang w:val="en-US"/>
        </w:rPr>
        <w:t>or g.100 g week</w:t>
      </w:r>
      <w:r w:rsidRPr="0080097B">
        <w:rPr>
          <w:rFonts w:eastAsiaTheme="minorHAnsi"/>
          <w:vertAlign w:val="superscript"/>
          <w:lang w:val="en-US"/>
        </w:rPr>
        <w:t>-1</w:t>
      </w:r>
      <w:r w:rsidRPr="0080097B">
        <w:rPr>
          <w:rFonts w:eastAsiaTheme="minorHAnsi"/>
          <w:lang w:val="en-US"/>
        </w:rPr>
        <w:t xml:space="preserve">), and </w:t>
      </w:r>
      <w:r w:rsidRPr="0080097B">
        <w:rPr>
          <w:rFonts w:eastAsiaTheme="minorHAnsi"/>
          <w:i/>
          <w:lang w:val="en-US"/>
        </w:rPr>
        <w:t>t</w:t>
      </w:r>
      <w:r w:rsidRPr="0080097B">
        <w:rPr>
          <w:rFonts w:eastAsiaTheme="minorHAnsi"/>
          <w:lang w:val="en-US"/>
        </w:rPr>
        <w:t xml:space="preserve"> is the time (days, weeks).</w:t>
      </w:r>
    </w:p>
    <w:p w14:paraId="4B4B8503" w14:textId="10628D09" w:rsidR="00E77638" w:rsidRPr="0080097B" w:rsidRDefault="00E77638" w:rsidP="00DB4F70">
      <w:pPr>
        <w:pStyle w:val="Textkrper"/>
        <w:spacing w:before="2" w:line="360" w:lineRule="auto"/>
        <w:ind w:right="-9" w:firstLine="708"/>
        <w:jc w:val="both"/>
        <w:rPr>
          <w:rFonts w:ascii="Arial" w:eastAsiaTheme="minorHAnsi" w:hAnsi="Arial" w:cs="Arial"/>
        </w:rPr>
      </w:pPr>
      <w:r w:rsidRPr="0080097B">
        <w:rPr>
          <w:rFonts w:ascii="Arial" w:hAnsi="Arial" w:cs="Arial"/>
        </w:rPr>
        <w:t xml:space="preserve">The </w:t>
      </w:r>
      <w:r w:rsidRPr="0080097B">
        <w:rPr>
          <w:rFonts w:ascii="Arial" w:eastAsia="Arial" w:hAnsi="Arial" w:cs="Arial"/>
          <w:lang w:eastAsia="pt-BR"/>
        </w:rPr>
        <w:t>percentage</w:t>
      </w:r>
      <w:r w:rsidRPr="0080097B">
        <w:rPr>
          <w:rFonts w:ascii="Arial" w:hAnsi="Arial" w:cs="Arial"/>
        </w:rPr>
        <w:t xml:space="preserve"> </w:t>
      </w:r>
      <w:r w:rsidRPr="0080097B">
        <w:rPr>
          <w:rFonts w:ascii="Arial" w:eastAsia="Arial" w:hAnsi="Arial" w:cs="Arial"/>
          <w:lang w:eastAsia="pt-BR"/>
        </w:rPr>
        <w:t xml:space="preserve">contribution of thermal instability of the material batch during transportation </w:t>
      </w:r>
      <w:r w:rsidRPr="0080097B">
        <w:rPr>
          <w:rFonts w:ascii="Arial" w:hAnsi="Arial" w:cs="Arial"/>
        </w:rPr>
        <w:t xml:space="preserve">was calculated with </w:t>
      </w:r>
      <w:r w:rsidRPr="005E1AC1">
        <w:rPr>
          <w:rFonts w:ascii="Arial" w:hAnsi="Arial" w:cs="Arial"/>
        </w:rPr>
        <w:t xml:space="preserve">Equation </w:t>
      </w:r>
      <w:r w:rsidR="00303FC3" w:rsidRPr="005E1AC1">
        <w:rPr>
          <w:rFonts w:ascii="Arial" w:hAnsi="Arial" w:cs="Arial"/>
        </w:rPr>
        <w:t>8</w:t>
      </w:r>
      <w:r w:rsidRPr="005E1AC1">
        <w:rPr>
          <w:rFonts w:ascii="Arial" w:hAnsi="Arial" w:cs="Arial"/>
        </w:rPr>
        <w:t xml:space="preserve"> </w:t>
      </w:r>
      <w:sdt>
        <w:sdtPr>
          <w:rPr>
            <w:rFonts w:ascii="Arial" w:hAnsi="Arial" w:cs="Arial"/>
            <w:color w:val="000000"/>
          </w:rPr>
          <w:tag w:val="MENDELEY_CITATION_v3_eyJjaXRhdGlvbklEIjoiTUVOREVMRVlfQ0lUQVRJT05fNmY1OGM2MDUtZWZlMS00ZTBlLThhNDYtN2FlNGI0NmU0YTM0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
          <w:id w:val="-1339691105"/>
          <w:placeholder>
            <w:docPart w:val="D258497569BF44F38308F4A1C3C3F8B0"/>
          </w:placeholder>
        </w:sdtPr>
        <w:sdtContent>
          <w:r w:rsidR="00FB0020" w:rsidRPr="00FB0020">
            <w:rPr>
              <w:rFonts w:ascii="Arial" w:hAnsi="Arial" w:cs="Arial"/>
              <w:color w:val="000000"/>
            </w:rPr>
            <w:t>[8]</w:t>
          </w:r>
        </w:sdtContent>
      </w:sdt>
      <w:r w:rsidRPr="005E1AC1">
        <w:rPr>
          <w:rFonts w:ascii="Arial" w:hAnsi="Arial" w:cs="Arial"/>
        </w:rPr>
        <w:t>.</w:t>
      </w:r>
      <w:r w:rsidRPr="0080097B">
        <w:rPr>
          <w:rFonts w:ascii="Arial" w:hAnsi="Arial" w:cs="Arial"/>
        </w:rPr>
        <w:t xml:space="preserve"> </w:t>
      </w:r>
    </w:p>
    <w:p w14:paraId="2B3AA785" w14:textId="77777777" w:rsidR="00E77638" w:rsidRPr="0080097B" w:rsidRDefault="00E77638" w:rsidP="00E77638">
      <w:pPr>
        <w:pStyle w:val="Textkrper"/>
        <w:spacing w:before="2" w:line="276" w:lineRule="auto"/>
        <w:ind w:right="-9"/>
        <w:jc w:val="center"/>
        <w:rPr>
          <w:rFonts w:ascii="Arial" w:eastAsia="Arial" w:hAnsi="Arial" w:cs="Arial"/>
        </w:rPr>
      </w:pPr>
    </w:p>
    <w:p w14:paraId="04397495" w14:textId="53E425F7" w:rsidR="00E77638" w:rsidRDefault="00E77638" w:rsidP="00E77638">
      <w:pPr>
        <w:pStyle w:val="Textkrper"/>
        <w:spacing w:before="2" w:line="276" w:lineRule="auto"/>
        <w:ind w:right="-9"/>
        <w:jc w:val="center"/>
        <w:rPr>
          <w:rFonts w:ascii="Arial" w:hAnsi="Arial" w:cs="Arial"/>
        </w:rPr>
      </w:pPr>
      <m:oMath>
        <m:r>
          <m:rPr>
            <m:sty m:val="p"/>
          </m:rPr>
          <w:rPr>
            <w:rFonts w:ascii="Cambria Math" w:hAnsi="Cambria Math" w:cs="Arial"/>
          </w:rPr>
          <m:t>C %=</m:t>
        </m:r>
        <m:sSubSup>
          <m:sSubSupPr>
            <m:ctrlPr>
              <w:rPr>
                <w:rFonts w:ascii="Cambria Math" w:hAnsi="Cambria Math" w:cs="Arial"/>
              </w:rPr>
            </m:ctrlPr>
          </m:sSubSupPr>
          <m:e>
            <m:r>
              <w:rPr>
                <w:rFonts w:ascii="Cambria Math" w:hAnsi="Cambria Math" w:cs="Arial"/>
              </w:rPr>
              <m:t>u</m:t>
            </m:r>
          </m:e>
          <m:sub>
            <m:r>
              <w:rPr>
                <w:rFonts w:ascii="Cambria Math" w:hAnsi="Cambria Math" w:cs="Arial"/>
              </w:rPr>
              <m:t>sts</m:t>
            </m:r>
          </m:sub>
          <m:sup/>
        </m:sSubSup>
        <m:r>
          <w:rPr>
            <w:rFonts w:ascii="Cambria Math" w:hAnsi="Cambria Math" w:cs="Arial"/>
          </w:rPr>
          <m:t xml:space="preserve">×100/ </m:t>
        </m:r>
        <m:r>
          <m:rPr>
            <m:sty m:val="p"/>
          </m:rPr>
          <w:rPr>
            <w:rFonts w:ascii="Cambria Math" w:hAnsi="Cambria Math" w:cs="Arial"/>
          </w:rPr>
          <m:t>X</m:t>
        </m:r>
      </m:oMath>
      <w:r w:rsidRPr="0080097B">
        <w:rPr>
          <w:rFonts w:ascii="Arial" w:hAnsi="Arial" w:cs="Arial"/>
        </w:rPr>
        <w:t xml:space="preserve">            </w:t>
      </w:r>
      <w:r w:rsidRPr="0080097B">
        <w:rPr>
          <w:rFonts w:ascii="Arial" w:hAnsi="Arial" w:cs="Arial"/>
        </w:rPr>
        <w:tab/>
      </w:r>
      <w:r w:rsidRPr="0080097B">
        <w:rPr>
          <w:rFonts w:ascii="Arial" w:hAnsi="Arial" w:cs="Arial"/>
        </w:rPr>
        <w:tab/>
      </w:r>
      <w:r w:rsidRPr="0080097B">
        <w:rPr>
          <w:rFonts w:ascii="Arial" w:hAnsi="Arial" w:cs="Arial"/>
        </w:rPr>
        <w:tab/>
      </w:r>
      <w:r w:rsidRPr="0080097B">
        <w:rPr>
          <w:rFonts w:ascii="Arial" w:hAnsi="Arial" w:cs="Arial"/>
        </w:rPr>
        <w:tab/>
      </w:r>
      <w:r w:rsidR="00303FC3" w:rsidRPr="00F86717">
        <w:rPr>
          <w:rFonts w:ascii="Arial" w:hAnsi="Arial" w:cs="Arial"/>
        </w:rPr>
        <w:t>8</w:t>
      </w:r>
    </w:p>
    <w:p w14:paraId="032E628A" w14:textId="77777777" w:rsidR="00DB4F70" w:rsidRPr="001F0077" w:rsidRDefault="00DB4F70" w:rsidP="00E77638">
      <w:pPr>
        <w:pStyle w:val="Textkrper"/>
        <w:spacing w:before="2" w:line="276" w:lineRule="auto"/>
        <w:ind w:right="-9"/>
        <w:jc w:val="center"/>
        <w:rPr>
          <w:rFonts w:ascii="Arial" w:hAnsi="Arial" w:cs="Arial"/>
        </w:rPr>
      </w:pPr>
    </w:p>
    <w:p w14:paraId="78517DBE" w14:textId="7BDD3DC0" w:rsidR="00E77638" w:rsidRPr="0060785E" w:rsidRDefault="006A40B4" w:rsidP="0060785E">
      <w:pPr>
        <w:pStyle w:val="berschrift2"/>
        <w:spacing w:line="360" w:lineRule="auto"/>
        <w:jc w:val="both"/>
        <w:rPr>
          <w:rFonts w:ascii="Arial" w:hAnsi="Arial" w:cs="Arial"/>
          <w:color w:val="auto"/>
          <w:sz w:val="22"/>
          <w:szCs w:val="22"/>
          <w:lang w:val="en-US" w:eastAsia="en-US"/>
        </w:rPr>
      </w:pPr>
      <w:bookmarkStart w:id="27" w:name="_Toc216797630"/>
      <w:r>
        <w:rPr>
          <w:rFonts w:ascii="Arial" w:hAnsi="Arial" w:cs="Arial"/>
          <w:color w:val="auto"/>
          <w:sz w:val="22"/>
          <w:szCs w:val="22"/>
          <w:lang w:val="en-US" w:eastAsia="en-US"/>
        </w:rPr>
        <w:t>S</w:t>
      </w:r>
      <w:r w:rsidR="00DB4F70" w:rsidRPr="0060785E">
        <w:rPr>
          <w:rFonts w:ascii="Arial" w:hAnsi="Arial" w:cs="Arial"/>
          <w:color w:val="auto"/>
          <w:sz w:val="22"/>
          <w:szCs w:val="22"/>
          <w:lang w:val="en-US" w:eastAsia="en-US"/>
        </w:rPr>
        <w:t>6.2) Homogeneity studies</w:t>
      </w:r>
      <w:bookmarkEnd w:id="27"/>
    </w:p>
    <w:p w14:paraId="3714A048" w14:textId="5FF6F015" w:rsidR="00DB4F70" w:rsidRPr="00DB4F70" w:rsidRDefault="00DB4F70" w:rsidP="00DB4F70">
      <w:pPr>
        <w:pStyle w:val="TAMainText"/>
        <w:ind w:firstLine="708"/>
        <w:rPr>
          <w:b/>
        </w:rPr>
      </w:pPr>
      <w:r w:rsidRPr="00DB4F70">
        <w:rPr>
          <w:bCs/>
        </w:rPr>
        <w:t>Between-unit homogeneity was assessed by analyzing three true replicates from 10 units selected via random stratified sampling. Within-unit homogeneity was evaluated through three true replicates of three units. Cannabis samples were prepared at 5 mg mL</w:t>
      </w:r>
      <w:r w:rsidRPr="00DB4F70">
        <w:rPr>
          <w:rFonts w:ascii="Cambria Math" w:hAnsi="Cambria Math" w:cs="Cambria Math"/>
          <w:bCs/>
        </w:rPr>
        <w:t>⁻</w:t>
      </w:r>
      <w:r w:rsidRPr="00DB4F70">
        <w:rPr>
          <w:bCs/>
        </w:rPr>
        <w:t xml:space="preserve">¹ of plant material. From each flask, three aliquots of approximately 50 mg were weighed and extracted with 10 mL methanol in an ultrasonic bath (60 W, 80 kHz) for 30 min. Extracts were centrifuged at 4000 rpm for 5 min at temperatures below 25 °C. A 1 mL aliquot of the supernatant was filtered through a 0.22 µm membrane directly into 2 </w:t>
      </w:r>
      <w:r w:rsidRPr="00DB4F70">
        <w:rPr>
          <w:bCs/>
        </w:rPr>
        <w:lastRenderedPageBreak/>
        <w:t xml:space="preserve">mL vials and injected in triplicate into the ACQUITY UPLC–PDA–MS/MS system within a single injection sequence. To minimize block effects or trends within the sequence, the first injection block (group) was analyzed in ascending filling order, the second in random order, and the third in descending order. </w:t>
      </w:r>
      <w:r w:rsidRPr="00DB4F70">
        <w:t xml:space="preserve">Results were evaluated by the analyte peak area (Δ⁹–THC and CBN) corrected by the mass fraction of the solution, determined as shown in </w:t>
      </w:r>
      <w:r w:rsidRPr="005E1AC1">
        <w:t xml:space="preserve">Equation </w:t>
      </w:r>
      <w:r w:rsidR="00303FC3" w:rsidRPr="005E1AC1">
        <w:t>9</w:t>
      </w:r>
      <w:r w:rsidRPr="005E1AC1">
        <w:t xml:space="preserve"> </w:t>
      </w:r>
      <w:sdt>
        <w:sdtPr>
          <w:rPr>
            <w:color w:val="000000"/>
          </w:rPr>
          <w:tag w:val="MENDELEY_CITATION_v3_eyJjaXRhdGlvbklEIjoiTUVOREVMRVlfQ0lUQVRJT05fZDc0NmIzNDMtZDc2OC00NDRiLWE2ODQtZDhmMWFjNGZkNjVj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
          <w:id w:val="1518815297"/>
          <w:placeholder>
            <w:docPart w:val="8F14E13B53054E8ABDDA274CD3256197"/>
          </w:placeholder>
        </w:sdtPr>
        <w:sdtContent>
          <w:r w:rsidR="00FB0020" w:rsidRPr="00FB0020">
            <w:rPr>
              <w:color w:val="000000"/>
            </w:rPr>
            <w:t>[8]</w:t>
          </w:r>
        </w:sdtContent>
      </w:sdt>
      <w:r w:rsidRPr="005E1AC1">
        <w:t>.</w:t>
      </w:r>
      <w:r w:rsidRPr="00DB4F70">
        <w:t xml:space="preserve"> </w:t>
      </w:r>
    </w:p>
    <w:p w14:paraId="2D55BE9A" w14:textId="77777777" w:rsidR="00DB4F70" w:rsidRPr="00DB4F70" w:rsidRDefault="00DB4F70" w:rsidP="00DB4F70">
      <w:pPr>
        <w:pStyle w:val="TAMainText"/>
        <w:rPr>
          <w:b/>
        </w:rPr>
      </w:pPr>
    </w:p>
    <w:p w14:paraId="4D7DE89F" w14:textId="6B907E2C" w:rsidR="00DB4F70" w:rsidRDefault="00DB4F70" w:rsidP="00DB4F70">
      <w:pPr>
        <w:pStyle w:val="TAMainText"/>
        <w:ind w:left="2880" w:firstLine="720"/>
      </w:pPr>
      <w:proofErr w:type="spellStart"/>
      <w:r w:rsidRPr="00DB4F70">
        <w:rPr>
          <w:i/>
          <w:iCs/>
        </w:rPr>
        <w:t>A</w:t>
      </w:r>
      <w:r w:rsidRPr="00DB4F70">
        <w:rPr>
          <w:i/>
          <w:iCs/>
          <w:vertAlign w:val="subscript"/>
        </w:rPr>
        <w:t>corrected</w:t>
      </w:r>
      <w:proofErr w:type="spellEnd"/>
      <w:r w:rsidRPr="00DB4F70">
        <w:rPr>
          <w:i/>
          <w:iCs/>
          <w:vertAlign w:val="subscript"/>
        </w:rPr>
        <w:t xml:space="preserve"> =</w:t>
      </w:r>
      <w:r w:rsidRPr="00DB4F70">
        <w:rPr>
          <w:i/>
          <w:iCs/>
        </w:rPr>
        <w:t xml:space="preserve"> </w:t>
      </w:r>
      <w:proofErr w:type="spellStart"/>
      <w:r w:rsidRPr="00DB4F70">
        <w:rPr>
          <w:i/>
          <w:iCs/>
        </w:rPr>
        <w:t>A</w:t>
      </w:r>
      <w:r w:rsidRPr="00DB4F70">
        <w:rPr>
          <w:i/>
          <w:iCs/>
          <w:vertAlign w:val="subscript"/>
        </w:rPr>
        <w:t>analyte</w:t>
      </w:r>
      <w:proofErr w:type="spellEnd"/>
      <w:r w:rsidRPr="00DB4F70">
        <w:rPr>
          <w:i/>
          <w:iCs/>
        </w:rPr>
        <w:t xml:space="preserve">/ </w:t>
      </w:r>
      <w:proofErr w:type="spellStart"/>
      <w:r w:rsidRPr="00DB4F70">
        <w:rPr>
          <w:i/>
          <w:iCs/>
        </w:rPr>
        <w:t>MF</w:t>
      </w:r>
      <w:r w:rsidRPr="00DB4F70">
        <w:rPr>
          <w:i/>
          <w:iCs/>
          <w:vertAlign w:val="subscript"/>
        </w:rPr>
        <w:t>solution</w:t>
      </w:r>
      <w:proofErr w:type="spellEnd"/>
      <w:r w:rsidRPr="00DB4F70">
        <w:rPr>
          <w:vertAlign w:val="subscript"/>
        </w:rPr>
        <w:tab/>
      </w:r>
      <w:r w:rsidRPr="00DB4F70">
        <w:rPr>
          <w:vertAlign w:val="subscript"/>
        </w:rPr>
        <w:tab/>
      </w:r>
      <w:r w:rsidR="00303FC3" w:rsidRPr="00065F48">
        <w:t>9</w:t>
      </w:r>
    </w:p>
    <w:p w14:paraId="1774FA26" w14:textId="77777777" w:rsidR="00DB4F70" w:rsidRPr="00DB4F70" w:rsidRDefault="00DB4F70" w:rsidP="00DB4F70">
      <w:pPr>
        <w:pStyle w:val="TAMainText"/>
        <w:ind w:left="2880" w:firstLine="720"/>
        <w:rPr>
          <w:b/>
        </w:rPr>
      </w:pPr>
    </w:p>
    <w:p w14:paraId="682D8338" w14:textId="77777777" w:rsidR="00DB4F70" w:rsidRPr="00DB4F70" w:rsidRDefault="00DB4F70" w:rsidP="00DB4F70">
      <w:pPr>
        <w:pStyle w:val="TAMainText"/>
        <w:ind w:firstLine="708"/>
        <w:rPr>
          <w:b/>
        </w:rPr>
      </w:pPr>
      <w:r w:rsidRPr="00DB4F70">
        <w:t xml:space="preserve">Where, </w:t>
      </w:r>
      <w:proofErr w:type="spellStart"/>
      <w:r w:rsidRPr="00DB4F70">
        <w:rPr>
          <w:i/>
          <w:iCs/>
        </w:rPr>
        <w:t>A</w:t>
      </w:r>
      <w:r w:rsidRPr="00DB4F70">
        <w:rPr>
          <w:i/>
          <w:iCs/>
          <w:vertAlign w:val="subscript"/>
        </w:rPr>
        <w:t>corrected</w:t>
      </w:r>
      <w:proofErr w:type="spellEnd"/>
      <w:r w:rsidRPr="00DB4F70">
        <w:t xml:space="preserve"> = HPLC peak area corrected by mass fraction of the cannabinoid in the analyzed solution, </w:t>
      </w:r>
      <w:proofErr w:type="spellStart"/>
      <w:r w:rsidRPr="00DB4F70">
        <w:rPr>
          <w:i/>
          <w:iCs/>
        </w:rPr>
        <w:t>A</w:t>
      </w:r>
      <w:r w:rsidRPr="00DB4F70">
        <w:rPr>
          <w:i/>
          <w:iCs/>
          <w:vertAlign w:val="subscript"/>
        </w:rPr>
        <w:t>analyte</w:t>
      </w:r>
      <w:proofErr w:type="spellEnd"/>
      <w:r w:rsidRPr="00DB4F70">
        <w:t>= cannabinoids peak area (5 mg mL</w:t>
      </w:r>
      <w:r w:rsidRPr="00DB4F70">
        <w:rPr>
          <w:vertAlign w:val="superscript"/>
        </w:rPr>
        <w:t>-1</w:t>
      </w:r>
      <w:r w:rsidRPr="00DB4F70">
        <w:t xml:space="preserve"> solution); </w:t>
      </w:r>
      <w:proofErr w:type="spellStart"/>
      <w:r w:rsidRPr="00DB4F70">
        <w:rPr>
          <w:i/>
          <w:iCs/>
        </w:rPr>
        <w:t>MF</w:t>
      </w:r>
      <w:r w:rsidRPr="00DB4F70">
        <w:rPr>
          <w:i/>
          <w:iCs/>
          <w:vertAlign w:val="subscript"/>
        </w:rPr>
        <w:t>solution</w:t>
      </w:r>
      <w:proofErr w:type="spellEnd"/>
      <w:r w:rsidRPr="00DB4F70">
        <w:t xml:space="preserve"> = mass fraction of cannabinoid in the solution. </w:t>
      </w:r>
    </w:p>
    <w:p w14:paraId="350FFC4C" w14:textId="5FA15C37" w:rsidR="00DB4F70" w:rsidRPr="00DB4F70" w:rsidRDefault="00DB4F70" w:rsidP="00DB4F70">
      <w:pPr>
        <w:pStyle w:val="TAMainText"/>
        <w:rPr>
          <w:b/>
        </w:rPr>
      </w:pPr>
      <w:r w:rsidRPr="00DB4F70">
        <w:t>This result does not correspond to the concentration or mass fraction of analyte in the sample.  Nevertheless, the variation of this relative parameter in the samples was employed as a measure of material homogeneity, given that all samples were analyzed under repeatability conditions within the same chromatographic sequence</w:t>
      </w:r>
      <w:r w:rsidR="00E72F21">
        <w:t xml:space="preserve"> </w:t>
      </w:r>
      <w:sdt>
        <w:sdtPr>
          <w:rPr>
            <w:color w:val="000000"/>
          </w:rPr>
          <w:tag w:val="MENDELEY_CITATION_v3_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"/>
          <w:id w:val="1264734909"/>
          <w:placeholder>
            <w:docPart w:val="DefaultPlaceholder_-1854013440"/>
          </w:placeholder>
        </w:sdtPr>
        <w:sdtContent>
          <w:r w:rsidR="007D6FFA" w:rsidRPr="007D6FFA">
            <w:rPr>
              <w:color w:val="000000"/>
            </w:rPr>
            <w:t>[9]</w:t>
          </w:r>
          <w:r w:rsidR="007D6FFA">
            <w:rPr>
              <w:color w:val="000000"/>
            </w:rPr>
            <w:t>.</w:t>
          </w:r>
        </w:sdtContent>
      </w:sdt>
    </w:p>
    <w:p w14:paraId="6B1432DC" w14:textId="7196F95D" w:rsidR="00DB4F70" w:rsidRPr="0060785E" w:rsidRDefault="006A40B4" w:rsidP="0060785E">
      <w:pPr>
        <w:pStyle w:val="berschrift2"/>
        <w:spacing w:line="360" w:lineRule="auto"/>
        <w:jc w:val="both"/>
        <w:rPr>
          <w:rFonts w:ascii="Arial" w:hAnsi="Arial" w:cs="Arial"/>
          <w:color w:val="auto"/>
          <w:sz w:val="22"/>
          <w:szCs w:val="22"/>
          <w:lang w:val="en-US" w:eastAsia="en-US"/>
        </w:rPr>
      </w:pPr>
      <w:bookmarkStart w:id="28" w:name="_Hlk216949107"/>
      <w:bookmarkStart w:id="29" w:name="_Toc216797631"/>
      <w:r>
        <w:rPr>
          <w:rFonts w:ascii="Arial" w:hAnsi="Arial" w:cs="Arial"/>
          <w:color w:val="auto"/>
          <w:sz w:val="22"/>
          <w:szCs w:val="22"/>
          <w:lang w:val="en-US" w:eastAsia="en-US"/>
        </w:rPr>
        <w:t>S</w:t>
      </w:r>
      <w:r w:rsidR="00DB4F70" w:rsidRPr="0060785E">
        <w:rPr>
          <w:rFonts w:ascii="Arial" w:hAnsi="Arial" w:cs="Arial"/>
          <w:color w:val="auto"/>
          <w:sz w:val="22"/>
          <w:szCs w:val="22"/>
          <w:lang w:val="en-US" w:eastAsia="en-US"/>
        </w:rPr>
        <w:t>6.3</w:t>
      </w:r>
      <w:bookmarkEnd w:id="28"/>
      <w:r w:rsidR="00DB4F70" w:rsidRPr="0060785E">
        <w:rPr>
          <w:rFonts w:ascii="Arial" w:hAnsi="Arial" w:cs="Arial"/>
          <w:color w:val="auto"/>
          <w:sz w:val="22"/>
          <w:szCs w:val="22"/>
          <w:lang w:val="en-US" w:eastAsia="en-US"/>
        </w:rPr>
        <w:t>) Transport study</w:t>
      </w:r>
      <w:bookmarkEnd w:id="29"/>
    </w:p>
    <w:p w14:paraId="3A584A76" w14:textId="1D710150" w:rsidR="00DB4F70" w:rsidRDefault="00DB4F70" w:rsidP="00DB4F70">
      <w:pPr>
        <w:spacing w:line="360" w:lineRule="auto"/>
        <w:ind w:firstLine="708"/>
        <w:jc w:val="both"/>
        <w:rPr>
          <w:lang w:val="en-US"/>
        </w:rPr>
      </w:pPr>
      <w:r w:rsidRPr="00DB4F70">
        <w:rPr>
          <w:lang w:val="en-US"/>
        </w:rPr>
        <w:t>Transport stability (short-stability) was assessed over 28 days at 4 °C and 20 °C, simulating typical transport conditions, using an isochronous design. Ten units were selected via stratified random sampling for each study. Every 7 days, two units from each temperature condition were removed and stored at the reference temperature (−20 °C) until analysis. At the end of the study, the 16 flasks collected at 7, 14, 21, and 28 days were combined with two additional units continuously stored at −20 °C as controls. Twenty candidate CRM flasks were prepared in triplicate and analyzed on the same day (5 mg mL</w:t>
      </w:r>
      <w:r w:rsidRPr="00DB4F70">
        <w:rPr>
          <w:rFonts w:ascii="Cambria Math" w:hAnsi="Cambria Math" w:cs="Cambria Math"/>
          <w:lang w:val="en-US"/>
        </w:rPr>
        <w:t>⁻</w:t>
      </w:r>
      <w:r w:rsidRPr="00DB4F70">
        <w:rPr>
          <w:lang w:val="en-US"/>
        </w:rPr>
        <w:t>¹ cannabis plant solutions) by HPLC–DAD, with three replicate injections. The analytical methods and data evaluation followed the procedures established in the homogeneity study.</w:t>
      </w:r>
    </w:p>
    <w:p w14:paraId="00904B04" w14:textId="77777777" w:rsidR="00C97BE5" w:rsidRDefault="00C97BE5" w:rsidP="00DB4F70">
      <w:pPr>
        <w:spacing w:line="360" w:lineRule="auto"/>
        <w:ind w:firstLine="708"/>
        <w:jc w:val="both"/>
        <w:rPr>
          <w:lang w:val="en-US"/>
        </w:rPr>
      </w:pPr>
    </w:p>
    <w:p w14:paraId="42F771EA" w14:textId="5DF70657" w:rsidR="00C97BE5" w:rsidRPr="00976DB5" w:rsidRDefault="00C97BE5" w:rsidP="00C97BE5">
      <w:pPr>
        <w:pStyle w:val="berschrift1"/>
        <w:spacing w:line="360" w:lineRule="auto"/>
        <w:jc w:val="both"/>
        <w:rPr>
          <w:rFonts w:ascii="Arial" w:hAnsi="Arial" w:cs="Arial"/>
          <w:b/>
          <w:bCs/>
          <w:color w:val="auto"/>
          <w:sz w:val="24"/>
          <w:szCs w:val="24"/>
          <w:lang w:val="en-US" w:eastAsia="en-US"/>
        </w:rPr>
      </w:pPr>
      <w:r>
        <w:rPr>
          <w:rFonts w:ascii="Arial" w:hAnsi="Arial" w:cs="Arial"/>
          <w:b/>
          <w:bCs/>
          <w:color w:val="auto"/>
          <w:sz w:val="24"/>
          <w:szCs w:val="24"/>
          <w:lang w:val="en-US" w:eastAsia="en-US"/>
        </w:rPr>
        <w:t>S7</w:t>
      </w:r>
      <w:r w:rsidRPr="00976DB5">
        <w:rPr>
          <w:rFonts w:ascii="Arial" w:hAnsi="Arial" w:cs="Arial"/>
          <w:b/>
          <w:bCs/>
          <w:color w:val="auto"/>
          <w:sz w:val="24"/>
          <w:szCs w:val="24"/>
          <w:lang w:val="en-US" w:eastAsia="en-US"/>
        </w:rPr>
        <w:t xml:space="preserve">) </w:t>
      </w:r>
      <w:r>
        <w:rPr>
          <w:rFonts w:ascii="Arial" w:hAnsi="Arial" w:cs="Arial"/>
          <w:b/>
          <w:bCs/>
          <w:color w:val="auto"/>
          <w:sz w:val="24"/>
          <w:szCs w:val="24"/>
          <w:lang w:val="en-US" w:eastAsia="en-US"/>
        </w:rPr>
        <w:t>References</w:t>
      </w:r>
    </w:p>
    <w:sdt>
      <w:sdtPr>
        <w:rPr>
          <w:color w:val="000000"/>
          <w:lang w:val="en-US" w:eastAsia="en-US"/>
        </w:rPr>
        <w:tag w:val="MENDELEY_BIBLIOGRAPHY"/>
        <w:id w:val="-328834378"/>
        <w:placeholder>
          <w:docPart w:val="DefaultPlaceholder_-1854013440"/>
        </w:placeholder>
      </w:sdtPr>
      <w:sdtContent>
        <w:p w14:paraId="0E722D3D" w14:textId="77777777" w:rsidR="007D6FFA" w:rsidRPr="007D6FFA" w:rsidRDefault="007D6FFA">
          <w:pPr>
            <w:autoSpaceDE w:val="0"/>
            <w:autoSpaceDN w:val="0"/>
            <w:ind w:hanging="640"/>
            <w:divId w:val="1648389601"/>
            <w:rPr>
              <w:rFonts w:eastAsia="Times New Roman"/>
              <w:color w:val="000000"/>
              <w:szCs w:val="24"/>
              <w:lang w:val="en-US"/>
            </w:rPr>
          </w:pPr>
          <w:r w:rsidRPr="007D6FFA">
            <w:rPr>
              <w:rFonts w:eastAsia="Times New Roman"/>
              <w:color w:val="000000"/>
              <w:lang w:val="en-US"/>
            </w:rPr>
            <w:t xml:space="preserve">1. </w:t>
          </w:r>
          <w:r w:rsidRPr="007D6FFA">
            <w:rPr>
              <w:rFonts w:eastAsia="Times New Roman"/>
              <w:color w:val="000000"/>
              <w:lang w:val="en-US"/>
            </w:rPr>
            <w:tab/>
            <w:t>Wider G, Dreier L (2006) Measuring Protein Concentrations by NMR Spectroscopy. J Am Chem Soc 128:2571–2576. https://doi.org/10.1021/ja055336t</w:t>
          </w:r>
        </w:p>
        <w:p w14:paraId="4D3E4205" w14:textId="77777777" w:rsidR="007D6FFA" w:rsidRPr="007D6FFA" w:rsidRDefault="007D6FFA">
          <w:pPr>
            <w:autoSpaceDE w:val="0"/>
            <w:autoSpaceDN w:val="0"/>
            <w:ind w:hanging="640"/>
            <w:divId w:val="123281243"/>
            <w:rPr>
              <w:rFonts w:eastAsia="Times New Roman"/>
              <w:color w:val="000000"/>
              <w:lang w:val="en-US"/>
            </w:rPr>
          </w:pPr>
          <w:r w:rsidRPr="007D6FFA">
            <w:rPr>
              <w:rFonts w:eastAsia="Times New Roman"/>
              <w:color w:val="000000"/>
              <w:lang w:val="en-US"/>
            </w:rPr>
            <w:t xml:space="preserve">2. </w:t>
          </w:r>
          <w:r w:rsidRPr="007D6FFA">
            <w:rPr>
              <w:rFonts w:eastAsia="Times New Roman"/>
              <w:color w:val="000000"/>
              <w:lang w:val="en-US"/>
            </w:rPr>
            <w:tab/>
            <w:t>Garrido BC, de Carvalho LJ (2014) Nuclear magnetic resonance using electronic referencing: method validation and evaluation of the measurement uncertainties for the quantification of benzoic acid in orange juice. Magnetic Resonance in Chemistry n/a-n/a. https://doi.org/10.1002/mrc.4166</w:t>
          </w:r>
        </w:p>
        <w:p w14:paraId="687790E2" w14:textId="77777777" w:rsidR="007D6FFA" w:rsidRPr="007D6FFA" w:rsidRDefault="007D6FFA">
          <w:pPr>
            <w:autoSpaceDE w:val="0"/>
            <w:autoSpaceDN w:val="0"/>
            <w:ind w:hanging="640"/>
            <w:divId w:val="86853890"/>
            <w:rPr>
              <w:rFonts w:eastAsia="Times New Roman"/>
              <w:color w:val="000000"/>
              <w:lang w:val="en-US"/>
            </w:rPr>
          </w:pPr>
          <w:r w:rsidRPr="007D6FFA">
            <w:rPr>
              <w:rFonts w:eastAsia="Times New Roman"/>
              <w:color w:val="000000"/>
              <w:lang w:val="en-US"/>
            </w:rPr>
            <w:lastRenderedPageBreak/>
            <w:t xml:space="preserve">3. </w:t>
          </w:r>
          <w:r w:rsidRPr="007D6FFA">
            <w:rPr>
              <w:rFonts w:eastAsia="Times New Roman"/>
              <w:color w:val="000000"/>
              <w:lang w:val="en-US"/>
            </w:rPr>
            <w:tab/>
            <w:t>Meija J, Pagliano E, Mester Z (2014) Coordinate swapping in standard addition graphs for analytical chemistry: A simplified path for uncertainty calculation in linear and nonlinear plots. Anal Chem 86:8563–8567. https://doi.org/10.1021/ac5014749</w:t>
          </w:r>
        </w:p>
        <w:p w14:paraId="4DFE0A7D" w14:textId="77777777" w:rsidR="007D6FFA" w:rsidRPr="007D6FFA" w:rsidRDefault="007D6FFA">
          <w:pPr>
            <w:autoSpaceDE w:val="0"/>
            <w:autoSpaceDN w:val="0"/>
            <w:ind w:hanging="640"/>
            <w:divId w:val="2035156590"/>
            <w:rPr>
              <w:rFonts w:eastAsia="Times New Roman"/>
              <w:color w:val="000000"/>
            </w:rPr>
          </w:pPr>
          <w:r w:rsidRPr="007D6FFA">
            <w:rPr>
              <w:rFonts w:eastAsia="Times New Roman"/>
              <w:color w:val="000000"/>
              <w:lang w:val="en-US"/>
            </w:rPr>
            <w:t xml:space="preserve">4. </w:t>
          </w:r>
          <w:r w:rsidRPr="007D6FFA">
            <w:rPr>
              <w:rFonts w:eastAsia="Times New Roman"/>
              <w:color w:val="000000"/>
              <w:lang w:val="en-US"/>
            </w:rPr>
            <w:tab/>
            <w:t xml:space="preserve">McRae G, Melanson JE (2020) Quantitative determination and validation of 17 cannabinoids in cannabis and hemp using liquid chromatography-tandem mass spectrometry. </w:t>
          </w:r>
          <w:r w:rsidRPr="007D6FFA">
            <w:rPr>
              <w:rFonts w:eastAsia="Times New Roman"/>
              <w:color w:val="000000"/>
            </w:rPr>
            <w:t>Anal Bioanal Chem 412:7381–7393. https://doi.org/10.1007/s00216-020-02862-8</w:t>
          </w:r>
        </w:p>
        <w:p w14:paraId="25E535D4" w14:textId="77777777" w:rsidR="007D6FFA" w:rsidRPr="007D6FFA" w:rsidRDefault="007D6FFA">
          <w:pPr>
            <w:autoSpaceDE w:val="0"/>
            <w:autoSpaceDN w:val="0"/>
            <w:ind w:hanging="640"/>
            <w:divId w:val="1195845279"/>
            <w:rPr>
              <w:rFonts w:eastAsia="Times New Roman"/>
              <w:color w:val="000000"/>
            </w:rPr>
          </w:pPr>
          <w:r w:rsidRPr="007D6FFA">
            <w:rPr>
              <w:rFonts w:eastAsia="Times New Roman"/>
              <w:color w:val="000000"/>
            </w:rPr>
            <w:t xml:space="preserve">5. </w:t>
          </w:r>
          <w:r w:rsidRPr="007D6FFA">
            <w:rPr>
              <w:rFonts w:eastAsia="Times New Roman"/>
              <w:color w:val="000000"/>
            </w:rPr>
            <w:tab/>
            <w:t>(2008) GUM - Guia para Expressão de Incerteza de Medição</w:t>
          </w:r>
        </w:p>
        <w:p w14:paraId="654EC661" w14:textId="77777777" w:rsidR="007D6FFA" w:rsidRPr="007D6FFA" w:rsidRDefault="007D6FFA">
          <w:pPr>
            <w:autoSpaceDE w:val="0"/>
            <w:autoSpaceDN w:val="0"/>
            <w:ind w:hanging="640"/>
            <w:divId w:val="909198457"/>
            <w:rPr>
              <w:rFonts w:eastAsia="Times New Roman"/>
              <w:color w:val="000000"/>
            </w:rPr>
          </w:pPr>
          <w:r w:rsidRPr="007D6FFA">
            <w:rPr>
              <w:rFonts w:eastAsia="Times New Roman"/>
              <w:color w:val="000000"/>
            </w:rPr>
            <w:t xml:space="preserve">6. </w:t>
          </w:r>
          <w:r w:rsidRPr="007D6FFA">
            <w:rPr>
              <w:rFonts w:eastAsia="Times New Roman"/>
              <w:color w:val="000000"/>
            </w:rPr>
            <w:tab/>
            <w:t>Inmetro (2020) DOQ-CGCRE-008 - Orientação sobre Validação de Métodos Analíticos</w:t>
          </w:r>
        </w:p>
        <w:p w14:paraId="1A1D5234" w14:textId="77777777" w:rsidR="007D6FFA" w:rsidRPr="007D6FFA" w:rsidRDefault="007D6FFA">
          <w:pPr>
            <w:autoSpaceDE w:val="0"/>
            <w:autoSpaceDN w:val="0"/>
            <w:ind w:hanging="640"/>
            <w:divId w:val="816649464"/>
            <w:rPr>
              <w:rFonts w:eastAsia="Times New Roman"/>
              <w:color w:val="000000"/>
              <w:lang w:val="en-US"/>
            </w:rPr>
          </w:pPr>
          <w:r w:rsidRPr="007D6FFA">
            <w:rPr>
              <w:rFonts w:eastAsia="Times New Roman"/>
              <w:color w:val="000000"/>
              <w:lang w:val="en-US"/>
            </w:rPr>
            <w:t xml:space="preserve">7. </w:t>
          </w:r>
          <w:r w:rsidRPr="007D6FFA">
            <w:rPr>
              <w:rFonts w:eastAsia="Times New Roman"/>
              <w:color w:val="000000"/>
              <w:lang w:val="en-US"/>
            </w:rPr>
            <w:tab/>
            <w:t xml:space="preserve">Citti C, </w:t>
          </w:r>
          <w:proofErr w:type="spellStart"/>
          <w:r w:rsidRPr="007D6FFA">
            <w:rPr>
              <w:rFonts w:eastAsia="Times New Roman"/>
              <w:color w:val="000000"/>
              <w:lang w:val="en-US"/>
            </w:rPr>
            <w:t>Linciano</w:t>
          </w:r>
          <w:proofErr w:type="spellEnd"/>
          <w:r w:rsidRPr="007D6FFA">
            <w:rPr>
              <w:rFonts w:eastAsia="Times New Roman"/>
              <w:color w:val="000000"/>
              <w:lang w:val="en-US"/>
            </w:rPr>
            <w:t xml:space="preserve"> P, Forni F, </w:t>
          </w:r>
          <w:proofErr w:type="spellStart"/>
          <w:r w:rsidRPr="007D6FFA">
            <w:rPr>
              <w:rFonts w:eastAsia="Times New Roman"/>
              <w:color w:val="000000"/>
              <w:lang w:val="en-US"/>
            </w:rPr>
            <w:t>Vandelli</w:t>
          </w:r>
          <w:proofErr w:type="spellEnd"/>
          <w:r w:rsidRPr="007D6FFA">
            <w:rPr>
              <w:rFonts w:eastAsia="Times New Roman"/>
              <w:color w:val="000000"/>
              <w:lang w:val="en-US"/>
            </w:rPr>
            <w:t xml:space="preserve"> MA, Gigli G, Laganà A, </w:t>
          </w:r>
          <w:proofErr w:type="spellStart"/>
          <w:r w:rsidRPr="007D6FFA">
            <w:rPr>
              <w:rFonts w:eastAsia="Times New Roman"/>
              <w:color w:val="000000"/>
              <w:lang w:val="en-US"/>
            </w:rPr>
            <w:t>Cannazza</w:t>
          </w:r>
          <w:proofErr w:type="spellEnd"/>
          <w:r w:rsidRPr="007D6FFA">
            <w:rPr>
              <w:rFonts w:eastAsia="Times New Roman"/>
              <w:color w:val="000000"/>
              <w:lang w:val="en-US"/>
            </w:rPr>
            <w:t xml:space="preserve"> G (2019) Analysis of impurities of cannabidiol from hemp. Isolation, characterization and synthesis of </w:t>
          </w:r>
          <w:proofErr w:type="spellStart"/>
          <w:r w:rsidRPr="007D6FFA">
            <w:rPr>
              <w:rFonts w:eastAsia="Times New Roman"/>
              <w:color w:val="000000"/>
              <w:lang w:val="en-US"/>
            </w:rPr>
            <w:t>cannabidibutol</w:t>
          </w:r>
          <w:proofErr w:type="spellEnd"/>
          <w:r w:rsidRPr="007D6FFA">
            <w:rPr>
              <w:rFonts w:eastAsia="Times New Roman"/>
              <w:color w:val="000000"/>
              <w:lang w:val="en-US"/>
            </w:rPr>
            <w:t>, the novel cannabidiol butyl analog. J Pharm Biomed Anal 175:112752. https://doi.org/https://doi.org/10.1016/j.jpba.2019.06.049</w:t>
          </w:r>
        </w:p>
        <w:p w14:paraId="71E75BFF" w14:textId="77777777" w:rsidR="007D6FFA" w:rsidRPr="007D6FFA" w:rsidRDefault="007D6FFA">
          <w:pPr>
            <w:autoSpaceDE w:val="0"/>
            <w:autoSpaceDN w:val="0"/>
            <w:ind w:hanging="640"/>
            <w:divId w:val="1240485291"/>
            <w:rPr>
              <w:rFonts w:eastAsia="Times New Roman"/>
              <w:color w:val="000000"/>
              <w:lang w:val="en-US"/>
            </w:rPr>
          </w:pPr>
          <w:r w:rsidRPr="007D6FFA">
            <w:rPr>
              <w:rFonts w:eastAsia="Times New Roman"/>
              <w:color w:val="000000"/>
              <w:lang w:val="en-US"/>
            </w:rPr>
            <w:t xml:space="preserve">8. </w:t>
          </w:r>
          <w:r w:rsidRPr="007D6FFA">
            <w:rPr>
              <w:rFonts w:eastAsia="Times New Roman"/>
              <w:color w:val="000000"/>
              <w:lang w:val="en-US"/>
            </w:rPr>
            <w:tab/>
            <w:t>ABNT ISO GUIA 35 (2012) Reference materials - General and statistical principles for certification</w:t>
          </w:r>
        </w:p>
        <w:p w14:paraId="53C12DF0" w14:textId="77777777" w:rsidR="007D6FFA" w:rsidRPr="007D6FFA" w:rsidRDefault="007D6FFA">
          <w:pPr>
            <w:autoSpaceDE w:val="0"/>
            <w:autoSpaceDN w:val="0"/>
            <w:ind w:hanging="640"/>
            <w:divId w:val="2067096639"/>
            <w:rPr>
              <w:rFonts w:eastAsia="Times New Roman"/>
              <w:color w:val="000000"/>
            </w:rPr>
          </w:pPr>
          <w:r w:rsidRPr="007D6FFA">
            <w:rPr>
              <w:rFonts w:eastAsia="Times New Roman"/>
              <w:color w:val="000000"/>
              <w:lang w:val="en-US"/>
            </w:rPr>
            <w:t xml:space="preserve">9. </w:t>
          </w:r>
          <w:r w:rsidRPr="007D6FFA">
            <w:rPr>
              <w:rFonts w:eastAsia="Times New Roman"/>
              <w:color w:val="000000"/>
              <w:lang w:val="en-US"/>
            </w:rPr>
            <w:tab/>
            <w:t xml:space="preserve">Domingo V, Prieto C, Silva L, Rodilla JML, Quílez del Moral JF, Barrero AF (2016) Iodine, a Mild Reagent for the Aromatization of Terpenoids. </w:t>
          </w:r>
          <w:r w:rsidRPr="007D6FFA">
            <w:rPr>
              <w:rFonts w:eastAsia="Times New Roman"/>
              <w:color w:val="000000"/>
            </w:rPr>
            <w:t>J Nat Prod 79:831–837. https://doi.org/10.1021/acs.jnatprod.5b00914</w:t>
          </w:r>
        </w:p>
        <w:p w14:paraId="23EE76AB" w14:textId="350C2409" w:rsidR="00C97BE5" w:rsidRPr="00DB4F70" w:rsidRDefault="007D6FFA" w:rsidP="00DB4F70">
          <w:pPr>
            <w:spacing w:line="360" w:lineRule="auto"/>
            <w:ind w:firstLine="708"/>
            <w:jc w:val="both"/>
            <w:rPr>
              <w:lang w:val="en-US" w:eastAsia="en-US"/>
            </w:rPr>
          </w:pPr>
          <w:r w:rsidRPr="007D6FFA">
            <w:rPr>
              <w:rFonts w:eastAsia="Times New Roman"/>
              <w:color w:val="000000"/>
            </w:rPr>
            <w:t> </w:t>
          </w:r>
        </w:p>
      </w:sdtContent>
    </w:sdt>
    <w:sectPr w:rsidR="00C97BE5" w:rsidRPr="00DB4F70" w:rsidSect="00124B5C">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BC0B" w14:textId="77777777" w:rsidR="00E37A6C" w:rsidRDefault="00E37A6C" w:rsidP="00124B5C">
      <w:pPr>
        <w:spacing w:line="240" w:lineRule="auto"/>
      </w:pPr>
      <w:r>
        <w:separator/>
      </w:r>
    </w:p>
  </w:endnote>
  <w:endnote w:type="continuationSeparator" w:id="0">
    <w:p w14:paraId="0D69CE1D" w14:textId="77777777" w:rsidR="00E37A6C" w:rsidRDefault="00E37A6C" w:rsidP="00124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536634"/>
      <w:docPartObj>
        <w:docPartGallery w:val="Page Numbers (Bottom of Page)"/>
        <w:docPartUnique/>
      </w:docPartObj>
    </w:sdtPr>
    <w:sdtContent>
      <w:p w14:paraId="7315121E" w14:textId="5D02DB05" w:rsidR="00124B5C" w:rsidRDefault="002B0B38">
        <w:pPr>
          <w:pStyle w:val="Fuzeile"/>
          <w:jc w:val="center"/>
        </w:pPr>
        <w:r>
          <w:t>S</w:t>
        </w:r>
        <w:r w:rsidR="00124B5C">
          <w:fldChar w:fldCharType="begin"/>
        </w:r>
        <w:r w:rsidR="00124B5C">
          <w:instrText>PAGE   \* MERGEFORMAT</w:instrText>
        </w:r>
        <w:r w:rsidR="00124B5C">
          <w:fldChar w:fldCharType="separate"/>
        </w:r>
        <w:r w:rsidR="00124B5C">
          <w:t>2</w:t>
        </w:r>
        <w:r w:rsidR="00124B5C">
          <w:fldChar w:fldCharType="end"/>
        </w:r>
      </w:p>
    </w:sdtContent>
  </w:sdt>
  <w:p w14:paraId="5AD87986" w14:textId="77777777" w:rsidR="00124B5C" w:rsidRDefault="00124B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329233"/>
      <w:docPartObj>
        <w:docPartGallery w:val="Page Numbers (Bottom of Page)"/>
        <w:docPartUnique/>
      </w:docPartObj>
    </w:sdtPr>
    <w:sdtContent>
      <w:p w14:paraId="2C5B60B2" w14:textId="31D3F8AD" w:rsidR="00124B5C" w:rsidRDefault="00124B5C">
        <w:pPr>
          <w:pStyle w:val="Fuzeile"/>
          <w:jc w:val="right"/>
        </w:pPr>
        <w:r>
          <w:fldChar w:fldCharType="begin"/>
        </w:r>
        <w:r>
          <w:instrText>PAGE   \* MERGEFORMAT</w:instrText>
        </w:r>
        <w:r>
          <w:fldChar w:fldCharType="separate"/>
        </w:r>
        <w:r>
          <w:t>2</w:t>
        </w:r>
        <w:r>
          <w:fldChar w:fldCharType="end"/>
        </w:r>
      </w:p>
    </w:sdtContent>
  </w:sdt>
  <w:p w14:paraId="6EB4E252" w14:textId="77777777" w:rsidR="00124B5C" w:rsidRDefault="00124B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6F4F" w14:textId="77777777" w:rsidR="00E37A6C" w:rsidRDefault="00E37A6C" w:rsidP="00124B5C">
      <w:pPr>
        <w:spacing w:line="240" w:lineRule="auto"/>
      </w:pPr>
      <w:r>
        <w:separator/>
      </w:r>
    </w:p>
  </w:footnote>
  <w:footnote w:type="continuationSeparator" w:id="0">
    <w:p w14:paraId="56652C03" w14:textId="77777777" w:rsidR="00E37A6C" w:rsidRDefault="00E37A6C" w:rsidP="00124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C0A3" w14:textId="1EA1DA03" w:rsidR="00124B5C" w:rsidRDefault="00124B5C">
    <w:pPr>
      <w:pStyle w:val="Kopfzeile"/>
      <w:jc w:val="right"/>
    </w:pPr>
  </w:p>
  <w:p w14:paraId="6EEED196" w14:textId="77777777" w:rsidR="00124B5C" w:rsidRDefault="00124B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07A2"/>
    <w:multiLevelType w:val="hybridMultilevel"/>
    <w:tmpl w:val="55D8C5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A36265"/>
    <w:multiLevelType w:val="hybridMultilevel"/>
    <w:tmpl w:val="853850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5C5346"/>
    <w:multiLevelType w:val="hybridMultilevel"/>
    <w:tmpl w:val="2702C694"/>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8854D0"/>
    <w:multiLevelType w:val="hybridMultilevel"/>
    <w:tmpl w:val="FDA657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E93709"/>
    <w:multiLevelType w:val="hybridMultilevel"/>
    <w:tmpl w:val="AF32B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4F65A9"/>
    <w:multiLevelType w:val="hybridMultilevel"/>
    <w:tmpl w:val="F264921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3492417">
    <w:abstractNumId w:val="4"/>
  </w:num>
  <w:num w:numId="2" w16cid:durableId="383143095">
    <w:abstractNumId w:val="2"/>
  </w:num>
  <w:num w:numId="3" w16cid:durableId="1383213605">
    <w:abstractNumId w:val="3"/>
  </w:num>
  <w:num w:numId="4" w16cid:durableId="111558140">
    <w:abstractNumId w:val="0"/>
  </w:num>
  <w:num w:numId="5" w16cid:durableId="1582838243">
    <w:abstractNumId w:val="1"/>
  </w:num>
  <w:num w:numId="6" w16cid:durableId="1149057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C9"/>
    <w:rsid w:val="00032328"/>
    <w:rsid w:val="00032576"/>
    <w:rsid w:val="00065F48"/>
    <w:rsid w:val="000666E0"/>
    <w:rsid w:val="00071CA5"/>
    <w:rsid w:val="00087AAB"/>
    <w:rsid w:val="000B00AC"/>
    <w:rsid w:val="001213F3"/>
    <w:rsid w:val="00124B5C"/>
    <w:rsid w:val="00130A17"/>
    <w:rsid w:val="00186254"/>
    <w:rsid w:val="001E3891"/>
    <w:rsid w:val="001F10A2"/>
    <w:rsid w:val="00212AEC"/>
    <w:rsid w:val="00237D89"/>
    <w:rsid w:val="00244690"/>
    <w:rsid w:val="002447FC"/>
    <w:rsid w:val="00296551"/>
    <w:rsid w:val="002A3F00"/>
    <w:rsid w:val="002B0B38"/>
    <w:rsid w:val="002B371E"/>
    <w:rsid w:val="002B64C9"/>
    <w:rsid w:val="002C52C2"/>
    <w:rsid w:val="002D57F2"/>
    <w:rsid w:val="00303FC3"/>
    <w:rsid w:val="00385AEE"/>
    <w:rsid w:val="003C73A9"/>
    <w:rsid w:val="00466613"/>
    <w:rsid w:val="004813F0"/>
    <w:rsid w:val="004C019C"/>
    <w:rsid w:val="004E392D"/>
    <w:rsid w:val="00512CE8"/>
    <w:rsid w:val="005166B0"/>
    <w:rsid w:val="00527C60"/>
    <w:rsid w:val="00542506"/>
    <w:rsid w:val="00546EB6"/>
    <w:rsid w:val="00567BED"/>
    <w:rsid w:val="00592B66"/>
    <w:rsid w:val="005B378D"/>
    <w:rsid w:val="005D2D7D"/>
    <w:rsid w:val="005E1AC1"/>
    <w:rsid w:val="0060785E"/>
    <w:rsid w:val="00627A4C"/>
    <w:rsid w:val="0065719F"/>
    <w:rsid w:val="00665707"/>
    <w:rsid w:val="006736C9"/>
    <w:rsid w:val="00673DB9"/>
    <w:rsid w:val="006A40B4"/>
    <w:rsid w:val="006B06E7"/>
    <w:rsid w:val="006F1292"/>
    <w:rsid w:val="006F3F27"/>
    <w:rsid w:val="0073702F"/>
    <w:rsid w:val="007A4D96"/>
    <w:rsid w:val="007C41DE"/>
    <w:rsid w:val="007D6FFA"/>
    <w:rsid w:val="007D7714"/>
    <w:rsid w:val="007E68FF"/>
    <w:rsid w:val="00836712"/>
    <w:rsid w:val="0085066D"/>
    <w:rsid w:val="00877677"/>
    <w:rsid w:val="008A6A22"/>
    <w:rsid w:val="008D79E6"/>
    <w:rsid w:val="008F262D"/>
    <w:rsid w:val="0090525D"/>
    <w:rsid w:val="009077DA"/>
    <w:rsid w:val="00934703"/>
    <w:rsid w:val="0097543C"/>
    <w:rsid w:val="00976DB5"/>
    <w:rsid w:val="00986006"/>
    <w:rsid w:val="009A294E"/>
    <w:rsid w:val="009C0C1E"/>
    <w:rsid w:val="009E0853"/>
    <w:rsid w:val="00A62875"/>
    <w:rsid w:val="00AA6FB1"/>
    <w:rsid w:val="00AB2242"/>
    <w:rsid w:val="00AB5607"/>
    <w:rsid w:val="00B019E4"/>
    <w:rsid w:val="00B47685"/>
    <w:rsid w:val="00B62429"/>
    <w:rsid w:val="00B87F59"/>
    <w:rsid w:val="00BC0EE9"/>
    <w:rsid w:val="00BE4C10"/>
    <w:rsid w:val="00BE742A"/>
    <w:rsid w:val="00C045E3"/>
    <w:rsid w:val="00C97BE5"/>
    <w:rsid w:val="00CD0A90"/>
    <w:rsid w:val="00CD1D1B"/>
    <w:rsid w:val="00D14930"/>
    <w:rsid w:val="00D460F5"/>
    <w:rsid w:val="00D562F4"/>
    <w:rsid w:val="00DB4F70"/>
    <w:rsid w:val="00DF250D"/>
    <w:rsid w:val="00E128C4"/>
    <w:rsid w:val="00E37A6C"/>
    <w:rsid w:val="00E429FC"/>
    <w:rsid w:val="00E72F21"/>
    <w:rsid w:val="00E75B8A"/>
    <w:rsid w:val="00E77638"/>
    <w:rsid w:val="00EA0520"/>
    <w:rsid w:val="00ED10CF"/>
    <w:rsid w:val="00EF3DCF"/>
    <w:rsid w:val="00EF5BCA"/>
    <w:rsid w:val="00F1749A"/>
    <w:rsid w:val="00F20C7A"/>
    <w:rsid w:val="00F55994"/>
    <w:rsid w:val="00F81B8A"/>
    <w:rsid w:val="00F86717"/>
    <w:rsid w:val="00FA0C30"/>
    <w:rsid w:val="00FA1843"/>
    <w:rsid w:val="00FA71F7"/>
    <w:rsid w:val="00FB0020"/>
    <w:rsid w:val="00FB23D3"/>
    <w:rsid w:val="00FC7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0913"/>
  <w15:chartTrackingRefBased/>
  <w15:docId w15:val="{1787B684-DE7B-4078-BE98-0DB0448E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4C9"/>
    <w:pPr>
      <w:spacing w:after="0" w:line="276" w:lineRule="auto"/>
    </w:pPr>
    <w:rPr>
      <w:rFonts w:ascii="Arial" w:eastAsia="Arial" w:hAnsi="Arial" w:cs="Arial"/>
      <w:kern w:val="0"/>
      <w:sz w:val="22"/>
      <w:szCs w:val="22"/>
      <w:lang w:eastAsia="pt-BR"/>
      <w14:ligatures w14:val="none"/>
    </w:rPr>
  </w:style>
  <w:style w:type="paragraph" w:styleId="berschrift1">
    <w:name w:val="heading 1"/>
    <w:basedOn w:val="Standard"/>
    <w:next w:val="Standard"/>
    <w:link w:val="berschrift1Zchn"/>
    <w:uiPriority w:val="9"/>
    <w:qFormat/>
    <w:rsid w:val="002B6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B6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64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64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64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64C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64C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64C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64C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64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B64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64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64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64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64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64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64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64C9"/>
    <w:rPr>
      <w:rFonts w:eastAsiaTheme="majorEastAsia" w:cstheme="majorBidi"/>
      <w:color w:val="272727" w:themeColor="text1" w:themeTint="D8"/>
    </w:rPr>
  </w:style>
  <w:style w:type="paragraph" w:styleId="Titel">
    <w:name w:val="Title"/>
    <w:basedOn w:val="Standard"/>
    <w:next w:val="Standard"/>
    <w:link w:val="TitelZchn"/>
    <w:uiPriority w:val="10"/>
    <w:qFormat/>
    <w:rsid w:val="002B6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64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64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64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64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64C9"/>
    <w:rPr>
      <w:i/>
      <w:iCs/>
      <w:color w:val="404040" w:themeColor="text1" w:themeTint="BF"/>
    </w:rPr>
  </w:style>
  <w:style w:type="paragraph" w:styleId="Listenabsatz">
    <w:name w:val="List Paragraph"/>
    <w:basedOn w:val="Standard"/>
    <w:uiPriority w:val="34"/>
    <w:qFormat/>
    <w:rsid w:val="002B64C9"/>
    <w:pPr>
      <w:ind w:left="720"/>
      <w:contextualSpacing/>
    </w:pPr>
  </w:style>
  <w:style w:type="character" w:styleId="IntensiveHervorhebung">
    <w:name w:val="Intense Emphasis"/>
    <w:basedOn w:val="Absatz-Standardschriftart"/>
    <w:uiPriority w:val="21"/>
    <w:qFormat/>
    <w:rsid w:val="002B64C9"/>
    <w:rPr>
      <w:i/>
      <w:iCs/>
      <w:color w:val="0F4761" w:themeColor="accent1" w:themeShade="BF"/>
    </w:rPr>
  </w:style>
  <w:style w:type="paragraph" w:styleId="IntensivesZitat">
    <w:name w:val="Intense Quote"/>
    <w:basedOn w:val="Standard"/>
    <w:next w:val="Standard"/>
    <w:link w:val="IntensivesZitatZchn"/>
    <w:uiPriority w:val="30"/>
    <w:qFormat/>
    <w:rsid w:val="002B6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64C9"/>
    <w:rPr>
      <w:i/>
      <w:iCs/>
      <w:color w:val="0F4761" w:themeColor="accent1" w:themeShade="BF"/>
    </w:rPr>
  </w:style>
  <w:style w:type="character" w:styleId="IntensiverVerweis">
    <w:name w:val="Intense Reference"/>
    <w:basedOn w:val="Absatz-Standardschriftart"/>
    <w:uiPriority w:val="32"/>
    <w:qFormat/>
    <w:rsid w:val="002B64C9"/>
    <w:rPr>
      <w:b/>
      <w:bCs/>
      <w:smallCaps/>
      <w:color w:val="0F4761" w:themeColor="accent1" w:themeShade="BF"/>
      <w:spacing w:val="5"/>
    </w:rPr>
  </w:style>
  <w:style w:type="table" w:styleId="Tabellenraster">
    <w:name w:val="Table Grid"/>
    <w:basedOn w:val="NormaleTabelle"/>
    <w:uiPriority w:val="39"/>
    <w:rsid w:val="002B64C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RMAL">
    <w:name w:val="TEXTO NORMAL"/>
    <w:basedOn w:val="Standard"/>
    <w:link w:val="TEXTONORMALChar"/>
    <w:qFormat/>
    <w:rsid w:val="002B64C9"/>
    <w:pPr>
      <w:spacing w:after="120" w:line="360" w:lineRule="auto"/>
      <w:ind w:firstLine="567"/>
      <w:jc w:val="both"/>
    </w:pPr>
    <w:rPr>
      <w:rFonts w:ascii="Times New Roman" w:eastAsia="SimSun" w:hAnsi="Times New Roman" w:cs="Times New Roman"/>
      <w:bCs/>
      <w:sz w:val="24"/>
      <w:szCs w:val="24"/>
      <w:lang w:eastAsia="en-US"/>
    </w:rPr>
  </w:style>
  <w:style w:type="character" w:customStyle="1" w:styleId="TEXTONORMALChar">
    <w:name w:val="TEXTO NORMAL Char"/>
    <w:basedOn w:val="Absatz-Standardschriftart"/>
    <w:link w:val="TEXTONORMAL"/>
    <w:rsid w:val="002B64C9"/>
    <w:rPr>
      <w:rFonts w:ascii="Times New Roman" w:eastAsia="SimSun" w:hAnsi="Times New Roman" w:cs="Times New Roman"/>
      <w:bCs/>
      <w:kern w:val="0"/>
      <w14:ligatures w14:val="none"/>
    </w:rPr>
  </w:style>
  <w:style w:type="paragraph" w:styleId="Beschriftung">
    <w:name w:val="caption"/>
    <w:basedOn w:val="Standard"/>
    <w:next w:val="Standard"/>
    <w:uiPriority w:val="35"/>
    <w:unhideWhenUsed/>
    <w:qFormat/>
    <w:rsid w:val="002B64C9"/>
    <w:pPr>
      <w:spacing w:after="200" w:line="240" w:lineRule="auto"/>
    </w:pPr>
    <w:rPr>
      <w:rFonts w:asciiTheme="minorHAnsi" w:eastAsia="SimSun" w:hAnsiTheme="minorHAnsi" w:cstheme="minorBidi"/>
      <w:i/>
      <w:iCs/>
      <w:color w:val="0E2841" w:themeColor="text2"/>
      <w:sz w:val="18"/>
      <w:szCs w:val="18"/>
      <w:lang w:eastAsia="en-US"/>
    </w:rPr>
  </w:style>
  <w:style w:type="paragraph" w:customStyle="1" w:styleId="TAMainText">
    <w:name w:val="TA_Main_Text"/>
    <w:basedOn w:val="Standard"/>
    <w:autoRedefine/>
    <w:rsid w:val="00DB4F70"/>
    <w:pPr>
      <w:spacing w:line="360" w:lineRule="auto"/>
      <w:jc w:val="both"/>
    </w:pPr>
    <w:rPr>
      <w:lang w:val="en-US"/>
    </w:rPr>
  </w:style>
  <w:style w:type="paragraph" w:styleId="Textkrper">
    <w:name w:val="Body Text"/>
    <w:basedOn w:val="Standard"/>
    <w:link w:val="TextkrperZchn"/>
    <w:uiPriority w:val="1"/>
    <w:qFormat/>
    <w:rsid w:val="00E77638"/>
    <w:pPr>
      <w:widowControl w:val="0"/>
      <w:autoSpaceDE w:val="0"/>
      <w:autoSpaceDN w:val="0"/>
      <w:spacing w:line="240" w:lineRule="auto"/>
    </w:pPr>
    <w:rPr>
      <w:rFonts w:ascii="Times New Roman" w:eastAsia="Times New Roman" w:hAnsi="Times New Roman" w:cs="Times New Roman"/>
      <w:lang w:val="en-US" w:eastAsia="en-US"/>
    </w:rPr>
  </w:style>
  <w:style w:type="character" w:customStyle="1" w:styleId="TextkrperZchn">
    <w:name w:val="Textkörper Zchn"/>
    <w:basedOn w:val="Absatz-Standardschriftart"/>
    <w:link w:val="Textkrper"/>
    <w:uiPriority w:val="1"/>
    <w:rsid w:val="00E77638"/>
    <w:rPr>
      <w:rFonts w:ascii="Times New Roman" w:eastAsia="Times New Roman" w:hAnsi="Times New Roman" w:cs="Times New Roman"/>
      <w:kern w:val="0"/>
      <w:sz w:val="22"/>
      <w:szCs w:val="22"/>
      <w:lang w:val="en-US"/>
      <w14:ligatures w14:val="none"/>
    </w:rPr>
  </w:style>
  <w:style w:type="paragraph" w:styleId="Inhaltsverzeichnisberschrift">
    <w:name w:val="TOC Heading"/>
    <w:basedOn w:val="berschrift1"/>
    <w:next w:val="Standard"/>
    <w:uiPriority w:val="39"/>
    <w:unhideWhenUsed/>
    <w:qFormat/>
    <w:rsid w:val="00B62429"/>
    <w:pPr>
      <w:spacing w:before="240" w:after="0" w:line="259" w:lineRule="auto"/>
      <w:outlineLvl w:val="9"/>
    </w:pPr>
    <w:rPr>
      <w:sz w:val="32"/>
      <w:szCs w:val="32"/>
    </w:rPr>
  </w:style>
  <w:style w:type="paragraph" w:styleId="Verzeichnis1">
    <w:name w:val="toc 1"/>
    <w:basedOn w:val="Standard"/>
    <w:next w:val="Standard"/>
    <w:autoRedefine/>
    <w:uiPriority w:val="39"/>
    <w:unhideWhenUsed/>
    <w:rsid w:val="00B62429"/>
    <w:pPr>
      <w:spacing w:after="100"/>
    </w:pPr>
  </w:style>
  <w:style w:type="paragraph" w:styleId="Verzeichnis2">
    <w:name w:val="toc 2"/>
    <w:basedOn w:val="Standard"/>
    <w:next w:val="Standard"/>
    <w:autoRedefine/>
    <w:uiPriority w:val="39"/>
    <w:unhideWhenUsed/>
    <w:rsid w:val="00B62429"/>
    <w:pPr>
      <w:spacing w:after="100"/>
      <w:ind w:left="220"/>
    </w:pPr>
  </w:style>
  <w:style w:type="character" w:styleId="Hyperlink">
    <w:name w:val="Hyperlink"/>
    <w:basedOn w:val="Absatz-Standardschriftart"/>
    <w:uiPriority w:val="99"/>
    <w:unhideWhenUsed/>
    <w:rsid w:val="00B62429"/>
    <w:rPr>
      <w:color w:val="467886" w:themeColor="hyperlink"/>
      <w:u w:val="single"/>
    </w:rPr>
  </w:style>
  <w:style w:type="paragraph" w:styleId="Kopfzeile">
    <w:name w:val="header"/>
    <w:basedOn w:val="Standard"/>
    <w:link w:val="KopfzeileZchn"/>
    <w:uiPriority w:val="99"/>
    <w:unhideWhenUsed/>
    <w:rsid w:val="00124B5C"/>
    <w:pPr>
      <w:tabs>
        <w:tab w:val="center" w:pos="4252"/>
        <w:tab w:val="right" w:pos="8504"/>
      </w:tabs>
      <w:spacing w:line="240" w:lineRule="auto"/>
    </w:pPr>
  </w:style>
  <w:style w:type="character" w:customStyle="1" w:styleId="KopfzeileZchn">
    <w:name w:val="Kopfzeile Zchn"/>
    <w:basedOn w:val="Absatz-Standardschriftart"/>
    <w:link w:val="Kopfzeile"/>
    <w:uiPriority w:val="99"/>
    <w:rsid w:val="00124B5C"/>
    <w:rPr>
      <w:rFonts w:ascii="Arial" w:eastAsia="Arial" w:hAnsi="Arial" w:cs="Arial"/>
      <w:kern w:val="0"/>
      <w:sz w:val="22"/>
      <w:szCs w:val="22"/>
      <w:lang w:eastAsia="pt-BR"/>
      <w14:ligatures w14:val="none"/>
    </w:rPr>
  </w:style>
  <w:style w:type="paragraph" w:styleId="Fuzeile">
    <w:name w:val="footer"/>
    <w:basedOn w:val="Standard"/>
    <w:link w:val="FuzeileZchn"/>
    <w:uiPriority w:val="99"/>
    <w:unhideWhenUsed/>
    <w:rsid w:val="00124B5C"/>
    <w:pPr>
      <w:tabs>
        <w:tab w:val="center" w:pos="4252"/>
        <w:tab w:val="right" w:pos="8504"/>
      </w:tabs>
      <w:spacing w:line="240" w:lineRule="auto"/>
    </w:pPr>
  </w:style>
  <w:style w:type="character" w:customStyle="1" w:styleId="FuzeileZchn">
    <w:name w:val="Fußzeile Zchn"/>
    <w:basedOn w:val="Absatz-Standardschriftart"/>
    <w:link w:val="Fuzeile"/>
    <w:uiPriority w:val="99"/>
    <w:rsid w:val="00124B5C"/>
    <w:rPr>
      <w:rFonts w:ascii="Arial" w:eastAsia="Arial" w:hAnsi="Arial" w:cs="Arial"/>
      <w:kern w:val="0"/>
      <w:sz w:val="22"/>
      <w:szCs w:val="22"/>
      <w:lang w:eastAsia="pt-BR"/>
      <w14:ligatures w14:val="none"/>
    </w:rPr>
  </w:style>
  <w:style w:type="character" w:styleId="NichtaufgelsteErwhnung">
    <w:name w:val="Unresolved Mention"/>
    <w:basedOn w:val="Absatz-Standardschriftart"/>
    <w:uiPriority w:val="99"/>
    <w:semiHidden/>
    <w:unhideWhenUsed/>
    <w:rsid w:val="004C019C"/>
    <w:rPr>
      <w:color w:val="605E5C"/>
      <w:shd w:val="clear" w:color="auto" w:fill="E1DFDD"/>
    </w:rPr>
  </w:style>
  <w:style w:type="character" w:styleId="Kommentarzeichen">
    <w:name w:val="annotation reference"/>
    <w:basedOn w:val="Absatz-Standardschriftart"/>
    <w:uiPriority w:val="99"/>
    <w:semiHidden/>
    <w:unhideWhenUsed/>
    <w:rsid w:val="004813F0"/>
    <w:rPr>
      <w:sz w:val="16"/>
      <w:szCs w:val="16"/>
    </w:rPr>
  </w:style>
  <w:style w:type="paragraph" w:styleId="Kommentartext">
    <w:name w:val="annotation text"/>
    <w:basedOn w:val="Standard"/>
    <w:link w:val="KommentartextZchn"/>
    <w:uiPriority w:val="99"/>
    <w:unhideWhenUsed/>
    <w:rsid w:val="004813F0"/>
    <w:pPr>
      <w:spacing w:line="240" w:lineRule="auto"/>
    </w:pPr>
    <w:rPr>
      <w:sz w:val="20"/>
      <w:szCs w:val="20"/>
    </w:rPr>
  </w:style>
  <w:style w:type="character" w:customStyle="1" w:styleId="KommentartextZchn">
    <w:name w:val="Kommentartext Zchn"/>
    <w:basedOn w:val="Absatz-Standardschriftart"/>
    <w:link w:val="Kommentartext"/>
    <w:uiPriority w:val="99"/>
    <w:rsid w:val="004813F0"/>
    <w:rPr>
      <w:rFonts w:ascii="Arial" w:eastAsia="Arial" w:hAnsi="Arial" w:cs="Arial"/>
      <w:kern w:val="0"/>
      <w:sz w:val="20"/>
      <w:szCs w:val="20"/>
      <w:lang w:eastAsia="pt-BR"/>
      <w14:ligatures w14:val="none"/>
    </w:rPr>
  </w:style>
  <w:style w:type="paragraph" w:styleId="Kommentarthema">
    <w:name w:val="annotation subject"/>
    <w:basedOn w:val="Kommentartext"/>
    <w:next w:val="Kommentartext"/>
    <w:link w:val="KommentarthemaZchn"/>
    <w:uiPriority w:val="99"/>
    <w:semiHidden/>
    <w:unhideWhenUsed/>
    <w:rsid w:val="004813F0"/>
    <w:rPr>
      <w:b/>
      <w:bCs/>
    </w:rPr>
  </w:style>
  <w:style w:type="character" w:customStyle="1" w:styleId="KommentarthemaZchn">
    <w:name w:val="Kommentarthema Zchn"/>
    <w:basedOn w:val="KommentartextZchn"/>
    <w:link w:val="Kommentarthema"/>
    <w:uiPriority w:val="99"/>
    <w:semiHidden/>
    <w:rsid w:val="004813F0"/>
    <w:rPr>
      <w:rFonts w:ascii="Arial" w:eastAsia="Arial" w:hAnsi="Arial" w:cs="Arial"/>
      <w:b/>
      <w:bCs/>
      <w:kern w:val="0"/>
      <w:sz w:val="20"/>
      <w:szCs w:val="20"/>
      <w:lang w:eastAsia="pt-BR"/>
      <w14:ligatures w14:val="none"/>
    </w:rPr>
  </w:style>
  <w:style w:type="character" w:styleId="Platzhaltertext">
    <w:name w:val="Placeholder Text"/>
    <w:basedOn w:val="Absatz-Standardschriftart"/>
    <w:uiPriority w:val="99"/>
    <w:semiHidden/>
    <w:rsid w:val="00B87F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7">
      <w:marLeft w:val="640"/>
      <w:marRight w:val="0"/>
      <w:marTop w:val="0"/>
      <w:marBottom w:val="0"/>
      <w:divBdr>
        <w:top w:val="none" w:sz="0" w:space="0" w:color="auto"/>
        <w:left w:val="none" w:sz="0" w:space="0" w:color="auto"/>
        <w:bottom w:val="none" w:sz="0" w:space="0" w:color="auto"/>
        <w:right w:val="none" w:sz="0" w:space="0" w:color="auto"/>
      </w:divBdr>
    </w:div>
    <w:div w:id="53818762">
      <w:marLeft w:val="640"/>
      <w:marRight w:val="0"/>
      <w:marTop w:val="0"/>
      <w:marBottom w:val="0"/>
      <w:divBdr>
        <w:top w:val="none" w:sz="0" w:space="0" w:color="auto"/>
        <w:left w:val="none" w:sz="0" w:space="0" w:color="auto"/>
        <w:bottom w:val="none" w:sz="0" w:space="0" w:color="auto"/>
        <w:right w:val="none" w:sz="0" w:space="0" w:color="auto"/>
      </w:divBdr>
    </w:div>
    <w:div w:id="86853890">
      <w:marLeft w:val="640"/>
      <w:marRight w:val="0"/>
      <w:marTop w:val="0"/>
      <w:marBottom w:val="0"/>
      <w:divBdr>
        <w:top w:val="none" w:sz="0" w:space="0" w:color="auto"/>
        <w:left w:val="none" w:sz="0" w:space="0" w:color="auto"/>
        <w:bottom w:val="none" w:sz="0" w:space="0" w:color="auto"/>
        <w:right w:val="none" w:sz="0" w:space="0" w:color="auto"/>
      </w:divBdr>
    </w:div>
    <w:div w:id="107285144">
      <w:marLeft w:val="640"/>
      <w:marRight w:val="0"/>
      <w:marTop w:val="0"/>
      <w:marBottom w:val="0"/>
      <w:divBdr>
        <w:top w:val="none" w:sz="0" w:space="0" w:color="auto"/>
        <w:left w:val="none" w:sz="0" w:space="0" w:color="auto"/>
        <w:bottom w:val="none" w:sz="0" w:space="0" w:color="auto"/>
        <w:right w:val="none" w:sz="0" w:space="0" w:color="auto"/>
      </w:divBdr>
    </w:div>
    <w:div w:id="123281243">
      <w:marLeft w:val="640"/>
      <w:marRight w:val="0"/>
      <w:marTop w:val="0"/>
      <w:marBottom w:val="0"/>
      <w:divBdr>
        <w:top w:val="none" w:sz="0" w:space="0" w:color="auto"/>
        <w:left w:val="none" w:sz="0" w:space="0" w:color="auto"/>
        <w:bottom w:val="none" w:sz="0" w:space="0" w:color="auto"/>
        <w:right w:val="none" w:sz="0" w:space="0" w:color="auto"/>
      </w:divBdr>
    </w:div>
    <w:div w:id="146826699">
      <w:marLeft w:val="640"/>
      <w:marRight w:val="0"/>
      <w:marTop w:val="0"/>
      <w:marBottom w:val="0"/>
      <w:divBdr>
        <w:top w:val="none" w:sz="0" w:space="0" w:color="auto"/>
        <w:left w:val="none" w:sz="0" w:space="0" w:color="auto"/>
        <w:bottom w:val="none" w:sz="0" w:space="0" w:color="auto"/>
        <w:right w:val="none" w:sz="0" w:space="0" w:color="auto"/>
      </w:divBdr>
    </w:div>
    <w:div w:id="204218249">
      <w:marLeft w:val="640"/>
      <w:marRight w:val="0"/>
      <w:marTop w:val="0"/>
      <w:marBottom w:val="0"/>
      <w:divBdr>
        <w:top w:val="none" w:sz="0" w:space="0" w:color="auto"/>
        <w:left w:val="none" w:sz="0" w:space="0" w:color="auto"/>
        <w:bottom w:val="none" w:sz="0" w:space="0" w:color="auto"/>
        <w:right w:val="none" w:sz="0" w:space="0" w:color="auto"/>
      </w:divBdr>
    </w:div>
    <w:div w:id="270598603">
      <w:marLeft w:val="640"/>
      <w:marRight w:val="0"/>
      <w:marTop w:val="0"/>
      <w:marBottom w:val="0"/>
      <w:divBdr>
        <w:top w:val="none" w:sz="0" w:space="0" w:color="auto"/>
        <w:left w:val="none" w:sz="0" w:space="0" w:color="auto"/>
        <w:bottom w:val="none" w:sz="0" w:space="0" w:color="auto"/>
        <w:right w:val="none" w:sz="0" w:space="0" w:color="auto"/>
      </w:divBdr>
    </w:div>
    <w:div w:id="347025273">
      <w:marLeft w:val="640"/>
      <w:marRight w:val="0"/>
      <w:marTop w:val="0"/>
      <w:marBottom w:val="0"/>
      <w:divBdr>
        <w:top w:val="none" w:sz="0" w:space="0" w:color="auto"/>
        <w:left w:val="none" w:sz="0" w:space="0" w:color="auto"/>
        <w:bottom w:val="none" w:sz="0" w:space="0" w:color="auto"/>
        <w:right w:val="none" w:sz="0" w:space="0" w:color="auto"/>
      </w:divBdr>
    </w:div>
    <w:div w:id="382949471">
      <w:marLeft w:val="640"/>
      <w:marRight w:val="0"/>
      <w:marTop w:val="0"/>
      <w:marBottom w:val="0"/>
      <w:divBdr>
        <w:top w:val="none" w:sz="0" w:space="0" w:color="auto"/>
        <w:left w:val="none" w:sz="0" w:space="0" w:color="auto"/>
        <w:bottom w:val="none" w:sz="0" w:space="0" w:color="auto"/>
        <w:right w:val="none" w:sz="0" w:space="0" w:color="auto"/>
      </w:divBdr>
    </w:div>
    <w:div w:id="416513445">
      <w:marLeft w:val="640"/>
      <w:marRight w:val="0"/>
      <w:marTop w:val="0"/>
      <w:marBottom w:val="0"/>
      <w:divBdr>
        <w:top w:val="none" w:sz="0" w:space="0" w:color="auto"/>
        <w:left w:val="none" w:sz="0" w:space="0" w:color="auto"/>
        <w:bottom w:val="none" w:sz="0" w:space="0" w:color="auto"/>
        <w:right w:val="none" w:sz="0" w:space="0" w:color="auto"/>
      </w:divBdr>
    </w:div>
    <w:div w:id="435104329">
      <w:marLeft w:val="640"/>
      <w:marRight w:val="0"/>
      <w:marTop w:val="0"/>
      <w:marBottom w:val="0"/>
      <w:divBdr>
        <w:top w:val="none" w:sz="0" w:space="0" w:color="auto"/>
        <w:left w:val="none" w:sz="0" w:space="0" w:color="auto"/>
        <w:bottom w:val="none" w:sz="0" w:space="0" w:color="auto"/>
        <w:right w:val="none" w:sz="0" w:space="0" w:color="auto"/>
      </w:divBdr>
    </w:div>
    <w:div w:id="486941602">
      <w:marLeft w:val="640"/>
      <w:marRight w:val="0"/>
      <w:marTop w:val="0"/>
      <w:marBottom w:val="0"/>
      <w:divBdr>
        <w:top w:val="none" w:sz="0" w:space="0" w:color="auto"/>
        <w:left w:val="none" w:sz="0" w:space="0" w:color="auto"/>
        <w:bottom w:val="none" w:sz="0" w:space="0" w:color="auto"/>
        <w:right w:val="none" w:sz="0" w:space="0" w:color="auto"/>
      </w:divBdr>
    </w:div>
    <w:div w:id="506485957">
      <w:marLeft w:val="640"/>
      <w:marRight w:val="0"/>
      <w:marTop w:val="0"/>
      <w:marBottom w:val="0"/>
      <w:divBdr>
        <w:top w:val="none" w:sz="0" w:space="0" w:color="auto"/>
        <w:left w:val="none" w:sz="0" w:space="0" w:color="auto"/>
        <w:bottom w:val="none" w:sz="0" w:space="0" w:color="auto"/>
        <w:right w:val="none" w:sz="0" w:space="0" w:color="auto"/>
      </w:divBdr>
    </w:div>
    <w:div w:id="589433821">
      <w:marLeft w:val="640"/>
      <w:marRight w:val="0"/>
      <w:marTop w:val="0"/>
      <w:marBottom w:val="0"/>
      <w:divBdr>
        <w:top w:val="none" w:sz="0" w:space="0" w:color="auto"/>
        <w:left w:val="none" w:sz="0" w:space="0" w:color="auto"/>
        <w:bottom w:val="none" w:sz="0" w:space="0" w:color="auto"/>
        <w:right w:val="none" w:sz="0" w:space="0" w:color="auto"/>
      </w:divBdr>
    </w:div>
    <w:div w:id="639268071">
      <w:marLeft w:val="640"/>
      <w:marRight w:val="0"/>
      <w:marTop w:val="0"/>
      <w:marBottom w:val="0"/>
      <w:divBdr>
        <w:top w:val="none" w:sz="0" w:space="0" w:color="auto"/>
        <w:left w:val="none" w:sz="0" w:space="0" w:color="auto"/>
        <w:bottom w:val="none" w:sz="0" w:space="0" w:color="auto"/>
        <w:right w:val="none" w:sz="0" w:space="0" w:color="auto"/>
      </w:divBdr>
    </w:div>
    <w:div w:id="718435482">
      <w:marLeft w:val="640"/>
      <w:marRight w:val="0"/>
      <w:marTop w:val="0"/>
      <w:marBottom w:val="0"/>
      <w:divBdr>
        <w:top w:val="none" w:sz="0" w:space="0" w:color="auto"/>
        <w:left w:val="none" w:sz="0" w:space="0" w:color="auto"/>
        <w:bottom w:val="none" w:sz="0" w:space="0" w:color="auto"/>
        <w:right w:val="none" w:sz="0" w:space="0" w:color="auto"/>
      </w:divBdr>
    </w:div>
    <w:div w:id="724642625">
      <w:marLeft w:val="640"/>
      <w:marRight w:val="0"/>
      <w:marTop w:val="0"/>
      <w:marBottom w:val="0"/>
      <w:divBdr>
        <w:top w:val="none" w:sz="0" w:space="0" w:color="auto"/>
        <w:left w:val="none" w:sz="0" w:space="0" w:color="auto"/>
        <w:bottom w:val="none" w:sz="0" w:space="0" w:color="auto"/>
        <w:right w:val="none" w:sz="0" w:space="0" w:color="auto"/>
      </w:divBdr>
    </w:div>
    <w:div w:id="756369352">
      <w:marLeft w:val="640"/>
      <w:marRight w:val="0"/>
      <w:marTop w:val="0"/>
      <w:marBottom w:val="0"/>
      <w:divBdr>
        <w:top w:val="none" w:sz="0" w:space="0" w:color="auto"/>
        <w:left w:val="none" w:sz="0" w:space="0" w:color="auto"/>
        <w:bottom w:val="none" w:sz="0" w:space="0" w:color="auto"/>
        <w:right w:val="none" w:sz="0" w:space="0" w:color="auto"/>
      </w:divBdr>
    </w:div>
    <w:div w:id="793182382">
      <w:marLeft w:val="640"/>
      <w:marRight w:val="0"/>
      <w:marTop w:val="0"/>
      <w:marBottom w:val="0"/>
      <w:divBdr>
        <w:top w:val="none" w:sz="0" w:space="0" w:color="auto"/>
        <w:left w:val="none" w:sz="0" w:space="0" w:color="auto"/>
        <w:bottom w:val="none" w:sz="0" w:space="0" w:color="auto"/>
        <w:right w:val="none" w:sz="0" w:space="0" w:color="auto"/>
      </w:divBdr>
    </w:div>
    <w:div w:id="801382109">
      <w:marLeft w:val="640"/>
      <w:marRight w:val="0"/>
      <w:marTop w:val="0"/>
      <w:marBottom w:val="0"/>
      <w:divBdr>
        <w:top w:val="none" w:sz="0" w:space="0" w:color="auto"/>
        <w:left w:val="none" w:sz="0" w:space="0" w:color="auto"/>
        <w:bottom w:val="none" w:sz="0" w:space="0" w:color="auto"/>
        <w:right w:val="none" w:sz="0" w:space="0" w:color="auto"/>
      </w:divBdr>
    </w:div>
    <w:div w:id="816649464">
      <w:marLeft w:val="640"/>
      <w:marRight w:val="0"/>
      <w:marTop w:val="0"/>
      <w:marBottom w:val="0"/>
      <w:divBdr>
        <w:top w:val="none" w:sz="0" w:space="0" w:color="auto"/>
        <w:left w:val="none" w:sz="0" w:space="0" w:color="auto"/>
        <w:bottom w:val="none" w:sz="0" w:space="0" w:color="auto"/>
        <w:right w:val="none" w:sz="0" w:space="0" w:color="auto"/>
      </w:divBdr>
    </w:div>
    <w:div w:id="869342190">
      <w:marLeft w:val="640"/>
      <w:marRight w:val="0"/>
      <w:marTop w:val="0"/>
      <w:marBottom w:val="0"/>
      <w:divBdr>
        <w:top w:val="none" w:sz="0" w:space="0" w:color="auto"/>
        <w:left w:val="none" w:sz="0" w:space="0" w:color="auto"/>
        <w:bottom w:val="none" w:sz="0" w:space="0" w:color="auto"/>
        <w:right w:val="none" w:sz="0" w:space="0" w:color="auto"/>
      </w:divBdr>
    </w:div>
    <w:div w:id="909198457">
      <w:marLeft w:val="640"/>
      <w:marRight w:val="0"/>
      <w:marTop w:val="0"/>
      <w:marBottom w:val="0"/>
      <w:divBdr>
        <w:top w:val="none" w:sz="0" w:space="0" w:color="auto"/>
        <w:left w:val="none" w:sz="0" w:space="0" w:color="auto"/>
        <w:bottom w:val="none" w:sz="0" w:space="0" w:color="auto"/>
        <w:right w:val="none" w:sz="0" w:space="0" w:color="auto"/>
      </w:divBdr>
    </w:div>
    <w:div w:id="941450797">
      <w:marLeft w:val="640"/>
      <w:marRight w:val="0"/>
      <w:marTop w:val="0"/>
      <w:marBottom w:val="0"/>
      <w:divBdr>
        <w:top w:val="none" w:sz="0" w:space="0" w:color="auto"/>
        <w:left w:val="none" w:sz="0" w:space="0" w:color="auto"/>
        <w:bottom w:val="none" w:sz="0" w:space="0" w:color="auto"/>
        <w:right w:val="none" w:sz="0" w:space="0" w:color="auto"/>
      </w:divBdr>
    </w:div>
    <w:div w:id="981540758">
      <w:marLeft w:val="640"/>
      <w:marRight w:val="0"/>
      <w:marTop w:val="0"/>
      <w:marBottom w:val="0"/>
      <w:divBdr>
        <w:top w:val="none" w:sz="0" w:space="0" w:color="auto"/>
        <w:left w:val="none" w:sz="0" w:space="0" w:color="auto"/>
        <w:bottom w:val="none" w:sz="0" w:space="0" w:color="auto"/>
        <w:right w:val="none" w:sz="0" w:space="0" w:color="auto"/>
      </w:divBdr>
    </w:div>
    <w:div w:id="1056659036">
      <w:marLeft w:val="640"/>
      <w:marRight w:val="0"/>
      <w:marTop w:val="0"/>
      <w:marBottom w:val="0"/>
      <w:divBdr>
        <w:top w:val="none" w:sz="0" w:space="0" w:color="auto"/>
        <w:left w:val="none" w:sz="0" w:space="0" w:color="auto"/>
        <w:bottom w:val="none" w:sz="0" w:space="0" w:color="auto"/>
        <w:right w:val="none" w:sz="0" w:space="0" w:color="auto"/>
      </w:divBdr>
    </w:div>
    <w:div w:id="1063794488">
      <w:marLeft w:val="640"/>
      <w:marRight w:val="0"/>
      <w:marTop w:val="0"/>
      <w:marBottom w:val="0"/>
      <w:divBdr>
        <w:top w:val="none" w:sz="0" w:space="0" w:color="auto"/>
        <w:left w:val="none" w:sz="0" w:space="0" w:color="auto"/>
        <w:bottom w:val="none" w:sz="0" w:space="0" w:color="auto"/>
        <w:right w:val="none" w:sz="0" w:space="0" w:color="auto"/>
      </w:divBdr>
    </w:div>
    <w:div w:id="1105685389">
      <w:marLeft w:val="640"/>
      <w:marRight w:val="0"/>
      <w:marTop w:val="0"/>
      <w:marBottom w:val="0"/>
      <w:divBdr>
        <w:top w:val="none" w:sz="0" w:space="0" w:color="auto"/>
        <w:left w:val="none" w:sz="0" w:space="0" w:color="auto"/>
        <w:bottom w:val="none" w:sz="0" w:space="0" w:color="auto"/>
        <w:right w:val="none" w:sz="0" w:space="0" w:color="auto"/>
      </w:divBdr>
    </w:div>
    <w:div w:id="1117918694">
      <w:marLeft w:val="640"/>
      <w:marRight w:val="0"/>
      <w:marTop w:val="0"/>
      <w:marBottom w:val="0"/>
      <w:divBdr>
        <w:top w:val="none" w:sz="0" w:space="0" w:color="auto"/>
        <w:left w:val="none" w:sz="0" w:space="0" w:color="auto"/>
        <w:bottom w:val="none" w:sz="0" w:space="0" w:color="auto"/>
        <w:right w:val="none" w:sz="0" w:space="0" w:color="auto"/>
      </w:divBdr>
    </w:div>
    <w:div w:id="1160584545">
      <w:marLeft w:val="640"/>
      <w:marRight w:val="0"/>
      <w:marTop w:val="0"/>
      <w:marBottom w:val="0"/>
      <w:divBdr>
        <w:top w:val="none" w:sz="0" w:space="0" w:color="auto"/>
        <w:left w:val="none" w:sz="0" w:space="0" w:color="auto"/>
        <w:bottom w:val="none" w:sz="0" w:space="0" w:color="auto"/>
        <w:right w:val="none" w:sz="0" w:space="0" w:color="auto"/>
      </w:divBdr>
    </w:div>
    <w:div w:id="1165392951">
      <w:marLeft w:val="640"/>
      <w:marRight w:val="0"/>
      <w:marTop w:val="0"/>
      <w:marBottom w:val="0"/>
      <w:divBdr>
        <w:top w:val="none" w:sz="0" w:space="0" w:color="auto"/>
        <w:left w:val="none" w:sz="0" w:space="0" w:color="auto"/>
        <w:bottom w:val="none" w:sz="0" w:space="0" w:color="auto"/>
        <w:right w:val="none" w:sz="0" w:space="0" w:color="auto"/>
      </w:divBdr>
    </w:div>
    <w:div w:id="1195845279">
      <w:marLeft w:val="640"/>
      <w:marRight w:val="0"/>
      <w:marTop w:val="0"/>
      <w:marBottom w:val="0"/>
      <w:divBdr>
        <w:top w:val="none" w:sz="0" w:space="0" w:color="auto"/>
        <w:left w:val="none" w:sz="0" w:space="0" w:color="auto"/>
        <w:bottom w:val="none" w:sz="0" w:space="0" w:color="auto"/>
        <w:right w:val="none" w:sz="0" w:space="0" w:color="auto"/>
      </w:divBdr>
    </w:div>
    <w:div w:id="1240485291">
      <w:marLeft w:val="640"/>
      <w:marRight w:val="0"/>
      <w:marTop w:val="0"/>
      <w:marBottom w:val="0"/>
      <w:divBdr>
        <w:top w:val="none" w:sz="0" w:space="0" w:color="auto"/>
        <w:left w:val="none" w:sz="0" w:space="0" w:color="auto"/>
        <w:bottom w:val="none" w:sz="0" w:space="0" w:color="auto"/>
        <w:right w:val="none" w:sz="0" w:space="0" w:color="auto"/>
      </w:divBdr>
    </w:div>
    <w:div w:id="1335451338">
      <w:marLeft w:val="640"/>
      <w:marRight w:val="0"/>
      <w:marTop w:val="0"/>
      <w:marBottom w:val="0"/>
      <w:divBdr>
        <w:top w:val="none" w:sz="0" w:space="0" w:color="auto"/>
        <w:left w:val="none" w:sz="0" w:space="0" w:color="auto"/>
        <w:bottom w:val="none" w:sz="0" w:space="0" w:color="auto"/>
        <w:right w:val="none" w:sz="0" w:space="0" w:color="auto"/>
      </w:divBdr>
    </w:div>
    <w:div w:id="1337414501">
      <w:marLeft w:val="640"/>
      <w:marRight w:val="0"/>
      <w:marTop w:val="0"/>
      <w:marBottom w:val="0"/>
      <w:divBdr>
        <w:top w:val="none" w:sz="0" w:space="0" w:color="auto"/>
        <w:left w:val="none" w:sz="0" w:space="0" w:color="auto"/>
        <w:bottom w:val="none" w:sz="0" w:space="0" w:color="auto"/>
        <w:right w:val="none" w:sz="0" w:space="0" w:color="auto"/>
      </w:divBdr>
    </w:div>
    <w:div w:id="1374883522">
      <w:marLeft w:val="640"/>
      <w:marRight w:val="0"/>
      <w:marTop w:val="0"/>
      <w:marBottom w:val="0"/>
      <w:divBdr>
        <w:top w:val="none" w:sz="0" w:space="0" w:color="auto"/>
        <w:left w:val="none" w:sz="0" w:space="0" w:color="auto"/>
        <w:bottom w:val="none" w:sz="0" w:space="0" w:color="auto"/>
        <w:right w:val="none" w:sz="0" w:space="0" w:color="auto"/>
      </w:divBdr>
    </w:div>
    <w:div w:id="1410927237">
      <w:marLeft w:val="640"/>
      <w:marRight w:val="0"/>
      <w:marTop w:val="0"/>
      <w:marBottom w:val="0"/>
      <w:divBdr>
        <w:top w:val="none" w:sz="0" w:space="0" w:color="auto"/>
        <w:left w:val="none" w:sz="0" w:space="0" w:color="auto"/>
        <w:bottom w:val="none" w:sz="0" w:space="0" w:color="auto"/>
        <w:right w:val="none" w:sz="0" w:space="0" w:color="auto"/>
      </w:divBdr>
    </w:div>
    <w:div w:id="1486437871">
      <w:marLeft w:val="640"/>
      <w:marRight w:val="0"/>
      <w:marTop w:val="0"/>
      <w:marBottom w:val="0"/>
      <w:divBdr>
        <w:top w:val="none" w:sz="0" w:space="0" w:color="auto"/>
        <w:left w:val="none" w:sz="0" w:space="0" w:color="auto"/>
        <w:bottom w:val="none" w:sz="0" w:space="0" w:color="auto"/>
        <w:right w:val="none" w:sz="0" w:space="0" w:color="auto"/>
      </w:divBdr>
    </w:div>
    <w:div w:id="1508979854">
      <w:marLeft w:val="640"/>
      <w:marRight w:val="0"/>
      <w:marTop w:val="0"/>
      <w:marBottom w:val="0"/>
      <w:divBdr>
        <w:top w:val="none" w:sz="0" w:space="0" w:color="auto"/>
        <w:left w:val="none" w:sz="0" w:space="0" w:color="auto"/>
        <w:bottom w:val="none" w:sz="0" w:space="0" w:color="auto"/>
        <w:right w:val="none" w:sz="0" w:space="0" w:color="auto"/>
      </w:divBdr>
    </w:div>
    <w:div w:id="1528103281">
      <w:marLeft w:val="640"/>
      <w:marRight w:val="0"/>
      <w:marTop w:val="0"/>
      <w:marBottom w:val="0"/>
      <w:divBdr>
        <w:top w:val="none" w:sz="0" w:space="0" w:color="auto"/>
        <w:left w:val="none" w:sz="0" w:space="0" w:color="auto"/>
        <w:bottom w:val="none" w:sz="0" w:space="0" w:color="auto"/>
        <w:right w:val="none" w:sz="0" w:space="0" w:color="auto"/>
      </w:divBdr>
    </w:div>
    <w:div w:id="1533836432">
      <w:marLeft w:val="640"/>
      <w:marRight w:val="0"/>
      <w:marTop w:val="0"/>
      <w:marBottom w:val="0"/>
      <w:divBdr>
        <w:top w:val="none" w:sz="0" w:space="0" w:color="auto"/>
        <w:left w:val="none" w:sz="0" w:space="0" w:color="auto"/>
        <w:bottom w:val="none" w:sz="0" w:space="0" w:color="auto"/>
        <w:right w:val="none" w:sz="0" w:space="0" w:color="auto"/>
      </w:divBdr>
    </w:div>
    <w:div w:id="1535734583">
      <w:marLeft w:val="640"/>
      <w:marRight w:val="0"/>
      <w:marTop w:val="0"/>
      <w:marBottom w:val="0"/>
      <w:divBdr>
        <w:top w:val="none" w:sz="0" w:space="0" w:color="auto"/>
        <w:left w:val="none" w:sz="0" w:space="0" w:color="auto"/>
        <w:bottom w:val="none" w:sz="0" w:space="0" w:color="auto"/>
        <w:right w:val="none" w:sz="0" w:space="0" w:color="auto"/>
      </w:divBdr>
    </w:div>
    <w:div w:id="1648389601">
      <w:marLeft w:val="640"/>
      <w:marRight w:val="0"/>
      <w:marTop w:val="0"/>
      <w:marBottom w:val="0"/>
      <w:divBdr>
        <w:top w:val="none" w:sz="0" w:space="0" w:color="auto"/>
        <w:left w:val="none" w:sz="0" w:space="0" w:color="auto"/>
        <w:bottom w:val="none" w:sz="0" w:space="0" w:color="auto"/>
        <w:right w:val="none" w:sz="0" w:space="0" w:color="auto"/>
      </w:divBdr>
    </w:div>
    <w:div w:id="1714160692">
      <w:marLeft w:val="640"/>
      <w:marRight w:val="0"/>
      <w:marTop w:val="0"/>
      <w:marBottom w:val="0"/>
      <w:divBdr>
        <w:top w:val="none" w:sz="0" w:space="0" w:color="auto"/>
        <w:left w:val="none" w:sz="0" w:space="0" w:color="auto"/>
        <w:bottom w:val="none" w:sz="0" w:space="0" w:color="auto"/>
        <w:right w:val="none" w:sz="0" w:space="0" w:color="auto"/>
      </w:divBdr>
    </w:div>
    <w:div w:id="1813716983">
      <w:marLeft w:val="640"/>
      <w:marRight w:val="0"/>
      <w:marTop w:val="0"/>
      <w:marBottom w:val="0"/>
      <w:divBdr>
        <w:top w:val="none" w:sz="0" w:space="0" w:color="auto"/>
        <w:left w:val="none" w:sz="0" w:space="0" w:color="auto"/>
        <w:bottom w:val="none" w:sz="0" w:space="0" w:color="auto"/>
        <w:right w:val="none" w:sz="0" w:space="0" w:color="auto"/>
      </w:divBdr>
    </w:div>
    <w:div w:id="1978490966">
      <w:marLeft w:val="640"/>
      <w:marRight w:val="0"/>
      <w:marTop w:val="0"/>
      <w:marBottom w:val="0"/>
      <w:divBdr>
        <w:top w:val="none" w:sz="0" w:space="0" w:color="auto"/>
        <w:left w:val="none" w:sz="0" w:space="0" w:color="auto"/>
        <w:bottom w:val="none" w:sz="0" w:space="0" w:color="auto"/>
        <w:right w:val="none" w:sz="0" w:space="0" w:color="auto"/>
      </w:divBdr>
    </w:div>
    <w:div w:id="2016495260">
      <w:marLeft w:val="640"/>
      <w:marRight w:val="0"/>
      <w:marTop w:val="0"/>
      <w:marBottom w:val="0"/>
      <w:divBdr>
        <w:top w:val="none" w:sz="0" w:space="0" w:color="auto"/>
        <w:left w:val="none" w:sz="0" w:space="0" w:color="auto"/>
        <w:bottom w:val="none" w:sz="0" w:space="0" w:color="auto"/>
        <w:right w:val="none" w:sz="0" w:space="0" w:color="auto"/>
      </w:divBdr>
    </w:div>
    <w:div w:id="2035156590">
      <w:marLeft w:val="640"/>
      <w:marRight w:val="0"/>
      <w:marTop w:val="0"/>
      <w:marBottom w:val="0"/>
      <w:divBdr>
        <w:top w:val="none" w:sz="0" w:space="0" w:color="auto"/>
        <w:left w:val="none" w:sz="0" w:space="0" w:color="auto"/>
        <w:bottom w:val="none" w:sz="0" w:space="0" w:color="auto"/>
        <w:right w:val="none" w:sz="0" w:space="0" w:color="auto"/>
      </w:divBdr>
    </w:div>
    <w:div w:id="2067096639">
      <w:marLeft w:val="640"/>
      <w:marRight w:val="0"/>
      <w:marTop w:val="0"/>
      <w:marBottom w:val="0"/>
      <w:divBdr>
        <w:top w:val="none" w:sz="0" w:space="0" w:color="auto"/>
        <w:left w:val="none" w:sz="0" w:space="0" w:color="auto"/>
        <w:bottom w:val="none" w:sz="0" w:space="0" w:color="auto"/>
        <w:right w:val="none" w:sz="0" w:space="0" w:color="auto"/>
      </w:divBdr>
    </w:div>
    <w:div w:id="2069841170">
      <w:marLeft w:val="640"/>
      <w:marRight w:val="0"/>
      <w:marTop w:val="0"/>
      <w:marBottom w:val="0"/>
      <w:divBdr>
        <w:top w:val="none" w:sz="0" w:space="0" w:color="auto"/>
        <w:left w:val="none" w:sz="0" w:space="0" w:color="auto"/>
        <w:bottom w:val="none" w:sz="0" w:space="0" w:color="auto"/>
        <w:right w:val="none" w:sz="0" w:space="0" w:color="auto"/>
      </w:divBdr>
    </w:div>
    <w:div w:id="2091806095">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pn.ufrj.br/fernanda-finelli/" TargetMode="Externa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ljcarvalho@inmetro.gov.br"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F44E4B7DD4E708D0B509EFCF64F3F"/>
        <w:category>
          <w:name w:val="Geral"/>
          <w:gallery w:val="placeholder"/>
        </w:category>
        <w:types>
          <w:type w:val="bbPlcHdr"/>
        </w:types>
        <w:behaviors>
          <w:behavior w:val="content"/>
        </w:behaviors>
        <w:guid w:val="{C6549FA8-1E7A-4B76-8180-ADAC362A0352}"/>
      </w:docPartPr>
      <w:docPartBody>
        <w:p w:rsidR="00A40211" w:rsidRDefault="00805A1F" w:rsidP="00805A1F">
          <w:pPr>
            <w:pStyle w:val="BAFF44E4B7DD4E708D0B509EFCF64F3F"/>
          </w:pPr>
          <w:r w:rsidRPr="004125A2">
            <w:rPr>
              <w:rStyle w:val="Platzhaltertext"/>
            </w:rPr>
            <w:t>Clique ou toque aqui para inserir o texto.</w:t>
          </w:r>
        </w:p>
      </w:docPartBody>
    </w:docPart>
    <w:docPart>
      <w:docPartPr>
        <w:name w:val="8824758716244276BF0A21693A582323"/>
        <w:category>
          <w:name w:val="Geral"/>
          <w:gallery w:val="placeholder"/>
        </w:category>
        <w:types>
          <w:type w:val="bbPlcHdr"/>
        </w:types>
        <w:behaviors>
          <w:behavior w:val="content"/>
        </w:behaviors>
        <w:guid w:val="{8E524218-CEB0-47CF-A2D1-7B4DAE66A559}"/>
      </w:docPartPr>
      <w:docPartBody>
        <w:p w:rsidR="00C71313" w:rsidRDefault="00A40211" w:rsidP="00A40211">
          <w:pPr>
            <w:pStyle w:val="8824758716244276BF0A21693A582323"/>
          </w:pPr>
          <w:r w:rsidRPr="004125A2">
            <w:rPr>
              <w:rStyle w:val="Platzhaltertext"/>
            </w:rPr>
            <w:t>Clique ou toque aqui para inserir o texto.</w:t>
          </w:r>
        </w:p>
      </w:docPartBody>
    </w:docPart>
    <w:docPart>
      <w:docPartPr>
        <w:name w:val="0ED925CAD4D74D90B80A2E4A0BF92015"/>
        <w:category>
          <w:name w:val="Geral"/>
          <w:gallery w:val="placeholder"/>
        </w:category>
        <w:types>
          <w:type w:val="bbPlcHdr"/>
        </w:types>
        <w:behaviors>
          <w:behavior w:val="content"/>
        </w:behaviors>
        <w:guid w:val="{4F3141FD-E654-4776-9AB0-28D5F5CA1BAF}"/>
      </w:docPartPr>
      <w:docPartBody>
        <w:p w:rsidR="00C71313" w:rsidRDefault="00A40211" w:rsidP="00A40211">
          <w:pPr>
            <w:pStyle w:val="0ED925CAD4D74D90B80A2E4A0BF92015"/>
          </w:pPr>
          <w:r w:rsidRPr="0006705D">
            <w:rPr>
              <w:rStyle w:val="Platzhaltertext"/>
            </w:rPr>
            <w:t>Clique ou toque aqui para inserir o texto.</w:t>
          </w:r>
        </w:p>
      </w:docPartBody>
    </w:docPart>
    <w:docPart>
      <w:docPartPr>
        <w:name w:val="810E0AFC757644948CDF703CFBE9CFF9"/>
        <w:category>
          <w:name w:val="Geral"/>
          <w:gallery w:val="placeholder"/>
        </w:category>
        <w:types>
          <w:type w:val="bbPlcHdr"/>
        </w:types>
        <w:behaviors>
          <w:behavior w:val="content"/>
        </w:behaviors>
        <w:guid w:val="{521E0953-0CEA-411C-A26A-3F9A8D39DF18}"/>
      </w:docPartPr>
      <w:docPartBody>
        <w:p w:rsidR="00C71313" w:rsidRDefault="00A40211" w:rsidP="00A40211">
          <w:pPr>
            <w:pStyle w:val="810E0AFC757644948CDF703CFBE9CFF9"/>
          </w:pPr>
          <w:r w:rsidRPr="004125A2">
            <w:rPr>
              <w:rStyle w:val="Platzhaltertext"/>
            </w:rPr>
            <w:t>Clique ou toque aqui para inserir o texto.</w:t>
          </w:r>
        </w:p>
      </w:docPartBody>
    </w:docPart>
    <w:docPart>
      <w:docPartPr>
        <w:name w:val="1386F9A7F2A941FCAE087131591C95DE"/>
        <w:category>
          <w:name w:val="Geral"/>
          <w:gallery w:val="placeholder"/>
        </w:category>
        <w:types>
          <w:type w:val="bbPlcHdr"/>
        </w:types>
        <w:behaviors>
          <w:behavior w:val="content"/>
        </w:behaviors>
        <w:guid w:val="{784BD8CC-60B1-494B-B6AE-78B3F8E4F708}"/>
      </w:docPartPr>
      <w:docPartBody>
        <w:p w:rsidR="00C71313" w:rsidRDefault="00A40211" w:rsidP="00A40211">
          <w:pPr>
            <w:pStyle w:val="1386F9A7F2A941FCAE087131591C95DE"/>
          </w:pPr>
          <w:r w:rsidRPr="004125A2">
            <w:rPr>
              <w:rStyle w:val="Platzhaltertext"/>
            </w:rPr>
            <w:t>Clique ou toque aqui para inserir o texto.</w:t>
          </w:r>
        </w:p>
      </w:docPartBody>
    </w:docPart>
    <w:docPart>
      <w:docPartPr>
        <w:name w:val="F78FDB492EF04996A49F35E014C9CFF0"/>
        <w:category>
          <w:name w:val="Geral"/>
          <w:gallery w:val="placeholder"/>
        </w:category>
        <w:types>
          <w:type w:val="bbPlcHdr"/>
        </w:types>
        <w:behaviors>
          <w:behavior w:val="content"/>
        </w:behaviors>
        <w:guid w:val="{5FD413F6-0758-482C-93ED-257EC290E9B8}"/>
      </w:docPartPr>
      <w:docPartBody>
        <w:p w:rsidR="00C71313" w:rsidRDefault="00A40211" w:rsidP="00A40211">
          <w:pPr>
            <w:pStyle w:val="F78FDB492EF04996A49F35E014C9CFF0"/>
          </w:pPr>
          <w:r w:rsidRPr="004125A2">
            <w:rPr>
              <w:rStyle w:val="Platzhaltertext"/>
            </w:rPr>
            <w:t>Clique ou toque aqui para inserir o texto.</w:t>
          </w:r>
        </w:p>
      </w:docPartBody>
    </w:docPart>
    <w:docPart>
      <w:docPartPr>
        <w:name w:val="EF44EC301DA44B30994786C6EE3784E2"/>
        <w:category>
          <w:name w:val="Geral"/>
          <w:gallery w:val="placeholder"/>
        </w:category>
        <w:types>
          <w:type w:val="bbPlcHdr"/>
        </w:types>
        <w:behaviors>
          <w:behavior w:val="content"/>
        </w:behaviors>
        <w:guid w:val="{A088196B-7FE1-4A42-B767-095912D717A3}"/>
      </w:docPartPr>
      <w:docPartBody>
        <w:p w:rsidR="00C71313" w:rsidRDefault="00A40211" w:rsidP="00A40211">
          <w:pPr>
            <w:pStyle w:val="EF44EC301DA44B30994786C6EE3784E2"/>
          </w:pPr>
          <w:r w:rsidRPr="004125A2">
            <w:rPr>
              <w:rStyle w:val="Platzhaltertext"/>
            </w:rPr>
            <w:t>Clique ou toque aqui para inserir o texto.</w:t>
          </w:r>
        </w:p>
      </w:docPartBody>
    </w:docPart>
    <w:docPart>
      <w:docPartPr>
        <w:name w:val="D3E3CDE9B5724FDA88950A268DA748E9"/>
        <w:category>
          <w:name w:val="Geral"/>
          <w:gallery w:val="placeholder"/>
        </w:category>
        <w:types>
          <w:type w:val="bbPlcHdr"/>
        </w:types>
        <w:behaviors>
          <w:behavior w:val="content"/>
        </w:behaviors>
        <w:guid w:val="{B6337D38-7322-472B-B66F-CAEA9FDE4042}"/>
      </w:docPartPr>
      <w:docPartBody>
        <w:p w:rsidR="00C71313" w:rsidRDefault="00A40211" w:rsidP="00A40211">
          <w:pPr>
            <w:pStyle w:val="D3E3CDE9B5724FDA88950A268DA748E9"/>
          </w:pPr>
          <w:r w:rsidRPr="004125A2">
            <w:rPr>
              <w:rStyle w:val="Platzhaltertext"/>
            </w:rPr>
            <w:t>Clique ou toque aqui para inserir o texto.</w:t>
          </w:r>
        </w:p>
      </w:docPartBody>
    </w:docPart>
    <w:docPart>
      <w:docPartPr>
        <w:name w:val="D258497569BF44F38308F4A1C3C3F8B0"/>
        <w:category>
          <w:name w:val="Geral"/>
          <w:gallery w:val="placeholder"/>
        </w:category>
        <w:types>
          <w:type w:val="bbPlcHdr"/>
        </w:types>
        <w:behaviors>
          <w:behavior w:val="content"/>
        </w:behaviors>
        <w:guid w:val="{7BE84A03-835B-4C73-810F-9C89B37093B8}"/>
      </w:docPartPr>
      <w:docPartBody>
        <w:p w:rsidR="00C71313" w:rsidRDefault="00A40211" w:rsidP="00A40211">
          <w:pPr>
            <w:pStyle w:val="D258497569BF44F38308F4A1C3C3F8B0"/>
          </w:pPr>
          <w:r w:rsidRPr="004125A2">
            <w:rPr>
              <w:rStyle w:val="Platzhaltertext"/>
            </w:rPr>
            <w:t>Clique ou toque aqui para inserir o texto.</w:t>
          </w:r>
        </w:p>
      </w:docPartBody>
    </w:docPart>
    <w:docPart>
      <w:docPartPr>
        <w:name w:val="8F14E13B53054E8ABDDA274CD3256197"/>
        <w:category>
          <w:name w:val="Geral"/>
          <w:gallery w:val="placeholder"/>
        </w:category>
        <w:types>
          <w:type w:val="bbPlcHdr"/>
        </w:types>
        <w:behaviors>
          <w:behavior w:val="content"/>
        </w:behaviors>
        <w:guid w:val="{381E5A6E-E2B1-4D81-AE3A-F12DE9E84448}"/>
      </w:docPartPr>
      <w:docPartBody>
        <w:p w:rsidR="00C71313" w:rsidRDefault="00A40211" w:rsidP="00A40211">
          <w:pPr>
            <w:pStyle w:val="8F14E13B53054E8ABDDA274CD3256197"/>
          </w:pPr>
          <w:r w:rsidRPr="004125A2">
            <w:rPr>
              <w:rStyle w:val="Platzhaltertext"/>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6FD75556-EF60-43C6-A5C7-EEC1CADCF9A6}"/>
      </w:docPartPr>
      <w:docPartBody>
        <w:p w:rsidR="009F382F" w:rsidRDefault="00161430">
          <w:r w:rsidRPr="00F16DFD">
            <w:rPr>
              <w:rStyle w:val="Platzhalt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1F"/>
    <w:rsid w:val="00004052"/>
    <w:rsid w:val="0005725B"/>
    <w:rsid w:val="000666E0"/>
    <w:rsid w:val="00161430"/>
    <w:rsid w:val="001A32E7"/>
    <w:rsid w:val="003803ED"/>
    <w:rsid w:val="00493F8E"/>
    <w:rsid w:val="005166B0"/>
    <w:rsid w:val="0065719F"/>
    <w:rsid w:val="007724CD"/>
    <w:rsid w:val="007A7CA1"/>
    <w:rsid w:val="00805A1F"/>
    <w:rsid w:val="00820568"/>
    <w:rsid w:val="0097543C"/>
    <w:rsid w:val="009F382F"/>
    <w:rsid w:val="00A40211"/>
    <w:rsid w:val="00AB5607"/>
    <w:rsid w:val="00AF3A56"/>
    <w:rsid w:val="00C6143A"/>
    <w:rsid w:val="00C71313"/>
    <w:rsid w:val="00D460F5"/>
    <w:rsid w:val="00FF1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430"/>
    <w:rPr>
      <w:color w:val="666666"/>
    </w:rPr>
  </w:style>
  <w:style w:type="paragraph" w:customStyle="1" w:styleId="BAFF44E4B7DD4E708D0B509EFCF64F3F">
    <w:name w:val="BAFF44E4B7DD4E708D0B509EFCF64F3F"/>
    <w:rsid w:val="00805A1F"/>
  </w:style>
  <w:style w:type="paragraph" w:customStyle="1" w:styleId="8824758716244276BF0A21693A582323">
    <w:name w:val="8824758716244276BF0A21693A582323"/>
    <w:rsid w:val="00A40211"/>
  </w:style>
  <w:style w:type="paragraph" w:customStyle="1" w:styleId="0ED925CAD4D74D90B80A2E4A0BF92015">
    <w:name w:val="0ED925CAD4D74D90B80A2E4A0BF92015"/>
    <w:rsid w:val="00A40211"/>
  </w:style>
  <w:style w:type="paragraph" w:customStyle="1" w:styleId="810E0AFC757644948CDF703CFBE9CFF9">
    <w:name w:val="810E0AFC757644948CDF703CFBE9CFF9"/>
    <w:rsid w:val="00A40211"/>
  </w:style>
  <w:style w:type="paragraph" w:customStyle="1" w:styleId="1386F9A7F2A941FCAE087131591C95DE">
    <w:name w:val="1386F9A7F2A941FCAE087131591C95DE"/>
    <w:rsid w:val="00A40211"/>
  </w:style>
  <w:style w:type="paragraph" w:customStyle="1" w:styleId="F78FDB492EF04996A49F35E014C9CFF0">
    <w:name w:val="F78FDB492EF04996A49F35E014C9CFF0"/>
    <w:rsid w:val="00A40211"/>
  </w:style>
  <w:style w:type="paragraph" w:customStyle="1" w:styleId="EF44EC301DA44B30994786C6EE3784E2">
    <w:name w:val="EF44EC301DA44B30994786C6EE3784E2"/>
    <w:rsid w:val="00A40211"/>
  </w:style>
  <w:style w:type="paragraph" w:customStyle="1" w:styleId="D3E3CDE9B5724FDA88950A268DA748E9">
    <w:name w:val="D3E3CDE9B5724FDA88950A268DA748E9"/>
    <w:rsid w:val="00A40211"/>
  </w:style>
  <w:style w:type="paragraph" w:customStyle="1" w:styleId="D258497569BF44F38308F4A1C3C3F8B0">
    <w:name w:val="D258497569BF44F38308F4A1C3C3F8B0"/>
    <w:rsid w:val="00A40211"/>
  </w:style>
  <w:style w:type="paragraph" w:customStyle="1" w:styleId="8F14E13B53054E8ABDDA274CD3256197">
    <w:name w:val="8F14E13B53054E8ABDDA274CD3256197"/>
    <w:rsid w:val="00A40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89919B-259E-4EB4-BAD2-FB974DBAB9BE}">
  <we:reference id="wa104382081" version="1.55.1.0" store="pt-BR" storeType="OMEX"/>
  <we:alternateReferences>
    <we:reference id="WA104382081" version="1.55.1.0" store="" storeType="OMEX"/>
  </we:alternateReferences>
  <we:properties>
    <we:property name="MENDELEY_BIBLIOGRAPHY_IS_DIRTY" value="false"/>
    <we:property name="MENDELEY_BIBLIOGRAPHY_LAST_MODIFIED" value="1766088651465"/>
    <we:property name="MENDELEY_CITATIONS" value="[{&quot;citationID&quot;:&quot;MENDELEY_CITATION_ab1378f8-ed87-49ef-884e-607616a850b1&quot;,&quot;properties&quot;:{&quot;noteIndex&quot;:0},&quot;isEdited&quot;:false,&quot;manualOverride&quot;:{&quot;isManuallyOverridden&quot;:false,&quot;citeprocText&quot;:&quot;[1, 2]&quot;,&quot;manualOverrideText&quot;:&quot;&quot;},&quot;citationTag&quot;:&quot;MENDELEY_CITATION_v3_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&quot;,&quot;citationItems&quot;:[{&quot;id&quot;:&quot;6ee548d7-08a1-32e9-86d2-a09c940920af&quot;,&quot;itemData&quot;:{&quot;type&quot;:&quot;article-journal&quot;,&quot;id&quot;:&quot;6ee548d7-08a1-32e9-86d2-a09c940920af&quot;,&quot;title&quot;:&quot;Measuring Protein Concentrations by NMR Spectroscopy&quot;,&quot;author&quot;:[{&quot;family&quot;:&quot;Wider&quot;,&quot;given&quot;:&quot;Gerhard&quot;,&quot;parse-names&quot;:false,&quot;dropping-particle&quot;:&quot;&quot;,&quot;non-dropping-particle&quot;:&quot;&quot;},{&quot;family&quot;:&quot;Dreier&quot;,&quot;given&quot;:&quot;Lars&quot;,&quot;parse-names&quot;:false,&quot;dropping-particle&quot;:&quot;&quot;,&quot;non-dropping-particle&quot;:&quot;&quot;}],&quot;container-title&quot;:&quot;Journal of the American Chemical Society&quot;,&quot;container-title-short&quot;:&quot;J Am Chem Soc&quot;,&quot;DOI&quot;:&quot;10.1021/ja055336t&quot;,&quot;ISBN&quot;:&quot;0002-7863&quot;,&quot;URL&quot;:&quot;http://dx.doi.org/10.1021/ja055336t&quot;,&quot;issued&quot;:{&quot;date-parts&quot;:[[2006]]},&quot;page&quot;:&quot;2571-2576&quot;,&quot;publisher&quot;:&quot;American Chemical Society&quot;,&quot;issue&quot;:&quot;8&quot;,&quot;volume&quot;:&quot;128&quot;},&quot;isTemporary&quot;:false},{&quot;id&quot;:&quot;918311e5-616c-32a8-a969-b7d085e609af&quot;,&quot;itemData&quot;:{&quot;type&quot;:&quot;article-journal&quot;,&quot;id&quot;:&quot;918311e5-616c-32a8-a969-b7d085e609af&quot;,&quot;title&quot;:&quot;Nuclear magnetic resonance using electronic referencing: method validation and evaluation of the measurement uncertainties for the quantification of benzoic acid in orange juice&quot;,&quot;author&quot;:[{&quot;family&quot;:&quot;Garrido&quot;,&quot;given&quot;:&quot;Bruno C&quot;,&quot;parse-names&quot;:false,&quot;dropping-particle&quot;:&quot;&quot;,&quot;non-dropping-particle&quot;:&quot;&quot;},{&quot;family&quot;:&quot;Carvalho&quot;,&quot;given&quot;:&quot;Lucas J&quot;,&quot;parse-names&quot;:false,&quot;dropping-particle&quot;:&quot;&quot;,&quot;non-dropping-particle&quot;:&quot;de&quot;}],&quot;container-title&quot;:&quot;Magnetic Resonance in Chemistry&quot;,&quot;DOI&quot;:&quot;10.1002/mrc.4166&quot;,&quot;ISBN&quot;:&quot;1097-458X&quot;,&quot;URL&quot;:&quot;http://dx.doi.org/10.1002/mrc.4166&quot;,&quot;issued&quot;:{&quot;date-parts&quot;:[[2014]]},&quot;page&quot;:&quot;n/a-n/a&quot;,&quot;container-title-short&quot;:&quot;&quot;},&quot;isTemporary&quot;:false}]},{&quot;citationID&quot;:&quot;MENDELEY_CITATION_74ae452c-9c03-43db-9e65-b0b0012568a5&quot;,&quot;properties&quot;:{&quot;noteIndex&quot;:0},&quot;isEdited&quot;:false,&quot;manualOverride&quot;:{&quot;isManuallyOverridden&quot;:false,&quot;citeprocText&quot;:&quot;[3]&quot;,&quot;manualOverrideText&quot;:&quot;&quot;},&quot;citationTag&quot;:&quot;MENDELEY_CITATION_v3_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&quot;,&quot;citationItems&quot;:[{&quot;id&quot;:&quot;7e6108c2-7186-3994-a5f8-449a851948a9&quot;,&quot;itemData&quot;:{&quot;type&quot;:&quot;article-journal&quot;,&quot;id&quot;:&quot;7e6108c2-7186-3994-a5f8-449a851948a9&quot;,&quot;title&quot;:&quot;Coordinate swapping in standard addition graphs for analytical chemistry: A simplified path for uncertainty calculation in linear and nonlinear plots&quot;,&quot;author&quot;:[{&quot;family&quot;:&quot;Meija&quot;,&quot;given&quot;:&quot;Juris&quot;,&quot;parse-names&quot;:false,&quot;dropping-particle&quot;:&quot;&quot;,&quot;non-dropping-particle&quot;:&quot;&quot;},{&quot;family&quot;:&quot;Pagliano&quot;,&quot;given&quot;:&quot;Enea&quot;,&quot;parse-names&quot;:false,&quot;dropping-particle&quot;:&quot;&quot;,&quot;non-dropping-particle&quot;:&quot;&quot;},{&quot;family&quot;:&quot;Mester&quot;,&quot;given&quot;:&quot;Zoltán&quot;,&quot;parse-names&quot;:false,&quot;dropping-particle&quot;:&quot;&quot;,&quot;non-dropping-particle&quot;:&quot;&quot;}],&quot;container-title&quot;:&quot;Analytical Chemistry&quot;,&quot;container-title-short&quot;:&quot;Anal Chem&quot;,&quot;DOI&quot;:&quot;10.1021/ac5014749&quot;,&quot;ISSN&quot;:&quot;15206882&quot;,&quot;issued&quot;:{&quot;date-parts&quot;:[[2014,9,2]]},&quot;page&quot;:&quot;8563-8567&quot;,&quot;abstract&quot;:&quot;Uncertainty of the result from the method of standard addition is often underestimated due to neglect of the covariance between the intercept and the slope. In order to simplify the data analysis from standard addition experiments, we propose x-y coordinate swapping in conventional linear regression. Unlike the ratio of the intercept and slope, which is the result of the traditional method of standard addition, the result of the inverse standard addition is obtained directly from the intercept of the swapped calibration line. Consequently, the uncertainty evaluation becomes markedly simpler. The method is also applicable to nonlinear curves, such as the quadratic model, without incurring any additional complexity. © Published 2014 by the American Chemical Society.&quot;,&quot;publisher&quot;:&quot;American Chemical Society&quot;,&quot;issue&quot;:&quot;17&quot;,&quot;volume&quot;:&quot;86&quot;},&quot;isTemporary&quot;:false}]},{&quot;citationID&quot;:&quot;MENDELEY_CITATION_93b83c53-cf4a-4814-97b9-395112b44f8c&quot;,&quot;properties&quot;:{&quot;noteIndex&quot;:0},&quot;isEdited&quot;:false,&quot;manualOverride&quot;:{&quot;isManuallyOverridden&quot;:false,&quot;citeprocText&quot;:&quot;[4]&quot;,&quot;manualOverrideText&quot;:&quot;&quot;},&quot;citationTag&quot;:&quot;MENDELEY_CITATION_v3_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&quot;,&quot;citationItems&quot;:[{&quot;id&quot;:&quot;63262232-dd48-3737-9422-03ae75f88c59&quot;,&quot;itemData&quot;:{&quot;type&quot;:&quot;article-journal&quot;,&quot;id&quot;:&quot;63262232-dd48-3737-9422-03ae75f88c59&quot;,&quot;title&quot;:&quot;Quantitative determination and validation of 17 cannabinoids in cannabis and hemp using liquid chromatography-tandem mass spectrometry&quot;,&quot;author&quot;:[{&quot;family&quot;:&quot;McRae&quot;,&quot;given&quot;:&quot;Garnet&quot;,&quot;parse-names&quot;:false,&quot;dropping-particle&quot;:&quot;&quot;,&quot;non-dropping-particle&quot;:&quot;&quot;},{&quot;family&quot;:&quot;Melanson&quot;,&quot;given&quot;:&quot;Jeremy E.&quot;,&quot;parse-names&quot;:false,&quot;dropping-particle&quot;:&quot;&quot;,&quot;non-dropping-particle&quot;:&quot;&quot;}],&quot;container-title&quot;:&quot;Analytical and Bioanalytical Chemistry&quot;,&quot;container-title-short&quot;:&quot;Anal Bioanal Chem&quot;,&quot;DOI&quot;:&quot;10.1007/s00216-020-02862-8&quot;,&quot;ISSN&quot;:&quot;16182650&quot;,&quot;PMID&quot;:&quot;32833075&quot;,&quot;issued&quot;:{&quot;date-parts&quot;:[[2020,11,1]]},&quot;page&quot;:&quot;7381-7393&quot;,&quot;abstract&quot;:&quot;The increase in production of cannabis for medical and recreational purposes in recent years has led to a corresponding increase in laboratories performing cannabinoid analysis of cannabis and hemp. We have developed and validated a quantitative liquid chromatography-tandem mass spectrometry (LC-MS/MS) method that is simple, reliable, specific, and accurate for the analysis of 17 cannabinoids in cannabis and hemp. Liquid-solid sample extraction coupled with dilution into a calibration range from 10 to 10,000 ng/mL and LC-MS/MS analysis provides quantification of samples ranging from 0.002 to 200 mg/g (0.0002 to 20.0%) in matrix. Linearity of calibration curves in methanol was demonstrated with regression r2 ≥ 0.99. Within-batch precision (0.5 to 6.5%) and accuracy (91.4 to 108.0%) and between-batch precision (0.9 to 5.1%) and accuracy (91.5 to 107.5%) were demonstrated for quality control (QC) samples in methanol. Within-batch precision (0.2 to 3.6%) and accuracy (85.4 to 111.6%) and between-batch precision (1.4 to 6.1 %) and accuracy (90.2 to 110.3%) were also evaluated with a candidate cannabis certified reference material (CRM). Repeatability (1.5 to 12.4% RSD) and intermediate precision (2.2 to 12.8% RSD) were demonstrated via analysis of seven cannabis samples with HorRat values ranging from 0.3 to 3.1. The method provides enhanced detection limits coupled with a large quantitative range for 17 cannabinoids in plant material. It is suitable for a wide range of applications including routine analysis for delta-9-tetrahydrocannabinol (Δ9-THC), delta-9-tetrahydrocannabinolic acid (Δ9-THCA), cannabidiol (CBD), cannabidiolic acid (CBDA), and cannabinol (CBN) as well as more advanced interrogation of samples for both major and minor cannabinoids.&quot;,&quot;publisher&quot;:&quot;Springer Science and Business Media Deutschland GmbH&quot;,&quot;issue&quot;:&quot;27&quot;,&quot;volume&quot;:&quot;412&quot;},&quot;isTemporary&quot;:false}]},{&quot;citationID&quot;:&quot;MENDELEY_CITATION_b87d1fc7-da70-448e-a8a5-7123e3ee2d2b&quot;,&quot;properties&quot;:{&quot;noteIndex&quot;:0},&quot;isEdited&quot;:false,&quot;manualOverride&quot;:{&quot;isManuallyOverridden&quot;:false,&quot;citeprocText&quot;:&quot;[3]&quot;,&quot;manualOverrideText&quot;:&quot;&quot;},&quot;citationTag&quot;:&quot;MENDELEY_CITATION_v3_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&quot;,&quot;citationItems&quot;:[{&quot;id&quot;:&quot;7e6108c2-7186-3994-a5f8-449a851948a9&quot;,&quot;itemData&quot;:{&quot;type&quot;:&quot;article-journal&quot;,&quot;id&quot;:&quot;7e6108c2-7186-3994-a5f8-449a851948a9&quot;,&quot;title&quot;:&quot;Coordinate swapping in standard addition graphs for analytical chemistry: A simplified path for uncertainty calculation in linear and nonlinear plots&quot;,&quot;author&quot;:[{&quot;family&quot;:&quot;Meija&quot;,&quot;given&quot;:&quot;Juris&quot;,&quot;parse-names&quot;:false,&quot;dropping-particle&quot;:&quot;&quot;,&quot;non-dropping-particle&quot;:&quot;&quot;},{&quot;family&quot;:&quot;Pagliano&quot;,&quot;given&quot;:&quot;Enea&quot;,&quot;parse-names&quot;:false,&quot;dropping-particle&quot;:&quot;&quot;,&quot;non-dropping-particle&quot;:&quot;&quot;},{&quot;family&quot;:&quot;Mester&quot;,&quot;given&quot;:&quot;Zoltán&quot;,&quot;parse-names&quot;:false,&quot;dropping-particle&quot;:&quot;&quot;,&quot;non-dropping-particle&quot;:&quot;&quot;}],&quot;container-title&quot;:&quot;Analytical Chemistry&quot;,&quot;container-title-short&quot;:&quot;Anal Chem&quot;,&quot;DOI&quot;:&quot;10.1021/ac5014749&quot;,&quot;ISSN&quot;:&quot;15206882&quot;,&quot;issued&quot;:{&quot;date-parts&quot;:[[2014,9,2]]},&quot;page&quot;:&quot;8563-8567&quot;,&quot;abstract&quot;:&quot;Uncertainty of the result from the method of standard addition is often underestimated due to neglect of the covariance between the intercept and the slope. In order to simplify the data analysis from standard addition experiments, we propose x-y coordinate swapping in conventional linear regression. Unlike the ratio of the intercept and slope, which is the result of the traditional method of standard addition, the result of the inverse standard addition is obtained directly from the intercept of the swapped calibration line. Consequently, the uncertainty evaluation becomes markedly simpler. The method is also applicable to nonlinear curves, such as the quadratic model, without incurring any additional complexity. © Published 2014 by the American Chemical Society.&quot;,&quot;publisher&quot;:&quot;American Chemical Society&quot;,&quot;issue&quot;:&quot;17&quot;,&quot;volume&quot;:&quot;86&quot;},&quot;isTemporary&quot;:false}]},{&quot;citationID&quot;:&quot;MENDELEY_CITATION_8c718388-400d-44c4-8275-d0a169a8f3ff&quot;,&quot;properties&quot;:{&quot;noteIndex&quot;:0},&quot;isEdited&quot;:false,&quot;manualOverride&quot;:{&quot;isManuallyOverridden&quot;:false,&quot;citeprocText&quot;:&quot;[3]&quot;,&quot;manualOverrideText&quot;:&quot;&quot;},&quot;citationTag&quot;:&quot;MENDELEY_CITATION_v3_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&quot;,&quot;citationItems&quot;:[{&quot;id&quot;:&quot;7e6108c2-7186-3994-a5f8-449a851948a9&quot;,&quot;itemData&quot;:{&quot;type&quot;:&quot;article-journal&quot;,&quot;id&quot;:&quot;7e6108c2-7186-3994-a5f8-449a851948a9&quot;,&quot;title&quot;:&quot;Coordinate swapping in standard addition graphs for analytical chemistry: A simplified path for uncertainty calculation in linear and nonlinear plots&quot;,&quot;author&quot;:[{&quot;family&quot;:&quot;Meija&quot;,&quot;given&quot;:&quot;Juris&quot;,&quot;parse-names&quot;:false,&quot;dropping-particle&quot;:&quot;&quot;,&quot;non-dropping-particle&quot;:&quot;&quot;},{&quot;family&quot;:&quot;Pagliano&quot;,&quot;given&quot;:&quot;Enea&quot;,&quot;parse-names&quot;:false,&quot;dropping-particle&quot;:&quot;&quot;,&quot;non-dropping-particle&quot;:&quot;&quot;},{&quot;family&quot;:&quot;Mester&quot;,&quot;given&quot;:&quot;Zoltán&quot;,&quot;parse-names&quot;:false,&quot;dropping-particle&quot;:&quot;&quot;,&quot;non-dropping-particle&quot;:&quot;&quot;}],&quot;container-title&quot;:&quot;Analytical Chemistry&quot;,&quot;container-title-short&quot;:&quot;Anal Chem&quot;,&quot;DOI&quot;:&quot;10.1021/ac5014749&quot;,&quot;ISSN&quot;:&quot;15206882&quot;,&quot;issued&quot;:{&quot;date-parts&quot;:[[2014,9,2]]},&quot;page&quot;:&quot;8563-8567&quot;,&quot;abstract&quot;:&quot;Uncertainty of the result from the method of standard addition is often underestimated due to neglect of the covariance between the intercept and the slope. In order to simplify the data analysis from standard addition experiments, we propose x-y coordinate swapping in conventional linear regression. Unlike the ratio of the intercept and slope, which is the result of the traditional method of standard addition, the result of the inverse standard addition is obtained directly from the intercept of the swapped calibration line. Consequently, the uncertainty evaluation becomes markedly simpler. The method is also applicable to nonlinear curves, such as the quadratic model, without incurring any additional complexity. © Published 2014 by the American Chemical Society.&quot;,&quot;publisher&quot;:&quot;American Chemical Society&quot;,&quot;issue&quot;:&quot;17&quot;,&quot;volume&quot;:&quot;86&quot;},&quot;isTemporary&quot;:false}]},{&quot;citationID&quot;:&quot;MENDELEY_CITATION_3a3a4d4c-992c-40d3-8c96-e65ef42e9870&quot;,&quot;properties&quot;:{&quot;noteIndex&quot;:0},&quot;isEdited&quot;:false,&quot;manualOverride&quot;:{&quot;isManuallyOverridden&quot;:false,&quot;citeprocText&quot;:&quot;[5]&quot;,&quot;manualOverrideText&quot;:&quot;&quot;},&quot;citationTag&quot;:&quot;MENDELEY_CITATION_v3_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&quot;,&quot;citationItems&quot;:[{&quot;id&quot;:&quot;2fdb6758-bd8b-3632-81be-05bdfec9c210&quot;,&quot;itemData&quot;:{&quot;type&quot;:&quot;report&quot;,&quot;id&quot;:&quot;2fdb6758-bd8b-3632-81be-05bdfec9c210&quot;,&quot;title&quot;:&quot;GUM - Guia para Expressão de Incerteza de Medição&quot;,&quot;accessed&quot;:{&quot;date-parts&quot;:[[2024,3,6]]},&quot;URL&quot;:&quot;https://www.gov.br/inmetro/pt-br/centrais-de-conteudo/publicacoes/documentos-tecnicos-em-metrologia/gum_final.pdf/view&quot;,&quot;issued&quot;:{&quot;date-parts&quot;:[[2008]]},&quot;container-title-short&quot;:&quot;&quot;},&quot;isTemporary&quot;:false}]},{&quot;citationID&quot;:&quot;MENDELEY_CITATION_450f1abb-df79-49fb-8ba9-75c8e4fc383a&quot;,&quot;properties&quot;:{&quot;noteIndex&quot;:0},&quot;isEdited&quot;:false,&quot;manualOverride&quot;:{&quot;isManuallyOverridden&quot;:false,&quot;citeprocText&quot;:&quot;[6]&quot;,&quot;manualOverrideText&quot;:&quot;&quot;},&quot;citationTag&quot;:&quot;MENDELEY_CITATION_v3_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&quot;,&quot;citationItems&quot;:[{&quot;id&quot;:&quot;1cf75195-8ecc-35b3-860a-2f00592f213a&quot;,&quot;itemData&quot;:{&quot;type&quot;:&quot;legislation&quot;,&quot;id&quot;:&quot;1cf75195-8ecc-35b3-860a-2f00592f213a&quot;,&quot;title&quot;:&quot;DOQ-CGCRE-008 - Orientação sobre Validação de Métodos Analíticos&quot;,&quot;author&quot;:[{&quot;family&quot;:&quot;Inmetro&quot;,&quot;given&quot;:&quot;&quot;,&quot;parse-names&quot;:false,&quot;dropping-particle&quot;:&quot;&quot;,&quot;non-dropping-particle&quot;:&quot;&quot;}],&quot;issued&quot;:{&quot;date-parts&quot;:[[2020]]},&quot;container-title-short&quot;:&quot;&quot;},&quot;isTemporary&quot;:false}]},{&quot;citationID&quot;:&quot;MENDELEY_CITATION_ebf2f551-9393-46f7-98d6-ce50a4183470&quot;,&quot;properties&quot;:{&quot;noteIndex&quot;:0},&quot;isEdited&quot;:false,&quot;manualOverride&quot;:{&quot;isManuallyOverridden&quot;:false,&quot;citeprocText&quot;:&quot;[4]&quot;,&quot;manualOverrideText&quot;:&quot;&quot;},&quot;citationTag&quot;:&quot;MENDELEY_CITATION_v3_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&quot;,&quot;citationItems&quot;:[{&quot;id&quot;:&quot;63262232-dd48-3737-9422-03ae75f88c59&quot;,&quot;itemData&quot;:{&quot;type&quot;:&quot;article-journal&quot;,&quot;id&quot;:&quot;63262232-dd48-3737-9422-03ae75f88c59&quot;,&quot;title&quot;:&quot;Quantitative determination and validation of 17 cannabinoids in cannabis and hemp using liquid chromatography-tandem mass spectrometry&quot;,&quot;author&quot;:[{&quot;family&quot;:&quot;McRae&quot;,&quot;given&quot;:&quot;Garnet&quot;,&quot;parse-names&quot;:false,&quot;dropping-particle&quot;:&quot;&quot;,&quot;non-dropping-particle&quot;:&quot;&quot;},{&quot;family&quot;:&quot;Melanson&quot;,&quot;given&quot;:&quot;Jeremy E.&quot;,&quot;parse-names&quot;:false,&quot;dropping-particle&quot;:&quot;&quot;,&quot;non-dropping-particle&quot;:&quot;&quot;}],&quot;container-title&quot;:&quot;Analytical and Bioanalytical Chemistry&quot;,&quot;container-title-short&quot;:&quot;Anal Bioanal Chem&quot;,&quot;DOI&quot;:&quot;10.1007/s00216-020-02862-8&quot;,&quot;ISSN&quot;:&quot;16182650&quot;,&quot;PMID&quot;:&quot;32833075&quot;,&quot;issued&quot;:{&quot;date-parts&quot;:[[2020,11,1]]},&quot;page&quot;:&quot;7381-7393&quot;,&quot;abstract&quot;:&quot;The increase in production of cannabis for medical and recreational purposes in recent years has led to a corresponding increase in laboratories performing cannabinoid analysis of cannabis and hemp. We have developed and validated a quantitative liquid chromatography-tandem mass spectrometry (LC-MS/MS) method that is simple, reliable, specific, and accurate for the analysis of 17 cannabinoids in cannabis and hemp. Liquid-solid sample extraction coupled with dilution into a calibration range from 10 to 10,000 ng/mL and LC-MS/MS analysis provides quantification of samples ranging from 0.002 to 200 mg/g (0.0002 to 20.0%) in matrix. Linearity of calibration curves in methanol was demonstrated with regression r2 ≥ 0.99. Within-batch precision (0.5 to 6.5%) and accuracy (91.4 to 108.0%) and between-batch precision (0.9 to 5.1%) and accuracy (91.5 to 107.5%) were demonstrated for quality control (QC) samples in methanol. Within-batch precision (0.2 to 3.6%) and accuracy (85.4 to 111.6%) and between-batch precision (1.4 to 6.1 %) and accuracy (90.2 to 110.3%) were also evaluated with a candidate cannabis certified reference material (CRM). Repeatability (1.5 to 12.4% RSD) and intermediate precision (2.2 to 12.8% RSD) were demonstrated via analysis of seven cannabis samples with HorRat values ranging from 0.3 to 3.1. The method provides enhanced detection limits coupled with a large quantitative range for 17 cannabinoids in plant material. It is suitable for a wide range of applications including routine analysis for delta-9-tetrahydrocannabinol (Δ9-THC), delta-9-tetrahydrocannabinolic acid (Δ9-THCA), cannabidiol (CBD), cannabidiolic acid (CBDA), and cannabinol (CBN) as well as more advanced interrogation of samples for both major and minor cannabinoids.&quot;,&quot;publisher&quot;:&quot;Springer Science and Business Media Deutschland GmbH&quot;,&quot;issue&quot;:&quot;27&quot;,&quot;volume&quot;:&quot;412&quot;},&quot;isTemporary&quot;:false}]},{&quot;citationID&quot;:&quot;MENDELEY_CITATION_ec56f2fa-3292-4996-b5be-70a33aff43c3&quot;,&quot;properties&quot;:{&quot;noteIndex&quot;:0},&quot;isEdited&quot;:false,&quot;manualOverride&quot;:{&quot;isManuallyOverridden&quot;:false,&quot;citeprocText&quot;:&quot;[7]&quot;,&quot;manualOverrideText&quot;:&quot;&quot;},&quot;citationTag&quot;:&quot;MENDELEY_CITATION_v3_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&quot;,&quot;citationItems&quot;:[{&quot;id&quot;:&quot;53719295-08e5-3125-8412-9fc667c4233b&quot;,&quot;itemData&quot;:{&quot;type&quot;:&quot;article-journal&quot;,&quot;id&quot;:&quot;53719295-08e5-3125-8412-9fc667c4233b&quot;,&quot;title&quot;:&quot;Analysis of impurities of cannabidiol from hemp. Isolation, characterization and synthesis of cannabidibutol, the novel cannabidiol butyl analog&quot;,&quot;author&quot;:[{&quot;family&quot;:&quot;Citti&quot;,&quot;given&quot;:&quot;Cinzia&quot;,&quot;parse-names&quot;:false,&quot;dropping-particle&quot;:&quot;&quot;,&quot;non-dropping-particle&quot;:&quot;&quot;},{&quot;family&quot;:&quot;Linciano&quot;,&quot;given&quot;:&quot;Pasquale&quot;,&quot;parse-names&quot;:false,&quot;dropping-particle&quot;:&quot;&quot;,&quot;non-dropping-particle&quot;:&quot;&quot;},{&quot;family&quot;:&quot;Forni&quot;,&quot;given&quot;:&quot;Flavio&quot;,&quot;parse-names&quot;:false,&quot;dropping-particle&quot;:&quot;&quot;,&quot;non-dropping-particle&quot;:&quot;&quot;},{&quot;family&quot;:&quot;Vandelli&quot;,&quot;given&quot;:&quot;Maria Angela&quot;,&quot;parse-names&quot;:false,&quot;dropping-particle&quot;:&quot;&quot;,&quot;non-dropping-particle&quot;:&quot;&quot;},{&quot;family&quot;:&quot;Gigli&quot;,&quot;given&quot;:&quot;Giuseppe&quot;,&quot;parse-names&quot;:false,&quot;dropping-particle&quot;:&quot;&quot;,&quot;non-dropping-particle&quot;:&quot;&quot;},{&quot;family&quot;:&quot;Laganà&quot;,&quot;given&quot;:&quot;Aldo&quot;,&quot;parse-names&quot;:false,&quot;dropping-particle&quot;:&quot;&quot;,&quot;non-dropping-particle&quot;:&quot;&quot;},{&quot;family&quot;:&quot;Cannazza&quot;,&quot;given&quot;:&quot;Giuseppe&quot;,&quot;parse-names&quot;:false,&quot;dropping-particle&quot;:&quot;&quot;,&quot;non-dropping-particle&quot;:&quot;&quot;}],&quot;container-title&quot;:&quot;Journal of Pharmaceutical and Biomedical Analysis&quot;,&quot;container-title-short&quot;:&quot;J Pharm Biomed Anal&quot;,&quot;DOI&quot;:&quot;https://doi.org/10.1016/j.jpba.2019.06.049&quot;,&quot;ISSN&quot;:&quot;0731-7085&quot;,&quot;URL&quot;:&quot;https://www.sciencedirect.com/science/article/pii/S0731708519310131&quot;,&quot;issued&quot;:{&quot;date-parts&quot;:[[2019]]},&quot;page&quot;:&quot;112752&quot;,&quot;abstract&quot;:&quot;Cannabidiol (CBD), one of the two major active principles present in Cannabis sativa, is gaining great interest among the scientific community for its pharmaceutical, nutraceutical and cosmetic applications. CBD can be prepared either by chemical synthesis or extraction from Cannabis sativa (hemp). The latter is more convenient from several points of view, including environmental and economic, but mainly for the absence of harmful organic solvents generally employed in the chemical synthesis. Although CBD produced by hemp extraction is the most widely employed, it carries two major impurities. The first one is the already known cannabidivarin (CBDV), whereas the second one is supposed to be the butyl analog of CBD with a four-term alkyl side chain. In this work, we report the isolation by semi-preparative liquid chromatography and the unambiguous identification of this second impurity. A comprehensive spectroscopic characterization, including NMR, UV, IR, circular dichroism and high-resolution mass spectrometry (HRMS), was carried out on this natural cannabinoid. In order to confirm its absolute configuration and chemical structure, the stereoisomer (1R,6R) of the supposed cannabinoid was synthesized and the physicochemical and spectroscopic properties, along with the stereochemistry, matched those of the natural isolated molecule. According to the International Nonproprietary Name, we suggested the name of cannabidibutol (CBDB) for this cannabinoid. Lastly, an HPLC-UV method was developed and validated for the qualitative and quantitative determination of CBDV and CBDB in samples of CBD extracted from hemp and produced according to Good Manufacturing Practices regulations for pharmaceutical and cosmetic use.&quot;,&quot;volume&quot;:&quot;175&quot;},&quot;isTemporary&quot;:false}]},{&quot;citationID&quot;:&quot;MENDELEY_CITATION_b5e48013-6823-4c8d-a591-ba4795170f0f&quot;,&quot;properties&quot;:{&quot;noteIndex&quot;:0},&quot;isEdited&quot;:false,&quot;manualOverride&quot;:{&quot;isManuallyOverridden&quot;:false,&quot;citeprocText&quot;:&quot;[8]&quot;,&quot;manualOverrideText&quot;:&quot;&quot;},&quot;citationTag&quot;:&quot;MENDELEY_CITATION_v3_eyJjaXRhdGlvbklEIjoiTUVOREVMRVlfQ0lUQVRJT05fYjVlNDgwMTMtNjgyMy00YzhkLWE1OTEtYmE0Nzk1MTcwZjBm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quot;,&quot;citationItems&quot;:[{&quot;id&quot;:&quot;41c4ca25-9edc-32d0-9861-b56151cf78c9&quot;,&quot;itemData&quot;:{&quot;type&quot;:&quot;article&quot;,&quot;id&quot;:&quot;41c4ca25-9edc-32d0-9861-b56151cf78c9&quot;,&quot;title&quot;:&quot;Reference materials - General and statistical principles for certification&quot;,&quot;author&quot;:[{&quot;family&quot;:&quot;ABNT ISO GUIA 35&quot;,&quot;given&quot;:&quot;&quot;,&quot;parse-names&quot;:false,&quot;dropping-particle&quot;:&quot;&quot;,&quot;non-dropping-particle&quot;:&quot;&quot;}],&quot;issued&quot;:{&quot;date-parts&quot;:[[2012]]},&quot;container-title-short&quot;:&quot;&quot;},&quot;isTemporary&quot;:false}]},{&quot;citationID&quot;:&quot;MENDELEY_CITATION_16711796-446d-4997-95e8-62e9f2afb013&quot;,&quot;properties&quot;:{&quot;noteIndex&quot;:0},&quot;isEdited&quot;:false,&quot;manualOverride&quot;:{&quot;isManuallyOverridden&quot;:false,&quot;citeprocText&quot;:&quot;[8]&quot;,&quot;manualOverrideText&quot;:&quot;&quot;},&quot;citationTag&quot;:&quot;MENDELEY_CITATION_v3_eyJjaXRhdGlvbklEIjoiTUVOREVMRVlfQ0lUQVRJT05fMTY3MTE3OTYtNDQ2ZC00OTk3LTk1ZTgtNjJlOWYyYWZiMDEz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quot;,&quot;citationItems&quot;:[{&quot;id&quot;:&quot;41c4ca25-9edc-32d0-9861-b56151cf78c9&quot;,&quot;itemData&quot;:{&quot;type&quot;:&quot;article&quot;,&quot;id&quot;:&quot;41c4ca25-9edc-32d0-9861-b56151cf78c9&quot;,&quot;title&quot;:&quot;Reference materials - General and statistical principles for certification&quot;,&quot;author&quot;:[{&quot;family&quot;:&quot;ABNT ISO GUIA 35&quot;,&quot;given&quot;:&quot;&quot;,&quot;parse-names&quot;:false,&quot;dropping-particle&quot;:&quot;&quot;,&quot;non-dropping-particle&quot;:&quot;&quot;}],&quot;issued&quot;:{&quot;date-parts&quot;:[[2012]]},&quot;container-title-short&quot;:&quot;&quot;},&quot;isTemporary&quot;:false}]},{&quot;citationID&quot;:&quot;MENDELEY_CITATION_b324eaa0-f02f-4b92-80b9-ef52931422dc&quot;,&quot;properties&quot;:{&quot;noteIndex&quot;:0},&quot;isEdited&quot;:false,&quot;manualOverride&quot;:{&quot;isManuallyOverridden&quot;:false,&quot;citeprocText&quot;:&quot;[8]&quot;,&quot;manualOverrideText&quot;:&quot;&quot;},&quot;citationTag&quot;:&quot;MENDELEY_CITATION_v3_eyJjaXRhdGlvbklEIjoiTUVOREVMRVlfQ0lUQVRJT05fYjMyNGVhYTAtZjAyZi00YjkyLTgwYjktZWY1MjkzMTQyMmRj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quot;,&quot;citationItems&quot;:[{&quot;id&quot;:&quot;41c4ca25-9edc-32d0-9861-b56151cf78c9&quot;,&quot;itemData&quot;:{&quot;type&quot;:&quot;article&quot;,&quot;id&quot;:&quot;41c4ca25-9edc-32d0-9861-b56151cf78c9&quot;,&quot;title&quot;:&quot;Reference materials - General and statistical principles for certification&quot;,&quot;author&quot;:[{&quot;family&quot;:&quot;ABNT ISO GUIA 35&quot;,&quot;given&quot;:&quot;&quot;,&quot;parse-names&quot;:false,&quot;dropping-particle&quot;:&quot;&quot;,&quot;non-dropping-particle&quot;:&quot;&quot;}],&quot;issued&quot;:{&quot;date-parts&quot;:[[2012]]},&quot;container-title-short&quot;:&quot;&quot;},&quot;isTemporary&quot;:false}]},{&quot;citationID&quot;:&quot;MENDELEY_CITATION_ed128c11-731a-49e9-89eb-2af8fa03f7a3&quot;,&quot;properties&quot;:{&quot;noteIndex&quot;:0},&quot;isEdited&quot;:false,&quot;manualOverride&quot;:{&quot;isManuallyOverridden&quot;:false,&quot;citeprocText&quot;:&quot;[8]&quot;,&quot;manualOverrideText&quot;:&quot;&quot;},&quot;citationTag&quot;:&quot;MENDELEY_CITATION_v3_eyJjaXRhdGlvbklEIjoiTUVOREVMRVlfQ0lUQVRJT05fZWQxMjhjMTEtNzMxYS00OWU5LTg5ZWItMmFmOGZhMDNmN2Ez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quot;,&quot;citationItems&quot;:[{&quot;id&quot;:&quot;41c4ca25-9edc-32d0-9861-b56151cf78c9&quot;,&quot;itemData&quot;:{&quot;type&quot;:&quot;article&quot;,&quot;id&quot;:&quot;41c4ca25-9edc-32d0-9861-b56151cf78c9&quot;,&quot;title&quot;:&quot;Reference materials - General and statistical principles for certification&quot;,&quot;author&quot;:[{&quot;family&quot;:&quot;ABNT ISO GUIA 35&quot;,&quot;given&quot;:&quot;&quot;,&quot;parse-names&quot;:false,&quot;dropping-particle&quot;:&quot;&quot;,&quot;non-dropping-particle&quot;:&quot;&quot;}],&quot;issued&quot;:{&quot;date-parts&quot;:[[2012]]},&quot;container-title-short&quot;:&quot;&quot;},&quot;isTemporary&quot;:false}]},{&quot;citationID&quot;:&quot;MENDELEY_CITATION_6f58c605-efe1-4e0e-8a46-7ae4b46e4a34&quot;,&quot;properties&quot;:{&quot;noteIndex&quot;:0},&quot;isEdited&quot;:false,&quot;manualOverride&quot;:{&quot;isManuallyOverridden&quot;:false,&quot;citeprocText&quot;:&quot;[8]&quot;,&quot;manualOverrideText&quot;:&quot;&quot;},&quot;citationTag&quot;:&quot;MENDELEY_CITATION_v3_eyJjaXRhdGlvbklEIjoiTUVOREVMRVlfQ0lUQVRJT05fNmY1OGM2MDUtZWZlMS00ZTBlLThhNDYtN2FlNGI0NmU0YTM0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quot;,&quot;citationItems&quot;:[{&quot;id&quot;:&quot;41c4ca25-9edc-32d0-9861-b56151cf78c9&quot;,&quot;itemData&quot;:{&quot;type&quot;:&quot;article&quot;,&quot;id&quot;:&quot;41c4ca25-9edc-32d0-9861-b56151cf78c9&quot;,&quot;title&quot;:&quot;Reference materials - General and statistical principles for certification&quot;,&quot;author&quot;:[{&quot;family&quot;:&quot;ABNT ISO GUIA 35&quot;,&quot;given&quot;:&quot;&quot;,&quot;parse-names&quot;:false,&quot;dropping-particle&quot;:&quot;&quot;,&quot;non-dropping-particle&quot;:&quot;&quot;}],&quot;issued&quot;:{&quot;date-parts&quot;:[[2012]]},&quot;container-title-short&quot;:&quot;&quot;},&quot;isTemporary&quot;:false}]},{&quot;citationID&quot;:&quot;MENDELEY_CITATION_d746b343-d768-444b-a684-d8f1ac4fd65c&quot;,&quot;properties&quot;:{&quot;noteIndex&quot;:0},&quot;isEdited&quot;:false,&quot;manualOverride&quot;:{&quot;isManuallyOverridden&quot;:false,&quot;citeprocText&quot;:&quot;[8]&quot;,&quot;manualOverrideText&quot;:&quot;&quot;},&quot;citationTag&quot;:&quot;MENDELEY_CITATION_v3_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&quot;,&quot;citationItems&quot;:[{&quot;id&quot;:&quot;41c4ca25-9edc-32d0-9861-b56151cf78c9&quot;,&quot;itemData&quot;:{&quot;type&quot;:&quot;article&quot;,&quot;id&quot;:&quot;41c4ca25-9edc-32d0-9861-b56151cf78c9&quot;,&quot;title&quot;:&quot;Reference materials - General and statistical principles for certification&quot;,&quot;author&quot;:[{&quot;family&quot;:&quot;ABNT ISO GUIA 35&quot;,&quot;given&quot;:&quot;&quot;,&quot;parse-names&quot;:false,&quot;dropping-particle&quot;:&quot;&quot;,&quot;non-dropping-particle&quot;:&quot;&quot;}],&quot;issued&quot;:{&quot;date-parts&quot;:[[2012]]},&quot;container-title-short&quot;:&quot;&quot;},&quot;isTemporary&quot;:false}]},{&quot;citationID&quot;:&quot;MENDELEY_CITATION_df353fe0-0487-4071-a2c0-227468f1597c&quot;,&quot;properties&quot;:{&quot;noteIndex&quot;:0},&quot;isEdited&quot;:false,&quot;manualOverride&quot;:{&quot;isManuallyOverridden&quot;:false,&quot;citeprocText&quot;:&quot;[9]&quot;,&quot;manualOverrideText&quot;:&quot;&quot;},&quot;citationTag&quot;:&quot;MENDELEY_CITATION_v3_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&quot;,&quot;citationItems&quot;:[{&quot;id&quot;:&quot;e59a3cf5-b32a-37b8-a056-d0aefcf2a0c8&quot;,&quot;itemData&quot;:{&quot;type&quot;:&quot;article-journal&quot;,&quot;id&quot;:&quot;e59a3cf5-b32a-37b8-a056-d0aefcf2a0c8&quot;,&quot;title&quot;:&quot;Iodine, a Mild Reagent for the Aromatization of Terpenoids&quot;,&quot;author&quot;:[{&quot;family&quot;:&quot;Domingo&quot;,&quot;given&quot;:&quot;Victoriano&quot;,&quot;parse-names&quot;:false,&quot;dropping-particle&quot;:&quot;&quot;,&quot;non-dropping-particle&quot;:&quot;&quot;},{&quot;family&quot;:&quot;Prieto&quot;,&quot;given&quot;:&quot;Consuelo&quot;,&quot;parse-names&quot;:false,&quot;dropping-particle&quot;:&quot;&quot;,&quot;non-dropping-particle&quot;:&quot;&quot;},{&quot;family&quot;:&quot;Silva&quot;,&quot;given&quot;:&quot;Lucia&quot;,&quot;parse-names&quot;:false,&quot;dropping-particle&quot;:&quot;&quot;,&quot;non-dropping-particle&quot;:&quot;&quot;},{&quot;family&quot;:&quot;Rodilla&quot;,&quot;given&quot;:&quot;Jesús M L&quot;,&quot;parse-names&quot;:false,&quot;dropping-particle&quot;:&quot;&quot;,&quot;non-dropping-particle&quot;:&quot;&quot;},{&quot;family&quot;:&quot;Quílez del Moral&quot;,&quot;given&quot;:&quot;José F&quot;,&quot;parse-names&quot;:false,&quot;dropping-particle&quot;:&quot;&quot;,&quot;non-dropping-particle&quot;:&quot;&quot;},{&quot;family&quot;:&quot;Barrero&quot;,&quot;given&quot;:&quot;Alejandro F&quot;,&quot;parse-names&quot;:false,&quot;dropping-particle&quot;:&quot;&quot;,&quot;non-dropping-particle&quot;:&quot;&quot;}],&quot;container-title&quot;:&quot;Journal of Natural Products&quot;,&quot;container-title-short&quot;:&quot;J Nat Prod&quot;,&quot;DOI&quot;:&quot;10.1021/acs.jnatprod.5b00914&quot;,&quot;ISSN&quot;:&quot;0163-3864&quot;,&quot;URL&quot;:&quot;https://doi.org/10.1021/acs.jnatprod.5b00914&quot;,&quot;issued&quot;:{&quot;date-parts&quot;:[[2016,4,22]]},&quot;page&quot;:&quot;831-837&quot;,&quot;publisher&quot;:&quot;American Chemical Society&quot;,&quot;issue&quot;:&quot;4&quot;,&quot;volume&quot;:&quot;79&quot;},&quot;isTemporary&quot;:false}]}]"/>
    <we:property name="MENDELEY_CITATIONS_LOCALE_CODE" value="&quot;en-US&quot;"/>
    <we:property name="MENDELEY_CITATIONS_STYLE" value="{&quot;id&quot;:&quot;https://www.zotero.org/styles/analytical-and-bioanalytical-chemistry&quot;,&quot;title&quot;:&quot;Analytical and Bioanalytical Chemistr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DFEEC-11BF-4F65-8EB2-1E0D3A50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5069</Words>
  <Characters>31938</Characters>
  <Application>Microsoft Office Word</Application>
  <DocSecurity>0</DocSecurity>
  <Lines>266</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 Frota</dc:creator>
  <cp:keywords/>
  <dc:description/>
  <cp:lastModifiedBy>elkes</cp:lastModifiedBy>
  <cp:revision>5</cp:revision>
  <dcterms:created xsi:type="dcterms:W3CDTF">2026-01-08T09:43:00Z</dcterms:created>
  <dcterms:modified xsi:type="dcterms:W3CDTF">2026-01-08T09:44:00Z</dcterms:modified>
</cp:coreProperties>
</file>