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9E5626" w14:textId="19674BE5" w:rsidR="00243636" w:rsidRPr="00893D31" w:rsidRDefault="00243636" w:rsidP="00243636">
      <w:pPr>
        <w:pStyle w:val="NoSpacing"/>
        <w:rPr>
          <w:b/>
        </w:rPr>
      </w:pPr>
      <w:r w:rsidRPr="00893D31">
        <w:rPr>
          <w:b/>
        </w:rPr>
        <w:t xml:space="preserve">Supplementary Table 1.1. </w:t>
      </w:r>
      <w:r w:rsidR="00556F5E" w:rsidRPr="00893D31">
        <w:rPr>
          <w:b/>
        </w:rPr>
        <w:t>PubMed</w:t>
      </w:r>
      <w:r w:rsidRPr="00893D31">
        <w:rPr>
          <w:b/>
        </w:rPr>
        <w:t xml:space="preserve"> Search Strategy Conducted on October 22, 2022</w:t>
      </w:r>
    </w:p>
    <w:p w14:paraId="0E00C1E2" w14:textId="77777777" w:rsidR="00243636" w:rsidRPr="00893D31" w:rsidRDefault="00243636" w:rsidP="00243636">
      <w:pPr>
        <w:pStyle w:val="NoSpacing"/>
        <w:rPr>
          <w:b/>
        </w:rPr>
      </w:pPr>
    </w:p>
    <w:tbl>
      <w:tblPr>
        <w:tblW w:w="88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60"/>
        <w:gridCol w:w="6075"/>
        <w:gridCol w:w="1560"/>
      </w:tblGrid>
      <w:tr w:rsidR="00243636" w:rsidRPr="00893D31" w14:paraId="283E79D5" w14:textId="77777777" w:rsidTr="00F929FA">
        <w:trPr>
          <w:trHeight w:val="485"/>
        </w:trPr>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5BB436" w14:textId="77777777" w:rsidR="00243636" w:rsidRPr="00893D31" w:rsidRDefault="00243636">
            <w:pPr>
              <w:pStyle w:val="NoSpacing"/>
              <w:spacing w:line="256" w:lineRule="auto"/>
            </w:pPr>
            <w:r w:rsidRPr="00893D31">
              <w:t>Search #</w:t>
            </w:r>
          </w:p>
        </w:tc>
        <w:tc>
          <w:tcPr>
            <w:tcW w:w="607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5C1D7599" w14:textId="77777777" w:rsidR="00243636" w:rsidRPr="00893D31" w:rsidRDefault="00243636">
            <w:pPr>
              <w:pStyle w:val="NoSpacing"/>
              <w:spacing w:line="256" w:lineRule="auto"/>
            </w:pPr>
            <w:r w:rsidRPr="00893D31">
              <w:t>Query</w:t>
            </w:r>
          </w:p>
        </w:tc>
        <w:tc>
          <w:tcPr>
            <w:tcW w:w="1560"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713563B1" w14:textId="77777777" w:rsidR="00243636" w:rsidRPr="00893D31" w:rsidRDefault="00243636">
            <w:pPr>
              <w:pStyle w:val="NoSpacing"/>
              <w:spacing w:line="256" w:lineRule="auto"/>
            </w:pPr>
            <w:r w:rsidRPr="00893D31">
              <w:t>Items found</w:t>
            </w:r>
          </w:p>
        </w:tc>
      </w:tr>
      <w:tr w:rsidR="00243636" w:rsidRPr="00893D31" w14:paraId="6A4CD314" w14:textId="77777777" w:rsidTr="00F929FA">
        <w:trPr>
          <w:trHeight w:val="155"/>
        </w:trPr>
        <w:tc>
          <w:tcPr>
            <w:tcW w:w="1260"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D4B605" w14:textId="77777777" w:rsidR="00243636" w:rsidRPr="00893D31" w:rsidRDefault="00243636">
            <w:pPr>
              <w:pStyle w:val="NoSpacing"/>
              <w:spacing w:line="256" w:lineRule="auto"/>
            </w:pPr>
            <w:r w:rsidRPr="00893D31">
              <w:t>1</w:t>
            </w:r>
          </w:p>
        </w:tc>
        <w:tc>
          <w:tcPr>
            <w:tcW w:w="607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1E57CF43" w14:textId="77777777" w:rsidR="00243636" w:rsidRPr="00893D31" w:rsidRDefault="00243636">
            <w:pPr>
              <w:pStyle w:val="NoSpacing"/>
              <w:spacing w:line="256" w:lineRule="auto"/>
            </w:pPr>
            <w:r w:rsidRPr="00893D31">
              <w:t>(“Marijuana Smoking"[Mesh] )  OR ( "Marijuana Abuse"[Mesh]) OR “cannabis users” OR "cannabis smokers" OR "marijuana users" OR "marijuana smokers" OR “smoking blunt*” OR “cannabis joint*”</w:t>
            </w:r>
          </w:p>
        </w:tc>
        <w:tc>
          <w:tcPr>
            <w:tcW w:w="1560"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29B6F11E" w14:textId="77777777" w:rsidR="00243636" w:rsidRPr="00893D31" w:rsidRDefault="00243636">
            <w:pPr>
              <w:pStyle w:val="NoSpacing"/>
              <w:spacing w:line="256" w:lineRule="auto"/>
            </w:pPr>
            <w:r w:rsidRPr="00893D31">
              <w:t>13,053</w:t>
            </w:r>
          </w:p>
        </w:tc>
      </w:tr>
      <w:tr w:rsidR="00243636" w:rsidRPr="00893D31" w14:paraId="35396E1F" w14:textId="77777777" w:rsidTr="00F929FA">
        <w:trPr>
          <w:trHeight w:val="18"/>
        </w:trPr>
        <w:tc>
          <w:tcPr>
            <w:tcW w:w="1260"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4A9589" w14:textId="77777777" w:rsidR="00243636" w:rsidRPr="00893D31" w:rsidRDefault="00243636">
            <w:pPr>
              <w:pStyle w:val="NoSpacing"/>
              <w:spacing w:line="256" w:lineRule="auto"/>
            </w:pPr>
            <w:r w:rsidRPr="00893D31">
              <w:t>2</w:t>
            </w:r>
          </w:p>
        </w:tc>
        <w:tc>
          <w:tcPr>
            <w:tcW w:w="607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6857787E" w14:textId="77777777" w:rsidR="00243636" w:rsidRPr="00893D31" w:rsidRDefault="00243636">
            <w:pPr>
              <w:pStyle w:val="NoSpacing"/>
              <w:spacing w:line="256" w:lineRule="auto"/>
            </w:pPr>
            <w:r w:rsidRPr="00893D31">
              <w:t>“cannabis”[Mesh] OR (cannabis OR marijuana OR marihuana)</w:t>
            </w:r>
          </w:p>
        </w:tc>
        <w:tc>
          <w:tcPr>
            <w:tcW w:w="1560"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7EB65DCD" w14:textId="77777777" w:rsidR="00243636" w:rsidRPr="00893D31" w:rsidRDefault="00243636">
            <w:pPr>
              <w:pStyle w:val="NoSpacing"/>
              <w:spacing w:line="256" w:lineRule="auto"/>
            </w:pPr>
            <w:r w:rsidRPr="00893D31">
              <w:t>42,121</w:t>
            </w:r>
          </w:p>
        </w:tc>
      </w:tr>
      <w:tr w:rsidR="00243636" w:rsidRPr="00893D31" w14:paraId="403694C7" w14:textId="77777777" w:rsidTr="00F929FA">
        <w:trPr>
          <w:trHeight w:val="623"/>
        </w:trPr>
        <w:tc>
          <w:tcPr>
            <w:tcW w:w="1260"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425D6C" w14:textId="77777777" w:rsidR="00243636" w:rsidRPr="00893D31" w:rsidRDefault="00243636">
            <w:pPr>
              <w:pStyle w:val="NoSpacing"/>
              <w:spacing w:line="256" w:lineRule="auto"/>
            </w:pPr>
            <w:r w:rsidRPr="00893D31">
              <w:t>3</w:t>
            </w:r>
          </w:p>
        </w:tc>
        <w:tc>
          <w:tcPr>
            <w:tcW w:w="607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4806E0FC" w14:textId="77777777" w:rsidR="00243636" w:rsidRPr="00893D31" w:rsidRDefault="00243636">
            <w:pPr>
              <w:pStyle w:val="NoSpacing"/>
              <w:spacing w:line="256" w:lineRule="auto"/>
            </w:pPr>
            <w:r w:rsidRPr="00893D31">
              <w:t>“</w:t>
            </w:r>
            <w:proofErr w:type="spellStart"/>
            <w:r w:rsidRPr="00893D31">
              <w:t>Self administration</w:t>
            </w:r>
            <w:proofErr w:type="spellEnd"/>
            <w:r w:rsidRPr="00893D31">
              <w:t>" OR “</w:t>
            </w:r>
            <w:proofErr w:type="spellStart"/>
            <w:r w:rsidRPr="00893D31">
              <w:t>self use</w:t>
            </w:r>
            <w:proofErr w:type="spellEnd"/>
            <w:r w:rsidRPr="00893D31">
              <w:t>” OR "ad libitum"[</w:t>
            </w:r>
            <w:proofErr w:type="spellStart"/>
            <w:r w:rsidRPr="00893D31">
              <w:t>tiab</w:t>
            </w:r>
            <w:proofErr w:type="spellEnd"/>
            <w:r w:rsidRPr="00893D31">
              <w:t>] OR "ad lib"[</w:t>
            </w:r>
            <w:proofErr w:type="spellStart"/>
            <w:r w:rsidRPr="00893D31">
              <w:t>tiab</w:t>
            </w:r>
            <w:proofErr w:type="spellEnd"/>
            <w:r w:rsidRPr="00893D31">
              <w:t>] OR freely[</w:t>
            </w:r>
            <w:proofErr w:type="spellStart"/>
            <w:r w:rsidRPr="00893D31">
              <w:t>tiab</w:t>
            </w:r>
            <w:proofErr w:type="spellEnd"/>
            <w:r w:rsidRPr="00893D31">
              <w:t>] OR natural*[</w:t>
            </w:r>
            <w:proofErr w:type="spellStart"/>
            <w:r w:rsidRPr="00893D31">
              <w:t>tiab</w:t>
            </w:r>
            <w:proofErr w:type="spellEnd"/>
            <w:r w:rsidRPr="00893D31">
              <w:t>] OR “free access”[</w:t>
            </w:r>
            <w:proofErr w:type="spellStart"/>
            <w:r w:rsidRPr="00893D31">
              <w:t>tiab</w:t>
            </w:r>
            <w:proofErr w:type="spellEnd"/>
            <w:r w:rsidRPr="00893D31">
              <w:t>] OR  "self-</w:t>
            </w:r>
            <w:proofErr w:type="spellStart"/>
            <w:r w:rsidRPr="00893D31">
              <w:t>administ</w:t>
            </w:r>
            <w:proofErr w:type="spellEnd"/>
            <w:r w:rsidRPr="00893D31">
              <w:t>*"[</w:t>
            </w:r>
            <w:proofErr w:type="spellStart"/>
            <w:r w:rsidRPr="00893D31">
              <w:t>tiab</w:t>
            </w:r>
            <w:proofErr w:type="spellEnd"/>
            <w:r w:rsidRPr="00893D31">
              <w:t>]</w:t>
            </w:r>
          </w:p>
        </w:tc>
        <w:tc>
          <w:tcPr>
            <w:tcW w:w="1560"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4AF1FAFD" w14:textId="77777777" w:rsidR="00243636" w:rsidRPr="00893D31" w:rsidRDefault="00243636">
            <w:pPr>
              <w:pStyle w:val="NoSpacing"/>
              <w:spacing w:line="256" w:lineRule="auto"/>
            </w:pPr>
            <w:r w:rsidRPr="00893D31">
              <w:t>923,082</w:t>
            </w:r>
          </w:p>
        </w:tc>
      </w:tr>
      <w:tr w:rsidR="00243636" w:rsidRPr="00893D31" w14:paraId="44F9E0BA" w14:textId="77777777" w:rsidTr="00F929FA">
        <w:trPr>
          <w:trHeight w:val="18"/>
        </w:trPr>
        <w:tc>
          <w:tcPr>
            <w:tcW w:w="1260" w:type="dxa"/>
            <w:tcBorders>
              <w:top w:val="single" w:sz="6"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08F65A1B" w14:textId="77777777" w:rsidR="00243636" w:rsidRPr="00213DFB" w:rsidRDefault="00243636">
            <w:pPr>
              <w:pStyle w:val="NoSpacing"/>
              <w:spacing w:line="256" w:lineRule="auto"/>
              <w:rPr>
                <w:b/>
              </w:rPr>
            </w:pPr>
            <w:r w:rsidRPr="00213DFB">
              <w:rPr>
                <w:b/>
              </w:rPr>
              <w:t>4</w:t>
            </w:r>
          </w:p>
        </w:tc>
        <w:tc>
          <w:tcPr>
            <w:tcW w:w="6075" w:type="dxa"/>
            <w:tcBorders>
              <w:top w:val="single" w:sz="6" w:space="0" w:color="000000"/>
              <w:left w:val="single" w:sz="6" w:space="0" w:color="000000"/>
              <w:bottom w:val="single" w:sz="6" w:space="0" w:color="000000"/>
              <w:right w:val="single" w:sz="8" w:space="0" w:color="000000"/>
            </w:tcBorders>
            <w:tcMar>
              <w:top w:w="100" w:type="dxa"/>
              <w:left w:w="100" w:type="dxa"/>
              <w:bottom w:w="100" w:type="dxa"/>
              <w:right w:w="100" w:type="dxa"/>
            </w:tcMar>
            <w:hideMark/>
          </w:tcPr>
          <w:p w14:paraId="6DEB800B" w14:textId="77777777" w:rsidR="00243636" w:rsidRPr="00213DFB" w:rsidRDefault="00243636">
            <w:pPr>
              <w:pStyle w:val="NoSpacing"/>
              <w:spacing w:line="256" w:lineRule="auto"/>
              <w:rPr>
                <w:b/>
              </w:rPr>
            </w:pPr>
            <w:r w:rsidRPr="00213DFB">
              <w:rPr>
                <w:b/>
              </w:rPr>
              <w:t xml:space="preserve">(#1 OR #2) AND #3 </w:t>
            </w:r>
          </w:p>
        </w:tc>
        <w:tc>
          <w:tcPr>
            <w:tcW w:w="1560" w:type="dxa"/>
            <w:tcBorders>
              <w:top w:val="single" w:sz="6" w:space="0" w:color="000000"/>
              <w:left w:val="single" w:sz="6" w:space="0" w:color="000000"/>
              <w:bottom w:val="single" w:sz="6" w:space="0" w:color="000000"/>
              <w:right w:val="single" w:sz="8" w:space="0" w:color="000000"/>
            </w:tcBorders>
            <w:tcMar>
              <w:top w:w="100" w:type="dxa"/>
              <w:left w:w="100" w:type="dxa"/>
              <w:bottom w:w="100" w:type="dxa"/>
              <w:right w:w="100" w:type="dxa"/>
            </w:tcMar>
            <w:hideMark/>
          </w:tcPr>
          <w:p w14:paraId="7E9C15B6" w14:textId="77777777" w:rsidR="00243636" w:rsidRPr="00213DFB" w:rsidRDefault="00243636">
            <w:pPr>
              <w:pStyle w:val="NoSpacing"/>
              <w:spacing w:line="256" w:lineRule="auto"/>
              <w:rPr>
                <w:b/>
              </w:rPr>
            </w:pPr>
            <w:r w:rsidRPr="00213DFB">
              <w:rPr>
                <w:b/>
              </w:rPr>
              <w:t>1,820</w:t>
            </w:r>
          </w:p>
        </w:tc>
      </w:tr>
    </w:tbl>
    <w:p w14:paraId="595F9CED" w14:textId="62896D8C" w:rsidR="00243636" w:rsidRPr="00893D31" w:rsidRDefault="00243636" w:rsidP="0002467D">
      <w:pPr>
        <w:rPr>
          <w:b/>
        </w:rPr>
      </w:pPr>
    </w:p>
    <w:p w14:paraId="4D3C757E" w14:textId="655CA93A" w:rsidR="00556F5E" w:rsidRPr="00893D31" w:rsidRDefault="00556F5E" w:rsidP="00F929FA">
      <w:pPr>
        <w:pStyle w:val="NoSpacing"/>
        <w:rPr>
          <w:b/>
        </w:rPr>
      </w:pPr>
      <w:r w:rsidRPr="00893D31">
        <w:rPr>
          <w:b/>
        </w:rPr>
        <w:t xml:space="preserve">Supplementary Table 1.2. </w:t>
      </w:r>
      <w:proofErr w:type="spellStart"/>
      <w:r w:rsidRPr="00893D31">
        <w:rPr>
          <w:b/>
        </w:rPr>
        <w:t>Embase</w:t>
      </w:r>
      <w:proofErr w:type="spellEnd"/>
      <w:r w:rsidRPr="00893D31">
        <w:rPr>
          <w:b/>
        </w:rPr>
        <w:t xml:space="preserve"> Search Strategy Conducted on October 22, 2022</w:t>
      </w:r>
    </w:p>
    <w:p w14:paraId="2ED4FFCC" w14:textId="77777777" w:rsidR="00556F5E" w:rsidRPr="00893D31" w:rsidRDefault="00556F5E" w:rsidP="00F929FA">
      <w:pPr>
        <w:pStyle w:val="NoSpacing"/>
        <w:rPr>
          <w:b/>
        </w:rPr>
      </w:pPr>
    </w:p>
    <w:tbl>
      <w:tblPr>
        <w:tblW w:w="88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60"/>
        <w:gridCol w:w="6075"/>
        <w:gridCol w:w="1560"/>
      </w:tblGrid>
      <w:tr w:rsidR="00556F5E" w:rsidRPr="00893D31" w14:paraId="4767B7B4" w14:textId="77777777" w:rsidTr="00F929FA">
        <w:trPr>
          <w:trHeight w:val="485"/>
        </w:trPr>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CDAD10" w14:textId="77777777" w:rsidR="00556F5E" w:rsidRPr="00893D31" w:rsidRDefault="00556F5E">
            <w:pPr>
              <w:pStyle w:val="NoSpacing"/>
              <w:spacing w:line="256" w:lineRule="auto"/>
            </w:pPr>
            <w:r w:rsidRPr="00893D31">
              <w:t>Search #</w:t>
            </w:r>
          </w:p>
        </w:tc>
        <w:tc>
          <w:tcPr>
            <w:tcW w:w="607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2D7507B8" w14:textId="77777777" w:rsidR="00556F5E" w:rsidRPr="00893D31" w:rsidRDefault="00556F5E">
            <w:pPr>
              <w:pStyle w:val="NoSpacing"/>
              <w:spacing w:line="256" w:lineRule="auto"/>
            </w:pPr>
            <w:r w:rsidRPr="00893D31">
              <w:t>Query</w:t>
            </w:r>
          </w:p>
        </w:tc>
        <w:tc>
          <w:tcPr>
            <w:tcW w:w="1560"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7DB5ED90" w14:textId="77777777" w:rsidR="00556F5E" w:rsidRPr="00893D31" w:rsidRDefault="00556F5E">
            <w:pPr>
              <w:pStyle w:val="NoSpacing"/>
              <w:spacing w:line="256" w:lineRule="auto"/>
            </w:pPr>
            <w:r w:rsidRPr="00893D31">
              <w:t>Items found</w:t>
            </w:r>
          </w:p>
        </w:tc>
      </w:tr>
      <w:tr w:rsidR="00556F5E" w:rsidRPr="00893D31" w14:paraId="7E0D8D96" w14:textId="77777777" w:rsidTr="00F929FA">
        <w:trPr>
          <w:trHeight w:val="155"/>
        </w:trPr>
        <w:tc>
          <w:tcPr>
            <w:tcW w:w="1260"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FF611C" w14:textId="77777777" w:rsidR="00556F5E" w:rsidRPr="00893D31" w:rsidRDefault="00556F5E">
            <w:pPr>
              <w:pStyle w:val="NoSpacing"/>
              <w:spacing w:line="256" w:lineRule="auto"/>
            </w:pPr>
            <w:r w:rsidRPr="00893D31">
              <w:t>1</w:t>
            </w:r>
          </w:p>
        </w:tc>
        <w:tc>
          <w:tcPr>
            <w:tcW w:w="607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103D5E85" w14:textId="77777777" w:rsidR="00556F5E" w:rsidRPr="00893D31" w:rsidRDefault="00556F5E">
            <w:pPr>
              <w:pStyle w:val="NoSpacing"/>
              <w:spacing w:line="256" w:lineRule="auto"/>
            </w:pPr>
            <w:r w:rsidRPr="00893D31">
              <w:t>((marijuana or cannabis) and (</w:t>
            </w:r>
            <w:proofErr w:type="spellStart"/>
            <w:r w:rsidRPr="00893D31">
              <w:t>smok</w:t>
            </w:r>
            <w:proofErr w:type="spellEnd"/>
            <w:r w:rsidRPr="00893D31">
              <w:t>* or users)).</w:t>
            </w:r>
            <w:proofErr w:type="spellStart"/>
            <w:r w:rsidRPr="00893D31">
              <w:t>mp</w:t>
            </w:r>
            <w:proofErr w:type="spellEnd"/>
            <w:r w:rsidRPr="00893D31">
              <w:t>.</w:t>
            </w:r>
          </w:p>
        </w:tc>
        <w:tc>
          <w:tcPr>
            <w:tcW w:w="1560"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1D5FC4CC" w14:textId="77777777" w:rsidR="00556F5E" w:rsidRPr="00893D31" w:rsidRDefault="00556F5E">
            <w:pPr>
              <w:pStyle w:val="NoSpacing"/>
              <w:spacing w:line="256" w:lineRule="auto"/>
            </w:pPr>
            <w:r w:rsidRPr="00893D31">
              <w:t>22,868</w:t>
            </w:r>
          </w:p>
        </w:tc>
      </w:tr>
      <w:tr w:rsidR="00556F5E" w:rsidRPr="00893D31" w14:paraId="5B06F592" w14:textId="77777777" w:rsidTr="00F929FA">
        <w:trPr>
          <w:trHeight w:val="18"/>
        </w:trPr>
        <w:tc>
          <w:tcPr>
            <w:tcW w:w="1260"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FDBEA2" w14:textId="77777777" w:rsidR="00556F5E" w:rsidRPr="00893D31" w:rsidRDefault="00556F5E">
            <w:pPr>
              <w:pStyle w:val="NoSpacing"/>
              <w:spacing w:line="256" w:lineRule="auto"/>
            </w:pPr>
            <w:r w:rsidRPr="00893D31">
              <w:t>2</w:t>
            </w:r>
          </w:p>
        </w:tc>
        <w:tc>
          <w:tcPr>
            <w:tcW w:w="607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69873287" w14:textId="77777777" w:rsidR="00556F5E" w:rsidRPr="00893D31" w:rsidRDefault="00556F5E">
            <w:pPr>
              <w:pStyle w:val="NoSpacing"/>
              <w:spacing w:line="256" w:lineRule="auto"/>
            </w:pPr>
            <w:r w:rsidRPr="00893D31">
              <w:t xml:space="preserve">cannabis smoking.mp or </w:t>
            </w:r>
            <w:proofErr w:type="spellStart"/>
            <w:r w:rsidRPr="00893D31">
              <w:t>exp</w:t>
            </w:r>
            <w:proofErr w:type="spellEnd"/>
            <w:r w:rsidRPr="00893D31">
              <w:t xml:space="preserve"> cannabis smoking/ or </w:t>
            </w:r>
            <w:proofErr w:type="spellStart"/>
            <w:r w:rsidRPr="00893D31">
              <w:t>exp</w:t>
            </w:r>
            <w:proofErr w:type="spellEnd"/>
            <w:r w:rsidRPr="00893D31">
              <w:t xml:space="preserve"> cannabis/ or </w:t>
            </w:r>
            <w:proofErr w:type="spellStart"/>
            <w:r w:rsidRPr="00893D31">
              <w:t>exp</w:t>
            </w:r>
            <w:proofErr w:type="spellEnd"/>
            <w:r w:rsidRPr="00893D31">
              <w:t xml:space="preserve"> "cannabis use"/</w:t>
            </w:r>
          </w:p>
        </w:tc>
        <w:tc>
          <w:tcPr>
            <w:tcW w:w="1560"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02AA518B" w14:textId="77777777" w:rsidR="00556F5E" w:rsidRPr="00893D31" w:rsidRDefault="00556F5E">
            <w:pPr>
              <w:pStyle w:val="NoSpacing"/>
              <w:spacing w:line="256" w:lineRule="auto"/>
            </w:pPr>
            <w:r w:rsidRPr="00893D31">
              <w:t>51,871</w:t>
            </w:r>
          </w:p>
        </w:tc>
      </w:tr>
      <w:tr w:rsidR="00556F5E" w:rsidRPr="00893D31" w14:paraId="24AA345F" w14:textId="77777777" w:rsidTr="00F929FA">
        <w:trPr>
          <w:trHeight w:val="623"/>
        </w:trPr>
        <w:tc>
          <w:tcPr>
            <w:tcW w:w="1260"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07C519" w14:textId="77777777" w:rsidR="00556F5E" w:rsidRPr="00893D31" w:rsidRDefault="00556F5E">
            <w:pPr>
              <w:pStyle w:val="NoSpacing"/>
              <w:spacing w:line="256" w:lineRule="auto"/>
            </w:pPr>
            <w:r w:rsidRPr="00893D31">
              <w:t>3</w:t>
            </w:r>
          </w:p>
        </w:tc>
        <w:tc>
          <w:tcPr>
            <w:tcW w:w="607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06211F83" w14:textId="77777777" w:rsidR="00556F5E" w:rsidRPr="00893D31" w:rsidRDefault="00556F5E">
            <w:pPr>
              <w:pStyle w:val="NoSpacing"/>
              <w:spacing w:line="256" w:lineRule="auto"/>
            </w:pPr>
            <w:proofErr w:type="spellStart"/>
            <w:proofErr w:type="gramStart"/>
            <w:r w:rsidRPr="00893D31">
              <w:t>self</w:t>
            </w:r>
            <w:proofErr w:type="gramEnd"/>
            <w:r w:rsidRPr="00893D31">
              <w:t xml:space="preserve"> administration.mp</w:t>
            </w:r>
            <w:proofErr w:type="spellEnd"/>
            <w:r w:rsidRPr="00893D31">
              <w:t xml:space="preserve">. or </w:t>
            </w:r>
            <w:proofErr w:type="spellStart"/>
            <w:r w:rsidRPr="00893D31">
              <w:t>exp</w:t>
            </w:r>
            <w:proofErr w:type="spellEnd"/>
            <w:r w:rsidRPr="00893D31">
              <w:t xml:space="preserve"> drug </w:t>
            </w:r>
            <w:proofErr w:type="spellStart"/>
            <w:r w:rsidRPr="00893D31">
              <w:t>self administration</w:t>
            </w:r>
            <w:proofErr w:type="spellEnd"/>
            <w:r w:rsidRPr="00893D31">
              <w:t xml:space="preserve">/  </w:t>
            </w:r>
          </w:p>
        </w:tc>
        <w:tc>
          <w:tcPr>
            <w:tcW w:w="1560"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3FC28662" w14:textId="77777777" w:rsidR="00556F5E" w:rsidRPr="00893D31" w:rsidRDefault="00556F5E">
            <w:pPr>
              <w:pStyle w:val="NoSpacing"/>
              <w:spacing w:line="256" w:lineRule="auto"/>
            </w:pPr>
            <w:r w:rsidRPr="00893D31">
              <w:t>20,452</w:t>
            </w:r>
          </w:p>
        </w:tc>
      </w:tr>
      <w:tr w:rsidR="00556F5E" w:rsidRPr="00893D31" w14:paraId="3A778AD3" w14:textId="77777777" w:rsidTr="00F929FA">
        <w:trPr>
          <w:trHeight w:val="623"/>
        </w:trPr>
        <w:tc>
          <w:tcPr>
            <w:tcW w:w="1260"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A7E107" w14:textId="77777777" w:rsidR="00556F5E" w:rsidRPr="00893D31" w:rsidRDefault="00556F5E">
            <w:pPr>
              <w:pStyle w:val="NoSpacing"/>
              <w:spacing w:line="256" w:lineRule="auto"/>
            </w:pPr>
            <w:r w:rsidRPr="00893D31">
              <w:t>4</w:t>
            </w:r>
          </w:p>
        </w:tc>
        <w:tc>
          <w:tcPr>
            <w:tcW w:w="607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33708C15" w14:textId="77777777" w:rsidR="00556F5E" w:rsidRPr="00893D31" w:rsidRDefault="00556F5E">
            <w:pPr>
              <w:pStyle w:val="NoSpacing"/>
              <w:spacing w:line="256" w:lineRule="auto"/>
            </w:pPr>
            <w:r w:rsidRPr="00893D31">
              <w:t>(ad libitum or ad lib or freely or natural* or free access)</w:t>
            </w:r>
          </w:p>
        </w:tc>
        <w:tc>
          <w:tcPr>
            <w:tcW w:w="1560"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7FBAC07D" w14:textId="77777777" w:rsidR="00556F5E" w:rsidRPr="00893D31" w:rsidRDefault="00556F5E">
            <w:pPr>
              <w:pStyle w:val="NoSpacing"/>
              <w:spacing w:line="256" w:lineRule="auto"/>
            </w:pPr>
            <w:r w:rsidRPr="00893D31">
              <w:t>1,143,869</w:t>
            </w:r>
          </w:p>
        </w:tc>
      </w:tr>
      <w:tr w:rsidR="00556F5E" w:rsidRPr="00893D31" w14:paraId="30DFCD30" w14:textId="77777777" w:rsidTr="00F929FA">
        <w:trPr>
          <w:trHeight w:val="623"/>
        </w:trPr>
        <w:tc>
          <w:tcPr>
            <w:tcW w:w="1260"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158D9B" w14:textId="77777777" w:rsidR="00556F5E" w:rsidRPr="00893D31" w:rsidRDefault="00556F5E">
            <w:pPr>
              <w:pStyle w:val="NoSpacing"/>
              <w:spacing w:line="256" w:lineRule="auto"/>
            </w:pPr>
            <w:r w:rsidRPr="00893D31">
              <w:t>5</w:t>
            </w:r>
          </w:p>
        </w:tc>
        <w:tc>
          <w:tcPr>
            <w:tcW w:w="607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30E63BB1" w14:textId="77777777" w:rsidR="00556F5E" w:rsidRPr="00893D31" w:rsidRDefault="00556F5E">
            <w:pPr>
              <w:pStyle w:val="NoSpacing"/>
              <w:spacing w:line="256" w:lineRule="auto"/>
            </w:pPr>
            <w:r w:rsidRPr="00893D31">
              <w:t>1 OR 2</w:t>
            </w:r>
          </w:p>
        </w:tc>
        <w:tc>
          <w:tcPr>
            <w:tcW w:w="1560"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0B8CBA9D" w14:textId="77777777" w:rsidR="00556F5E" w:rsidRPr="00893D31" w:rsidRDefault="00556F5E">
            <w:pPr>
              <w:pStyle w:val="NoSpacing"/>
              <w:spacing w:line="256" w:lineRule="auto"/>
            </w:pPr>
            <w:r w:rsidRPr="00893D31">
              <w:t>55,598</w:t>
            </w:r>
          </w:p>
        </w:tc>
      </w:tr>
      <w:tr w:rsidR="00556F5E" w:rsidRPr="00893D31" w14:paraId="67DA8D0A" w14:textId="77777777" w:rsidTr="00F929FA">
        <w:trPr>
          <w:trHeight w:val="623"/>
        </w:trPr>
        <w:tc>
          <w:tcPr>
            <w:tcW w:w="1260"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CF6E1A" w14:textId="77777777" w:rsidR="00556F5E" w:rsidRPr="00893D31" w:rsidRDefault="00556F5E">
            <w:pPr>
              <w:pStyle w:val="NoSpacing"/>
              <w:spacing w:line="256" w:lineRule="auto"/>
            </w:pPr>
            <w:r w:rsidRPr="00893D31">
              <w:t>6</w:t>
            </w:r>
          </w:p>
        </w:tc>
        <w:tc>
          <w:tcPr>
            <w:tcW w:w="607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74BF8FBE" w14:textId="77777777" w:rsidR="00556F5E" w:rsidRPr="00893D31" w:rsidRDefault="00556F5E">
            <w:pPr>
              <w:pStyle w:val="NoSpacing"/>
              <w:spacing w:line="256" w:lineRule="auto"/>
            </w:pPr>
            <w:r w:rsidRPr="00893D31">
              <w:t>3 OR 4</w:t>
            </w:r>
          </w:p>
        </w:tc>
        <w:tc>
          <w:tcPr>
            <w:tcW w:w="1560"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73FA63FB" w14:textId="77777777" w:rsidR="00556F5E" w:rsidRPr="00893D31" w:rsidRDefault="00556F5E">
            <w:pPr>
              <w:pStyle w:val="NoSpacing"/>
              <w:spacing w:line="256" w:lineRule="auto"/>
            </w:pPr>
            <w:r w:rsidRPr="00893D31">
              <w:t>1,163,275</w:t>
            </w:r>
          </w:p>
        </w:tc>
      </w:tr>
      <w:tr w:rsidR="00556F5E" w:rsidRPr="00893D31" w14:paraId="5B152690" w14:textId="77777777" w:rsidTr="00F929FA">
        <w:trPr>
          <w:trHeight w:val="623"/>
        </w:trPr>
        <w:tc>
          <w:tcPr>
            <w:tcW w:w="1260" w:type="dxa"/>
            <w:tcBorders>
              <w:top w:val="single" w:sz="6"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4661B863" w14:textId="77777777" w:rsidR="00556F5E" w:rsidRPr="00213DFB" w:rsidRDefault="00556F5E">
            <w:pPr>
              <w:pStyle w:val="NoSpacing"/>
              <w:spacing w:line="256" w:lineRule="auto"/>
              <w:rPr>
                <w:b/>
              </w:rPr>
            </w:pPr>
            <w:r w:rsidRPr="00213DFB">
              <w:rPr>
                <w:b/>
              </w:rPr>
              <w:t>7</w:t>
            </w:r>
          </w:p>
        </w:tc>
        <w:tc>
          <w:tcPr>
            <w:tcW w:w="6075" w:type="dxa"/>
            <w:tcBorders>
              <w:top w:val="single" w:sz="6" w:space="0" w:color="000000"/>
              <w:left w:val="single" w:sz="6" w:space="0" w:color="000000"/>
              <w:bottom w:val="single" w:sz="6" w:space="0" w:color="000000"/>
              <w:right w:val="single" w:sz="8" w:space="0" w:color="000000"/>
            </w:tcBorders>
            <w:tcMar>
              <w:top w:w="100" w:type="dxa"/>
              <w:left w:w="100" w:type="dxa"/>
              <w:bottom w:w="100" w:type="dxa"/>
              <w:right w:w="100" w:type="dxa"/>
            </w:tcMar>
            <w:hideMark/>
          </w:tcPr>
          <w:p w14:paraId="2DEB7C31" w14:textId="77777777" w:rsidR="00556F5E" w:rsidRPr="00213DFB" w:rsidRDefault="00556F5E">
            <w:pPr>
              <w:pStyle w:val="NoSpacing"/>
              <w:spacing w:line="256" w:lineRule="auto"/>
              <w:rPr>
                <w:b/>
              </w:rPr>
            </w:pPr>
            <w:r w:rsidRPr="00213DFB">
              <w:rPr>
                <w:b/>
              </w:rPr>
              <w:t>5 AND 6</w:t>
            </w:r>
          </w:p>
        </w:tc>
        <w:tc>
          <w:tcPr>
            <w:tcW w:w="1560" w:type="dxa"/>
            <w:tcBorders>
              <w:top w:val="single" w:sz="6" w:space="0" w:color="000000"/>
              <w:left w:val="single" w:sz="6" w:space="0" w:color="000000"/>
              <w:bottom w:val="single" w:sz="6" w:space="0" w:color="000000"/>
              <w:right w:val="single" w:sz="8" w:space="0" w:color="000000"/>
            </w:tcBorders>
            <w:tcMar>
              <w:top w:w="100" w:type="dxa"/>
              <w:left w:w="100" w:type="dxa"/>
              <w:bottom w:w="100" w:type="dxa"/>
              <w:right w:w="100" w:type="dxa"/>
            </w:tcMar>
            <w:hideMark/>
          </w:tcPr>
          <w:p w14:paraId="3E082F8E" w14:textId="77777777" w:rsidR="00556F5E" w:rsidRPr="00213DFB" w:rsidRDefault="00556F5E">
            <w:pPr>
              <w:pStyle w:val="NoSpacing"/>
              <w:spacing w:line="256" w:lineRule="auto"/>
              <w:rPr>
                <w:b/>
              </w:rPr>
            </w:pPr>
            <w:r w:rsidRPr="00213DFB">
              <w:rPr>
                <w:b/>
              </w:rPr>
              <w:t>1,888</w:t>
            </w:r>
          </w:p>
        </w:tc>
      </w:tr>
    </w:tbl>
    <w:p w14:paraId="08046137" w14:textId="4E865811" w:rsidR="00556F5E" w:rsidRPr="00893D31" w:rsidRDefault="00556F5E" w:rsidP="0002467D">
      <w:pPr>
        <w:rPr>
          <w:b/>
        </w:rPr>
      </w:pPr>
    </w:p>
    <w:p w14:paraId="61BF02FF" w14:textId="77777777" w:rsidR="006D7571" w:rsidRPr="00893D31" w:rsidRDefault="006D7571" w:rsidP="006D7571">
      <w:pPr>
        <w:pStyle w:val="NoSpacing"/>
        <w:spacing w:line="256" w:lineRule="auto"/>
      </w:pPr>
      <w:r>
        <w:t xml:space="preserve">*Note: additional searches were run looking for results related to reliability or validity. On PubMed, we used the following search terms </w:t>
      </w:r>
      <w:r w:rsidRPr="00893D31">
        <w:t xml:space="preserve">"Reproducibility of Results"[Mesh] OR </w:t>
      </w:r>
      <w:proofErr w:type="spellStart"/>
      <w:r w:rsidRPr="00893D31">
        <w:t>Reliabilit</w:t>
      </w:r>
      <w:proofErr w:type="spellEnd"/>
      <w:r w:rsidRPr="00893D31">
        <w:t>*[</w:t>
      </w:r>
      <w:proofErr w:type="spellStart"/>
      <w:r w:rsidRPr="00893D31">
        <w:t>tiab</w:t>
      </w:r>
      <w:proofErr w:type="spellEnd"/>
      <w:r w:rsidRPr="00893D31">
        <w:t xml:space="preserve">] OR </w:t>
      </w:r>
      <w:proofErr w:type="spellStart"/>
      <w:r w:rsidRPr="00893D31">
        <w:t>Validit</w:t>
      </w:r>
      <w:proofErr w:type="spellEnd"/>
      <w:r w:rsidRPr="00893D31">
        <w:t>*[</w:t>
      </w:r>
      <w:proofErr w:type="spellStart"/>
      <w:r w:rsidRPr="00893D31">
        <w:t>tiab</w:t>
      </w:r>
      <w:proofErr w:type="spellEnd"/>
      <w:r w:rsidRPr="00893D31">
        <w:t xml:space="preserve">] </w:t>
      </w:r>
      <w:r w:rsidRPr="00893D31">
        <w:lastRenderedPageBreak/>
        <w:t>OR “Test-Retest</w:t>
      </w:r>
      <w:proofErr w:type="gramStart"/>
      <w:r w:rsidRPr="00893D31">
        <w:t>”[</w:t>
      </w:r>
      <w:proofErr w:type="spellStart"/>
      <w:proofErr w:type="gramEnd"/>
      <w:r w:rsidRPr="00893D31">
        <w:t>tiab</w:t>
      </w:r>
      <w:proofErr w:type="spellEnd"/>
      <w:r w:rsidRPr="00893D31">
        <w:t>] OR “</w:t>
      </w:r>
      <w:proofErr w:type="spellStart"/>
      <w:r w:rsidRPr="00893D31">
        <w:t>reproduc</w:t>
      </w:r>
      <w:proofErr w:type="spellEnd"/>
      <w:r w:rsidRPr="00893D31">
        <w:t>*”[</w:t>
      </w:r>
      <w:proofErr w:type="spellStart"/>
      <w:r w:rsidRPr="00893D31">
        <w:t>tiab</w:t>
      </w:r>
      <w:proofErr w:type="spellEnd"/>
      <w:r w:rsidRPr="00893D31">
        <w:t>]</w:t>
      </w:r>
      <w:r>
        <w:t xml:space="preserve">. On </w:t>
      </w:r>
      <w:proofErr w:type="spellStart"/>
      <w:r>
        <w:t>Embase</w:t>
      </w:r>
      <w:proofErr w:type="spellEnd"/>
      <w:r>
        <w:t xml:space="preserve">, we used the following search terms: </w:t>
      </w:r>
      <w:proofErr w:type="spellStart"/>
      <w:r w:rsidRPr="00893D31">
        <w:t>exp</w:t>
      </w:r>
      <w:proofErr w:type="spellEnd"/>
      <w:r w:rsidRPr="00893D31">
        <w:t xml:space="preserve"> reproducibility/</w:t>
      </w:r>
      <w:r>
        <w:t xml:space="preserve"> OR </w:t>
      </w:r>
      <w:r w:rsidRPr="00893D31">
        <w:t>test retest reliability/</w:t>
      </w:r>
      <w:r>
        <w:t xml:space="preserve"> OR </w:t>
      </w:r>
      <w:proofErr w:type="spellStart"/>
      <w:r w:rsidRPr="00893D31">
        <w:t>exp</w:t>
      </w:r>
      <w:proofErr w:type="spellEnd"/>
      <w:r>
        <w:t xml:space="preserve"> external validity/ OR</w:t>
      </w:r>
      <w:r w:rsidRPr="00893D31">
        <w:t xml:space="preserve"> </w:t>
      </w:r>
      <w:proofErr w:type="spellStart"/>
      <w:r w:rsidRPr="00893D31">
        <w:t>exp</w:t>
      </w:r>
      <w:proofErr w:type="spellEnd"/>
      <w:r w:rsidRPr="00893D31">
        <w:t xml:space="preserve"> validity/</w:t>
      </w:r>
      <w:r>
        <w:t>.</w:t>
      </w:r>
    </w:p>
    <w:p w14:paraId="12ED72EC" w14:textId="77777777" w:rsidR="00556F5E" w:rsidRPr="00893D31" w:rsidRDefault="00556F5E" w:rsidP="0002467D">
      <w:pPr>
        <w:rPr>
          <w:b/>
        </w:rPr>
      </w:pPr>
    </w:p>
    <w:p w14:paraId="7B20B3AA" w14:textId="574B7768" w:rsidR="0002467D" w:rsidRPr="00893D31" w:rsidRDefault="0002467D" w:rsidP="0002467D">
      <w:pPr>
        <w:rPr>
          <w:b/>
        </w:rPr>
      </w:pPr>
      <w:r w:rsidRPr="00893D31">
        <w:rPr>
          <w:b/>
        </w:rPr>
        <w:t>Suppleme</w:t>
      </w:r>
      <w:r w:rsidR="000E2915" w:rsidRPr="00893D31">
        <w:rPr>
          <w:b/>
        </w:rPr>
        <w:t>ntary Table 1.</w:t>
      </w:r>
      <w:r w:rsidR="00243636" w:rsidRPr="00893D31">
        <w:rPr>
          <w:b/>
        </w:rPr>
        <w:t>3</w:t>
      </w:r>
      <w:r w:rsidR="009D16B6" w:rsidRPr="00893D31">
        <w:rPr>
          <w:b/>
        </w:rPr>
        <w:t>.</w:t>
      </w:r>
      <w:r w:rsidR="000E2915" w:rsidRPr="00893D31">
        <w:rPr>
          <w:b/>
        </w:rPr>
        <w:t xml:space="preserve"> </w:t>
      </w:r>
      <w:r w:rsidR="00243636" w:rsidRPr="00893D31">
        <w:rPr>
          <w:b/>
        </w:rPr>
        <w:t xml:space="preserve">Initial </w:t>
      </w:r>
      <w:r w:rsidR="008D1D36" w:rsidRPr="00893D31">
        <w:rPr>
          <w:b/>
        </w:rPr>
        <w:t xml:space="preserve">PUBMED </w:t>
      </w:r>
      <w:r w:rsidR="000E2915" w:rsidRPr="00893D31">
        <w:rPr>
          <w:b/>
        </w:rPr>
        <w:t>Search Strategy Conducted on</w:t>
      </w:r>
      <w:r w:rsidR="00192442" w:rsidRPr="00893D31">
        <w:rPr>
          <w:b/>
        </w:rPr>
        <w:t xml:space="preserve"> </w:t>
      </w:r>
      <w:r w:rsidR="00836080" w:rsidRPr="00893D31">
        <w:rPr>
          <w:b/>
        </w:rPr>
        <w:t>March 7, 2021</w:t>
      </w:r>
    </w:p>
    <w:tbl>
      <w:tblPr>
        <w:tblW w:w="88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60"/>
        <w:gridCol w:w="6075"/>
        <w:gridCol w:w="1560"/>
      </w:tblGrid>
      <w:tr w:rsidR="0002467D" w:rsidRPr="00893D31" w14:paraId="6602CA09" w14:textId="77777777" w:rsidTr="00FE48F5">
        <w:trPr>
          <w:trHeight w:val="485"/>
        </w:trPr>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996F21" w14:textId="77777777" w:rsidR="0002467D" w:rsidRPr="00893D31" w:rsidRDefault="0002467D" w:rsidP="00FE48F5">
            <w:r w:rsidRPr="00893D31">
              <w:t>Search #</w:t>
            </w:r>
          </w:p>
        </w:tc>
        <w:tc>
          <w:tcPr>
            <w:tcW w:w="607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9490DE6" w14:textId="77777777" w:rsidR="0002467D" w:rsidRPr="00893D31" w:rsidRDefault="0002467D" w:rsidP="00FE48F5">
            <w:r w:rsidRPr="00893D31">
              <w:t>Query</w:t>
            </w:r>
          </w:p>
        </w:tc>
        <w:tc>
          <w:tcPr>
            <w:tcW w:w="156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2A6D9EA" w14:textId="77777777" w:rsidR="0002467D" w:rsidRPr="00893D31" w:rsidRDefault="0002467D" w:rsidP="00FE48F5">
            <w:pPr>
              <w:jc w:val="right"/>
            </w:pPr>
            <w:r w:rsidRPr="00893D31">
              <w:t>Items found</w:t>
            </w:r>
          </w:p>
        </w:tc>
      </w:tr>
      <w:tr w:rsidR="0002467D" w:rsidRPr="00893D31" w14:paraId="48D5A80B" w14:textId="77777777" w:rsidTr="00FE48F5">
        <w:trPr>
          <w:trHeight w:val="1295"/>
        </w:trPr>
        <w:tc>
          <w:tcPr>
            <w:tcW w:w="12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40DA7EB" w14:textId="77777777" w:rsidR="0002467D" w:rsidRPr="00893D31" w:rsidRDefault="0002467D" w:rsidP="00FE48F5">
            <w:r w:rsidRPr="00893D31">
              <w:t>1</w:t>
            </w:r>
          </w:p>
        </w:tc>
        <w:tc>
          <w:tcPr>
            <w:tcW w:w="6075" w:type="dxa"/>
            <w:tcBorders>
              <w:bottom w:val="single" w:sz="8" w:space="0" w:color="000000"/>
              <w:right w:val="single" w:sz="8" w:space="0" w:color="000000"/>
            </w:tcBorders>
            <w:tcMar>
              <w:top w:w="100" w:type="dxa"/>
              <w:left w:w="100" w:type="dxa"/>
              <w:bottom w:w="100" w:type="dxa"/>
              <w:right w:w="100" w:type="dxa"/>
            </w:tcMar>
          </w:tcPr>
          <w:p w14:paraId="6AEFA461" w14:textId="77777777" w:rsidR="0002467D" w:rsidRPr="00893D31" w:rsidRDefault="0002467D" w:rsidP="00FE48F5">
            <w:r w:rsidRPr="00893D31">
              <w:t>(“Marijuana Smoking"[Mesh] )  OR ( "Marijuana Abuse/drug therapy"[Mesh] OR  "Marijuana Abuse/psychology"[Mesh] OR  "Marijuana Abuse/rehabilitation"[Mesh] )</w:t>
            </w:r>
          </w:p>
        </w:tc>
        <w:tc>
          <w:tcPr>
            <w:tcW w:w="1560" w:type="dxa"/>
            <w:tcBorders>
              <w:bottom w:val="single" w:sz="8" w:space="0" w:color="000000"/>
              <w:right w:val="single" w:sz="8" w:space="0" w:color="000000"/>
            </w:tcBorders>
            <w:tcMar>
              <w:top w:w="100" w:type="dxa"/>
              <w:left w:w="100" w:type="dxa"/>
              <w:bottom w:w="100" w:type="dxa"/>
              <w:right w:w="100" w:type="dxa"/>
            </w:tcMar>
          </w:tcPr>
          <w:p w14:paraId="06821E6B" w14:textId="3BBEDB65" w:rsidR="0002467D" w:rsidRPr="00893D31" w:rsidRDefault="0002467D" w:rsidP="00FE48F5">
            <w:pPr>
              <w:jc w:val="right"/>
            </w:pPr>
            <w:r w:rsidRPr="00893D31">
              <w:t>7,165</w:t>
            </w:r>
          </w:p>
        </w:tc>
      </w:tr>
      <w:tr w:rsidR="0002467D" w:rsidRPr="00893D31" w14:paraId="526F9867" w14:textId="77777777" w:rsidTr="00FE48F5">
        <w:trPr>
          <w:trHeight w:val="755"/>
        </w:trPr>
        <w:tc>
          <w:tcPr>
            <w:tcW w:w="12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79C782D" w14:textId="77777777" w:rsidR="0002467D" w:rsidRPr="00893D31" w:rsidRDefault="0002467D" w:rsidP="00FE48F5">
            <w:r w:rsidRPr="00893D31">
              <w:t>2</w:t>
            </w:r>
          </w:p>
        </w:tc>
        <w:tc>
          <w:tcPr>
            <w:tcW w:w="6075" w:type="dxa"/>
            <w:tcBorders>
              <w:bottom w:val="single" w:sz="8" w:space="0" w:color="000000"/>
              <w:right w:val="single" w:sz="8" w:space="0" w:color="000000"/>
            </w:tcBorders>
            <w:tcMar>
              <w:top w:w="100" w:type="dxa"/>
              <w:left w:w="100" w:type="dxa"/>
              <w:bottom w:w="100" w:type="dxa"/>
              <w:right w:w="100" w:type="dxa"/>
            </w:tcMar>
          </w:tcPr>
          <w:p w14:paraId="58BB2971" w14:textId="77777777" w:rsidR="0002467D" w:rsidRPr="00893D31" w:rsidRDefault="0002467D" w:rsidP="00FE48F5">
            <w:r w:rsidRPr="00893D31">
              <w:t>“cannabis”[Mesh] OR (cannabis OR marijuana OR marihuana) AND ("self-</w:t>
            </w:r>
            <w:proofErr w:type="spellStart"/>
            <w:r w:rsidRPr="00893D31">
              <w:t>administ</w:t>
            </w:r>
            <w:proofErr w:type="spellEnd"/>
            <w:r w:rsidRPr="00893D31">
              <w:t xml:space="preserve">*" OR </w:t>
            </w:r>
            <w:proofErr w:type="spellStart"/>
            <w:r w:rsidRPr="00893D31">
              <w:t>smok</w:t>
            </w:r>
            <w:proofErr w:type="spellEnd"/>
            <w:r w:rsidRPr="00893D31">
              <w:t>*)</w:t>
            </w:r>
          </w:p>
        </w:tc>
        <w:tc>
          <w:tcPr>
            <w:tcW w:w="1560" w:type="dxa"/>
            <w:tcBorders>
              <w:bottom w:val="single" w:sz="8" w:space="0" w:color="000000"/>
              <w:right w:val="single" w:sz="8" w:space="0" w:color="000000"/>
            </w:tcBorders>
            <w:tcMar>
              <w:top w:w="100" w:type="dxa"/>
              <w:left w:w="100" w:type="dxa"/>
              <w:bottom w:w="100" w:type="dxa"/>
              <w:right w:w="100" w:type="dxa"/>
            </w:tcMar>
          </w:tcPr>
          <w:p w14:paraId="1F31BEC0" w14:textId="11F6D653" w:rsidR="0002467D" w:rsidRPr="00893D31" w:rsidRDefault="0002467D" w:rsidP="00FE48F5">
            <w:pPr>
              <w:jc w:val="right"/>
            </w:pPr>
            <w:r w:rsidRPr="00893D31">
              <w:t>10,254</w:t>
            </w:r>
          </w:p>
        </w:tc>
      </w:tr>
      <w:tr w:rsidR="0002467D" w:rsidRPr="00893D31" w14:paraId="70E62F07" w14:textId="77777777" w:rsidTr="00FE48F5">
        <w:trPr>
          <w:trHeight w:val="1025"/>
        </w:trPr>
        <w:tc>
          <w:tcPr>
            <w:tcW w:w="12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E367A4B" w14:textId="77777777" w:rsidR="0002467D" w:rsidRPr="00893D31" w:rsidRDefault="0002467D" w:rsidP="00FE48F5">
            <w:r w:rsidRPr="00893D31">
              <w:t>3</w:t>
            </w:r>
          </w:p>
        </w:tc>
        <w:tc>
          <w:tcPr>
            <w:tcW w:w="6075" w:type="dxa"/>
            <w:tcBorders>
              <w:bottom w:val="single" w:sz="8" w:space="0" w:color="000000"/>
              <w:right w:val="single" w:sz="8" w:space="0" w:color="000000"/>
            </w:tcBorders>
            <w:tcMar>
              <w:top w:w="100" w:type="dxa"/>
              <w:left w:w="100" w:type="dxa"/>
              <w:bottom w:w="100" w:type="dxa"/>
              <w:right w:w="100" w:type="dxa"/>
            </w:tcMar>
          </w:tcPr>
          <w:p w14:paraId="2AFE3EAD" w14:textId="77777777" w:rsidR="0002467D" w:rsidRPr="00893D31" w:rsidRDefault="0002467D" w:rsidP="00FE48F5">
            <w:r w:rsidRPr="00893D31">
              <w:t>"smoking pattern"[</w:t>
            </w:r>
            <w:proofErr w:type="spellStart"/>
            <w:r w:rsidRPr="00893D31">
              <w:t>tiab</w:t>
            </w:r>
            <w:proofErr w:type="spellEnd"/>
            <w:r w:rsidRPr="00893D31">
              <w:t>] OR "smoking behavior"[</w:t>
            </w:r>
            <w:proofErr w:type="spellStart"/>
            <w:r w:rsidRPr="00893D31">
              <w:t>tiab</w:t>
            </w:r>
            <w:proofErr w:type="spellEnd"/>
            <w:r w:rsidRPr="00893D31">
              <w:t>] OR "ad libitum"[</w:t>
            </w:r>
            <w:proofErr w:type="spellStart"/>
            <w:r w:rsidRPr="00893D31">
              <w:t>tiab</w:t>
            </w:r>
            <w:proofErr w:type="spellEnd"/>
            <w:r w:rsidRPr="00893D31">
              <w:t>] OR "ad lib"[</w:t>
            </w:r>
            <w:proofErr w:type="spellStart"/>
            <w:r w:rsidRPr="00893D31">
              <w:t>tiab</w:t>
            </w:r>
            <w:proofErr w:type="spellEnd"/>
            <w:r w:rsidRPr="00893D31">
              <w:t>] OR freely[</w:t>
            </w:r>
            <w:proofErr w:type="spellStart"/>
            <w:r w:rsidRPr="00893D31">
              <w:t>tiab</w:t>
            </w:r>
            <w:proofErr w:type="spellEnd"/>
            <w:r w:rsidRPr="00893D31">
              <w:t>] OR natural*[</w:t>
            </w:r>
            <w:proofErr w:type="spellStart"/>
            <w:r w:rsidRPr="00893D31">
              <w:t>tiab</w:t>
            </w:r>
            <w:proofErr w:type="spellEnd"/>
            <w:r w:rsidRPr="00893D31">
              <w:t>]</w:t>
            </w:r>
          </w:p>
        </w:tc>
        <w:tc>
          <w:tcPr>
            <w:tcW w:w="1560" w:type="dxa"/>
            <w:tcBorders>
              <w:bottom w:val="single" w:sz="8" w:space="0" w:color="000000"/>
              <w:right w:val="single" w:sz="8" w:space="0" w:color="000000"/>
            </w:tcBorders>
            <w:tcMar>
              <w:top w:w="100" w:type="dxa"/>
              <w:left w:w="100" w:type="dxa"/>
              <w:bottom w:w="100" w:type="dxa"/>
              <w:right w:w="100" w:type="dxa"/>
            </w:tcMar>
          </w:tcPr>
          <w:p w14:paraId="76B74BDC" w14:textId="057332FA" w:rsidR="0002467D" w:rsidRPr="00893D31" w:rsidRDefault="0002467D" w:rsidP="00FE48F5">
            <w:pPr>
              <w:jc w:val="right"/>
            </w:pPr>
            <w:r w:rsidRPr="00893D31">
              <w:t>768,472</w:t>
            </w:r>
          </w:p>
        </w:tc>
      </w:tr>
      <w:tr w:rsidR="0002467D" w:rsidRPr="00893D31" w14:paraId="062D0E12" w14:textId="77777777" w:rsidTr="00FE48F5">
        <w:trPr>
          <w:trHeight w:val="755"/>
        </w:trPr>
        <w:tc>
          <w:tcPr>
            <w:tcW w:w="12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9A72657" w14:textId="77777777" w:rsidR="0002467D" w:rsidRPr="00893D31" w:rsidRDefault="0002467D" w:rsidP="00FE48F5">
            <w:r w:rsidRPr="00893D31">
              <w:t>4</w:t>
            </w:r>
          </w:p>
        </w:tc>
        <w:tc>
          <w:tcPr>
            <w:tcW w:w="6075" w:type="dxa"/>
            <w:tcBorders>
              <w:bottom w:val="single" w:sz="8" w:space="0" w:color="000000"/>
              <w:right w:val="single" w:sz="8" w:space="0" w:color="000000"/>
            </w:tcBorders>
            <w:tcMar>
              <w:top w:w="100" w:type="dxa"/>
              <w:left w:w="100" w:type="dxa"/>
              <w:bottom w:w="100" w:type="dxa"/>
              <w:right w:w="100" w:type="dxa"/>
            </w:tcMar>
          </w:tcPr>
          <w:p w14:paraId="2C76A8C1" w14:textId="77777777" w:rsidR="0002467D" w:rsidRPr="00893D31" w:rsidRDefault="0002467D" w:rsidP="00FE48F5">
            <w:r w:rsidRPr="00893D31">
              <w:t>"</w:t>
            </w:r>
            <w:proofErr w:type="spellStart"/>
            <w:r w:rsidRPr="00893D31">
              <w:t>Self administration</w:t>
            </w:r>
            <w:proofErr w:type="spellEnd"/>
            <w:r w:rsidRPr="00893D31">
              <w:t>" [Mesh] OR relapse[</w:t>
            </w:r>
            <w:proofErr w:type="spellStart"/>
            <w:r w:rsidRPr="00893D31">
              <w:t>tiab</w:t>
            </w:r>
            <w:proofErr w:type="spellEnd"/>
            <w:r w:rsidRPr="00893D31">
              <w:t>] OR choice[</w:t>
            </w:r>
            <w:proofErr w:type="spellStart"/>
            <w:r w:rsidRPr="00893D31">
              <w:t>tiab</w:t>
            </w:r>
            <w:proofErr w:type="spellEnd"/>
            <w:r w:rsidRPr="00893D31">
              <w:t xml:space="preserve">] OR </w:t>
            </w:r>
            <w:proofErr w:type="spellStart"/>
            <w:r w:rsidRPr="00893D31">
              <w:t>reinforc</w:t>
            </w:r>
            <w:proofErr w:type="spellEnd"/>
            <w:r w:rsidRPr="00893D31">
              <w:t>*[</w:t>
            </w:r>
            <w:proofErr w:type="spellStart"/>
            <w:r w:rsidRPr="00893D31">
              <w:t>tiab</w:t>
            </w:r>
            <w:proofErr w:type="spellEnd"/>
            <w:r w:rsidRPr="00893D31">
              <w:t>]</w:t>
            </w:r>
          </w:p>
        </w:tc>
        <w:tc>
          <w:tcPr>
            <w:tcW w:w="1560" w:type="dxa"/>
            <w:tcBorders>
              <w:bottom w:val="single" w:sz="8" w:space="0" w:color="000000"/>
              <w:right w:val="single" w:sz="8" w:space="0" w:color="000000"/>
            </w:tcBorders>
            <w:tcMar>
              <w:top w:w="100" w:type="dxa"/>
              <w:left w:w="100" w:type="dxa"/>
              <w:bottom w:w="100" w:type="dxa"/>
              <w:right w:w="100" w:type="dxa"/>
            </w:tcMar>
          </w:tcPr>
          <w:p w14:paraId="5F34C316" w14:textId="722D6D00" w:rsidR="0002467D" w:rsidRPr="00893D31" w:rsidRDefault="0002467D" w:rsidP="00FE48F5">
            <w:pPr>
              <w:jc w:val="right"/>
            </w:pPr>
            <w:r w:rsidRPr="00893D31">
              <w:t>542,849</w:t>
            </w:r>
          </w:p>
        </w:tc>
      </w:tr>
      <w:tr w:rsidR="0002467D" w:rsidRPr="00893D31" w14:paraId="3669EA76" w14:textId="77777777" w:rsidTr="00FE48F5">
        <w:trPr>
          <w:trHeight w:val="485"/>
        </w:trPr>
        <w:tc>
          <w:tcPr>
            <w:tcW w:w="12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9816B4F" w14:textId="1411372D" w:rsidR="0002467D" w:rsidRPr="00893D31" w:rsidRDefault="0002467D" w:rsidP="00FE48F5">
            <w:r w:rsidRPr="00893D31">
              <w:t>5</w:t>
            </w:r>
          </w:p>
        </w:tc>
        <w:tc>
          <w:tcPr>
            <w:tcW w:w="6075" w:type="dxa"/>
            <w:tcBorders>
              <w:bottom w:val="single" w:sz="8" w:space="0" w:color="000000"/>
              <w:right w:val="single" w:sz="8" w:space="0" w:color="000000"/>
            </w:tcBorders>
            <w:tcMar>
              <w:top w:w="100" w:type="dxa"/>
              <w:left w:w="100" w:type="dxa"/>
              <w:bottom w:w="100" w:type="dxa"/>
              <w:right w:w="100" w:type="dxa"/>
            </w:tcMar>
          </w:tcPr>
          <w:p w14:paraId="44FE73F7" w14:textId="77777777" w:rsidR="0002467D" w:rsidRPr="00893D31" w:rsidRDefault="0002467D" w:rsidP="00FE48F5">
            <w:r w:rsidRPr="00893D31">
              <w:t xml:space="preserve">(#1 OR #2) AND #3 </w:t>
            </w:r>
          </w:p>
        </w:tc>
        <w:tc>
          <w:tcPr>
            <w:tcW w:w="1560" w:type="dxa"/>
            <w:tcBorders>
              <w:bottom w:val="single" w:sz="8" w:space="0" w:color="000000"/>
              <w:right w:val="single" w:sz="8" w:space="0" w:color="000000"/>
            </w:tcBorders>
            <w:tcMar>
              <w:top w:w="100" w:type="dxa"/>
              <w:left w:w="100" w:type="dxa"/>
              <w:bottom w:w="100" w:type="dxa"/>
              <w:right w:w="100" w:type="dxa"/>
            </w:tcMar>
          </w:tcPr>
          <w:p w14:paraId="70B3A265" w14:textId="548524BE" w:rsidR="0002467D" w:rsidRPr="00893D31" w:rsidRDefault="0002467D" w:rsidP="00FE48F5">
            <w:pPr>
              <w:jc w:val="right"/>
            </w:pPr>
            <w:r w:rsidRPr="00893D31">
              <w:t>311</w:t>
            </w:r>
          </w:p>
        </w:tc>
      </w:tr>
      <w:tr w:rsidR="0002467D" w:rsidRPr="00893D31" w14:paraId="5D794428" w14:textId="77777777" w:rsidTr="00FE48F5">
        <w:trPr>
          <w:trHeight w:val="485"/>
        </w:trPr>
        <w:tc>
          <w:tcPr>
            <w:tcW w:w="12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8548EC1" w14:textId="544A7BE3" w:rsidR="0002467D" w:rsidRPr="00893D31" w:rsidRDefault="0002467D" w:rsidP="00FE48F5">
            <w:r w:rsidRPr="00893D31">
              <w:t>6</w:t>
            </w:r>
          </w:p>
        </w:tc>
        <w:tc>
          <w:tcPr>
            <w:tcW w:w="6075" w:type="dxa"/>
            <w:tcBorders>
              <w:bottom w:val="single" w:sz="8" w:space="0" w:color="000000"/>
              <w:right w:val="single" w:sz="8" w:space="0" w:color="000000"/>
            </w:tcBorders>
            <w:tcMar>
              <w:top w:w="100" w:type="dxa"/>
              <w:left w:w="100" w:type="dxa"/>
              <w:bottom w:w="100" w:type="dxa"/>
              <w:right w:w="100" w:type="dxa"/>
            </w:tcMar>
          </w:tcPr>
          <w:p w14:paraId="7EF54C70" w14:textId="77777777" w:rsidR="0002467D" w:rsidRPr="00893D31" w:rsidRDefault="0002467D" w:rsidP="00FE48F5">
            <w:r w:rsidRPr="00893D31">
              <w:t>(#1 OR #2) AND #4</w:t>
            </w:r>
          </w:p>
        </w:tc>
        <w:tc>
          <w:tcPr>
            <w:tcW w:w="1560" w:type="dxa"/>
            <w:tcBorders>
              <w:bottom w:val="single" w:sz="8" w:space="0" w:color="000000"/>
              <w:right w:val="single" w:sz="8" w:space="0" w:color="000000"/>
            </w:tcBorders>
            <w:tcMar>
              <w:top w:w="100" w:type="dxa"/>
              <w:left w:w="100" w:type="dxa"/>
              <w:bottom w:w="100" w:type="dxa"/>
              <w:right w:w="100" w:type="dxa"/>
            </w:tcMar>
          </w:tcPr>
          <w:p w14:paraId="23826C16" w14:textId="047B10CA" w:rsidR="0002467D" w:rsidRPr="00893D31" w:rsidRDefault="0002467D" w:rsidP="00FE48F5">
            <w:pPr>
              <w:jc w:val="right"/>
            </w:pPr>
            <w:r w:rsidRPr="00893D31">
              <w:t>560</w:t>
            </w:r>
          </w:p>
        </w:tc>
      </w:tr>
      <w:tr w:rsidR="0002467D" w:rsidRPr="00893D31" w14:paraId="231CBA79" w14:textId="77777777" w:rsidTr="00243636">
        <w:trPr>
          <w:trHeight w:val="485"/>
        </w:trPr>
        <w:tc>
          <w:tcPr>
            <w:tcW w:w="12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038AD44" w14:textId="69A74FC6" w:rsidR="0002467D" w:rsidRPr="00893D31" w:rsidRDefault="0002467D" w:rsidP="00FE48F5">
            <w:pPr>
              <w:rPr>
                <w:b/>
              </w:rPr>
            </w:pPr>
            <w:r w:rsidRPr="00893D31">
              <w:rPr>
                <w:b/>
              </w:rPr>
              <w:t>7</w:t>
            </w:r>
          </w:p>
        </w:tc>
        <w:tc>
          <w:tcPr>
            <w:tcW w:w="6075" w:type="dxa"/>
            <w:tcBorders>
              <w:bottom w:val="single" w:sz="8" w:space="0" w:color="000000"/>
              <w:right w:val="single" w:sz="8" w:space="0" w:color="000000"/>
            </w:tcBorders>
            <w:tcMar>
              <w:top w:w="100" w:type="dxa"/>
              <w:left w:w="100" w:type="dxa"/>
              <w:bottom w:w="100" w:type="dxa"/>
              <w:right w:w="100" w:type="dxa"/>
            </w:tcMar>
          </w:tcPr>
          <w:p w14:paraId="695BD168" w14:textId="5805177C" w:rsidR="0002467D" w:rsidRPr="00893D31" w:rsidRDefault="0002467D" w:rsidP="00FE48F5">
            <w:pPr>
              <w:rPr>
                <w:b/>
              </w:rPr>
            </w:pPr>
            <w:r w:rsidRPr="00893D31">
              <w:rPr>
                <w:b/>
              </w:rPr>
              <w:t>#5 OR #6</w:t>
            </w:r>
          </w:p>
        </w:tc>
        <w:tc>
          <w:tcPr>
            <w:tcW w:w="1560" w:type="dxa"/>
            <w:tcBorders>
              <w:bottom w:val="single" w:sz="8" w:space="0" w:color="000000"/>
              <w:right w:val="single" w:sz="8" w:space="0" w:color="000000"/>
            </w:tcBorders>
            <w:tcMar>
              <w:top w:w="100" w:type="dxa"/>
              <w:left w:w="100" w:type="dxa"/>
              <w:bottom w:w="100" w:type="dxa"/>
              <w:right w:w="100" w:type="dxa"/>
            </w:tcMar>
          </w:tcPr>
          <w:p w14:paraId="027D7C78" w14:textId="69CE0E02" w:rsidR="0002467D" w:rsidRPr="00893D31" w:rsidRDefault="0002467D" w:rsidP="00FE48F5">
            <w:pPr>
              <w:jc w:val="right"/>
              <w:rPr>
                <w:b/>
              </w:rPr>
            </w:pPr>
            <w:r w:rsidRPr="00893D31">
              <w:rPr>
                <w:b/>
              </w:rPr>
              <w:t>829</w:t>
            </w:r>
          </w:p>
        </w:tc>
      </w:tr>
    </w:tbl>
    <w:p w14:paraId="68FDCC35" w14:textId="77777777" w:rsidR="000A77B9" w:rsidRPr="00893D31" w:rsidRDefault="000A77B9"/>
    <w:p w14:paraId="31252843" w14:textId="68ADE4BC" w:rsidR="00B12A18" w:rsidRPr="00893D31" w:rsidRDefault="00B12A18" w:rsidP="001772A8"/>
    <w:p w14:paraId="310B7F43" w14:textId="211DEB02" w:rsidR="00B12A18" w:rsidRPr="00893D31" w:rsidRDefault="00B12A18" w:rsidP="001772A8"/>
    <w:p w14:paraId="13CD7203" w14:textId="0881BB7B" w:rsidR="00B12A18" w:rsidRPr="00893D31" w:rsidRDefault="00B12A18" w:rsidP="001772A8"/>
    <w:p w14:paraId="7402102F" w14:textId="0E33D0C1" w:rsidR="000319BB" w:rsidRPr="00893D31" w:rsidRDefault="000319BB" w:rsidP="001772A8"/>
    <w:p w14:paraId="74DC26BF" w14:textId="3CC754CA" w:rsidR="000319BB" w:rsidRPr="00893D31" w:rsidRDefault="000319BB" w:rsidP="001772A8"/>
    <w:p w14:paraId="7779A46E" w14:textId="17B8B7FC" w:rsidR="000319BB" w:rsidRDefault="000319BB" w:rsidP="001772A8"/>
    <w:p w14:paraId="2476EC08" w14:textId="29710B2D" w:rsidR="00216731" w:rsidRDefault="00216731" w:rsidP="001772A8"/>
    <w:p w14:paraId="0D846580" w14:textId="77777777" w:rsidR="006D7571" w:rsidRDefault="006D7571" w:rsidP="001772A8"/>
    <w:p w14:paraId="4C801DC5" w14:textId="7260FADA" w:rsidR="00B12A18" w:rsidRPr="00893D31" w:rsidRDefault="009D16B6" w:rsidP="001772A8">
      <w:pPr>
        <w:rPr>
          <w:b/>
        </w:rPr>
      </w:pPr>
      <w:bookmarkStart w:id="0" w:name="_GoBack"/>
      <w:bookmarkEnd w:id="0"/>
      <w:r w:rsidRPr="00893D31">
        <w:rPr>
          <w:b/>
        </w:rPr>
        <w:lastRenderedPageBreak/>
        <w:t xml:space="preserve">Supplementary Table </w:t>
      </w:r>
      <w:r w:rsidR="001D6994" w:rsidRPr="00893D31">
        <w:rPr>
          <w:b/>
        </w:rPr>
        <w:t>2</w:t>
      </w:r>
      <w:r w:rsidR="003922AB" w:rsidRPr="00893D31">
        <w:rPr>
          <w:b/>
        </w:rPr>
        <w:t>.</w:t>
      </w:r>
      <w:r w:rsidR="004C14B2" w:rsidRPr="00893D31">
        <w:rPr>
          <w:b/>
        </w:rPr>
        <w:t xml:space="preserve"> Excluded</w:t>
      </w:r>
      <w:r w:rsidR="000319BB" w:rsidRPr="00893D31">
        <w:rPr>
          <w:b/>
        </w:rPr>
        <w:t xml:space="preserve"> CSA</w:t>
      </w:r>
      <w:r w:rsidR="004C14B2" w:rsidRPr="00893D31">
        <w:rPr>
          <w:b/>
        </w:rPr>
        <w:t xml:space="preserve"> Ad libitum articles (n= </w:t>
      </w:r>
      <w:r w:rsidR="000C2DF2">
        <w:rPr>
          <w:b/>
        </w:rPr>
        <w:t>34</w:t>
      </w:r>
      <w:r w:rsidR="004C14B2" w:rsidRPr="00893D31">
        <w:rPr>
          <w:b/>
        </w:rPr>
        <w:t>)</w:t>
      </w:r>
    </w:p>
    <w:tbl>
      <w:tblPr>
        <w:tblStyle w:val="TableGrid"/>
        <w:tblW w:w="0" w:type="auto"/>
        <w:tblLook w:val="04A0" w:firstRow="1" w:lastRow="0" w:firstColumn="1" w:lastColumn="0" w:noHBand="0" w:noVBand="1"/>
      </w:tblPr>
      <w:tblGrid>
        <w:gridCol w:w="1885"/>
        <w:gridCol w:w="7465"/>
      </w:tblGrid>
      <w:tr w:rsidR="004C14B2" w:rsidRPr="00893D31" w14:paraId="78C00F94" w14:textId="77777777" w:rsidTr="000319BB">
        <w:tc>
          <w:tcPr>
            <w:tcW w:w="1885" w:type="dxa"/>
          </w:tcPr>
          <w:p w14:paraId="2E405B6C" w14:textId="65BA5AB2" w:rsidR="004C14B2" w:rsidRPr="00893D31" w:rsidRDefault="004C14B2" w:rsidP="001772A8">
            <w:pPr>
              <w:rPr>
                <w:b/>
              </w:rPr>
            </w:pPr>
            <w:r w:rsidRPr="00893D31">
              <w:rPr>
                <w:b/>
              </w:rPr>
              <w:t>Reason for Exclusion</w:t>
            </w:r>
          </w:p>
        </w:tc>
        <w:tc>
          <w:tcPr>
            <w:tcW w:w="7465" w:type="dxa"/>
          </w:tcPr>
          <w:p w14:paraId="75FFFDFF" w14:textId="3F788FE5" w:rsidR="004C14B2" w:rsidRPr="00893D31" w:rsidRDefault="004C14B2" w:rsidP="001772A8">
            <w:pPr>
              <w:rPr>
                <w:b/>
              </w:rPr>
            </w:pPr>
            <w:r w:rsidRPr="00893D31">
              <w:rPr>
                <w:b/>
              </w:rPr>
              <w:t>Study Title</w:t>
            </w:r>
          </w:p>
        </w:tc>
      </w:tr>
      <w:tr w:rsidR="00556F5E" w:rsidRPr="00893D31" w14:paraId="376CEB24" w14:textId="77777777" w:rsidTr="000319BB">
        <w:tc>
          <w:tcPr>
            <w:tcW w:w="1885" w:type="dxa"/>
          </w:tcPr>
          <w:p w14:paraId="2C52E52E" w14:textId="548140F9" w:rsidR="00556F5E" w:rsidRPr="00893D31" w:rsidRDefault="00556F5E" w:rsidP="004C14B2">
            <w:r w:rsidRPr="00893D31">
              <w:t>S</w:t>
            </w:r>
            <w:r w:rsidR="000C2DF2">
              <w:t>elf-supplied Cannabis (n = 3</w:t>
            </w:r>
            <w:r w:rsidRPr="00893D31">
              <w:t>)</w:t>
            </w:r>
          </w:p>
        </w:tc>
        <w:tc>
          <w:tcPr>
            <w:tcW w:w="7465" w:type="dxa"/>
          </w:tcPr>
          <w:p w14:paraId="5BC60617" w14:textId="77777777" w:rsidR="0098376A" w:rsidRPr="00893D31" w:rsidRDefault="0098376A" w:rsidP="000C2DF2">
            <w:pPr>
              <w:pStyle w:val="ListParagraph"/>
              <w:numPr>
                <w:ilvl w:val="0"/>
                <w:numId w:val="1"/>
              </w:numPr>
            </w:pPr>
            <w:r w:rsidRPr="00893D31">
              <w:t xml:space="preserve">Bidwell, L. C., </w:t>
            </w:r>
            <w:proofErr w:type="spellStart"/>
            <w:r w:rsidRPr="00893D31">
              <w:t>Ellingson</w:t>
            </w:r>
            <w:proofErr w:type="spellEnd"/>
            <w:r w:rsidRPr="00893D31">
              <w:t xml:space="preserve">, J. M., </w:t>
            </w:r>
            <w:proofErr w:type="spellStart"/>
            <w:r w:rsidRPr="00893D31">
              <w:t>Karoly</w:t>
            </w:r>
            <w:proofErr w:type="spellEnd"/>
            <w:r w:rsidRPr="00893D31">
              <w:t xml:space="preserve">, H. C., </w:t>
            </w:r>
            <w:proofErr w:type="spellStart"/>
            <w:r w:rsidRPr="00893D31">
              <w:t>YorkWilliams</w:t>
            </w:r>
            <w:proofErr w:type="spellEnd"/>
            <w:r w:rsidRPr="00893D31">
              <w:t xml:space="preserve">, S. L., Hitchcock, L. N., Tracy, B. L., </w:t>
            </w:r>
            <w:proofErr w:type="spellStart"/>
            <w:r w:rsidRPr="00893D31">
              <w:t>Klawitter</w:t>
            </w:r>
            <w:proofErr w:type="spellEnd"/>
            <w:r w:rsidRPr="00893D31">
              <w:t xml:space="preserve">, J., </w:t>
            </w:r>
            <w:proofErr w:type="spellStart"/>
            <w:r w:rsidRPr="00893D31">
              <w:t>Sempio</w:t>
            </w:r>
            <w:proofErr w:type="spellEnd"/>
            <w:r w:rsidRPr="00893D31">
              <w:t xml:space="preserve">, C., Bryan, A. D., &amp; Hutchison, K. E. (2020). Association of Naturalistic Administration of Cannabis Flower and Concentrates </w:t>
            </w:r>
            <w:proofErr w:type="gramStart"/>
            <w:r w:rsidRPr="00893D31">
              <w:t>With</w:t>
            </w:r>
            <w:proofErr w:type="gramEnd"/>
            <w:r w:rsidRPr="00893D31">
              <w:t xml:space="preserve"> Intoxication and Impairment. </w:t>
            </w:r>
            <w:r w:rsidRPr="00893D31">
              <w:rPr>
                <w:i/>
              </w:rPr>
              <w:t>JAMA Psychiatry, 77</w:t>
            </w:r>
            <w:r w:rsidRPr="00893D31">
              <w:t>(8), 787. https://doi.org/10.1001/jamapsychiatry.2020.0927</w:t>
            </w:r>
          </w:p>
          <w:p w14:paraId="1CE4B068" w14:textId="6B984AF0" w:rsidR="00E306A1" w:rsidRDefault="0098376A" w:rsidP="00F929FA">
            <w:pPr>
              <w:pStyle w:val="ListParagraph"/>
              <w:numPr>
                <w:ilvl w:val="0"/>
                <w:numId w:val="1"/>
              </w:numPr>
            </w:pPr>
            <w:proofErr w:type="spellStart"/>
            <w:r w:rsidRPr="00893D31">
              <w:t>DeGregorio</w:t>
            </w:r>
            <w:proofErr w:type="spellEnd"/>
            <w:r w:rsidRPr="00893D31">
              <w:t xml:space="preserve">, M. W., </w:t>
            </w:r>
            <w:proofErr w:type="spellStart"/>
            <w:r w:rsidRPr="00893D31">
              <w:t>Wurz</w:t>
            </w:r>
            <w:proofErr w:type="spellEnd"/>
            <w:r w:rsidRPr="00893D31">
              <w:t>, G. T., Montoya, E., &amp; Kao, C.-J. (2021). A comprehensive breath test that confirms recent use of inhaled cannabis within the impairment window</w:t>
            </w:r>
            <w:r w:rsidRPr="00893D31">
              <w:rPr>
                <w:i/>
              </w:rPr>
              <w:t>. Scientific Reports, 11</w:t>
            </w:r>
            <w:r w:rsidRPr="00893D31">
              <w:t xml:space="preserve">(1), 22776. </w:t>
            </w:r>
            <w:hyperlink r:id="rId8" w:history="1">
              <w:r w:rsidR="000C2DF2" w:rsidRPr="00ED77C4">
                <w:rPr>
                  <w:rStyle w:val="Hyperlink"/>
                </w:rPr>
                <w:t>https://doi.org/10.1038/s41598-021-02137-x</w:t>
              </w:r>
            </w:hyperlink>
          </w:p>
          <w:p w14:paraId="032ED9FA" w14:textId="1E41AED3" w:rsidR="000C2DF2" w:rsidRPr="00893D31" w:rsidRDefault="000C2DF2" w:rsidP="00F929FA">
            <w:pPr>
              <w:pStyle w:val="NoSpacing"/>
              <w:numPr>
                <w:ilvl w:val="0"/>
                <w:numId w:val="1"/>
              </w:numPr>
            </w:pPr>
            <w:proofErr w:type="spellStart"/>
            <w:r w:rsidRPr="00893D31">
              <w:t>Wurz</w:t>
            </w:r>
            <w:proofErr w:type="spellEnd"/>
            <w:r w:rsidRPr="00893D31">
              <w:t xml:space="preserve">, G. T., &amp; </w:t>
            </w:r>
            <w:proofErr w:type="spellStart"/>
            <w:r w:rsidRPr="00893D31">
              <w:t>DeGregorio</w:t>
            </w:r>
            <w:proofErr w:type="spellEnd"/>
            <w:r w:rsidRPr="00893D31">
              <w:t>, M. W. (2022). Indeterminacy of cannabis impairment and ∆9-tetrahydrocannabinol (∆9-THC) levels in blood and breath</w:t>
            </w:r>
            <w:r w:rsidRPr="00893D31">
              <w:rPr>
                <w:i/>
              </w:rPr>
              <w:t>. Scientific Reports, 12</w:t>
            </w:r>
            <w:r w:rsidRPr="00893D31">
              <w:t>(1), 8323. https://doi.org/10.1038/s41598-022-11481-5</w:t>
            </w:r>
          </w:p>
        </w:tc>
      </w:tr>
      <w:tr w:rsidR="004C14B2" w:rsidRPr="00893D31" w14:paraId="2DE28A87" w14:textId="77777777" w:rsidTr="000319BB">
        <w:tc>
          <w:tcPr>
            <w:tcW w:w="1885" w:type="dxa"/>
          </w:tcPr>
          <w:p w14:paraId="651779DC" w14:textId="67099A35" w:rsidR="004C14B2" w:rsidRPr="00893D31" w:rsidRDefault="004C14B2" w:rsidP="004C14B2">
            <w:r w:rsidRPr="00893D31">
              <w:t xml:space="preserve">No CSA behavior </w:t>
            </w:r>
            <w:r w:rsidR="00556F5E" w:rsidRPr="00893D31">
              <w:t xml:space="preserve">or subjective responses </w:t>
            </w:r>
            <w:r w:rsidRPr="00893D31">
              <w:t>(n = 1</w:t>
            </w:r>
            <w:r w:rsidR="002F2708">
              <w:t>4</w:t>
            </w:r>
            <w:r w:rsidRPr="00893D31">
              <w:t>)</w:t>
            </w:r>
          </w:p>
          <w:p w14:paraId="7B2288FD" w14:textId="77777777" w:rsidR="004C14B2" w:rsidRPr="00893D31" w:rsidRDefault="004C14B2" w:rsidP="001772A8"/>
        </w:tc>
        <w:tc>
          <w:tcPr>
            <w:tcW w:w="7465" w:type="dxa"/>
          </w:tcPr>
          <w:p w14:paraId="3F59DBA0" w14:textId="5FC6EBA4" w:rsidR="00852FDE" w:rsidRPr="00893D31" w:rsidRDefault="00852FDE" w:rsidP="000C2DF2">
            <w:pPr>
              <w:pStyle w:val="NoSpacing"/>
              <w:numPr>
                <w:ilvl w:val="0"/>
                <w:numId w:val="7"/>
              </w:numPr>
            </w:pPr>
            <w:proofErr w:type="spellStart"/>
            <w:r w:rsidRPr="00893D31">
              <w:t>Desrosiers</w:t>
            </w:r>
            <w:proofErr w:type="spellEnd"/>
            <w:r w:rsidRPr="00893D31">
              <w:t xml:space="preserve">, N. A., Himes, S. K., </w:t>
            </w:r>
            <w:proofErr w:type="spellStart"/>
            <w:r w:rsidRPr="00893D31">
              <w:t>Scheidweiler</w:t>
            </w:r>
            <w:proofErr w:type="spellEnd"/>
            <w:r w:rsidRPr="00893D31">
              <w:t xml:space="preserve">, K. B., </w:t>
            </w:r>
            <w:proofErr w:type="spellStart"/>
            <w:r w:rsidRPr="00893D31">
              <w:t>Concheiro-Guisan</w:t>
            </w:r>
            <w:proofErr w:type="spellEnd"/>
            <w:r w:rsidRPr="00893D31">
              <w:t xml:space="preserve">, M., </w:t>
            </w:r>
            <w:proofErr w:type="spellStart"/>
            <w:r w:rsidRPr="00893D31">
              <w:t>Gorelick</w:t>
            </w:r>
            <w:proofErr w:type="spellEnd"/>
            <w:r w:rsidRPr="00893D31">
              <w:t xml:space="preserve">, D. A., &amp; </w:t>
            </w:r>
            <w:proofErr w:type="spellStart"/>
            <w:r w:rsidRPr="00893D31">
              <w:t>Huestis</w:t>
            </w:r>
            <w:proofErr w:type="spellEnd"/>
            <w:r w:rsidRPr="00893D31">
              <w:t xml:space="preserve">, M. A. (2014). Phase </w:t>
            </w:r>
            <w:proofErr w:type="gramStart"/>
            <w:r w:rsidRPr="00893D31">
              <w:t>I</w:t>
            </w:r>
            <w:proofErr w:type="gramEnd"/>
            <w:r w:rsidRPr="00893D31">
              <w:t xml:space="preserve"> and II cannabinoid disposition in blood and plasma of occasional and frequent smokers following controlled smoked cannabis. </w:t>
            </w:r>
            <w:r w:rsidRPr="00893D31">
              <w:rPr>
                <w:i/>
              </w:rPr>
              <w:t>Clinical Chemistry, 60</w:t>
            </w:r>
            <w:r w:rsidRPr="00893D31">
              <w:t>(4), 631–643. https://doi.org/10.1373/clinchem.2013.216507</w:t>
            </w:r>
          </w:p>
          <w:p w14:paraId="754B5F84" w14:textId="77777777" w:rsidR="00852FDE" w:rsidRPr="00893D31" w:rsidRDefault="00852FDE" w:rsidP="000C2DF2">
            <w:pPr>
              <w:pStyle w:val="NoSpacing"/>
              <w:numPr>
                <w:ilvl w:val="0"/>
                <w:numId w:val="7"/>
              </w:numPr>
            </w:pPr>
            <w:proofErr w:type="spellStart"/>
            <w:r w:rsidRPr="00893D31">
              <w:t>Desrosiers</w:t>
            </w:r>
            <w:proofErr w:type="spellEnd"/>
            <w:r w:rsidRPr="00893D31">
              <w:t xml:space="preserve">, N. A., Lee, D., </w:t>
            </w:r>
            <w:proofErr w:type="spellStart"/>
            <w:r w:rsidRPr="00893D31">
              <w:t>Concheiro-Guisan</w:t>
            </w:r>
            <w:proofErr w:type="spellEnd"/>
            <w:r w:rsidRPr="00893D31">
              <w:t xml:space="preserve">, M., </w:t>
            </w:r>
            <w:proofErr w:type="spellStart"/>
            <w:r w:rsidRPr="00893D31">
              <w:t>Scheidweiler</w:t>
            </w:r>
            <w:proofErr w:type="spellEnd"/>
            <w:r w:rsidRPr="00893D31">
              <w:t xml:space="preserve">, K. B., </w:t>
            </w:r>
            <w:proofErr w:type="spellStart"/>
            <w:r w:rsidRPr="00893D31">
              <w:t>Gorelick</w:t>
            </w:r>
            <w:proofErr w:type="spellEnd"/>
            <w:r w:rsidRPr="00893D31">
              <w:t xml:space="preserve">, D. A., &amp; </w:t>
            </w:r>
            <w:proofErr w:type="spellStart"/>
            <w:r w:rsidRPr="00893D31">
              <w:t>Huestis</w:t>
            </w:r>
            <w:proofErr w:type="spellEnd"/>
            <w:r w:rsidRPr="00893D31">
              <w:t xml:space="preserve">, M. A. (2014). Urinary cannabinoid disposition in occasional and frequent smokers: Is THC-glucuronide in sequential urine samples a marker of recent use in frequent smokers? </w:t>
            </w:r>
            <w:r w:rsidRPr="00893D31">
              <w:rPr>
                <w:i/>
              </w:rPr>
              <w:t>Clinical Chemistry, 60</w:t>
            </w:r>
            <w:r w:rsidRPr="00893D31">
              <w:t>(2), 361–372. https://doi.org/10.1373/clinchem.2013.214106</w:t>
            </w:r>
          </w:p>
          <w:p w14:paraId="679C3559" w14:textId="77777777" w:rsidR="00852FDE" w:rsidRPr="00893D31" w:rsidRDefault="00852FDE" w:rsidP="000C2DF2">
            <w:pPr>
              <w:pStyle w:val="NoSpacing"/>
              <w:numPr>
                <w:ilvl w:val="0"/>
                <w:numId w:val="7"/>
              </w:numPr>
            </w:pPr>
            <w:proofErr w:type="spellStart"/>
            <w:r w:rsidRPr="00893D31">
              <w:t>Desrosiers</w:t>
            </w:r>
            <w:proofErr w:type="spellEnd"/>
            <w:r w:rsidRPr="00893D31">
              <w:t xml:space="preserve">, N. A., Lee, D., </w:t>
            </w:r>
            <w:proofErr w:type="spellStart"/>
            <w:r w:rsidRPr="00893D31">
              <w:t>Scheidweiler</w:t>
            </w:r>
            <w:proofErr w:type="spellEnd"/>
            <w:r w:rsidRPr="00893D31">
              <w:t xml:space="preserve">, K. B., </w:t>
            </w:r>
            <w:proofErr w:type="spellStart"/>
            <w:r w:rsidRPr="00893D31">
              <w:t>Concheiro-Guisan</w:t>
            </w:r>
            <w:proofErr w:type="spellEnd"/>
            <w:r w:rsidRPr="00893D31">
              <w:t xml:space="preserve">, M., </w:t>
            </w:r>
            <w:proofErr w:type="spellStart"/>
            <w:r w:rsidRPr="00893D31">
              <w:t>Gorelick</w:t>
            </w:r>
            <w:proofErr w:type="spellEnd"/>
            <w:r w:rsidRPr="00893D31">
              <w:t xml:space="preserve">, D. A., &amp; </w:t>
            </w:r>
            <w:proofErr w:type="spellStart"/>
            <w:r w:rsidRPr="00893D31">
              <w:t>Huestis</w:t>
            </w:r>
            <w:proofErr w:type="spellEnd"/>
            <w:r w:rsidRPr="00893D31">
              <w:t xml:space="preserve">, M. A. (2014). In Vitro Stability of Free and </w:t>
            </w:r>
            <w:proofErr w:type="spellStart"/>
            <w:r w:rsidRPr="00893D31">
              <w:t>Glucuronidated</w:t>
            </w:r>
            <w:proofErr w:type="spellEnd"/>
            <w:r w:rsidRPr="00893D31">
              <w:t xml:space="preserve"> Cannabinoids in Urine Following Controlled Smoked Cannabis. </w:t>
            </w:r>
            <w:r w:rsidRPr="00893D31">
              <w:rPr>
                <w:i/>
              </w:rPr>
              <w:t>Analytical and Bioanalytical Chemistry, 406</w:t>
            </w:r>
            <w:r w:rsidRPr="00893D31">
              <w:t>(3), 785–792. https://doi.org/10.1007/s00216-013-7524-7</w:t>
            </w:r>
          </w:p>
          <w:p w14:paraId="6EB794D6" w14:textId="77777777" w:rsidR="00852FDE" w:rsidRPr="00893D31" w:rsidRDefault="00852FDE" w:rsidP="000C2DF2">
            <w:pPr>
              <w:pStyle w:val="NoSpacing"/>
              <w:numPr>
                <w:ilvl w:val="0"/>
                <w:numId w:val="7"/>
              </w:numPr>
            </w:pPr>
            <w:proofErr w:type="spellStart"/>
            <w:r w:rsidRPr="00893D31">
              <w:t>Desrosiers</w:t>
            </w:r>
            <w:proofErr w:type="spellEnd"/>
            <w:r w:rsidRPr="00893D31">
              <w:t xml:space="preserve">, N. A., Lee, D., </w:t>
            </w:r>
            <w:proofErr w:type="spellStart"/>
            <w:r w:rsidRPr="00893D31">
              <w:t>Schwope</w:t>
            </w:r>
            <w:proofErr w:type="spellEnd"/>
            <w:r w:rsidRPr="00893D31">
              <w:t xml:space="preserve">, D. M., </w:t>
            </w:r>
            <w:proofErr w:type="spellStart"/>
            <w:r w:rsidRPr="00893D31">
              <w:t>Milman</w:t>
            </w:r>
            <w:proofErr w:type="spellEnd"/>
            <w:r w:rsidRPr="00893D31">
              <w:t xml:space="preserve">, G., Barnes, A. J., </w:t>
            </w:r>
            <w:proofErr w:type="spellStart"/>
            <w:r w:rsidRPr="00893D31">
              <w:t>Gorelick</w:t>
            </w:r>
            <w:proofErr w:type="spellEnd"/>
            <w:r w:rsidRPr="00893D31">
              <w:t xml:space="preserve">, D. A., &amp; </w:t>
            </w:r>
            <w:proofErr w:type="spellStart"/>
            <w:r w:rsidRPr="00893D31">
              <w:t>Huestis</w:t>
            </w:r>
            <w:proofErr w:type="spellEnd"/>
            <w:r w:rsidRPr="00893D31">
              <w:t>, M. A. (2012). On-site test for cannabinoids in oral fluid</w:t>
            </w:r>
            <w:r w:rsidRPr="00893D31">
              <w:rPr>
                <w:i/>
              </w:rPr>
              <w:t>. Clinical Chemistry, 58(</w:t>
            </w:r>
            <w:r w:rsidRPr="00893D31">
              <w:t>10), 1418–1425. https://doi.org/10.1373/clinchem.2012.189001</w:t>
            </w:r>
          </w:p>
          <w:p w14:paraId="13D5B91A" w14:textId="77777777" w:rsidR="00852FDE" w:rsidRPr="00893D31" w:rsidRDefault="00852FDE" w:rsidP="000C2DF2">
            <w:pPr>
              <w:pStyle w:val="NoSpacing"/>
              <w:numPr>
                <w:ilvl w:val="0"/>
                <w:numId w:val="7"/>
              </w:numPr>
            </w:pPr>
            <w:proofErr w:type="spellStart"/>
            <w:r w:rsidRPr="00893D31">
              <w:t>Desrosiers</w:t>
            </w:r>
            <w:proofErr w:type="spellEnd"/>
            <w:r w:rsidRPr="00893D31">
              <w:t xml:space="preserve">, N. A., </w:t>
            </w:r>
            <w:proofErr w:type="spellStart"/>
            <w:r w:rsidRPr="00893D31">
              <w:t>Milman</w:t>
            </w:r>
            <w:proofErr w:type="spellEnd"/>
            <w:r w:rsidRPr="00893D31">
              <w:t xml:space="preserve">, G., </w:t>
            </w:r>
            <w:proofErr w:type="spellStart"/>
            <w:r w:rsidRPr="00893D31">
              <w:t>Mendu</w:t>
            </w:r>
            <w:proofErr w:type="spellEnd"/>
            <w:r w:rsidRPr="00893D31">
              <w:t xml:space="preserve">, D. R., Lee, D., Barnes, A. J., </w:t>
            </w:r>
            <w:proofErr w:type="spellStart"/>
            <w:r w:rsidRPr="00893D31">
              <w:t>Gorelick</w:t>
            </w:r>
            <w:proofErr w:type="spellEnd"/>
            <w:r w:rsidRPr="00893D31">
              <w:t xml:space="preserve">, D. A., &amp; </w:t>
            </w:r>
            <w:proofErr w:type="spellStart"/>
            <w:r w:rsidRPr="00893D31">
              <w:t>Huestis</w:t>
            </w:r>
            <w:proofErr w:type="spellEnd"/>
            <w:r w:rsidRPr="00893D31">
              <w:t xml:space="preserve">, M. A. (2014). Cannabinoids in oral fluid by on-site immunoassay and by GC-MS using two different oral fluid collection devices. </w:t>
            </w:r>
            <w:r w:rsidRPr="00893D31">
              <w:rPr>
                <w:i/>
              </w:rPr>
              <w:t>Analytical and Bioanalytical Chemistry, 406</w:t>
            </w:r>
            <w:r w:rsidRPr="00893D31">
              <w:t>(17), 4117–4128. https://doi.org/10.1007/s00216-014-7813-9</w:t>
            </w:r>
          </w:p>
          <w:p w14:paraId="092AC888" w14:textId="77777777" w:rsidR="00852FDE" w:rsidRPr="00893D31" w:rsidRDefault="00852FDE" w:rsidP="000C2DF2">
            <w:pPr>
              <w:pStyle w:val="NoSpacing"/>
              <w:numPr>
                <w:ilvl w:val="0"/>
                <w:numId w:val="7"/>
              </w:numPr>
            </w:pPr>
            <w:r w:rsidRPr="00893D31">
              <w:t xml:space="preserve">Hubbard, J. A., Hoffman, M. A., Ellis, S. E., </w:t>
            </w:r>
            <w:proofErr w:type="spellStart"/>
            <w:r w:rsidRPr="00893D31">
              <w:t>Sobolesky</w:t>
            </w:r>
            <w:proofErr w:type="spellEnd"/>
            <w:r w:rsidRPr="00893D31">
              <w:t xml:space="preserve">, P. M., Smith, B. E., </w:t>
            </w:r>
            <w:proofErr w:type="spellStart"/>
            <w:r w:rsidRPr="00893D31">
              <w:t>Suhandynata</w:t>
            </w:r>
            <w:proofErr w:type="spellEnd"/>
            <w:r w:rsidRPr="00893D31">
              <w:t xml:space="preserve">, R. T., </w:t>
            </w:r>
            <w:proofErr w:type="spellStart"/>
            <w:r w:rsidRPr="00893D31">
              <w:t>Sones</w:t>
            </w:r>
            <w:proofErr w:type="spellEnd"/>
            <w:r w:rsidRPr="00893D31">
              <w:t xml:space="preserve">, E. G., Sanford, S. K., </w:t>
            </w:r>
            <w:proofErr w:type="spellStart"/>
            <w:r w:rsidRPr="00893D31">
              <w:t>Umlauf</w:t>
            </w:r>
            <w:proofErr w:type="spellEnd"/>
            <w:r w:rsidRPr="00893D31">
              <w:t xml:space="preserve">, A., </w:t>
            </w:r>
            <w:proofErr w:type="spellStart"/>
            <w:r w:rsidRPr="00893D31">
              <w:t>Huestis</w:t>
            </w:r>
            <w:proofErr w:type="spellEnd"/>
            <w:r w:rsidRPr="00893D31">
              <w:t xml:space="preserve">, M. A., </w:t>
            </w:r>
            <w:proofErr w:type="spellStart"/>
            <w:r w:rsidRPr="00893D31">
              <w:t>Grelotti</w:t>
            </w:r>
            <w:proofErr w:type="spellEnd"/>
            <w:r w:rsidRPr="00893D31">
              <w:t xml:space="preserve">, D. J., Grant, I., </w:t>
            </w:r>
            <w:proofErr w:type="spellStart"/>
            <w:r w:rsidRPr="00893D31">
              <w:t>Marcotte</w:t>
            </w:r>
            <w:proofErr w:type="spellEnd"/>
            <w:r w:rsidRPr="00893D31">
              <w:t xml:space="preserve">, T. D., &amp; Fitzgerald, R. L. (2021). Biomarkers of Recent Cannabis Use in Blood, Oral Fluid and Breath. </w:t>
            </w:r>
            <w:r w:rsidRPr="00893D31">
              <w:rPr>
                <w:i/>
              </w:rPr>
              <w:lastRenderedPageBreak/>
              <w:t>Journal of Analytical Toxicology, 45(</w:t>
            </w:r>
            <w:r w:rsidRPr="00893D31">
              <w:t>8), 820–828. https://doi.org/10.1093/jat/bkab080</w:t>
            </w:r>
          </w:p>
          <w:p w14:paraId="495BB1B8" w14:textId="046F4187" w:rsidR="00852FDE" w:rsidRDefault="00852FDE" w:rsidP="000C2DF2">
            <w:pPr>
              <w:pStyle w:val="NoSpacing"/>
              <w:numPr>
                <w:ilvl w:val="0"/>
                <w:numId w:val="7"/>
              </w:numPr>
            </w:pPr>
            <w:r w:rsidRPr="00893D31">
              <w:t xml:space="preserve">Lee, D., </w:t>
            </w:r>
            <w:proofErr w:type="spellStart"/>
            <w:r w:rsidRPr="00893D31">
              <w:t>Schwope</w:t>
            </w:r>
            <w:proofErr w:type="spellEnd"/>
            <w:r w:rsidRPr="00893D31">
              <w:t xml:space="preserve">, D. M., </w:t>
            </w:r>
            <w:proofErr w:type="spellStart"/>
            <w:r w:rsidRPr="00893D31">
              <w:t>Milman</w:t>
            </w:r>
            <w:proofErr w:type="spellEnd"/>
            <w:r w:rsidRPr="00893D31">
              <w:t xml:space="preserve">, G., Barnes, A. J., </w:t>
            </w:r>
            <w:proofErr w:type="spellStart"/>
            <w:r w:rsidRPr="00893D31">
              <w:t>Gorelick</w:t>
            </w:r>
            <w:proofErr w:type="spellEnd"/>
            <w:r w:rsidRPr="00893D31">
              <w:t xml:space="preserve">, D. A., &amp; </w:t>
            </w:r>
            <w:proofErr w:type="spellStart"/>
            <w:r w:rsidRPr="00893D31">
              <w:t>Huestis</w:t>
            </w:r>
            <w:proofErr w:type="spellEnd"/>
            <w:r w:rsidRPr="00893D31">
              <w:t xml:space="preserve">, M. A. (2012). Cannabinoid disposition in oral fluid after controlled smoked cannabis. </w:t>
            </w:r>
            <w:r w:rsidRPr="00893D31">
              <w:rPr>
                <w:i/>
              </w:rPr>
              <w:t>Clinical Chemistry, 58</w:t>
            </w:r>
            <w:r w:rsidRPr="00893D31">
              <w:t xml:space="preserve">(4), 748–756. </w:t>
            </w:r>
            <w:hyperlink r:id="rId9" w:history="1">
              <w:r w:rsidR="000C2DF2" w:rsidRPr="00ED77C4">
                <w:rPr>
                  <w:rStyle w:val="Hyperlink"/>
                </w:rPr>
                <w:t>https://doi.org/10.1373/clinchem.2011.177881</w:t>
              </w:r>
            </w:hyperlink>
          </w:p>
          <w:p w14:paraId="5DBDAF0B" w14:textId="77777777" w:rsidR="00852FDE" w:rsidRPr="00893D31" w:rsidRDefault="00852FDE" w:rsidP="000C2DF2">
            <w:pPr>
              <w:pStyle w:val="NoSpacing"/>
              <w:numPr>
                <w:ilvl w:val="0"/>
                <w:numId w:val="7"/>
              </w:numPr>
            </w:pPr>
            <w:proofErr w:type="spellStart"/>
            <w:r w:rsidRPr="00893D31">
              <w:t>Milman</w:t>
            </w:r>
            <w:proofErr w:type="spellEnd"/>
            <w:r w:rsidRPr="00893D31">
              <w:t xml:space="preserve">, G., </w:t>
            </w:r>
            <w:proofErr w:type="spellStart"/>
            <w:r w:rsidRPr="00893D31">
              <w:t>Schwope</w:t>
            </w:r>
            <w:proofErr w:type="spellEnd"/>
            <w:r w:rsidRPr="00893D31">
              <w:t xml:space="preserve">, D. M., </w:t>
            </w:r>
            <w:proofErr w:type="spellStart"/>
            <w:r w:rsidRPr="00893D31">
              <w:t>Gorelick</w:t>
            </w:r>
            <w:proofErr w:type="spellEnd"/>
            <w:r w:rsidRPr="00893D31">
              <w:t xml:space="preserve">, D. A., &amp; </w:t>
            </w:r>
            <w:proofErr w:type="spellStart"/>
            <w:r w:rsidRPr="00893D31">
              <w:t>Huestis</w:t>
            </w:r>
            <w:proofErr w:type="spellEnd"/>
            <w:r w:rsidRPr="00893D31">
              <w:t xml:space="preserve">, M. A. (2012). Cannabinoids and Metabolites in Expectorated Oral Fluid Following Controlled Smoked Cannabis. </w:t>
            </w:r>
            <w:proofErr w:type="spellStart"/>
            <w:r w:rsidRPr="00893D31">
              <w:rPr>
                <w:i/>
              </w:rPr>
              <w:t>Clinica</w:t>
            </w:r>
            <w:proofErr w:type="spellEnd"/>
            <w:r w:rsidRPr="00893D31">
              <w:rPr>
                <w:i/>
              </w:rPr>
              <w:t xml:space="preserve"> </w:t>
            </w:r>
            <w:proofErr w:type="spellStart"/>
            <w:r w:rsidRPr="00893D31">
              <w:rPr>
                <w:i/>
              </w:rPr>
              <w:t>Chimica</w:t>
            </w:r>
            <w:proofErr w:type="spellEnd"/>
            <w:r w:rsidRPr="00893D31">
              <w:rPr>
                <w:i/>
              </w:rPr>
              <w:t xml:space="preserve"> </w:t>
            </w:r>
            <w:proofErr w:type="spellStart"/>
            <w:r w:rsidRPr="00893D31">
              <w:rPr>
                <w:i/>
              </w:rPr>
              <w:t>Acta</w:t>
            </w:r>
            <w:proofErr w:type="spellEnd"/>
            <w:r w:rsidRPr="00893D31">
              <w:rPr>
                <w:i/>
              </w:rPr>
              <w:t>; International Journal of Clinical Chemistry, 413</w:t>
            </w:r>
            <w:r w:rsidRPr="00893D31">
              <w:t xml:space="preserve">(7–8), 765–770. </w:t>
            </w:r>
            <w:hyperlink r:id="rId10" w:history="1">
              <w:r w:rsidRPr="00893D31">
                <w:rPr>
                  <w:rStyle w:val="Hyperlink"/>
                </w:rPr>
                <w:t>https://doi.org/10.1016/j.cca.2012.01.011</w:t>
              </w:r>
            </w:hyperlink>
          </w:p>
          <w:p w14:paraId="50F1129C" w14:textId="77777777" w:rsidR="00852FDE" w:rsidRPr="00893D31" w:rsidRDefault="00852FDE" w:rsidP="000C2DF2">
            <w:pPr>
              <w:pStyle w:val="NoSpacing"/>
              <w:numPr>
                <w:ilvl w:val="0"/>
                <w:numId w:val="7"/>
              </w:numPr>
            </w:pPr>
            <w:proofErr w:type="spellStart"/>
            <w:r w:rsidRPr="00893D31">
              <w:t>Mosaed</w:t>
            </w:r>
            <w:proofErr w:type="spellEnd"/>
            <w:r w:rsidRPr="00893D31">
              <w:t xml:space="preserve">, S., Liu, J. H., </w:t>
            </w:r>
            <w:proofErr w:type="spellStart"/>
            <w:r w:rsidRPr="00893D31">
              <w:t>Minckler</w:t>
            </w:r>
            <w:proofErr w:type="spellEnd"/>
            <w:r w:rsidRPr="00893D31">
              <w:t xml:space="preserve">, D. S., Fitzgerald, R. L., </w:t>
            </w:r>
            <w:proofErr w:type="spellStart"/>
            <w:r w:rsidRPr="00893D31">
              <w:t>Grelotti</w:t>
            </w:r>
            <w:proofErr w:type="spellEnd"/>
            <w:r w:rsidRPr="00893D31">
              <w:t xml:space="preserve">, D., </w:t>
            </w:r>
            <w:proofErr w:type="spellStart"/>
            <w:r w:rsidRPr="00893D31">
              <w:t>Sones</w:t>
            </w:r>
            <w:proofErr w:type="spellEnd"/>
            <w:r w:rsidRPr="00893D31">
              <w:t xml:space="preserve">, E., </w:t>
            </w:r>
            <w:proofErr w:type="spellStart"/>
            <w:r w:rsidRPr="00893D31">
              <w:t>Shiels</w:t>
            </w:r>
            <w:proofErr w:type="spellEnd"/>
            <w:r w:rsidRPr="00893D31">
              <w:t xml:space="preserve">, C. R., </w:t>
            </w:r>
            <w:proofErr w:type="spellStart"/>
            <w:r w:rsidRPr="00893D31">
              <w:t>Weinreb</w:t>
            </w:r>
            <w:proofErr w:type="spellEnd"/>
            <w:r w:rsidRPr="00893D31">
              <w:t xml:space="preserve">, R. N., &amp; </w:t>
            </w:r>
            <w:proofErr w:type="spellStart"/>
            <w:r w:rsidRPr="00893D31">
              <w:t>Marcotte</w:t>
            </w:r>
            <w:proofErr w:type="spellEnd"/>
            <w:r w:rsidRPr="00893D31">
              <w:t xml:space="preserve">, T. D. (2021). The Effect of Inhaled Cannabis on Intraocular Pressure in Healthy Adult Subjects. </w:t>
            </w:r>
            <w:r w:rsidRPr="00893D31">
              <w:rPr>
                <w:i/>
              </w:rPr>
              <w:t>Ophthalmology, 15</w:t>
            </w:r>
            <w:r w:rsidRPr="00893D31">
              <w:t>(1), 33. https://doi.org/10.17925/OPHT.2021.15.1.33</w:t>
            </w:r>
          </w:p>
          <w:p w14:paraId="4B63CDCD" w14:textId="77777777" w:rsidR="00852FDE" w:rsidRPr="00893D31" w:rsidRDefault="00852FDE" w:rsidP="000C2DF2">
            <w:pPr>
              <w:pStyle w:val="NoSpacing"/>
              <w:numPr>
                <w:ilvl w:val="0"/>
                <w:numId w:val="7"/>
              </w:numPr>
            </w:pPr>
            <w:proofErr w:type="spellStart"/>
            <w:r w:rsidRPr="00893D31">
              <w:t>Mosaed</w:t>
            </w:r>
            <w:proofErr w:type="spellEnd"/>
            <w:r w:rsidRPr="00893D31">
              <w:t xml:space="preserve">, S., Smith, A. K., Liu, J. H. K., </w:t>
            </w:r>
            <w:proofErr w:type="spellStart"/>
            <w:r w:rsidRPr="00893D31">
              <w:t>Minckler</w:t>
            </w:r>
            <w:proofErr w:type="spellEnd"/>
            <w:r w:rsidRPr="00893D31">
              <w:t xml:space="preserve">, D. S., Fitzgerald, R. L., </w:t>
            </w:r>
            <w:proofErr w:type="spellStart"/>
            <w:r w:rsidRPr="00893D31">
              <w:t>Grelotti</w:t>
            </w:r>
            <w:proofErr w:type="spellEnd"/>
            <w:r w:rsidRPr="00893D31">
              <w:t xml:space="preserve">, D., </w:t>
            </w:r>
            <w:proofErr w:type="spellStart"/>
            <w:r w:rsidRPr="00893D31">
              <w:t>Sones</w:t>
            </w:r>
            <w:proofErr w:type="spellEnd"/>
            <w:r w:rsidRPr="00893D31">
              <w:t xml:space="preserve">, E., </w:t>
            </w:r>
            <w:proofErr w:type="spellStart"/>
            <w:r w:rsidRPr="00893D31">
              <w:t>Weinreb</w:t>
            </w:r>
            <w:proofErr w:type="spellEnd"/>
            <w:r w:rsidRPr="00893D31">
              <w:t xml:space="preserve">, R. N., &amp; </w:t>
            </w:r>
            <w:proofErr w:type="spellStart"/>
            <w:r w:rsidRPr="00893D31">
              <w:t>Marcotte</w:t>
            </w:r>
            <w:proofErr w:type="spellEnd"/>
            <w:r w:rsidRPr="00893D31">
              <w:t xml:space="preserve">, T. D. (2022). The Relationship </w:t>
            </w:r>
            <w:proofErr w:type="gramStart"/>
            <w:r w:rsidRPr="00893D31">
              <w:t>Between</w:t>
            </w:r>
            <w:proofErr w:type="gramEnd"/>
            <w:r w:rsidRPr="00893D31">
              <w:t xml:space="preserve"> Plasma Tetrahydrocannabinol Levels and Intraocular Pressure in Healthy Adult Subjects. </w:t>
            </w:r>
            <w:r w:rsidRPr="00893D31">
              <w:rPr>
                <w:i/>
              </w:rPr>
              <w:t>Frontiers in Medicine, 8,</w:t>
            </w:r>
            <w:r w:rsidRPr="00893D31">
              <w:t xml:space="preserve"> 736792. https://doi.org/10.3389/fmed.2021.736792</w:t>
            </w:r>
          </w:p>
          <w:p w14:paraId="4EDB173A" w14:textId="77777777" w:rsidR="00852FDE" w:rsidRPr="00893D31" w:rsidRDefault="00852FDE" w:rsidP="000C2DF2">
            <w:pPr>
              <w:pStyle w:val="NoSpacing"/>
              <w:numPr>
                <w:ilvl w:val="0"/>
                <w:numId w:val="7"/>
              </w:numPr>
            </w:pPr>
            <w:proofErr w:type="spellStart"/>
            <w:r w:rsidRPr="00893D31">
              <w:t>Scheidweiler</w:t>
            </w:r>
            <w:proofErr w:type="spellEnd"/>
            <w:r w:rsidRPr="00893D31">
              <w:t xml:space="preserve">, K. B., Himes, S. K., </w:t>
            </w:r>
            <w:proofErr w:type="spellStart"/>
            <w:r w:rsidRPr="00893D31">
              <w:t>Desrosiers</w:t>
            </w:r>
            <w:proofErr w:type="spellEnd"/>
            <w:r w:rsidRPr="00893D31">
              <w:t xml:space="preserve">, N. A., &amp; </w:t>
            </w:r>
            <w:proofErr w:type="spellStart"/>
            <w:r w:rsidRPr="00893D31">
              <w:t>Huestis</w:t>
            </w:r>
            <w:proofErr w:type="spellEnd"/>
            <w:r w:rsidRPr="00893D31">
              <w:t xml:space="preserve">, M. A. (2016). In vitro stability of free and </w:t>
            </w:r>
            <w:proofErr w:type="spellStart"/>
            <w:r w:rsidRPr="00893D31">
              <w:t>glucuronidated</w:t>
            </w:r>
            <w:proofErr w:type="spellEnd"/>
            <w:r w:rsidRPr="00893D31">
              <w:t xml:space="preserve"> cannabinoids in blood and plasma collected in plastic gray-top sodium fluoride tubes following controlled smoked cannabis. </w:t>
            </w:r>
            <w:r w:rsidRPr="00893D31">
              <w:rPr>
                <w:i/>
              </w:rPr>
              <w:t>Forensic Toxicology, 34</w:t>
            </w:r>
            <w:r w:rsidRPr="00893D31">
              <w:t>(1), 179–185. https://doi.org/10.1007/s11419-015-0290-9</w:t>
            </w:r>
          </w:p>
          <w:p w14:paraId="4616D92C" w14:textId="77777777" w:rsidR="00852FDE" w:rsidRPr="00893D31" w:rsidRDefault="00852FDE" w:rsidP="000C2DF2">
            <w:pPr>
              <w:pStyle w:val="NoSpacing"/>
              <w:numPr>
                <w:ilvl w:val="0"/>
                <w:numId w:val="7"/>
              </w:numPr>
            </w:pPr>
            <w:proofErr w:type="spellStart"/>
            <w:r w:rsidRPr="00893D31">
              <w:t>Schwope</w:t>
            </w:r>
            <w:proofErr w:type="spellEnd"/>
            <w:r w:rsidRPr="00893D31">
              <w:t xml:space="preserve">, D. M., </w:t>
            </w:r>
            <w:proofErr w:type="spellStart"/>
            <w:r w:rsidRPr="00893D31">
              <w:t>Karschner</w:t>
            </w:r>
            <w:proofErr w:type="spellEnd"/>
            <w:r w:rsidRPr="00893D31">
              <w:t xml:space="preserve">, E. L., </w:t>
            </w:r>
            <w:proofErr w:type="spellStart"/>
            <w:r w:rsidRPr="00893D31">
              <w:t>Gorelick</w:t>
            </w:r>
            <w:proofErr w:type="spellEnd"/>
            <w:r w:rsidRPr="00893D31">
              <w:t xml:space="preserve">, D. A., &amp; </w:t>
            </w:r>
            <w:proofErr w:type="spellStart"/>
            <w:r w:rsidRPr="00893D31">
              <w:t>Huestis</w:t>
            </w:r>
            <w:proofErr w:type="spellEnd"/>
            <w:r w:rsidRPr="00893D31">
              <w:t xml:space="preserve">, M. A. (2011). Identification of recent cannabis use: Whole-blood and plasma free and </w:t>
            </w:r>
            <w:proofErr w:type="spellStart"/>
            <w:r w:rsidRPr="00893D31">
              <w:t>glucuronidated</w:t>
            </w:r>
            <w:proofErr w:type="spellEnd"/>
            <w:r w:rsidRPr="00893D31">
              <w:t xml:space="preserve"> cannabinoid pharmacokinetics following controlled smoked cannabis administration. </w:t>
            </w:r>
            <w:r w:rsidRPr="00893D31">
              <w:rPr>
                <w:i/>
              </w:rPr>
              <w:t>Clinical</w:t>
            </w:r>
            <w:r w:rsidRPr="00893D31">
              <w:t xml:space="preserve"> </w:t>
            </w:r>
            <w:r w:rsidRPr="00893D31">
              <w:rPr>
                <w:i/>
              </w:rPr>
              <w:t>Chemistry, 57</w:t>
            </w:r>
            <w:r w:rsidRPr="00893D31">
              <w:t>(10), 1406–1414. https://doi.org/10.1373/clinchem.2011.171777</w:t>
            </w:r>
          </w:p>
          <w:p w14:paraId="7596434C" w14:textId="57A22CDE" w:rsidR="00852FDE" w:rsidRDefault="00852FDE" w:rsidP="000C2DF2">
            <w:pPr>
              <w:pStyle w:val="NoSpacing"/>
              <w:numPr>
                <w:ilvl w:val="0"/>
                <w:numId w:val="7"/>
              </w:numPr>
            </w:pPr>
            <w:r w:rsidRPr="00893D31">
              <w:t xml:space="preserve">Smith, R. C., </w:t>
            </w:r>
            <w:proofErr w:type="spellStart"/>
            <w:r w:rsidRPr="00893D31">
              <w:t>Sershen</w:t>
            </w:r>
            <w:proofErr w:type="spellEnd"/>
            <w:r w:rsidRPr="00893D31">
              <w:t xml:space="preserve">, H., </w:t>
            </w:r>
            <w:proofErr w:type="spellStart"/>
            <w:r w:rsidRPr="00893D31">
              <w:t>Janowsky</w:t>
            </w:r>
            <w:proofErr w:type="spellEnd"/>
            <w:r w:rsidRPr="00893D31">
              <w:t xml:space="preserve">, D. S., </w:t>
            </w:r>
            <w:proofErr w:type="spellStart"/>
            <w:r w:rsidRPr="00893D31">
              <w:t>Lajtha</w:t>
            </w:r>
            <w:proofErr w:type="spellEnd"/>
            <w:r w:rsidRPr="00893D31">
              <w:t xml:space="preserve">, A., </w:t>
            </w:r>
            <w:proofErr w:type="spellStart"/>
            <w:r w:rsidRPr="00893D31">
              <w:t>Grieco</w:t>
            </w:r>
            <w:proofErr w:type="spellEnd"/>
            <w:r w:rsidRPr="00893D31">
              <w:t xml:space="preserve">, M., </w:t>
            </w:r>
            <w:proofErr w:type="spellStart"/>
            <w:r w:rsidRPr="00893D31">
              <w:t>Gangoiti</w:t>
            </w:r>
            <w:proofErr w:type="spellEnd"/>
            <w:r w:rsidRPr="00893D31">
              <w:t xml:space="preserve">, J. A., </w:t>
            </w:r>
            <w:proofErr w:type="spellStart"/>
            <w:r w:rsidRPr="00893D31">
              <w:t>Gertsman</w:t>
            </w:r>
            <w:proofErr w:type="spellEnd"/>
            <w:r w:rsidRPr="00893D31">
              <w:t xml:space="preserve">, I., Johnson, W. S., </w:t>
            </w:r>
            <w:proofErr w:type="spellStart"/>
            <w:r w:rsidRPr="00893D31">
              <w:t>Marcotte</w:t>
            </w:r>
            <w:proofErr w:type="spellEnd"/>
            <w:r w:rsidRPr="00893D31">
              <w:t>, T. D., &amp; Davis, J. M. (2022). Changes in Expression of DNA-</w:t>
            </w:r>
            <w:proofErr w:type="spellStart"/>
            <w:r w:rsidRPr="00893D31">
              <w:t>Methyltransferase</w:t>
            </w:r>
            <w:proofErr w:type="spellEnd"/>
            <w:r w:rsidRPr="00893D31">
              <w:t xml:space="preserve"> and Cannabinoid Receptor mRNAs in Blood Lymphocytes </w:t>
            </w:r>
            <w:proofErr w:type="gramStart"/>
            <w:r w:rsidRPr="00893D31">
              <w:t>After</w:t>
            </w:r>
            <w:proofErr w:type="gramEnd"/>
            <w:r w:rsidRPr="00893D31">
              <w:t xml:space="preserve"> Acute Cannabis Smoking. </w:t>
            </w:r>
            <w:r w:rsidRPr="00893D31">
              <w:rPr>
                <w:i/>
              </w:rPr>
              <w:t>Frontiers in Psychiatry, 13,</w:t>
            </w:r>
            <w:r w:rsidRPr="00893D31">
              <w:t xml:space="preserve"> 887700. </w:t>
            </w:r>
            <w:hyperlink r:id="rId11" w:history="1">
              <w:r w:rsidR="00753DCD" w:rsidRPr="003D318E">
                <w:rPr>
                  <w:rStyle w:val="Hyperlink"/>
                </w:rPr>
                <w:t>https://doi.org/10.3389/fpsyt.2022.887700</w:t>
              </w:r>
            </w:hyperlink>
          </w:p>
          <w:p w14:paraId="7CE55FEE" w14:textId="7A096CC5" w:rsidR="00753DCD" w:rsidRPr="00893D31" w:rsidRDefault="00753DCD" w:rsidP="000C2DF2">
            <w:pPr>
              <w:pStyle w:val="NoSpacing"/>
              <w:numPr>
                <w:ilvl w:val="0"/>
                <w:numId w:val="7"/>
              </w:numPr>
            </w:pPr>
            <w:proofErr w:type="spellStart"/>
            <w:r w:rsidRPr="00893D31">
              <w:t>Vandrey</w:t>
            </w:r>
            <w:proofErr w:type="spellEnd"/>
            <w:r w:rsidRPr="00893D31">
              <w:t xml:space="preserve">, R., </w:t>
            </w:r>
            <w:proofErr w:type="spellStart"/>
            <w:r w:rsidRPr="00893D31">
              <w:t>Umbricht</w:t>
            </w:r>
            <w:proofErr w:type="spellEnd"/>
            <w:r w:rsidRPr="00893D31">
              <w:t xml:space="preserve">, A., &amp; Strain, E. C. (2011). Increased Blood Pressure After Abrupt Cessation of Daily Cannabis Use. </w:t>
            </w:r>
            <w:r w:rsidRPr="00893D31">
              <w:rPr>
                <w:i/>
              </w:rPr>
              <w:t>Journal of Addiction Medicine, 5</w:t>
            </w:r>
            <w:r w:rsidRPr="00893D31">
              <w:t>(1), 16–20. https://doi.org/10.1097/ADM.0b013e3181d2b309</w:t>
            </w:r>
          </w:p>
          <w:p w14:paraId="76EE4539" w14:textId="56F76BBA" w:rsidR="000319BB" w:rsidRPr="00893D31" w:rsidRDefault="000319BB">
            <w:pPr>
              <w:pStyle w:val="Bibliography"/>
            </w:pPr>
          </w:p>
        </w:tc>
      </w:tr>
      <w:tr w:rsidR="004C14B2" w:rsidRPr="00893D31" w14:paraId="23910A00" w14:textId="77777777" w:rsidTr="000319BB">
        <w:tc>
          <w:tcPr>
            <w:tcW w:w="1885" w:type="dxa"/>
          </w:tcPr>
          <w:p w14:paraId="16608396" w14:textId="24E032FD" w:rsidR="008F754F" w:rsidRPr="00893D31" w:rsidRDefault="008F754F" w:rsidP="008F754F">
            <w:r w:rsidRPr="00893D31">
              <w:lastRenderedPageBreak/>
              <w:t xml:space="preserve">Controlled smoking (n = </w:t>
            </w:r>
            <w:r w:rsidR="000C2DF2">
              <w:t>6</w:t>
            </w:r>
            <w:r w:rsidRPr="00893D31">
              <w:t>)</w:t>
            </w:r>
          </w:p>
          <w:p w14:paraId="66E92965" w14:textId="77777777" w:rsidR="004C14B2" w:rsidRPr="00893D31" w:rsidRDefault="004C14B2" w:rsidP="001772A8"/>
        </w:tc>
        <w:tc>
          <w:tcPr>
            <w:tcW w:w="7465" w:type="dxa"/>
          </w:tcPr>
          <w:p w14:paraId="6BE08649" w14:textId="31801E59" w:rsidR="006126A6" w:rsidRPr="00893D31" w:rsidRDefault="006126A6" w:rsidP="006126A6">
            <w:pPr>
              <w:pStyle w:val="ListParagraph"/>
              <w:numPr>
                <w:ilvl w:val="0"/>
                <w:numId w:val="3"/>
              </w:numPr>
            </w:pPr>
            <w:r w:rsidRPr="00893D31">
              <w:t xml:space="preserve">Bellville, J. W., Gasser, J. C., Miyake, T., &amp; </w:t>
            </w:r>
            <w:proofErr w:type="spellStart"/>
            <w:r w:rsidRPr="00893D31">
              <w:t>Aqleh</w:t>
            </w:r>
            <w:proofErr w:type="spellEnd"/>
            <w:r w:rsidRPr="00893D31">
              <w:t xml:space="preserve">, K. (1976). Tolerance to the respiratory effects of marijuana in man. </w:t>
            </w:r>
            <w:r w:rsidRPr="00893D31">
              <w:rPr>
                <w:i/>
              </w:rPr>
              <w:t>The Journal of Pharmacology and Experimental Therapeutics, 197</w:t>
            </w:r>
            <w:r w:rsidRPr="00893D31">
              <w:t>(2), 326–331.</w:t>
            </w:r>
          </w:p>
          <w:p w14:paraId="05335E16" w14:textId="27BD50BC" w:rsidR="006126A6" w:rsidRPr="00893D31" w:rsidRDefault="006126A6" w:rsidP="006126A6">
            <w:pPr>
              <w:pStyle w:val="ListParagraph"/>
              <w:numPr>
                <w:ilvl w:val="0"/>
                <w:numId w:val="3"/>
              </w:numPr>
            </w:pPr>
            <w:r w:rsidRPr="00893D31">
              <w:t xml:space="preserve">Kelly, T. H., </w:t>
            </w:r>
            <w:proofErr w:type="spellStart"/>
            <w:r w:rsidRPr="00893D31">
              <w:t>Foltin</w:t>
            </w:r>
            <w:proofErr w:type="spellEnd"/>
            <w:r w:rsidRPr="00893D31">
              <w:t xml:space="preserve">, R. W., </w:t>
            </w:r>
            <w:proofErr w:type="spellStart"/>
            <w:r w:rsidRPr="00893D31">
              <w:t>Mayr</w:t>
            </w:r>
            <w:proofErr w:type="spellEnd"/>
            <w:r w:rsidRPr="00893D31">
              <w:t xml:space="preserve">, M. T., &amp; </w:t>
            </w:r>
            <w:proofErr w:type="spellStart"/>
            <w:r w:rsidRPr="00893D31">
              <w:t>Fischman</w:t>
            </w:r>
            <w:proofErr w:type="spellEnd"/>
            <w:r w:rsidRPr="00893D31">
              <w:t>, M. W. (1994). Effects of delta 9-tetrahydrocannabinol and social context on marijuana self-</w:t>
            </w:r>
            <w:r w:rsidRPr="00893D31">
              <w:lastRenderedPageBreak/>
              <w:t xml:space="preserve">administration by humans. </w:t>
            </w:r>
            <w:r w:rsidRPr="00893D31">
              <w:rPr>
                <w:i/>
              </w:rPr>
              <w:t>Pharmacology, Biochemistry, and Behavior, 49</w:t>
            </w:r>
            <w:r w:rsidRPr="00893D31">
              <w:t>(3), 763–768. https://doi.org/10.1016/0091-3057(94)90099-x</w:t>
            </w:r>
          </w:p>
          <w:p w14:paraId="4AAE1B45" w14:textId="64ECD58D" w:rsidR="006126A6" w:rsidRPr="00893D31" w:rsidRDefault="006126A6" w:rsidP="006126A6">
            <w:pPr>
              <w:pStyle w:val="ListParagraph"/>
              <w:numPr>
                <w:ilvl w:val="0"/>
                <w:numId w:val="3"/>
              </w:numPr>
            </w:pPr>
            <w:proofErr w:type="spellStart"/>
            <w:r w:rsidRPr="00893D31">
              <w:t>Marsot</w:t>
            </w:r>
            <w:proofErr w:type="spellEnd"/>
            <w:r w:rsidRPr="00893D31">
              <w:t xml:space="preserve">, A., </w:t>
            </w:r>
            <w:proofErr w:type="spellStart"/>
            <w:r w:rsidRPr="00893D31">
              <w:t>Audebert</w:t>
            </w:r>
            <w:proofErr w:type="spellEnd"/>
            <w:r w:rsidRPr="00893D31">
              <w:t xml:space="preserve">, C., </w:t>
            </w:r>
            <w:proofErr w:type="spellStart"/>
            <w:r w:rsidRPr="00893D31">
              <w:t>Attolini</w:t>
            </w:r>
            <w:proofErr w:type="spellEnd"/>
            <w:r w:rsidRPr="00893D31">
              <w:t xml:space="preserve">, L., </w:t>
            </w:r>
            <w:proofErr w:type="spellStart"/>
            <w:r w:rsidRPr="00893D31">
              <w:t>Lacarelle</w:t>
            </w:r>
            <w:proofErr w:type="spellEnd"/>
            <w:r w:rsidRPr="00893D31">
              <w:t xml:space="preserve">, B., </w:t>
            </w:r>
            <w:proofErr w:type="spellStart"/>
            <w:r w:rsidRPr="00893D31">
              <w:t>Micallef</w:t>
            </w:r>
            <w:proofErr w:type="spellEnd"/>
            <w:r w:rsidRPr="00893D31">
              <w:t xml:space="preserve">, J., &amp; Blin, O. (2017). Population pharmacokinetics model of THC used by pulmonary route in occasional cannabis smokers. </w:t>
            </w:r>
            <w:r w:rsidRPr="00893D31">
              <w:rPr>
                <w:i/>
              </w:rPr>
              <w:t>Journal of Pharmacological and Toxicological Methods, 85</w:t>
            </w:r>
            <w:r w:rsidRPr="00893D31">
              <w:t>, 49–54. https://doi.org/10.1016/j.vascn.2017.02.003</w:t>
            </w:r>
          </w:p>
          <w:p w14:paraId="304F4F47" w14:textId="3337481B" w:rsidR="006126A6" w:rsidRPr="00893D31" w:rsidRDefault="006126A6" w:rsidP="006126A6">
            <w:pPr>
              <w:pStyle w:val="ListParagraph"/>
              <w:numPr>
                <w:ilvl w:val="0"/>
                <w:numId w:val="3"/>
              </w:numPr>
            </w:pPr>
            <w:proofErr w:type="spellStart"/>
            <w:r w:rsidRPr="00893D31">
              <w:t>Tashkin</w:t>
            </w:r>
            <w:proofErr w:type="spellEnd"/>
            <w:r w:rsidRPr="00893D31">
              <w:t xml:space="preserve">, D. P., </w:t>
            </w:r>
            <w:proofErr w:type="spellStart"/>
            <w:r w:rsidRPr="00893D31">
              <w:t>Gliederer</w:t>
            </w:r>
            <w:proofErr w:type="spellEnd"/>
            <w:r w:rsidRPr="00893D31">
              <w:t xml:space="preserve">, F., Rose, J., Chang, P., Hui, K. K., Yu, J. L., &amp; Wu, T. C. (1991). Tar, CO and delta 9THC delivery from the 1st and 2nd halves of a marijuana cigarette. </w:t>
            </w:r>
            <w:r w:rsidRPr="00893D31">
              <w:rPr>
                <w:i/>
              </w:rPr>
              <w:t>Pharmacology, Biochemistry, and Behavior, 40</w:t>
            </w:r>
            <w:r w:rsidRPr="00893D31">
              <w:t xml:space="preserve">(3), 657–661. </w:t>
            </w:r>
            <w:hyperlink r:id="rId12" w:history="1">
              <w:r w:rsidR="002A2772" w:rsidRPr="00893D31">
                <w:rPr>
                  <w:rStyle w:val="Hyperlink"/>
                </w:rPr>
                <w:t>https://doi.org/10.1016/0091-3057(91)90378-f</w:t>
              </w:r>
            </w:hyperlink>
          </w:p>
          <w:p w14:paraId="4EC8F2FB" w14:textId="77777777" w:rsidR="001E3BC4" w:rsidRPr="00893D31" w:rsidRDefault="001E3BC4" w:rsidP="001E3BC4">
            <w:pPr>
              <w:pStyle w:val="ListParagraph"/>
              <w:numPr>
                <w:ilvl w:val="0"/>
                <w:numId w:val="3"/>
              </w:numPr>
            </w:pPr>
            <w:r w:rsidRPr="00893D31">
              <w:t xml:space="preserve">Chao, T., </w:t>
            </w:r>
            <w:proofErr w:type="spellStart"/>
            <w:r w:rsidRPr="00893D31">
              <w:t>Radoncic</w:t>
            </w:r>
            <w:proofErr w:type="spellEnd"/>
            <w:r w:rsidRPr="00893D31">
              <w:t xml:space="preserve">, V., </w:t>
            </w:r>
            <w:proofErr w:type="spellStart"/>
            <w:r w:rsidRPr="00893D31">
              <w:t>Hien</w:t>
            </w:r>
            <w:proofErr w:type="spellEnd"/>
            <w:r w:rsidRPr="00893D31">
              <w:t xml:space="preserve">, D., </w:t>
            </w:r>
            <w:proofErr w:type="spellStart"/>
            <w:r w:rsidRPr="00893D31">
              <w:t>Bedi</w:t>
            </w:r>
            <w:proofErr w:type="spellEnd"/>
            <w:r w:rsidRPr="00893D31">
              <w:t>, G., &amp; Haney, M. (2018). Stress responding in cannabis smokers as a function of trauma exposure, sex, and relapse in the human laboratory</w:t>
            </w:r>
            <w:r w:rsidRPr="00893D31">
              <w:rPr>
                <w:i/>
              </w:rPr>
              <w:t>. Drug and Alcohol Dependence, 185</w:t>
            </w:r>
            <w:r w:rsidRPr="00893D31">
              <w:t>, 23–32. https://doi.org/10.1016/j.drugalcdep.2017.11.021</w:t>
            </w:r>
          </w:p>
          <w:p w14:paraId="19E5E50E" w14:textId="0E1E6E23" w:rsidR="004C14B2" w:rsidRPr="00893D31" w:rsidRDefault="001E3BC4" w:rsidP="001E3BC4">
            <w:pPr>
              <w:pStyle w:val="NoSpacing"/>
              <w:numPr>
                <w:ilvl w:val="0"/>
                <w:numId w:val="3"/>
              </w:numPr>
            </w:pPr>
            <w:r w:rsidRPr="00893D31">
              <w:t xml:space="preserve">Urban, N., Martinez, D., Wang, Z., </w:t>
            </w:r>
            <w:proofErr w:type="spellStart"/>
            <w:r w:rsidRPr="00893D31">
              <w:t>Grassetti</w:t>
            </w:r>
            <w:proofErr w:type="spellEnd"/>
            <w:r w:rsidRPr="00893D31">
              <w:t xml:space="preserve">, A., Wang, D., &amp; Haney, M. (2015). Imaging the effect of deep </w:t>
            </w:r>
            <w:proofErr w:type="spellStart"/>
            <w:r w:rsidRPr="00893D31">
              <w:t>rTMS</w:t>
            </w:r>
            <w:proofErr w:type="spellEnd"/>
            <w:r w:rsidRPr="00893D31">
              <w:t xml:space="preserve"> on brain activity in chronic cannabis use. https://doi.org/10.1038/npp.2015.327</w:t>
            </w:r>
          </w:p>
        </w:tc>
      </w:tr>
      <w:tr w:rsidR="004C14B2" w:rsidRPr="00893D31" w14:paraId="3E4564F3" w14:textId="77777777" w:rsidTr="000319BB">
        <w:tc>
          <w:tcPr>
            <w:tcW w:w="1885" w:type="dxa"/>
          </w:tcPr>
          <w:p w14:paraId="6B776D68" w14:textId="1651EF53" w:rsidR="000319BB" w:rsidRDefault="002F2708" w:rsidP="000319BB">
            <w:r>
              <w:lastRenderedPageBreak/>
              <w:t>O</w:t>
            </w:r>
            <w:r w:rsidR="000319BB" w:rsidRPr="00893D31">
              <w:t>ther drug</w:t>
            </w:r>
            <w:r w:rsidR="00A424CF">
              <w:t xml:space="preserve"> prior CSA</w:t>
            </w:r>
            <w:r w:rsidR="000319BB" w:rsidRPr="00893D31">
              <w:t xml:space="preserve"> (n</w:t>
            </w:r>
            <w:r w:rsidR="00DF676A">
              <w:t xml:space="preserve"> </w:t>
            </w:r>
            <w:r w:rsidR="000319BB" w:rsidRPr="00893D31">
              <w:t>=</w:t>
            </w:r>
            <w:r w:rsidR="00DF676A">
              <w:t xml:space="preserve"> </w:t>
            </w:r>
            <w:r>
              <w:t>2</w:t>
            </w:r>
            <w:r w:rsidR="000319BB" w:rsidRPr="00893D31">
              <w:t>)</w:t>
            </w:r>
          </w:p>
          <w:p w14:paraId="4603E883" w14:textId="77777777" w:rsidR="004C14B2" w:rsidRPr="00893D31" w:rsidRDefault="004C14B2" w:rsidP="00E46085"/>
        </w:tc>
        <w:tc>
          <w:tcPr>
            <w:tcW w:w="7465" w:type="dxa"/>
          </w:tcPr>
          <w:p w14:paraId="003E73F2" w14:textId="77777777" w:rsidR="002F2708" w:rsidRDefault="00852FDE" w:rsidP="00F929FA">
            <w:pPr>
              <w:pStyle w:val="NoSpacing"/>
              <w:numPr>
                <w:ilvl w:val="0"/>
                <w:numId w:val="8"/>
              </w:numPr>
            </w:pPr>
            <w:r w:rsidRPr="00893D31">
              <w:t xml:space="preserve">Lee, D., </w:t>
            </w:r>
            <w:proofErr w:type="spellStart"/>
            <w:r w:rsidRPr="00893D31">
              <w:t>Vandrey</w:t>
            </w:r>
            <w:proofErr w:type="spellEnd"/>
            <w:r w:rsidRPr="00893D31">
              <w:t xml:space="preserve">, R., </w:t>
            </w:r>
            <w:proofErr w:type="spellStart"/>
            <w:r w:rsidRPr="00893D31">
              <w:t>Mendu</w:t>
            </w:r>
            <w:proofErr w:type="spellEnd"/>
            <w:r w:rsidRPr="00893D31">
              <w:t xml:space="preserve">, D. R., Murray, J. A., Barnes, A. J., &amp; </w:t>
            </w:r>
            <w:proofErr w:type="spellStart"/>
            <w:r w:rsidRPr="00893D31">
              <w:t>Huestis</w:t>
            </w:r>
            <w:proofErr w:type="spellEnd"/>
            <w:r w:rsidRPr="00893D31">
              <w:t xml:space="preserve">, M. A. (2015). Oral fluid cannabinoids in chronic frequent cannabis smokers during ad libitum cannabis smoking. </w:t>
            </w:r>
            <w:r w:rsidRPr="00893D31">
              <w:rPr>
                <w:i/>
              </w:rPr>
              <w:t>Drug Testing and Analysis, 7</w:t>
            </w:r>
            <w:r w:rsidRPr="00893D31">
              <w:t xml:space="preserve">(6), 494–501. </w:t>
            </w:r>
            <w:hyperlink r:id="rId13" w:history="1">
              <w:r w:rsidR="002F2708" w:rsidRPr="00506013">
                <w:rPr>
                  <w:rStyle w:val="Hyperlink"/>
                </w:rPr>
                <w:t>https://doi.org/10.1002/dta.1718</w:t>
              </w:r>
            </w:hyperlink>
          </w:p>
          <w:p w14:paraId="1EFBD5CA" w14:textId="24342A10" w:rsidR="006126A6" w:rsidRPr="00893D31" w:rsidRDefault="006126A6" w:rsidP="00F929FA">
            <w:pPr>
              <w:pStyle w:val="NoSpacing"/>
              <w:numPr>
                <w:ilvl w:val="0"/>
                <w:numId w:val="8"/>
              </w:numPr>
            </w:pPr>
            <w:r w:rsidRPr="00893D31">
              <w:t xml:space="preserve">Lee, D., Bergamaschi, M. M., </w:t>
            </w:r>
            <w:proofErr w:type="spellStart"/>
            <w:r w:rsidRPr="00893D31">
              <w:t>Milman</w:t>
            </w:r>
            <w:proofErr w:type="spellEnd"/>
            <w:r w:rsidRPr="00893D31">
              <w:t xml:space="preserve">, G., Barnes, A. J., </w:t>
            </w:r>
            <w:proofErr w:type="spellStart"/>
            <w:r w:rsidRPr="00893D31">
              <w:t>Queiroz</w:t>
            </w:r>
            <w:proofErr w:type="spellEnd"/>
            <w:r w:rsidRPr="00893D31">
              <w:t xml:space="preserve">, R. H. C., </w:t>
            </w:r>
            <w:proofErr w:type="spellStart"/>
            <w:r w:rsidRPr="00893D31">
              <w:t>Vandrey</w:t>
            </w:r>
            <w:proofErr w:type="spellEnd"/>
            <w:r w:rsidRPr="00893D31">
              <w:t xml:space="preserve">, R., &amp; </w:t>
            </w:r>
            <w:proofErr w:type="spellStart"/>
            <w:r w:rsidRPr="00893D31">
              <w:t>Huestis</w:t>
            </w:r>
            <w:proofErr w:type="spellEnd"/>
            <w:r w:rsidRPr="00893D31">
              <w:t xml:space="preserve">, M. A. (2015). Plasma Cannabinoid Pharmacokinetics </w:t>
            </w:r>
            <w:proofErr w:type="gramStart"/>
            <w:r w:rsidRPr="00893D31">
              <w:t>After</w:t>
            </w:r>
            <w:proofErr w:type="gramEnd"/>
            <w:r w:rsidRPr="00893D31">
              <w:t xml:space="preserve"> Controlled Smoking and Ad libitum Cannabis Smoking in Chronic Frequent Users. Journal of Analytical Toxicology, 39(8), 580–587. https://doi.org/10.1093/jat/bkv082</w:t>
            </w:r>
          </w:p>
        </w:tc>
      </w:tr>
      <w:tr w:rsidR="00556F5E" w:rsidRPr="00893D31" w14:paraId="6059D073" w14:textId="77777777" w:rsidTr="000319BB">
        <w:tc>
          <w:tcPr>
            <w:tcW w:w="1885" w:type="dxa"/>
          </w:tcPr>
          <w:p w14:paraId="54351E51" w14:textId="1B5941BE" w:rsidR="00556F5E" w:rsidRPr="00893D31" w:rsidRDefault="002B3B2D" w:rsidP="002B3B2D">
            <w:r w:rsidRPr="00893D31">
              <w:t xml:space="preserve">Other administration (n = </w:t>
            </w:r>
            <w:r w:rsidR="000C2DF2">
              <w:t>2</w:t>
            </w:r>
            <w:r w:rsidR="00556F5E" w:rsidRPr="00893D31">
              <w:t>)</w:t>
            </w:r>
          </w:p>
        </w:tc>
        <w:tc>
          <w:tcPr>
            <w:tcW w:w="7465" w:type="dxa"/>
          </w:tcPr>
          <w:p w14:paraId="74EB3C82" w14:textId="77777777" w:rsidR="006126A6" w:rsidRPr="00893D31" w:rsidRDefault="006126A6" w:rsidP="006126A6">
            <w:pPr>
              <w:pStyle w:val="NoSpacing"/>
              <w:numPr>
                <w:ilvl w:val="0"/>
                <w:numId w:val="4"/>
              </w:numPr>
            </w:pPr>
            <w:proofErr w:type="spellStart"/>
            <w:r w:rsidRPr="00893D31">
              <w:t>Bosnyak</w:t>
            </w:r>
            <w:proofErr w:type="spellEnd"/>
            <w:r w:rsidRPr="00893D31">
              <w:t xml:space="preserve">, D., McDonald, A. C., </w:t>
            </w:r>
            <w:proofErr w:type="spellStart"/>
            <w:r w:rsidRPr="00893D31">
              <w:t>Gasperin</w:t>
            </w:r>
            <w:proofErr w:type="spellEnd"/>
            <w:r w:rsidRPr="00893D31">
              <w:t xml:space="preserve"> </w:t>
            </w:r>
            <w:proofErr w:type="spellStart"/>
            <w:r w:rsidRPr="00893D31">
              <w:t>Haaz</w:t>
            </w:r>
            <w:proofErr w:type="spellEnd"/>
            <w:r w:rsidRPr="00893D31">
              <w:t xml:space="preserve">, I., Qi, W., Crowley, D. C., Guthrie, N., &amp; Evans, M. (2022). Use of a Novel EEG-Based Objective Test, the </w:t>
            </w:r>
            <w:proofErr w:type="spellStart"/>
            <w:r w:rsidRPr="00893D31">
              <w:t>Cognalyzer</w:t>
            </w:r>
            <w:proofErr w:type="spellEnd"/>
            <w:r w:rsidRPr="00893D31">
              <w:t xml:space="preserve">®, in Quantifying the Strength and Determining the Action Time of Cannabis Psychoactive Effects and Factors that May Influence Them Within an Observational Study Framework. </w:t>
            </w:r>
            <w:r w:rsidRPr="00893D31">
              <w:rPr>
                <w:i/>
              </w:rPr>
              <w:t>Neurology and Therapy, 11</w:t>
            </w:r>
            <w:r w:rsidRPr="00893D31">
              <w:t>(1), 51–72. https://doi.org/10.1007/s40120-021-00293-w</w:t>
            </w:r>
          </w:p>
          <w:p w14:paraId="43240514" w14:textId="77777777" w:rsidR="006126A6" w:rsidRPr="00893D31" w:rsidRDefault="006126A6" w:rsidP="006126A6">
            <w:pPr>
              <w:pStyle w:val="NoSpacing"/>
              <w:numPr>
                <w:ilvl w:val="0"/>
                <w:numId w:val="4"/>
              </w:numPr>
            </w:pPr>
            <w:proofErr w:type="spellStart"/>
            <w:r w:rsidRPr="00893D31">
              <w:t>Wurz</w:t>
            </w:r>
            <w:proofErr w:type="spellEnd"/>
            <w:r w:rsidRPr="00893D31">
              <w:t xml:space="preserve">, G. T., Montoya, E., &amp; </w:t>
            </w:r>
            <w:proofErr w:type="spellStart"/>
            <w:r w:rsidRPr="00893D31">
              <w:t>DeGregorio</w:t>
            </w:r>
            <w:proofErr w:type="spellEnd"/>
            <w:r w:rsidRPr="00893D31">
              <w:t xml:space="preserve">, M. W. (2022). Examining impairment and kinetic patterns associated with recent use of hemp-derived Δ8-tetrahydrocannabinol: Case studies. </w:t>
            </w:r>
            <w:r w:rsidRPr="00893D31">
              <w:rPr>
                <w:i/>
              </w:rPr>
              <w:t>Journal of Cannabis Research, 4</w:t>
            </w:r>
            <w:r w:rsidRPr="00893D31">
              <w:t>(1), 36. https://doi.org/10.1186/s42238-022-00146-9</w:t>
            </w:r>
          </w:p>
          <w:p w14:paraId="14D8E870" w14:textId="77777777" w:rsidR="00556F5E" w:rsidRPr="00893D31" w:rsidRDefault="00556F5E" w:rsidP="00116E27">
            <w:pPr>
              <w:pStyle w:val="Bibliography"/>
            </w:pPr>
          </w:p>
        </w:tc>
      </w:tr>
      <w:tr w:rsidR="00CF57CE" w:rsidRPr="00893D31" w14:paraId="614BE71B" w14:textId="77777777" w:rsidTr="000319BB">
        <w:tc>
          <w:tcPr>
            <w:tcW w:w="1885" w:type="dxa"/>
          </w:tcPr>
          <w:p w14:paraId="28F7D3B2" w14:textId="4B601885" w:rsidR="00CF57CE" w:rsidRPr="00893D31" w:rsidRDefault="00CF57CE" w:rsidP="002B3B2D">
            <w:r w:rsidRPr="00893D31">
              <w:t>Other paradigms (n</w:t>
            </w:r>
            <w:r w:rsidR="00CD11C2" w:rsidRPr="00893D31">
              <w:t xml:space="preserve"> = </w:t>
            </w:r>
            <w:r w:rsidR="001E3BC4" w:rsidRPr="00893D31">
              <w:t>4</w:t>
            </w:r>
            <w:r w:rsidRPr="00893D31">
              <w:t>)</w:t>
            </w:r>
          </w:p>
        </w:tc>
        <w:tc>
          <w:tcPr>
            <w:tcW w:w="7465" w:type="dxa"/>
          </w:tcPr>
          <w:p w14:paraId="742BF0B6" w14:textId="77777777" w:rsidR="006C0E8A" w:rsidRPr="00893D31" w:rsidRDefault="006C0E8A" w:rsidP="006C0E8A">
            <w:pPr>
              <w:pStyle w:val="Bibliography"/>
              <w:numPr>
                <w:ilvl w:val="0"/>
                <w:numId w:val="10"/>
              </w:numPr>
            </w:pPr>
            <w:proofErr w:type="spellStart"/>
            <w:r w:rsidRPr="00893D31">
              <w:t>Babor</w:t>
            </w:r>
            <w:proofErr w:type="spellEnd"/>
            <w:r w:rsidRPr="00893D31">
              <w:t xml:space="preserve">, T. F., Lex, B. W., Mendelson, J. H., &amp; Mello, N. K. (1984). Marijuana, affect and tolerance: A study of </w:t>
            </w:r>
            <w:proofErr w:type="spellStart"/>
            <w:r w:rsidRPr="00893D31">
              <w:t>subchronic</w:t>
            </w:r>
            <w:proofErr w:type="spellEnd"/>
            <w:r w:rsidRPr="00893D31">
              <w:t xml:space="preserve"> self-administration in women. </w:t>
            </w:r>
            <w:r w:rsidRPr="00893D31">
              <w:rPr>
                <w:i/>
                <w:iCs/>
              </w:rPr>
              <w:t>NIDA Research Monograph</w:t>
            </w:r>
            <w:r w:rsidRPr="00893D31">
              <w:t xml:space="preserve">, </w:t>
            </w:r>
            <w:r w:rsidRPr="00893D31">
              <w:rPr>
                <w:i/>
                <w:iCs/>
              </w:rPr>
              <w:t>49</w:t>
            </w:r>
            <w:r w:rsidRPr="00893D31">
              <w:t>, 199–204.</w:t>
            </w:r>
          </w:p>
          <w:p w14:paraId="5017F67B" w14:textId="77777777" w:rsidR="006C0E8A" w:rsidRPr="00893D31" w:rsidRDefault="00CD11C2" w:rsidP="006C0E8A">
            <w:pPr>
              <w:pStyle w:val="Bibliography"/>
              <w:numPr>
                <w:ilvl w:val="0"/>
                <w:numId w:val="10"/>
              </w:numPr>
            </w:pPr>
            <w:proofErr w:type="spellStart"/>
            <w:r w:rsidRPr="00893D31">
              <w:t>Babor</w:t>
            </w:r>
            <w:proofErr w:type="spellEnd"/>
            <w:r w:rsidRPr="00893D31">
              <w:t xml:space="preserve">, T. F., Mendelson, J. H., Greenberg, I., &amp; </w:t>
            </w:r>
            <w:proofErr w:type="spellStart"/>
            <w:r w:rsidRPr="00893D31">
              <w:t>Kuehnle</w:t>
            </w:r>
            <w:proofErr w:type="spellEnd"/>
            <w:r w:rsidRPr="00893D31">
              <w:t xml:space="preserve">, J. C. (1975). Marijuana Consumption and Tolerance to Physiological and Subjective Effects. </w:t>
            </w:r>
            <w:r w:rsidRPr="00893D31">
              <w:rPr>
                <w:i/>
                <w:iCs/>
              </w:rPr>
              <w:t>Archives of General Psychiatry</w:t>
            </w:r>
            <w:r w:rsidRPr="00893D31">
              <w:t xml:space="preserve">, </w:t>
            </w:r>
            <w:r w:rsidRPr="00893D31">
              <w:rPr>
                <w:i/>
                <w:iCs/>
              </w:rPr>
              <w:t>32</w:t>
            </w:r>
            <w:r w:rsidRPr="00893D31">
              <w:t>(12), 1548. https://doi.org/10.1001/archpsyc.1975.01760300086007</w:t>
            </w:r>
          </w:p>
          <w:p w14:paraId="242AB205" w14:textId="77777777" w:rsidR="006C0E8A" w:rsidRPr="00893D31" w:rsidRDefault="00CD11C2" w:rsidP="006C0E8A">
            <w:pPr>
              <w:pStyle w:val="Bibliography"/>
              <w:numPr>
                <w:ilvl w:val="0"/>
                <w:numId w:val="10"/>
              </w:numPr>
            </w:pPr>
            <w:proofErr w:type="spellStart"/>
            <w:r w:rsidRPr="00893D31">
              <w:lastRenderedPageBreak/>
              <w:t>Babor</w:t>
            </w:r>
            <w:proofErr w:type="spellEnd"/>
            <w:r w:rsidRPr="00893D31">
              <w:t xml:space="preserve">, T. F., Mendelson, J. H., &amp; </w:t>
            </w:r>
            <w:proofErr w:type="spellStart"/>
            <w:r w:rsidRPr="00893D31">
              <w:t>Kuehnle</w:t>
            </w:r>
            <w:proofErr w:type="spellEnd"/>
            <w:r w:rsidRPr="00893D31">
              <w:t xml:space="preserve">, J. (1976). Marihuana and human physical activity. </w:t>
            </w:r>
            <w:r w:rsidRPr="00893D31">
              <w:rPr>
                <w:i/>
                <w:iCs/>
              </w:rPr>
              <w:t>Psychopharmacology</w:t>
            </w:r>
            <w:r w:rsidRPr="00893D31">
              <w:t xml:space="preserve">, </w:t>
            </w:r>
            <w:r w:rsidRPr="00893D31">
              <w:rPr>
                <w:i/>
                <w:iCs/>
              </w:rPr>
              <w:t>50</w:t>
            </w:r>
            <w:r w:rsidRPr="00893D31">
              <w:t>(1), 11–19. https://doi.org/10.1007/BF00634148</w:t>
            </w:r>
          </w:p>
          <w:p w14:paraId="0274FA17" w14:textId="7F9221E1" w:rsidR="00CD11C2" w:rsidRPr="00893D31" w:rsidRDefault="00CD11C2" w:rsidP="006C0E8A">
            <w:pPr>
              <w:pStyle w:val="Bibliography"/>
              <w:numPr>
                <w:ilvl w:val="0"/>
                <w:numId w:val="10"/>
              </w:numPr>
            </w:pPr>
            <w:proofErr w:type="spellStart"/>
            <w:r w:rsidRPr="00893D31">
              <w:t>Babor</w:t>
            </w:r>
            <w:proofErr w:type="spellEnd"/>
            <w:r w:rsidRPr="00893D31">
              <w:t xml:space="preserve">, T. F., Mendelson, J. H., </w:t>
            </w:r>
            <w:proofErr w:type="spellStart"/>
            <w:r w:rsidRPr="00893D31">
              <w:t>Uhly</w:t>
            </w:r>
            <w:proofErr w:type="spellEnd"/>
            <w:r w:rsidRPr="00893D31">
              <w:t xml:space="preserve">, B., &amp; </w:t>
            </w:r>
            <w:proofErr w:type="spellStart"/>
            <w:r w:rsidRPr="00893D31">
              <w:t>Kuehnle</w:t>
            </w:r>
            <w:proofErr w:type="spellEnd"/>
            <w:r w:rsidRPr="00893D31">
              <w:t xml:space="preserve">, J. C. (1978). Social Effects of Marijuana Use in a Recreational Setting. </w:t>
            </w:r>
            <w:r w:rsidRPr="00893D31">
              <w:rPr>
                <w:i/>
                <w:iCs/>
              </w:rPr>
              <w:t>International Journal of the Addictions</w:t>
            </w:r>
            <w:r w:rsidRPr="00893D31">
              <w:t xml:space="preserve">, </w:t>
            </w:r>
            <w:r w:rsidRPr="00893D31">
              <w:rPr>
                <w:i/>
                <w:iCs/>
              </w:rPr>
              <w:t>13</w:t>
            </w:r>
            <w:r w:rsidRPr="00893D31">
              <w:t>(6), 947–959. https://doi.org/10.3109/10826087809039315</w:t>
            </w:r>
          </w:p>
          <w:p w14:paraId="46811693" w14:textId="2E767989" w:rsidR="00CF57CE" w:rsidRPr="00893D31" w:rsidRDefault="00CF57CE" w:rsidP="00F929FA">
            <w:pPr>
              <w:pStyle w:val="NoSpacing"/>
            </w:pPr>
          </w:p>
        </w:tc>
      </w:tr>
      <w:tr w:rsidR="00556F5E" w:rsidRPr="00893D31" w14:paraId="6A8B5DB9" w14:textId="77777777" w:rsidTr="000319BB">
        <w:tc>
          <w:tcPr>
            <w:tcW w:w="1885" w:type="dxa"/>
          </w:tcPr>
          <w:p w14:paraId="55870BB3" w14:textId="1C8C8AD5" w:rsidR="00556F5E" w:rsidRPr="00893D31" w:rsidRDefault="00556F5E" w:rsidP="000319BB">
            <w:r w:rsidRPr="00893D31">
              <w:lastRenderedPageBreak/>
              <w:t>Placebo Cannabis only (n = 1)</w:t>
            </w:r>
          </w:p>
        </w:tc>
        <w:tc>
          <w:tcPr>
            <w:tcW w:w="7465" w:type="dxa"/>
          </w:tcPr>
          <w:p w14:paraId="38D8A6FF" w14:textId="7BF1E463" w:rsidR="00556F5E" w:rsidRPr="00893D31" w:rsidRDefault="006126A6" w:rsidP="00F929FA">
            <w:pPr>
              <w:pStyle w:val="NoSpacing"/>
              <w:numPr>
                <w:ilvl w:val="0"/>
                <w:numId w:val="5"/>
              </w:numPr>
            </w:pPr>
            <w:proofErr w:type="spellStart"/>
            <w:r w:rsidRPr="00893D31">
              <w:t>Chait</w:t>
            </w:r>
            <w:proofErr w:type="spellEnd"/>
            <w:r w:rsidRPr="00893D31">
              <w:t xml:space="preserve">, L. D., &amp; Perry, J. L. (1992). Factors influencing self-administration of, and subjective response to, placebo marijuana: </w:t>
            </w:r>
            <w:proofErr w:type="spellStart"/>
            <w:r w:rsidRPr="00893D31">
              <w:rPr>
                <w:i/>
                <w:iCs/>
              </w:rPr>
              <w:t>Behavioural</w:t>
            </w:r>
            <w:proofErr w:type="spellEnd"/>
            <w:r w:rsidRPr="00893D31">
              <w:rPr>
                <w:i/>
                <w:iCs/>
              </w:rPr>
              <w:t xml:space="preserve"> Pharmacology</w:t>
            </w:r>
            <w:r w:rsidRPr="00893D31">
              <w:t xml:space="preserve">, </w:t>
            </w:r>
            <w:r w:rsidRPr="00893D31">
              <w:rPr>
                <w:i/>
                <w:iCs/>
              </w:rPr>
              <w:t>3</w:t>
            </w:r>
            <w:r w:rsidRPr="00893D31">
              <w:t>(6), 545???552. https://doi.org/10.1097/00008877-199212000-00002</w:t>
            </w:r>
          </w:p>
        </w:tc>
      </w:tr>
      <w:tr w:rsidR="00556F5E" w:rsidRPr="00893D31" w14:paraId="76F04540" w14:textId="77777777" w:rsidTr="000319BB">
        <w:tc>
          <w:tcPr>
            <w:tcW w:w="1885" w:type="dxa"/>
          </w:tcPr>
          <w:p w14:paraId="546DC1C0" w14:textId="76F8CC80" w:rsidR="00556F5E" w:rsidRPr="00893D31" w:rsidRDefault="00556F5E" w:rsidP="00CF57CE">
            <w:r w:rsidRPr="00893D31">
              <w:t>Abstract only</w:t>
            </w:r>
            <w:r w:rsidR="00CF57CE" w:rsidRPr="00893D31">
              <w:t xml:space="preserve"> (n = </w:t>
            </w:r>
            <w:r w:rsidR="001E3BC4" w:rsidRPr="00893D31">
              <w:t>2</w:t>
            </w:r>
            <w:r w:rsidRPr="00893D31">
              <w:t>)</w:t>
            </w:r>
          </w:p>
        </w:tc>
        <w:tc>
          <w:tcPr>
            <w:tcW w:w="7465" w:type="dxa"/>
          </w:tcPr>
          <w:p w14:paraId="2265E91A" w14:textId="6CA768EA" w:rsidR="001E3BC4" w:rsidRPr="00893D31" w:rsidRDefault="001E3BC4" w:rsidP="001E3BC4">
            <w:pPr>
              <w:pStyle w:val="ListParagraph"/>
              <w:numPr>
                <w:ilvl w:val="0"/>
                <w:numId w:val="12"/>
              </w:numPr>
              <w:spacing w:line="240" w:lineRule="auto"/>
            </w:pPr>
            <w:proofErr w:type="spellStart"/>
            <w:r w:rsidRPr="00893D31">
              <w:t>Kosnett</w:t>
            </w:r>
            <w:proofErr w:type="spellEnd"/>
            <w:r w:rsidRPr="00893D31">
              <w:t xml:space="preserve">, M., Brooks-Russell, A., </w:t>
            </w:r>
            <w:proofErr w:type="spellStart"/>
            <w:r w:rsidRPr="00893D31">
              <w:t>SWang</w:t>
            </w:r>
            <w:proofErr w:type="spellEnd"/>
            <w:r w:rsidRPr="00893D31">
              <w:t xml:space="preserve">, G., Dooley, G., </w:t>
            </w:r>
            <w:proofErr w:type="spellStart"/>
            <w:r w:rsidRPr="00893D31">
              <w:t>Milavetz</w:t>
            </w:r>
            <w:proofErr w:type="spellEnd"/>
            <w:r w:rsidRPr="00893D31">
              <w:t xml:space="preserve">, G., Friedman, K., Heard, S., Thibodeaux, C., &amp; Schwarz, J. (2020). Blood cannabinoid molar metabolite ratio is superior to blood THC as an indicator of recent cannabis smoking. </w:t>
            </w:r>
            <w:r w:rsidRPr="00893D31">
              <w:rPr>
                <w:i/>
              </w:rPr>
              <w:t>ACMT 2020 Annual Scientific Meeting, 16</w:t>
            </w:r>
            <w:r w:rsidRPr="00893D31">
              <w:t>, 133–134. https://doi.org/10.1007/s13181-020-00759-7</w:t>
            </w:r>
          </w:p>
          <w:p w14:paraId="11AEB8B2" w14:textId="76481097" w:rsidR="009705D4" w:rsidRPr="00893D31" w:rsidRDefault="001E3BC4" w:rsidP="001E3BC4">
            <w:pPr>
              <w:pStyle w:val="ListParagraph"/>
              <w:numPr>
                <w:ilvl w:val="0"/>
                <w:numId w:val="12"/>
              </w:numPr>
            </w:pPr>
            <w:r w:rsidRPr="00893D31">
              <w:t xml:space="preserve">Morgan, C., Schafer, G., Gardener, C., &amp; Curran, H. (2011). CBD vs. THC : How do effects differ in users prone to psychosis, acutely and chronically, and naturalistically and in the laboratory? </w:t>
            </w:r>
            <w:r w:rsidRPr="00893D31">
              <w:rPr>
                <w:i/>
              </w:rPr>
              <w:t>Abstracts for the 13th International Congress on Schizophrenia Research (ICOSR), 37.</w:t>
            </w:r>
            <w:r w:rsidRPr="00893D31">
              <w:t xml:space="preserve"> https://doi.org/10.1093/schbul/sbq173</w:t>
            </w:r>
          </w:p>
        </w:tc>
      </w:tr>
    </w:tbl>
    <w:p w14:paraId="2CD16633" w14:textId="784A84F2" w:rsidR="008D1D36" w:rsidRPr="00893D31" w:rsidRDefault="008D1D36" w:rsidP="000319BB"/>
    <w:p w14:paraId="7EB787DF" w14:textId="713A1F7F" w:rsidR="001772A8" w:rsidRPr="00893D31" w:rsidRDefault="006A230D" w:rsidP="001772A8">
      <w:pPr>
        <w:rPr>
          <w:b/>
          <w:bCs/>
        </w:rPr>
      </w:pPr>
      <w:r w:rsidRPr="00893D31">
        <w:rPr>
          <w:b/>
          <w:bCs/>
        </w:rPr>
        <w:t xml:space="preserve">Supplementary Table </w:t>
      </w:r>
      <w:r w:rsidR="001D6994" w:rsidRPr="00893D31">
        <w:rPr>
          <w:b/>
          <w:bCs/>
        </w:rPr>
        <w:t>3</w:t>
      </w:r>
      <w:r w:rsidR="001772A8" w:rsidRPr="00893D31">
        <w:rPr>
          <w:b/>
          <w:bCs/>
        </w:rPr>
        <w:t xml:space="preserve">. Instructions </w:t>
      </w:r>
      <w:r w:rsidR="00942E07" w:rsidRPr="00893D31">
        <w:rPr>
          <w:b/>
          <w:bCs/>
        </w:rPr>
        <w:t>Used for Ad L</w:t>
      </w:r>
      <w:r w:rsidR="001772A8" w:rsidRPr="00893D31">
        <w:rPr>
          <w:b/>
          <w:bCs/>
        </w:rPr>
        <w:t xml:space="preserve">ibitum smoking </w:t>
      </w:r>
    </w:p>
    <w:tbl>
      <w:tblPr>
        <w:tblW w:w="93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970"/>
        <w:gridCol w:w="7380"/>
      </w:tblGrid>
      <w:tr w:rsidR="00CE1A43" w:rsidRPr="00893D31" w14:paraId="3D7745AC" w14:textId="5D643851" w:rsidTr="00F929FA">
        <w:trPr>
          <w:trHeight w:val="755"/>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E473AA" w14:textId="77777777" w:rsidR="00CE1A43" w:rsidRPr="00893D31" w:rsidRDefault="00CE1A43" w:rsidP="00E46956">
            <w:pPr>
              <w:rPr>
                <w:b/>
              </w:rPr>
            </w:pPr>
            <w:r w:rsidRPr="00893D31">
              <w:rPr>
                <w:b/>
              </w:rPr>
              <w:t>Reference</w:t>
            </w:r>
          </w:p>
        </w:tc>
        <w:tc>
          <w:tcPr>
            <w:tcW w:w="738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4363221" w14:textId="523F346A" w:rsidR="00CE1A43" w:rsidRPr="00893D31" w:rsidRDefault="00CE1A43" w:rsidP="00E46956">
            <w:pPr>
              <w:rPr>
                <w:b/>
              </w:rPr>
            </w:pPr>
            <w:r>
              <w:rPr>
                <w:b/>
              </w:rPr>
              <w:t xml:space="preserve">Ad libitum </w:t>
            </w:r>
            <w:r w:rsidRPr="00893D31">
              <w:rPr>
                <w:b/>
              </w:rPr>
              <w:t>Instruction</w:t>
            </w:r>
            <w:r>
              <w:rPr>
                <w:b/>
              </w:rPr>
              <w:t xml:space="preserve"> and Procedures</w:t>
            </w:r>
          </w:p>
        </w:tc>
      </w:tr>
      <w:tr w:rsidR="00CE1A43" w:rsidRPr="00893D31" w14:paraId="0943B25C" w14:textId="77777777" w:rsidTr="00F929FA">
        <w:trPr>
          <w:trHeight w:val="725"/>
        </w:trPr>
        <w:tc>
          <w:tcPr>
            <w:tcW w:w="1970" w:type="dxa"/>
            <w:tcBorders>
              <w:left w:val="single" w:sz="8" w:space="0" w:color="000000"/>
              <w:right w:val="single" w:sz="8" w:space="0" w:color="000000"/>
            </w:tcBorders>
            <w:tcMar>
              <w:top w:w="100" w:type="dxa"/>
              <w:left w:w="100" w:type="dxa"/>
              <w:bottom w:w="100" w:type="dxa"/>
              <w:right w:w="100" w:type="dxa"/>
            </w:tcMar>
          </w:tcPr>
          <w:p w14:paraId="6B681B33" w14:textId="5917BF0C" w:rsidR="00CE1A43" w:rsidRPr="00893D31" w:rsidRDefault="00213DFB" w:rsidP="001B0072">
            <w:r>
              <w:rPr>
                <w:vertAlign w:val="superscript"/>
              </w:rPr>
              <w:t xml:space="preserve">a </w:t>
            </w:r>
            <w:r w:rsidR="00CE1A43" w:rsidRPr="00893D31">
              <w:fldChar w:fldCharType="begin"/>
            </w:r>
            <w:r w:rsidR="00CE1A43" w:rsidRPr="00893D31">
              <w:instrText xml:space="preserve"> ADDIN ZOTERO_ITEM CSL_CITATION {"citationID":"W2PISDnt","properties":{"formattedCitation":"(Brands et al., 2019; Matheson, Mann, et al., 2020; Matheson, Sproule, et al., 2020)","plainCitation":"(Brands et al., 2019; Matheson, Mann, et al., 2020; Matheson, Sproule, et al., 2020)","noteIndex":0},"citationItems":[{"id":246,"uris":["http://zotero.org/users/local/DJWzFQkJ/items/9W9HW3EL"],"itemData":{"id":246,"type":"article-journal","abstract":"BACKGROUND: Although driving under the influence of cannabis is increasingly common among young adults, little is known about residual effects on driver behavior. This study examined acute and residual effects of smoked cannabis on simulated driving performance of young cannabis users.\nMETHODS: In this double-blind, placebo-controlled, parallel-group randomized clinical trial, cannabis users (1-4 days/week) aged 19-25 years were randomized with a 2:1 allocation ratio to receive active (12.5% THC) or placebo (0.009% THC) cannabis in a single 750 mg cigarette. A median split (based on whole-blood THC concentrations at the time of driving) was used to divide the active group into low and high THC groups. Our primary outcome was simulated driving performance, assessed 30 min and 24 and 48 h after smoking. Secondary outcomes included blood THC concentrations, subjective drug effects, and heart rate.\nRESULTS: Ninety-six participants were randomized, and 91 were included in the final analysis (30 high THC, 31 low THC, 30 placebo). Mean speed (but not lateral control) significantly differed between groups 30 min after smoking cannabis (p ≤ 0.02); low and high THC groups decreased their speed compared to placebo. Heart rate, VAS drug effect and drug high increased significantly immediately after smoking cannabis and declined steadily after that. There was little evidence of residual effects in any of the measures.\nCONCLUSION: Acutely, cannabis caused decreased speed, increased heart rate, and increases in VAS drug effect and drug high. There was no evidence of residual effects on these measures over the two days following cannabis administration.","container-title":"Drug and Alcohol Dependence","DOI":"10.1016/j.drugalcdep.2019.107641","ISSN":"1879-0046","journalAbbreviation":"Drug Alcohol Depend","language":"eng","note":"PMID: 31678833","page":"107641","source":"PubMed","title":"Acute and residual effects of smoked cannabis: Impact on driving speed and lateral control, heart rate, and self-reported drug effects","title-short":"Acute and residual effects of smoked cannabis","volume":"205","author":[{"family":"Brands","given":"Bruna"},{"family":"Mann","given":"Robert E."},{"family":"Wickens","given":"Christine M."},{"family":"Sproule","given":"Beth"},{"family":"Stoduto","given":"Gina"},{"family":"Sayer","given":"Gillian S."},{"family":"Burston","given":"Jillian"},{"family":"Pan","given":"Jie Fei"},{"family":"Matheson","given":"Justin"},{"family":"Stefan","given":"Cristiana"},{"family":"George","given":"Tony P."},{"family":"Huestis","given":"Marilyn A."},{"family":"Rehm","given":"Jürgen"},{"family":"Le Foll","given":"Bernard"}],"issued":{"date-parts":[["2019",12,1]]}}},{"id":"aeOinNBx/kANDcyoB","uris":["http://zotero.org/users/7442040/items/XTDGZ86R"],"itemData":{"id":106,"type":"article-journal","abstract":"Objectives: To examine acute and residual mood and cognitive performance in young adult regular cannabis users following smoked cannabis.\nMethods: Ninety-one healthy young adults completed this double-blind, placebo-controlled, parallel-groups study. Participants were randomized to receive active (12.5% THC) or placebo cannabis with a 2:1 allocation ratio, and mood [Profile of Mood States (POMS)] and cognitive performance [Hopkins Verbal Learning Test –Revised (HVLT-R), Digit Symbol Substitution Test (DSST), Continuous Performance Test (CPT), grooved pegboard (GPB)] were assessed before and 1, 24, and 48 (h) after smoking cannabis ad libitum. High and Low THC groups were based on blood THC concentrations.\nResults: One hour after smoking cannabis, compared to Placebo, in both the High and Low THC groups, there were increases in POMS Arousal and Positive Mood, and in the High THC group only, increases in Confusion, Friendliness, and Elation, and a decrease in Fatigue. Increases in Friendliness and Elation in the High THC group remained significant for 24 h. The only significant acute effect of cannabis on cognition was a decrease in the percent of words retained in the HVLT-R in the High THC group compared to Placebo (mean difference = 15.8%, 95% CI = 3.6–28.0%, p = 0.006). Unexpectedly, compared to Placebo, both the High and Low THC groups improved in DSST performance at 48 h (p ≤ 0.016).\nConclusions: Under the present experimental conditions, in young regular cannabis users, smoking cannabis ad libitum had significant effects on mood, some of which persisted 24 h later, yet minimal effects on cognition, and no evidence of residual cognitive impairment.","container-title":"Pharmacology Biochemistry and Behavior","DOI":"10.1016/j.pbb.2020.172937","ISSN":"00913057","journalAbbreviation":"Pharmacology Biochemistry and Behavior","language":"en","page":"172937","source":"DOI.org (Crossref)","title":"Acute and residual mood and cognitive performance of young adults following smoked cannabis","volume":"194","author":[{"family":"Matheson","given":"Justin"},{"family":"Mann","given":"Robert E."},{"family":"Sproule","given":"Beth"},{"family":"Huestis","given":"Marilyn A."},{"family":"Wickens","given":"Christine M."},{"family":"Stoduto","given":"Gina"},{"family":"George","given":"Tony P."},{"family":"Rehm","given":"Jürgen"},{"family":"Le Foll","given":"Bernard"},{"family":"Brands","given":"Bruna"}],"issued":{"date-parts":[["2020",7]]}}},{"id":"aeOinNBx/DWXoI9OK","uris":["http://zotero.org/users/7442040/items/PGRPWTFN"],"itemData":{"id":34,"type":"article-journal","abstract":"Objectives The objective of this secondary analysis was to examine sex differences in THC pharmacokinetics and in acute subjective, physiological, and cognitive effects of smoked cannabis in a sample of regular cannabis users (use 1–4 days per week) aged 19–25 years.\nMethods Ninety-one healthy young adults were randomized to receive active (12.5% THC; 17 females, 43 males) or placebo (&lt; 0.1% THC; 9 females, 21 males) cannabis using a 2:1 allocation ratio. Blood samples to quantify concentrations of THC, 11-OHTHC, and 11-Nor-carboxy-THC (THC-COOH), as well as measures of subjective drug effects, vital signs, and cognition were collected over a period of 6 h following ad libitum smoking of a 750-mg cannabis cigarette.\nResults Females smoked less of the cannabis cigarette than males (p = 0.008) and had a lower peak concentration of THC and THC-COOH than males (p ≤ 0.01). Blood THC concentrations remained lower in females even when adjusting for differences in estimated dose of THC inhaled. There was very little evidence of sex differences in visual analog scale (VAS) ratings of subjective drug effects, mood, heart rate, blood pressure, or cognitive effects of cannabis.\nConclusions Females experienced the same acute effects of smoked cannabis as males at a lower observed dose, highlighting the need for more research on sex differences in the pharmacology of THC, especially when administered by routes in which titrating to the desired effect is more difficult (e.g., cannabis edibles).","container-title":"Psychopharmacology","DOI":"10.1007/s00213-019-05369-y","ISSN":"0033-3158, 1432-2072","issue":"2","journalAbbreviation":"Psychopharmacology","language":"en","page":"305-316","source":"DOI.org (Crossref)","title":"Sex differences in the acute effects of smoked cannabis: evidence from a human laboratory study of young adults","title-short":"Sex differences in the acute effects of smoked cannabis","volume":"237","author":[{"family":"Matheson","given":"Justin"},{"family":"Sproule","given":"Beth"},{"family":"Di Ciano","given":"Patricia"},{"family":"Fares","given":"Andrew"},{"family":"Le Foll","given":"Bernard"},{"family":"Mann","given":"Robert E."},{"family":"Brands","given":"Bruna"}],"issued":{"date-parts":[["2020",2]]}}}],"schema":"https://github.com/citation-style-language/schema/raw/master/csl-citation.json"} </w:instrText>
            </w:r>
            <w:r w:rsidR="00CE1A43" w:rsidRPr="00893D31">
              <w:fldChar w:fldCharType="separate"/>
            </w:r>
            <w:r w:rsidR="00CE1A43" w:rsidRPr="00893D31">
              <w:rPr>
                <w:rFonts w:ascii="Calibri" w:hAnsi="Calibri" w:cs="Calibri"/>
              </w:rPr>
              <w:t>(Brands et al., 2019; Matheson, Mann, et al., 2020; Matheson, Sproule, et al., 2020)</w:t>
            </w:r>
            <w:r w:rsidR="00CE1A43" w:rsidRPr="00893D31">
              <w:fldChar w:fldCharType="end"/>
            </w:r>
          </w:p>
        </w:tc>
        <w:tc>
          <w:tcPr>
            <w:tcW w:w="7380" w:type="dxa"/>
            <w:tcBorders>
              <w:right w:val="single" w:sz="8" w:space="0" w:color="000000"/>
            </w:tcBorders>
            <w:tcMar>
              <w:top w:w="100" w:type="dxa"/>
              <w:left w:w="100" w:type="dxa"/>
              <w:bottom w:w="100" w:type="dxa"/>
              <w:right w:w="100" w:type="dxa"/>
            </w:tcMar>
          </w:tcPr>
          <w:p w14:paraId="1AE73B5A" w14:textId="457EC67F" w:rsidR="00CE1A43" w:rsidRPr="00893D31" w:rsidRDefault="00CE1A43" w:rsidP="005F0C4E">
            <w:r w:rsidRPr="00893D31">
              <w:t>“Please smoke the cigarette as you normally do when you smoke cannabis.</w:t>
            </w:r>
          </w:p>
          <w:p w14:paraId="0D90B0F9" w14:textId="21D85FC2" w:rsidR="00CE1A43" w:rsidRPr="00893D31" w:rsidRDefault="00CE1A43" w:rsidP="005F0C4E">
            <w:r w:rsidRPr="00893D31">
              <w:t>Please only smoke as much as you need to in order to experience the same ‘high’ that you are used to experiencing regularly.</w:t>
            </w:r>
          </w:p>
          <w:p w14:paraId="7032497A" w14:textId="1D065BDE" w:rsidR="00CE1A43" w:rsidRPr="00893D31" w:rsidRDefault="00CE1A43" w:rsidP="005F0C4E">
            <w:r w:rsidRPr="00893D31">
              <w:t>You DO NOT need to smoke the whole cigarette, and you are free to stop smoking at ANY time and for ANY reason.</w:t>
            </w:r>
          </w:p>
          <w:p w14:paraId="13E86EA3" w14:textId="38112933" w:rsidR="00CE1A43" w:rsidRPr="00893D31" w:rsidRDefault="00CE1A43" w:rsidP="005F0C4E">
            <w:r w:rsidRPr="00893D31">
              <w:t>If you feel unwell, strange, or sick please STOP smoking and signal for help. Though no one will be in the room with you while you are smoking, you will be monitored from the next room for your safety.”</w:t>
            </w:r>
          </w:p>
        </w:tc>
      </w:tr>
      <w:tr w:rsidR="006547B8" w:rsidRPr="00893D31" w14:paraId="77FD8FE2" w14:textId="77777777" w:rsidTr="00D8681B">
        <w:trPr>
          <w:trHeight w:val="28"/>
        </w:trPr>
        <w:tc>
          <w:tcPr>
            <w:tcW w:w="197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A307C25" w14:textId="77777777" w:rsidR="006547B8" w:rsidRPr="00893D31" w:rsidRDefault="006547B8" w:rsidP="00D8681B">
            <w:r w:rsidRPr="00E46085">
              <w:t>(</w:t>
            </w:r>
            <w:proofErr w:type="spellStart"/>
            <w:r w:rsidRPr="00E46085">
              <w:t>Cappell</w:t>
            </w:r>
            <w:proofErr w:type="spellEnd"/>
            <w:r w:rsidRPr="00E46085">
              <w:t xml:space="preserve"> et al., 1973)</w:t>
            </w:r>
          </w:p>
        </w:tc>
        <w:tc>
          <w:tcPr>
            <w:tcW w:w="7380" w:type="dxa"/>
            <w:tcBorders>
              <w:bottom w:val="single" w:sz="8" w:space="0" w:color="000000"/>
              <w:right w:val="single" w:sz="8" w:space="0" w:color="000000"/>
            </w:tcBorders>
            <w:tcMar>
              <w:top w:w="100" w:type="dxa"/>
              <w:left w:w="100" w:type="dxa"/>
              <w:bottom w:w="100" w:type="dxa"/>
              <w:right w:w="100" w:type="dxa"/>
            </w:tcMar>
          </w:tcPr>
          <w:p w14:paraId="01175AA8" w14:textId="4DD2D7E3" w:rsidR="006547B8" w:rsidRPr="00893D31" w:rsidRDefault="006547B8" w:rsidP="00B517F5">
            <w:r>
              <w:t>“…subjects were told that they were to self-administer marihuana until they had attained a subjectively determined “optimal” high”…</w:t>
            </w:r>
            <w:r w:rsidR="00B517F5">
              <w:t xml:space="preserve"> Cigarettes were made available one at a time upon demand. </w:t>
            </w:r>
            <w:r>
              <w:t>It was stressed that subjects were to smoke at t</w:t>
            </w:r>
            <w:r w:rsidR="00B517F5">
              <w:t>heir own rate and were not to con</w:t>
            </w:r>
            <w:r>
              <w:t>sume any more than necessary to achieve the task, even if this meant d</w:t>
            </w:r>
            <w:r w:rsidR="00B517F5">
              <w:t>iscarding most of a cigarette.</w:t>
            </w:r>
            <w:r>
              <w:t>”</w:t>
            </w:r>
          </w:p>
        </w:tc>
      </w:tr>
      <w:tr w:rsidR="00CE1A43" w:rsidRPr="00893D31" w14:paraId="492E646A" w14:textId="77777777" w:rsidTr="00F929FA">
        <w:trPr>
          <w:trHeight w:val="28"/>
        </w:trPr>
        <w:tc>
          <w:tcPr>
            <w:tcW w:w="197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8F0A79E" w14:textId="4F78B029" w:rsidR="00CE1A43" w:rsidRPr="00893D31" w:rsidRDefault="00CE1A43" w:rsidP="001B0072">
            <w:r w:rsidRPr="00893D31">
              <w:lastRenderedPageBreak/>
              <w:fldChar w:fldCharType="begin"/>
            </w:r>
            <w:r w:rsidRPr="00893D31">
              <w:instrText xml:space="preserve"> ADDIN ZOTERO_ITEM CSL_CITATION {"citationID":"JuGKVgBY","properties":{"formattedCitation":"(Chait, 1989)","plainCitation":"(Chait, 1989)","noteIndex":0},"citationItems":[{"id":"aeOinNBx/L3CplW6L","uris":["http://zotero.org/users/7442040/items/FD2NTMJ9"],"itemData":{"id":73,"type":"article-journal","abstract":"The role of marijuana delta-9-tetrahydrocannabinol (THC) content in controlling marijuana smoking behavior was examined in ten regular marijuana smokers. Each subject was allowed to self-administer marijuana of low, medium or high THC content freely over a 30-min period. Each potency of marijuana was color coded, and subjects smoked each potency on five separate occasions to provide the opportunity for them to learn from prior exposures the relative potencies of each marijuana type. Total intake of marijuana smoke during each session was estimated by measuring the post-smoking increase in expired air carbon monoxide (CO) level. Measures of marijuana effect included heart rate and standardized subjective effects scales. There were no differences among the three potencies of marijuana in post-smoking CO boost, and all measures that were sensitive to marijuana showed a clear dose response. Tolerance was observed over the course of the study to the heart-rate increasing effect of marijuana. These results indicate that subjects failed to regulate their intake of marijuana smoke in response to substantial (4-fold) changes in marijuana THC content.","container-title":"Psychopharmacology","DOI":"10.1007/BF00442005","ISSN":"0033-3158, 1432-2072","issue":"1","journalAbbreviation":"Psychopharmacology","language":"en","page":"51-55","source":"DOI.org (Crossref)","title":"Delta-9-tetrahydrocannabinol content and human marijuana self-administration","volume":"98","author":[{"family":"Chait","given":"L. D."}],"issued":{"date-parts":[["1989",5]]}}}],"schema":"https://github.com/citation-style-language/schema/raw/master/csl-citation.json"} </w:instrText>
            </w:r>
            <w:r w:rsidRPr="00893D31">
              <w:fldChar w:fldCharType="separate"/>
            </w:r>
            <w:r w:rsidRPr="00893D31">
              <w:rPr>
                <w:noProof/>
              </w:rPr>
              <w:t>(Chait, 1989)</w:t>
            </w:r>
            <w:r w:rsidRPr="00893D31">
              <w:fldChar w:fldCharType="end"/>
            </w:r>
          </w:p>
        </w:tc>
        <w:tc>
          <w:tcPr>
            <w:tcW w:w="7380" w:type="dxa"/>
            <w:tcBorders>
              <w:bottom w:val="single" w:sz="8" w:space="0" w:color="000000"/>
              <w:right w:val="single" w:sz="8" w:space="0" w:color="000000"/>
            </w:tcBorders>
            <w:tcMar>
              <w:top w:w="100" w:type="dxa"/>
              <w:left w:w="100" w:type="dxa"/>
              <w:bottom w:w="100" w:type="dxa"/>
              <w:right w:w="100" w:type="dxa"/>
            </w:tcMar>
          </w:tcPr>
          <w:p w14:paraId="535B2294" w14:textId="46736831" w:rsidR="00CE1A43" w:rsidRPr="00893D31" w:rsidRDefault="00CE1A43" w:rsidP="00B517F5">
            <w:r w:rsidRPr="00893D31">
              <w:t>“Subjects were informed that they could smoke as much or as little marijuana as they wanted during the designated 30-min smoking period.  They were also told that they should come to sessions wan</w:t>
            </w:r>
            <w:r w:rsidR="00B517F5">
              <w:t xml:space="preserve">ting and expecting to </w:t>
            </w:r>
            <w:r w:rsidR="00D81B4C">
              <w:t>‘</w:t>
            </w:r>
            <w:r w:rsidR="00B517F5">
              <w:t>get high</w:t>
            </w:r>
            <w:r w:rsidR="00D81B4C">
              <w:t>’</w:t>
            </w:r>
            <w:r w:rsidRPr="00893D31">
              <w:t xml:space="preserve"> and that if there was a good reason why they would not want to (such as a final examination the following morning), they were advised not to attend that evening and to reschedule that session.”</w:t>
            </w:r>
          </w:p>
        </w:tc>
      </w:tr>
      <w:tr w:rsidR="00CE1A43" w:rsidRPr="00DF676A" w14:paraId="05DC4F6E" w14:textId="77777777" w:rsidTr="00F929FA">
        <w:trPr>
          <w:trHeight w:val="28"/>
        </w:trPr>
        <w:tc>
          <w:tcPr>
            <w:tcW w:w="197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AADE840" w14:textId="022C6DA9" w:rsidR="00CE1A43" w:rsidRPr="00DF676A" w:rsidRDefault="00213DFB" w:rsidP="001B0072">
            <w:r>
              <w:rPr>
                <w:vertAlign w:val="superscript"/>
              </w:rPr>
              <w:t xml:space="preserve">a </w:t>
            </w:r>
            <w:r w:rsidR="00CE1A43" w:rsidRPr="00DF676A">
              <w:t>(</w:t>
            </w:r>
            <w:proofErr w:type="spellStart"/>
            <w:r w:rsidR="00CE1A43" w:rsidRPr="00DF676A">
              <w:t>Heishman</w:t>
            </w:r>
            <w:proofErr w:type="spellEnd"/>
            <w:r w:rsidR="00CE1A43" w:rsidRPr="00DF676A">
              <w:t xml:space="preserve"> et al., 1989)</w:t>
            </w:r>
          </w:p>
        </w:tc>
        <w:tc>
          <w:tcPr>
            <w:tcW w:w="7380" w:type="dxa"/>
            <w:tcBorders>
              <w:bottom w:val="single" w:sz="8" w:space="0" w:color="000000"/>
              <w:right w:val="single" w:sz="8" w:space="0" w:color="000000"/>
            </w:tcBorders>
            <w:tcMar>
              <w:top w:w="100" w:type="dxa"/>
              <w:left w:w="100" w:type="dxa"/>
              <w:bottom w:w="100" w:type="dxa"/>
              <w:right w:w="100" w:type="dxa"/>
            </w:tcMar>
          </w:tcPr>
          <w:p w14:paraId="44668E18" w14:textId="0D1CA203" w:rsidR="00CE1A43" w:rsidRPr="00DF676A" w:rsidRDefault="00CE1A43" w:rsidP="001B0072">
            <w:r w:rsidRPr="00DF676A">
              <w:t>“Subjects</w:t>
            </w:r>
            <w:r w:rsidR="00D81B4C">
              <w:t>…</w:t>
            </w:r>
            <w:r w:rsidRPr="00DF676A">
              <w:t>smoked ad lib a single marijuana cigarette, they were stopped after the eighth puff was exhaled.”</w:t>
            </w:r>
          </w:p>
          <w:p w14:paraId="0CB3B87E" w14:textId="72981E35" w:rsidR="00B517F5" w:rsidRPr="00DF676A" w:rsidRDefault="00B517F5" w:rsidP="006547B8">
            <w:r>
              <w:t>Other than the standardized instruction</w:t>
            </w:r>
            <w:r w:rsidR="00D81B4C">
              <w:t>s</w:t>
            </w:r>
            <w:r>
              <w:t xml:space="preserve"> given at the start of the puff inhalation, participants could </w:t>
            </w:r>
            <w:r w:rsidRPr="00DF676A">
              <w:t>s</w:t>
            </w:r>
            <w:r>
              <w:t>moke each of the 8 puffs however they like</w:t>
            </w:r>
            <w:r w:rsidR="00D81B4C">
              <w:t>d</w:t>
            </w:r>
            <w:r w:rsidRPr="00DF676A">
              <w:t>.</w:t>
            </w:r>
          </w:p>
        </w:tc>
      </w:tr>
      <w:tr w:rsidR="00CE1A43" w:rsidRPr="00DF676A" w14:paraId="19F36421" w14:textId="4527DC30" w:rsidTr="00F929FA">
        <w:trPr>
          <w:trHeight w:val="586"/>
        </w:trPr>
        <w:tc>
          <w:tcPr>
            <w:tcW w:w="197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E1E9E57" w14:textId="644DE15D" w:rsidR="00CE1A43" w:rsidRPr="00DF676A" w:rsidRDefault="00CE1A43" w:rsidP="00E46956">
            <w:r w:rsidRPr="00F929FA">
              <w:fldChar w:fldCharType="begin"/>
            </w:r>
            <w:r w:rsidRPr="00DF676A">
              <w:instrText xml:space="preserve"> ADDIN ZOTERO_ITEM CSL_CITATION {"citationID":"yoyFDjgG","properties":{"formattedCitation":"(Herning et al., 1986)","plainCitation":"(Herning et al., 1986)","noteIndex":0},"citationItems":[{"id":"aeOinNBx/A3wRBWyx","uris":["http://zotero.org/users/7442040/items/DEMIM28T"],"itemData":{"id":66,"type":"article-journal","abstract":"Changes in smoking behavior in response to a change in marijuana potency were measured in marijuana users. A marijuana cigarette containing 1.2% or 3.9% tetrahydrocannabinol (THC) was smoked on separate days by ten experienced users. Puff volume, duration and number, interpuff interval, inhalation volume and duration were averaged for each cigarette. The high potency cigarettes were smoked with more puffs and longer interpuff intervals, but also with greater inhaled volumes of air, thereby diluting the marijuana smoke.","container-title":"Psychopharmacology","DOI":"10.1007/BF00181232","ISSN":"0033-3158, 1432-2072","issue":"2","journalAbbreviation":"Psychopharmacology","language":"en","source":"DOI.org (Crossref)","title":"Tetrahydrocannabinol content and differences in marijuana smoking behavior","URL":"http://link.springer.com/10.1007/BF00181232","volume":"90","author":[{"family":"Herning","given":"RonaldI."},{"family":"Hooker","given":"WilliamD."},{"family":"Jones","given":"ReeseT."}],"accessed":{"date-parts":[["2021",3,16]]},"issued":{"date-parts":[["1986",9]]}}}],"schema":"https://github.com/citation-style-language/schema/raw/master/csl-citation.json"} </w:instrText>
            </w:r>
            <w:r w:rsidRPr="00F929FA">
              <w:fldChar w:fldCharType="separate"/>
            </w:r>
            <w:r w:rsidRPr="00DF676A">
              <w:rPr>
                <w:noProof/>
              </w:rPr>
              <w:t>(Herning et al., 1986)</w:t>
            </w:r>
            <w:r w:rsidRPr="00F929FA">
              <w:fldChar w:fldCharType="end"/>
            </w:r>
          </w:p>
        </w:tc>
        <w:tc>
          <w:tcPr>
            <w:tcW w:w="7380" w:type="dxa"/>
            <w:tcBorders>
              <w:bottom w:val="single" w:sz="8" w:space="0" w:color="000000"/>
              <w:right w:val="single" w:sz="8" w:space="0" w:color="000000"/>
            </w:tcBorders>
            <w:tcMar>
              <w:top w:w="100" w:type="dxa"/>
              <w:left w:w="100" w:type="dxa"/>
              <w:bottom w:w="100" w:type="dxa"/>
              <w:right w:w="100" w:type="dxa"/>
            </w:tcMar>
          </w:tcPr>
          <w:p w14:paraId="77AD6B29" w14:textId="4B955706" w:rsidR="00CE1A43" w:rsidRPr="00DF676A" w:rsidRDefault="00CE1A43" w:rsidP="00130FCE">
            <w:r w:rsidRPr="00DF676A">
              <w:t>“They were asked to smoke as they usually did, except the cigarette had to be smoked down to a mark 8 mm from the butt end. The experimenter-specified butt length was to require subjects to smoke the same amount of marijuana, thus maximizing opportunity for smoking behavior differences.”</w:t>
            </w:r>
          </w:p>
        </w:tc>
      </w:tr>
      <w:tr w:rsidR="00CE1A43" w:rsidRPr="00DF676A" w14:paraId="6C8E4247" w14:textId="77777777" w:rsidTr="00F929FA">
        <w:trPr>
          <w:trHeight w:val="429"/>
        </w:trPr>
        <w:tc>
          <w:tcPr>
            <w:tcW w:w="197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D8DBD98" w14:textId="0941E04B" w:rsidR="00CE1A43" w:rsidRPr="00DF676A" w:rsidRDefault="00213DFB" w:rsidP="001B0072">
            <w:r>
              <w:rPr>
                <w:vertAlign w:val="superscript"/>
              </w:rPr>
              <w:t xml:space="preserve">a </w:t>
            </w:r>
            <w:r w:rsidR="00CE1A43" w:rsidRPr="00DF676A">
              <w:t>(Herrmann et al., 2015)</w:t>
            </w:r>
          </w:p>
        </w:tc>
        <w:tc>
          <w:tcPr>
            <w:tcW w:w="7380" w:type="dxa"/>
            <w:tcBorders>
              <w:bottom w:val="single" w:sz="8" w:space="0" w:color="000000"/>
              <w:right w:val="single" w:sz="8" w:space="0" w:color="000000"/>
            </w:tcBorders>
            <w:tcMar>
              <w:top w:w="100" w:type="dxa"/>
              <w:left w:w="100" w:type="dxa"/>
              <w:bottom w:w="100" w:type="dxa"/>
              <w:right w:w="100" w:type="dxa"/>
            </w:tcMar>
          </w:tcPr>
          <w:p w14:paraId="51AF548C" w14:textId="358E28FE" w:rsidR="00B517F5" w:rsidRPr="00DF676A" w:rsidRDefault="00B517F5" w:rsidP="001B0072">
            <w:r>
              <w:t xml:space="preserve">Participants could smoke as much </w:t>
            </w:r>
            <w:r w:rsidR="00D81B4C">
              <w:t xml:space="preserve">or </w:t>
            </w:r>
            <w:r>
              <w:t xml:space="preserve">as </w:t>
            </w:r>
            <w:r w:rsidR="00D81B4C">
              <w:t xml:space="preserve">little as </w:t>
            </w:r>
            <w:r>
              <w:t xml:space="preserve">they wanted within the 1 hour time limit. </w:t>
            </w:r>
          </w:p>
        </w:tc>
      </w:tr>
      <w:tr w:rsidR="00CE1A43" w:rsidRPr="00DF676A" w14:paraId="5F7A47A5" w14:textId="77777777" w:rsidTr="00F929FA">
        <w:trPr>
          <w:trHeight w:val="725"/>
        </w:trPr>
        <w:tc>
          <w:tcPr>
            <w:tcW w:w="1970" w:type="dxa"/>
            <w:tcBorders>
              <w:left w:val="single" w:sz="8" w:space="0" w:color="000000"/>
              <w:right w:val="single" w:sz="8" w:space="0" w:color="000000"/>
            </w:tcBorders>
            <w:tcMar>
              <w:top w:w="100" w:type="dxa"/>
              <w:left w:w="100" w:type="dxa"/>
              <w:bottom w:w="100" w:type="dxa"/>
              <w:right w:w="100" w:type="dxa"/>
            </w:tcMar>
          </w:tcPr>
          <w:p w14:paraId="2B827201" w14:textId="77777777" w:rsidR="00CE1A43" w:rsidRPr="00DF676A" w:rsidRDefault="00CE1A43" w:rsidP="001B0072">
            <w:r w:rsidRPr="00DF676A">
              <w:t xml:space="preserve">(Hoffman et al., 2021; </w:t>
            </w:r>
            <w:proofErr w:type="spellStart"/>
            <w:r w:rsidRPr="00DF676A">
              <w:t>Marcotte</w:t>
            </w:r>
            <w:proofErr w:type="spellEnd"/>
            <w:r w:rsidRPr="00DF676A">
              <w:t xml:space="preserve"> et al.,</w:t>
            </w:r>
          </w:p>
        </w:tc>
        <w:tc>
          <w:tcPr>
            <w:tcW w:w="7380" w:type="dxa"/>
            <w:tcBorders>
              <w:right w:val="single" w:sz="8" w:space="0" w:color="000000"/>
            </w:tcBorders>
            <w:tcMar>
              <w:top w:w="100" w:type="dxa"/>
              <w:left w:w="100" w:type="dxa"/>
              <w:bottom w:w="100" w:type="dxa"/>
              <w:right w:w="100" w:type="dxa"/>
            </w:tcMar>
          </w:tcPr>
          <w:p w14:paraId="465C4FFA" w14:textId="06830688" w:rsidR="00CE1A43" w:rsidRPr="00DF676A" w:rsidDel="00CB0AB8" w:rsidRDefault="00CE1A43" w:rsidP="001B0072">
            <w:r w:rsidRPr="00DF676A">
              <w:t>"</w:t>
            </w:r>
            <w:r w:rsidR="00D81B4C">
              <w:t>S</w:t>
            </w:r>
            <w:r w:rsidRPr="00DF676A">
              <w:t>moke the cigarette the way you do at home to get high. You may take up to 10 minutes.”</w:t>
            </w:r>
          </w:p>
        </w:tc>
      </w:tr>
      <w:tr w:rsidR="00CE1A43" w:rsidRPr="00DF676A" w14:paraId="49086737" w14:textId="77777777" w:rsidTr="00F929FA">
        <w:trPr>
          <w:trHeight w:val="429"/>
        </w:trPr>
        <w:tc>
          <w:tcPr>
            <w:tcW w:w="197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49C0D91" w14:textId="1D5146BB" w:rsidR="00CE1A43" w:rsidRPr="00DF676A" w:rsidRDefault="00CE1A43" w:rsidP="001B0072">
            <w:r w:rsidRPr="00F929FA">
              <w:fldChar w:fldCharType="begin"/>
            </w:r>
            <w:r w:rsidRPr="00DF676A">
              <w:instrText xml:space="preserve"> ADDIN ZOTERO_ITEM CSL_CITATION {"citationID":"rrgcZD7S","properties":{"formattedCitation":"(Matthias et al., 1997)","plainCitation":"(Matthias et al., 1997)","noteIndex":0},"citationItems":[{"id":"aeOinNBx/w2NSDOES","uris":["http://zotero.org/users/7442040/items/6NR9WXTH"],"itemData":{"id":89,"type":"article-journal","language":"en","page":"6","source":"Zotero","title":"Effects of Varying Marijuana Potency on Deposition of Tar and </w:instrText>
            </w:r>
            <w:r w:rsidRPr="00DF676A">
              <w:rPr>
                <w:rFonts w:ascii="Calibri" w:hAnsi="Calibri" w:cs="Calibri"/>
              </w:rPr>
              <w:instrText>⌬</w:instrText>
            </w:r>
            <w:r w:rsidRPr="00DF676A">
              <w:instrText xml:space="preserve">9-THC in the Lung During Smoking","author":[{"family":"Matthias","given":"Peter"},{"family":"Tashkin","given":"Donald P"},{"family":"Marques-Magallanes","given":"Jose A"},{"family":"Wilkins","given":"Jeffrey N"},{"family":"Simmons","given":"Michael S"}],"issued":{"date-parts":[["1997"]]}}}],"schema":"https://github.com/citation-style-language/schema/raw/master/csl-citation.json"} </w:instrText>
            </w:r>
            <w:r w:rsidRPr="00F929FA">
              <w:fldChar w:fldCharType="separate"/>
            </w:r>
            <w:r w:rsidRPr="00DF676A">
              <w:rPr>
                <w:noProof/>
              </w:rPr>
              <w:t>(Matthias et al., 1997)</w:t>
            </w:r>
            <w:r w:rsidRPr="00F929FA">
              <w:fldChar w:fldCharType="end"/>
            </w:r>
          </w:p>
        </w:tc>
        <w:tc>
          <w:tcPr>
            <w:tcW w:w="7380" w:type="dxa"/>
            <w:tcBorders>
              <w:bottom w:val="single" w:sz="8" w:space="0" w:color="000000"/>
              <w:right w:val="single" w:sz="8" w:space="0" w:color="000000"/>
            </w:tcBorders>
            <w:tcMar>
              <w:top w:w="100" w:type="dxa"/>
              <w:left w:w="100" w:type="dxa"/>
              <w:bottom w:w="100" w:type="dxa"/>
              <w:right w:w="100" w:type="dxa"/>
            </w:tcMar>
          </w:tcPr>
          <w:p w14:paraId="61C138D5" w14:textId="34F97995" w:rsidR="00CE1A43" w:rsidRPr="00DF676A" w:rsidRDefault="00CE1A43">
            <w:r w:rsidRPr="00DF676A">
              <w:t xml:space="preserve">“Subjects were asked to smoke each marijuana cigarette ad lib but were specifically instructed to stop smoking once they had achieved their desired level of intoxication </w:t>
            </w:r>
            <w:r w:rsidR="0037635D">
              <w:t>(</w:t>
            </w:r>
            <w:r w:rsidR="00D81B4C">
              <w:t>’</w:t>
            </w:r>
            <w:r w:rsidRPr="00DF676A">
              <w:t>high</w:t>
            </w:r>
            <w:r w:rsidR="00D81B4C">
              <w:t>’</w:t>
            </w:r>
            <w:r w:rsidR="0037635D">
              <w:t>)</w:t>
            </w:r>
            <w:r w:rsidRPr="00DF676A">
              <w:t xml:space="preserve">.” </w:t>
            </w:r>
          </w:p>
        </w:tc>
      </w:tr>
      <w:tr w:rsidR="00CE1A43" w:rsidRPr="00DF676A" w14:paraId="0CAA013E" w14:textId="77777777" w:rsidTr="00F929FA">
        <w:trPr>
          <w:trHeight w:val="429"/>
        </w:trPr>
        <w:tc>
          <w:tcPr>
            <w:tcW w:w="197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8B829A2" w14:textId="7F8EAFDE" w:rsidR="00CE1A43" w:rsidRPr="00DF676A" w:rsidRDefault="00213DFB" w:rsidP="001B0072">
            <w:r>
              <w:rPr>
                <w:vertAlign w:val="superscript"/>
              </w:rPr>
              <w:t xml:space="preserve">a </w:t>
            </w:r>
            <w:r w:rsidR="00CE1A43" w:rsidRPr="00DF676A">
              <w:t>(McClure et al., 2012)</w:t>
            </w:r>
          </w:p>
        </w:tc>
        <w:tc>
          <w:tcPr>
            <w:tcW w:w="7380" w:type="dxa"/>
            <w:tcBorders>
              <w:bottom w:val="single" w:sz="8" w:space="0" w:color="000000"/>
              <w:right w:val="single" w:sz="8" w:space="0" w:color="000000"/>
            </w:tcBorders>
            <w:tcMar>
              <w:top w:w="100" w:type="dxa"/>
              <w:left w:w="100" w:type="dxa"/>
              <w:bottom w:w="100" w:type="dxa"/>
              <w:right w:w="100" w:type="dxa"/>
            </w:tcMar>
          </w:tcPr>
          <w:p w14:paraId="3C21E2A0" w14:textId="5FAD342D" w:rsidR="005B5A32" w:rsidRPr="00DF676A" w:rsidRDefault="005B5A32" w:rsidP="00D81B4C">
            <w:r>
              <w:t xml:space="preserve">No instructions were given </w:t>
            </w:r>
            <w:r w:rsidR="00D81B4C">
              <w:t>with regard to amount, duration,</w:t>
            </w:r>
            <w:r>
              <w:t xml:space="preserve"> or manner of smoking.</w:t>
            </w:r>
          </w:p>
        </w:tc>
      </w:tr>
      <w:tr w:rsidR="00CE1A43" w:rsidRPr="00DF676A" w14:paraId="7DFA1028" w14:textId="77777777" w:rsidTr="00F929FA">
        <w:trPr>
          <w:trHeight w:val="429"/>
        </w:trPr>
        <w:tc>
          <w:tcPr>
            <w:tcW w:w="197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3DD6E2B" w14:textId="7CC38AA1" w:rsidR="00CE1A43" w:rsidRPr="00DF676A" w:rsidRDefault="00CE1A43" w:rsidP="001B0072">
            <w:r w:rsidRPr="00DF676A">
              <w:t>(Meyer et al., 1971)</w:t>
            </w:r>
          </w:p>
        </w:tc>
        <w:tc>
          <w:tcPr>
            <w:tcW w:w="7380" w:type="dxa"/>
            <w:tcBorders>
              <w:bottom w:val="single" w:sz="8" w:space="0" w:color="000000"/>
              <w:right w:val="single" w:sz="8" w:space="0" w:color="000000"/>
            </w:tcBorders>
            <w:tcMar>
              <w:top w:w="100" w:type="dxa"/>
              <w:left w:w="100" w:type="dxa"/>
              <w:bottom w:w="100" w:type="dxa"/>
              <w:right w:w="100" w:type="dxa"/>
            </w:tcMar>
          </w:tcPr>
          <w:p w14:paraId="30D82EA8" w14:textId="011C21D8" w:rsidR="00CE1A43" w:rsidRPr="00F929FA" w:rsidRDefault="00CE1A43" w:rsidP="005B5A32">
            <w:r w:rsidRPr="00DF676A">
              <w:t>“</w:t>
            </w:r>
            <w:r w:rsidR="005B5A32">
              <w:t>…the subject</w:t>
            </w:r>
            <w:r w:rsidRPr="00DF676A">
              <w:t xml:space="preserve"> was told to smoke all of the marijuana in a small pipe that was provided. The subject was allowed to smoke as he normally would but efforts were made to see that each dose of marijuana in the pipe was completely burned before the pipe was refilled. Instructions for the ad lib dose </w:t>
            </w:r>
            <w:r w:rsidR="005B5A32">
              <w:t>were</w:t>
            </w:r>
            <w:r w:rsidRPr="00DF676A">
              <w:t xml:space="preserve"> slightly different. Here the subject was told that he could smoke as much marijuana as he wished and he was asked to try to get as </w:t>
            </w:r>
            <w:r w:rsidR="00D81B4C">
              <w:t>‘</w:t>
            </w:r>
            <w:r w:rsidRPr="00DF676A">
              <w:t>high</w:t>
            </w:r>
            <w:r w:rsidR="00D81B4C">
              <w:t>’</w:t>
            </w:r>
            <w:r w:rsidRPr="00DF676A">
              <w:t xml:space="preserve"> as he usually got when using marijuana.”</w:t>
            </w:r>
          </w:p>
        </w:tc>
      </w:tr>
      <w:tr w:rsidR="00CE1A43" w:rsidRPr="00DF676A" w14:paraId="7C121AD6" w14:textId="77777777" w:rsidTr="00F929FA">
        <w:trPr>
          <w:trHeight w:val="429"/>
        </w:trPr>
        <w:tc>
          <w:tcPr>
            <w:tcW w:w="197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3B5C6B6" w14:textId="49988F39" w:rsidR="00CE1A43" w:rsidRPr="00DF676A" w:rsidRDefault="00CE1A43" w:rsidP="005D2FA5">
            <w:r w:rsidRPr="00F929FA">
              <w:lastRenderedPageBreak/>
              <w:t>(Miller &amp; Cornett, 1978)</w:t>
            </w:r>
          </w:p>
        </w:tc>
        <w:tc>
          <w:tcPr>
            <w:tcW w:w="7380" w:type="dxa"/>
            <w:tcBorders>
              <w:bottom w:val="single" w:sz="8" w:space="0" w:color="000000"/>
              <w:right w:val="single" w:sz="8" w:space="0" w:color="000000"/>
            </w:tcBorders>
            <w:tcMar>
              <w:top w:w="100" w:type="dxa"/>
              <w:left w:w="100" w:type="dxa"/>
              <w:bottom w:w="100" w:type="dxa"/>
              <w:right w:w="100" w:type="dxa"/>
            </w:tcMar>
          </w:tcPr>
          <w:p w14:paraId="1F951D9E" w14:textId="104E2CCC" w:rsidR="00CE1A43" w:rsidRPr="00DF676A" w:rsidRDefault="00CE1A43" w:rsidP="005D2FA5">
            <w:r w:rsidRPr="00DF676A">
              <w:t>“They were allowed to smoke in any manner as they desired but were instructed to finish as much of the butt as possible. Smoking lasted about 10 min with all testing being completed in a quiet comfortable room.”</w:t>
            </w:r>
          </w:p>
        </w:tc>
      </w:tr>
      <w:tr w:rsidR="00CE1A43" w:rsidRPr="00DF676A" w14:paraId="12023D19" w14:textId="77777777" w:rsidTr="00F929FA">
        <w:trPr>
          <w:trHeight w:val="429"/>
        </w:trPr>
        <w:tc>
          <w:tcPr>
            <w:tcW w:w="197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BFB3EF3" w14:textId="18B14A40" w:rsidR="00CE1A43" w:rsidRPr="00DF676A" w:rsidRDefault="00CE1A43" w:rsidP="005D2FA5">
            <w:r w:rsidRPr="00DF676A">
              <w:t xml:space="preserve">(Miller, Cornett, </w:t>
            </w:r>
            <w:proofErr w:type="spellStart"/>
            <w:r w:rsidRPr="00DF676A">
              <w:t>Brightwell</w:t>
            </w:r>
            <w:proofErr w:type="spellEnd"/>
            <w:r w:rsidRPr="00DF676A">
              <w:t>, McFarland, Drew, et al., 1977)</w:t>
            </w:r>
          </w:p>
        </w:tc>
        <w:tc>
          <w:tcPr>
            <w:tcW w:w="7380" w:type="dxa"/>
            <w:tcBorders>
              <w:bottom w:val="single" w:sz="8" w:space="0" w:color="000000"/>
              <w:right w:val="single" w:sz="8" w:space="0" w:color="000000"/>
            </w:tcBorders>
            <w:tcMar>
              <w:top w:w="100" w:type="dxa"/>
              <w:left w:w="100" w:type="dxa"/>
              <w:bottom w:w="100" w:type="dxa"/>
              <w:right w:w="100" w:type="dxa"/>
            </w:tcMar>
          </w:tcPr>
          <w:p w14:paraId="10AABA29" w14:textId="0071B5E3" w:rsidR="00CE1A43" w:rsidRPr="00DF676A" w:rsidRDefault="00CE1A43" w:rsidP="005D2FA5">
            <w:r w:rsidRPr="00DF676A">
              <w:t>“Subjects were allowed to smoke in any manner as they desired, but were instructed to finish as much of the cigarette as possible. Smoking took approximately 10 min and all testing was completed in a quiet, comfortable room.”</w:t>
            </w:r>
          </w:p>
        </w:tc>
      </w:tr>
      <w:tr w:rsidR="00CE1A43" w:rsidRPr="00DF676A" w14:paraId="2391F0EA" w14:textId="77777777" w:rsidTr="00F929FA">
        <w:trPr>
          <w:trHeight w:val="429"/>
        </w:trPr>
        <w:tc>
          <w:tcPr>
            <w:tcW w:w="197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D672125" w14:textId="409C61BB" w:rsidR="00CE1A43" w:rsidRPr="00DF676A" w:rsidRDefault="00CE1A43" w:rsidP="005D2FA5">
            <w:r w:rsidRPr="00DF676A">
              <w:t xml:space="preserve">(Miller, Cornett, Drew, McFarland, </w:t>
            </w:r>
            <w:proofErr w:type="spellStart"/>
            <w:r w:rsidRPr="00DF676A">
              <w:t>Brightwell</w:t>
            </w:r>
            <w:proofErr w:type="spellEnd"/>
            <w:r w:rsidRPr="00DF676A">
              <w:t>, et al., 1977)</w:t>
            </w:r>
          </w:p>
        </w:tc>
        <w:tc>
          <w:tcPr>
            <w:tcW w:w="7380" w:type="dxa"/>
            <w:tcBorders>
              <w:bottom w:val="single" w:sz="8" w:space="0" w:color="000000"/>
              <w:right w:val="single" w:sz="8" w:space="0" w:color="000000"/>
            </w:tcBorders>
            <w:tcMar>
              <w:top w:w="100" w:type="dxa"/>
              <w:left w:w="100" w:type="dxa"/>
              <w:bottom w:w="100" w:type="dxa"/>
              <w:right w:w="100" w:type="dxa"/>
            </w:tcMar>
          </w:tcPr>
          <w:p w14:paraId="086F5CE4" w14:textId="1534F9AD" w:rsidR="00CE1A43" w:rsidRPr="00DF676A" w:rsidRDefault="00CE1A43" w:rsidP="005D2FA5">
            <w:r w:rsidRPr="00DF676A">
              <w:t>“Subjects were allowed to smoke in any manner they desired, but were instructed to finish as much of the butt as possible. Smoking took approximately 10 min and all testing was completed in a quiet, comfortable room ”</w:t>
            </w:r>
          </w:p>
        </w:tc>
      </w:tr>
      <w:tr w:rsidR="00CE1A43" w:rsidRPr="00DF676A" w14:paraId="4BFC0D84" w14:textId="77777777" w:rsidTr="00F929FA">
        <w:trPr>
          <w:trHeight w:val="429"/>
        </w:trPr>
        <w:tc>
          <w:tcPr>
            <w:tcW w:w="197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AAFB62E" w14:textId="77777777" w:rsidR="00CE1A43" w:rsidRPr="00DF676A" w:rsidRDefault="00CE1A43" w:rsidP="005D2FA5">
            <w:r w:rsidRPr="00DF676A">
              <w:t>(</w:t>
            </w:r>
            <w:r w:rsidRPr="00F929FA">
              <w:t>Miller et al., 1978)</w:t>
            </w:r>
          </w:p>
          <w:p w14:paraId="71ECF25A" w14:textId="6B426433" w:rsidR="00CE1A43" w:rsidRPr="00DF676A" w:rsidRDefault="00CE1A43" w:rsidP="005D2FA5"/>
        </w:tc>
        <w:tc>
          <w:tcPr>
            <w:tcW w:w="7380" w:type="dxa"/>
            <w:tcBorders>
              <w:bottom w:val="single" w:sz="8" w:space="0" w:color="000000"/>
              <w:right w:val="single" w:sz="8" w:space="0" w:color="000000"/>
            </w:tcBorders>
            <w:tcMar>
              <w:top w:w="100" w:type="dxa"/>
              <w:left w:w="100" w:type="dxa"/>
              <w:bottom w:w="100" w:type="dxa"/>
              <w:right w:w="100" w:type="dxa"/>
            </w:tcMar>
          </w:tcPr>
          <w:p w14:paraId="2A1A5943" w14:textId="16C393F8" w:rsidR="00CE1A43" w:rsidRPr="00DF676A" w:rsidRDefault="00CE1A43" w:rsidP="005B5A32">
            <w:r w:rsidRPr="00DF676A">
              <w:t>“They were allowed to smoke in any manner they desired but were instructed to finish as much of the butt as possible. Smoking took about 7 and 10 min.”</w:t>
            </w:r>
          </w:p>
        </w:tc>
      </w:tr>
      <w:tr w:rsidR="00CE1A43" w:rsidRPr="00DF676A" w14:paraId="09DADC59" w14:textId="77777777" w:rsidTr="00F929FA">
        <w:trPr>
          <w:trHeight w:val="429"/>
        </w:trPr>
        <w:tc>
          <w:tcPr>
            <w:tcW w:w="197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F9F667C" w14:textId="77777777" w:rsidR="00CE1A43" w:rsidRPr="00DF676A" w:rsidRDefault="00CE1A43" w:rsidP="005D2FA5">
            <w:r w:rsidRPr="00F929FA">
              <w:t>(Miller et al., 1979)</w:t>
            </w:r>
          </w:p>
        </w:tc>
        <w:tc>
          <w:tcPr>
            <w:tcW w:w="7380" w:type="dxa"/>
            <w:tcBorders>
              <w:bottom w:val="single" w:sz="8" w:space="0" w:color="000000"/>
              <w:right w:val="single" w:sz="8" w:space="0" w:color="000000"/>
            </w:tcBorders>
            <w:tcMar>
              <w:top w:w="100" w:type="dxa"/>
              <w:left w:w="100" w:type="dxa"/>
              <w:bottom w:w="100" w:type="dxa"/>
              <w:right w:w="100" w:type="dxa"/>
            </w:tcMar>
          </w:tcPr>
          <w:p w14:paraId="412B5B3E" w14:textId="019F8744" w:rsidR="00CE1A43" w:rsidRPr="00DF676A" w:rsidRDefault="00CE1A43" w:rsidP="005D2FA5">
            <w:r w:rsidRPr="00DF676A">
              <w:t>“Subjects… were a</w:t>
            </w:r>
            <w:r w:rsidR="00802890">
              <w:t>llowed to smoke in any manner</w:t>
            </w:r>
            <w:r w:rsidRPr="00DF676A">
              <w:t xml:space="preserve"> they wished but were instructed to finish as much of the cigarette as possible. Smoking last</w:t>
            </w:r>
            <w:r w:rsidR="00802890">
              <w:t>ed</w:t>
            </w:r>
            <w:r w:rsidRPr="00DF676A">
              <w:t xml:space="preserve"> 10-15 minutes with all testing being completed in a quiet comfortable room</w:t>
            </w:r>
            <w:r w:rsidR="00D81B4C">
              <w:t>.</w:t>
            </w:r>
            <w:r w:rsidRPr="00DF676A">
              <w:t>”</w:t>
            </w:r>
          </w:p>
        </w:tc>
      </w:tr>
      <w:tr w:rsidR="00CE1A43" w:rsidRPr="00DF676A" w14:paraId="0CF9F1CD" w14:textId="77777777" w:rsidTr="00F929FA">
        <w:trPr>
          <w:trHeight w:val="429"/>
        </w:trPr>
        <w:tc>
          <w:tcPr>
            <w:tcW w:w="197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7E412F0" w14:textId="034606E5" w:rsidR="00CE1A43" w:rsidRPr="00DF676A" w:rsidRDefault="00CE1A43">
            <w:r w:rsidRPr="00DF676A">
              <w:t xml:space="preserve">(Miller, McFarland, Cornett &amp; </w:t>
            </w:r>
            <w:proofErr w:type="spellStart"/>
            <w:r w:rsidRPr="00DF676A">
              <w:t>Brightwell</w:t>
            </w:r>
            <w:proofErr w:type="spellEnd"/>
            <w:r w:rsidRPr="00DF676A">
              <w:t>, 1977)</w:t>
            </w:r>
          </w:p>
        </w:tc>
        <w:tc>
          <w:tcPr>
            <w:tcW w:w="7380" w:type="dxa"/>
            <w:tcBorders>
              <w:bottom w:val="single" w:sz="8" w:space="0" w:color="000000"/>
              <w:right w:val="single" w:sz="8" w:space="0" w:color="000000"/>
            </w:tcBorders>
            <w:tcMar>
              <w:top w:w="100" w:type="dxa"/>
              <w:left w:w="100" w:type="dxa"/>
              <w:bottom w:w="100" w:type="dxa"/>
              <w:right w:w="100" w:type="dxa"/>
            </w:tcMar>
          </w:tcPr>
          <w:p w14:paraId="23B751D0" w14:textId="0A650323" w:rsidR="00CE1A43" w:rsidRPr="00DF676A" w:rsidRDefault="00CE1A43" w:rsidP="00B76A81">
            <w:r w:rsidRPr="00DF676A">
              <w:t>“Subjects were allowed to smoke in any manner they desired, but were instructed to finish as much of the butt as possible. Smoking took approximately 10 min and all testing was completed in a quiet, comfortable room.”</w:t>
            </w:r>
          </w:p>
        </w:tc>
      </w:tr>
      <w:tr w:rsidR="00CE1A43" w:rsidRPr="00DF676A" w14:paraId="28784D12" w14:textId="77777777" w:rsidTr="00F929FA">
        <w:trPr>
          <w:trHeight w:val="429"/>
        </w:trPr>
        <w:tc>
          <w:tcPr>
            <w:tcW w:w="197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15A2F99" w14:textId="6F656A91" w:rsidR="00CE1A43" w:rsidRPr="00DF676A" w:rsidRDefault="00CE1A43" w:rsidP="00F929FA">
            <w:r w:rsidRPr="00DF676A">
              <w:t xml:space="preserve">(Miller, McFarland, Cornett, </w:t>
            </w:r>
            <w:proofErr w:type="spellStart"/>
            <w:r w:rsidRPr="00DF676A">
              <w:t>Brightwell</w:t>
            </w:r>
            <w:proofErr w:type="spellEnd"/>
            <w:r w:rsidRPr="00DF676A">
              <w:t>, et al., 1977)</w:t>
            </w:r>
          </w:p>
        </w:tc>
        <w:tc>
          <w:tcPr>
            <w:tcW w:w="7380" w:type="dxa"/>
            <w:tcBorders>
              <w:bottom w:val="single" w:sz="8" w:space="0" w:color="000000"/>
              <w:right w:val="single" w:sz="8" w:space="0" w:color="000000"/>
            </w:tcBorders>
            <w:tcMar>
              <w:top w:w="100" w:type="dxa"/>
              <w:left w:w="100" w:type="dxa"/>
              <w:bottom w:w="100" w:type="dxa"/>
              <w:right w:w="100" w:type="dxa"/>
            </w:tcMar>
          </w:tcPr>
          <w:p w14:paraId="2BE0F34C" w14:textId="5CEAA4AB" w:rsidR="00CE1A43" w:rsidRPr="00DF676A" w:rsidRDefault="00CE1A43" w:rsidP="00802890">
            <w:r w:rsidRPr="00DF676A">
              <w:t>“The subjects were allowed to smoke in any manner they wished but were instructed to consume as much of the cigarette as possible…</w:t>
            </w:r>
            <w:r w:rsidR="00D81B4C">
              <w:t xml:space="preserve"> </w:t>
            </w:r>
            <w:r w:rsidRPr="00DF676A">
              <w:t>Smoking lasted approximately 10 min.”</w:t>
            </w:r>
          </w:p>
        </w:tc>
      </w:tr>
      <w:tr w:rsidR="00CE1A43" w:rsidRPr="00DF676A" w14:paraId="7C751C8E" w14:textId="77777777" w:rsidTr="00F929FA">
        <w:trPr>
          <w:trHeight w:val="429"/>
        </w:trPr>
        <w:tc>
          <w:tcPr>
            <w:tcW w:w="197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8A72D12" w14:textId="6231FFB3" w:rsidR="00CE1A43" w:rsidRPr="00DF676A" w:rsidRDefault="00CE1A43" w:rsidP="00D44C77">
            <w:r w:rsidRPr="00DF676A">
              <w:t>(Perez-Reyes et al., 1981)</w:t>
            </w:r>
          </w:p>
        </w:tc>
        <w:tc>
          <w:tcPr>
            <w:tcW w:w="7380" w:type="dxa"/>
            <w:tcBorders>
              <w:bottom w:val="single" w:sz="8" w:space="0" w:color="000000"/>
              <w:right w:val="single" w:sz="8" w:space="0" w:color="000000"/>
            </w:tcBorders>
            <w:tcMar>
              <w:top w:w="100" w:type="dxa"/>
              <w:left w:w="100" w:type="dxa"/>
              <w:bottom w:w="100" w:type="dxa"/>
              <w:right w:w="100" w:type="dxa"/>
            </w:tcMar>
          </w:tcPr>
          <w:p w14:paraId="2079023A" w14:textId="5EB50D29" w:rsidR="00CE1A43" w:rsidRPr="00DF676A" w:rsidRDefault="00CE1A43">
            <w:r w:rsidRPr="00DF676A">
              <w:t>“The subjects were instructed to smoke at their customary rate and to finish the cigarettes completely.”</w:t>
            </w:r>
          </w:p>
        </w:tc>
      </w:tr>
      <w:tr w:rsidR="00CE1A43" w:rsidRPr="00DF676A" w14:paraId="1A4A8DDD" w14:textId="77777777" w:rsidTr="00F929FA">
        <w:trPr>
          <w:trHeight w:val="429"/>
        </w:trPr>
        <w:tc>
          <w:tcPr>
            <w:tcW w:w="197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8D9E424" w14:textId="707C219D" w:rsidR="00CE1A43" w:rsidRPr="00DF676A" w:rsidRDefault="00CE1A43" w:rsidP="00D44C77">
            <w:r w:rsidRPr="00DF676A">
              <w:t>(Perez-Reyes et al., 1982)</w:t>
            </w:r>
          </w:p>
        </w:tc>
        <w:tc>
          <w:tcPr>
            <w:tcW w:w="7380" w:type="dxa"/>
            <w:tcBorders>
              <w:bottom w:val="single" w:sz="8" w:space="0" w:color="000000"/>
              <w:right w:val="single" w:sz="8" w:space="0" w:color="000000"/>
            </w:tcBorders>
            <w:tcMar>
              <w:top w:w="100" w:type="dxa"/>
              <w:left w:w="100" w:type="dxa"/>
              <w:bottom w:w="100" w:type="dxa"/>
              <w:right w:w="100" w:type="dxa"/>
            </w:tcMar>
          </w:tcPr>
          <w:p w14:paraId="0A123AB5" w14:textId="05A0B741" w:rsidR="00CE1A43" w:rsidRPr="00DF676A" w:rsidRDefault="00CE1A43" w:rsidP="00D44C77">
            <w:r w:rsidRPr="00DF676A">
              <w:t xml:space="preserve">“Subjects were instructed to smoke the cigarettes in their customary fashion and to smoke until they had reached what they had estimated to be their usual level of </w:t>
            </w:r>
            <w:r w:rsidR="00D81B4C">
              <w:t>‘</w:t>
            </w:r>
            <w:r w:rsidRPr="00DF676A">
              <w:t>high</w:t>
            </w:r>
            <w:r w:rsidR="00D81B4C">
              <w:t>’</w:t>
            </w:r>
            <w:r w:rsidRPr="00DF676A">
              <w:t xml:space="preserve"> or for as long as they wished.”</w:t>
            </w:r>
          </w:p>
        </w:tc>
      </w:tr>
      <w:tr w:rsidR="00CE1A43" w:rsidRPr="00DF676A" w14:paraId="42896A55" w14:textId="77777777" w:rsidTr="00F929FA">
        <w:trPr>
          <w:trHeight w:val="429"/>
        </w:trPr>
        <w:tc>
          <w:tcPr>
            <w:tcW w:w="197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41C8B6E" w14:textId="1E4C0641" w:rsidR="00CE1A43" w:rsidRPr="00DF676A" w:rsidRDefault="00CE1A43" w:rsidP="00D44C77">
            <w:r w:rsidRPr="00DF676A">
              <w:t>(Schaefer et al., 1977)</w:t>
            </w:r>
          </w:p>
        </w:tc>
        <w:tc>
          <w:tcPr>
            <w:tcW w:w="7380" w:type="dxa"/>
            <w:tcBorders>
              <w:bottom w:val="single" w:sz="8" w:space="0" w:color="000000"/>
              <w:right w:val="single" w:sz="8" w:space="0" w:color="000000"/>
            </w:tcBorders>
            <w:tcMar>
              <w:top w:w="100" w:type="dxa"/>
              <w:left w:w="100" w:type="dxa"/>
              <w:bottom w:w="100" w:type="dxa"/>
              <w:right w:w="100" w:type="dxa"/>
            </w:tcMar>
          </w:tcPr>
          <w:p w14:paraId="261DC298" w14:textId="39D27D49" w:rsidR="00CE1A43" w:rsidRPr="00DF676A" w:rsidRDefault="00CE1A43" w:rsidP="00D44C77">
            <w:r w:rsidRPr="00DF676A">
              <w:t xml:space="preserve">“…subject was asked to smoke completely, using a </w:t>
            </w:r>
            <w:r w:rsidR="00D81B4C">
              <w:t>‘</w:t>
            </w:r>
            <w:r w:rsidRPr="00DF676A">
              <w:t>roach clip</w:t>
            </w:r>
            <w:r w:rsidR="00D81B4C">
              <w:t>’,</w:t>
            </w:r>
            <w:r w:rsidRPr="00DF676A">
              <w:t xml:space="preserve"> according to his own smoking technique.”</w:t>
            </w:r>
          </w:p>
        </w:tc>
      </w:tr>
      <w:tr w:rsidR="00CE1A43" w:rsidRPr="00DF676A" w14:paraId="003F5841" w14:textId="77777777" w:rsidTr="00F929FA">
        <w:trPr>
          <w:trHeight w:val="429"/>
        </w:trPr>
        <w:tc>
          <w:tcPr>
            <w:tcW w:w="197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8A9A271" w14:textId="77777777" w:rsidR="00CE1A43" w:rsidRPr="00DF676A" w:rsidRDefault="00CE1A43" w:rsidP="00D44C77">
            <w:r w:rsidRPr="00DF676A">
              <w:lastRenderedPageBreak/>
              <w:t>(</w:t>
            </w:r>
            <w:proofErr w:type="spellStart"/>
            <w:r w:rsidRPr="00DF676A">
              <w:t>Schwope</w:t>
            </w:r>
            <w:proofErr w:type="spellEnd"/>
            <w:r w:rsidRPr="00DF676A">
              <w:t xml:space="preserve"> et al., 2012)</w:t>
            </w:r>
          </w:p>
        </w:tc>
        <w:tc>
          <w:tcPr>
            <w:tcW w:w="7380" w:type="dxa"/>
            <w:tcBorders>
              <w:bottom w:val="single" w:sz="8" w:space="0" w:color="000000"/>
              <w:right w:val="single" w:sz="8" w:space="0" w:color="000000"/>
            </w:tcBorders>
            <w:tcMar>
              <w:top w:w="100" w:type="dxa"/>
              <w:left w:w="100" w:type="dxa"/>
              <w:bottom w:w="100" w:type="dxa"/>
              <w:right w:w="100" w:type="dxa"/>
            </w:tcMar>
          </w:tcPr>
          <w:p w14:paraId="1EC9BE64" w14:textId="447482F2" w:rsidR="00CE1A43" w:rsidRPr="00DF676A" w:rsidRDefault="00CE1A43" w:rsidP="00D44C77">
            <w:r w:rsidRPr="00DF676A">
              <w:t xml:space="preserve">“Participants smoked a single cigarette </w:t>
            </w:r>
            <w:r w:rsidRPr="00D32F0A">
              <w:rPr>
                <w:i/>
              </w:rPr>
              <w:t>ad libitum</w:t>
            </w:r>
            <w:r w:rsidRPr="00DF676A">
              <w:t xml:space="preserve"> for 10 min while seated with legs elevated, and remained in this position during the data collection period</w:t>
            </w:r>
            <w:r w:rsidR="00D32F0A">
              <w:t>.</w:t>
            </w:r>
            <w:r w:rsidRPr="00DF676A">
              <w:t>”</w:t>
            </w:r>
          </w:p>
        </w:tc>
      </w:tr>
      <w:tr w:rsidR="00CE1A43" w:rsidRPr="00DF676A" w14:paraId="390D8642" w14:textId="77777777" w:rsidTr="00F929FA">
        <w:trPr>
          <w:trHeight w:val="725"/>
        </w:trPr>
        <w:tc>
          <w:tcPr>
            <w:tcW w:w="1970" w:type="dxa"/>
            <w:tcBorders>
              <w:left w:val="single" w:sz="8" w:space="0" w:color="000000"/>
              <w:right w:val="single" w:sz="8" w:space="0" w:color="000000"/>
            </w:tcBorders>
            <w:tcMar>
              <w:top w:w="100" w:type="dxa"/>
              <w:left w:w="100" w:type="dxa"/>
              <w:bottom w:w="100" w:type="dxa"/>
              <w:right w:w="100" w:type="dxa"/>
            </w:tcMar>
          </w:tcPr>
          <w:p w14:paraId="24372149" w14:textId="0E0C6D95" w:rsidR="00CE1A43" w:rsidRPr="00DF676A" w:rsidRDefault="00213DFB" w:rsidP="00D44C77">
            <w:r>
              <w:rPr>
                <w:vertAlign w:val="superscript"/>
              </w:rPr>
              <w:t xml:space="preserve">a </w:t>
            </w:r>
            <w:r w:rsidR="00CE1A43" w:rsidRPr="00DF676A">
              <w:t>(Spindle et al., 2018, 2019)</w:t>
            </w:r>
          </w:p>
        </w:tc>
        <w:tc>
          <w:tcPr>
            <w:tcW w:w="7380" w:type="dxa"/>
            <w:tcBorders>
              <w:right w:val="single" w:sz="8" w:space="0" w:color="000000"/>
            </w:tcBorders>
            <w:tcMar>
              <w:top w:w="100" w:type="dxa"/>
              <w:left w:w="100" w:type="dxa"/>
              <w:bottom w:w="100" w:type="dxa"/>
              <w:right w:w="100" w:type="dxa"/>
            </w:tcMar>
          </w:tcPr>
          <w:p w14:paraId="7204AC02" w14:textId="7E69E651" w:rsidR="00D32F0A" w:rsidRPr="00DF676A" w:rsidRDefault="00650FBF">
            <w:r>
              <w:t xml:space="preserve">Participants could smoke </w:t>
            </w:r>
            <w:r w:rsidRPr="00213DFB">
              <w:rPr>
                <w:i/>
              </w:rPr>
              <w:t>ad libitum</w:t>
            </w:r>
            <w:r>
              <w:t xml:space="preserve"> until all the cannabis in the pipe was consumed. The </w:t>
            </w:r>
            <w:r w:rsidR="00D81B4C">
              <w:t xml:space="preserve">study was designed to </w:t>
            </w:r>
            <w:r w:rsidR="00D32F0A">
              <w:t xml:space="preserve">deliver a certain amount </w:t>
            </w:r>
            <w:r w:rsidR="00D81B4C">
              <w:t xml:space="preserve">of THC </w:t>
            </w:r>
            <w:r>
              <w:t>within a specific time period.</w:t>
            </w:r>
          </w:p>
        </w:tc>
      </w:tr>
      <w:tr w:rsidR="00CE1A43" w:rsidRPr="00DF676A" w14:paraId="5CDEE13B" w14:textId="77777777" w:rsidTr="00F929FA">
        <w:trPr>
          <w:trHeight w:val="725"/>
        </w:trPr>
        <w:tc>
          <w:tcPr>
            <w:tcW w:w="1970" w:type="dxa"/>
            <w:tcBorders>
              <w:left w:val="single" w:sz="8" w:space="0" w:color="000000"/>
              <w:right w:val="single" w:sz="8" w:space="0" w:color="000000"/>
            </w:tcBorders>
            <w:tcMar>
              <w:top w:w="100" w:type="dxa"/>
              <w:left w:w="100" w:type="dxa"/>
              <w:bottom w:w="100" w:type="dxa"/>
              <w:right w:w="100" w:type="dxa"/>
            </w:tcMar>
          </w:tcPr>
          <w:p w14:paraId="56E46D03" w14:textId="78176130" w:rsidR="00CE1A43" w:rsidRPr="00DF676A" w:rsidRDefault="00213DFB" w:rsidP="00D44C77">
            <w:r>
              <w:rPr>
                <w:vertAlign w:val="superscript"/>
              </w:rPr>
              <w:t xml:space="preserve">a </w:t>
            </w:r>
            <w:r w:rsidR="00CE1A43" w:rsidRPr="00DF676A">
              <w:t>(Spindle et al., 2021)</w:t>
            </w:r>
          </w:p>
        </w:tc>
        <w:tc>
          <w:tcPr>
            <w:tcW w:w="7380" w:type="dxa"/>
            <w:tcBorders>
              <w:right w:val="single" w:sz="8" w:space="0" w:color="000000"/>
            </w:tcBorders>
            <w:tcMar>
              <w:top w:w="100" w:type="dxa"/>
              <w:left w:w="100" w:type="dxa"/>
              <w:bottom w:w="100" w:type="dxa"/>
              <w:right w:w="100" w:type="dxa"/>
            </w:tcMar>
          </w:tcPr>
          <w:p w14:paraId="14370088" w14:textId="7AB0A634" w:rsidR="00650FBF" w:rsidRPr="00DF676A" w:rsidRDefault="00D81B4C">
            <w:r>
              <w:t xml:space="preserve">Participants could smoke </w:t>
            </w:r>
            <w:r w:rsidRPr="00135977">
              <w:rPr>
                <w:i/>
              </w:rPr>
              <w:t>ad libitum</w:t>
            </w:r>
            <w:r>
              <w:t xml:space="preserve"> until all the cannabis in the pipe was consumed. The study was designed to deliver a certain amount of THC within a specific time period.</w:t>
            </w:r>
          </w:p>
        </w:tc>
      </w:tr>
      <w:tr w:rsidR="00CE1A43" w:rsidRPr="00DF676A" w14:paraId="4CE5B2B2" w14:textId="77777777" w:rsidTr="00F929FA">
        <w:trPr>
          <w:trHeight w:val="725"/>
        </w:trPr>
        <w:tc>
          <w:tcPr>
            <w:tcW w:w="1970" w:type="dxa"/>
            <w:tcBorders>
              <w:left w:val="single" w:sz="8" w:space="0" w:color="000000"/>
              <w:right w:val="single" w:sz="8" w:space="0" w:color="000000"/>
            </w:tcBorders>
            <w:tcMar>
              <w:top w:w="100" w:type="dxa"/>
              <w:left w:w="100" w:type="dxa"/>
              <w:bottom w:w="100" w:type="dxa"/>
              <w:right w:w="100" w:type="dxa"/>
            </w:tcMar>
          </w:tcPr>
          <w:p w14:paraId="51904FFD" w14:textId="77777777" w:rsidR="00CE1A43" w:rsidRPr="00DF676A" w:rsidRDefault="00CE1A43" w:rsidP="00D44C77">
            <w:r w:rsidRPr="00DF676A">
              <w:t>(</w:t>
            </w:r>
            <w:proofErr w:type="spellStart"/>
            <w:r w:rsidRPr="00DF676A">
              <w:t>Tashkin</w:t>
            </w:r>
            <w:proofErr w:type="spellEnd"/>
            <w:r w:rsidRPr="00DF676A">
              <w:t xml:space="preserve"> et al., 1976)</w:t>
            </w:r>
          </w:p>
        </w:tc>
        <w:tc>
          <w:tcPr>
            <w:tcW w:w="7380" w:type="dxa"/>
            <w:tcBorders>
              <w:right w:val="single" w:sz="8" w:space="0" w:color="000000"/>
            </w:tcBorders>
            <w:tcMar>
              <w:top w:w="100" w:type="dxa"/>
              <w:left w:w="100" w:type="dxa"/>
              <w:bottom w:w="100" w:type="dxa"/>
              <w:right w:w="100" w:type="dxa"/>
            </w:tcMar>
          </w:tcPr>
          <w:p w14:paraId="28599060" w14:textId="418BB19F" w:rsidR="00CE1A43" w:rsidRPr="00DF676A" w:rsidRDefault="00CE1A43" w:rsidP="00D44C77">
            <w:r w:rsidRPr="00DF676A">
              <w:t>“Each day thereafter for the following 80 days, except for one week between the 76</w:t>
            </w:r>
            <w:r w:rsidRPr="00F929FA">
              <w:rPr>
                <w:vertAlign w:val="superscript"/>
              </w:rPr>
              <w:t>th</w:t>
            </w:r>
            <w:r w:rsidRPr="00DF676A">
              <w:t xml:space="preserve"> and 82 days in the hospital, subjects smoked as many marihuana cigarette as desired…”</w:t>
            </w:r>
          </w:p>
        </w:tc>
      </w:tr>
      <w:tr w:rsidR="00CE1A43" w:rsidRPr="00DF676A" w14:paraId="5126B429" w14:textId="4B3FF35E" w:rsidTr="00F929FA">
        <w:trPr>
          <w:trHeight w:val="1052"/>
        </w:trPr>
        <w:tc>
          <w:tcPr>
            <w:tcW w:w="197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954FFD6" w14:textId="6B6DB6AD" w:rsidR="00CE1A43" w:rsidRPr="00DF676A" w:rsidRDefault="00CE1A43" w:rsidP="00D44C77">
            <w:r w:rsidRPr="00F929FA">
              <w:fldChar w:fldCharType="begin"/>
            </w:r>
            <w:r w:rsidRPr="00DF676A">
              <w:instrText xml:space="preserve"> ADDIN ZOTERO_ITEM CSL_CITATION {"citationID":"XVJWp6HC","properties":{"formattedCitation":"(Wu et al., 1988)","plainCitation":"(Wu et al., 1988)","noteIndex":0},"citationItems":[{"id":"aeOinNBx/aifSxFyC","uris":["http://zotero.org/users/7442040/items/8LRQRFIT"],"itemData":{"id":71,"type":"article-journal","container-title":"Journal of Psychoactive Drugs","DOI":"10.1080/02791072.1988.10524370","ISSN":"0279-1072, 2159-9777","issue":"1","journalAbbreviation":"Journal of Psychoactive Drugs","language":"en","page":"43-46","source":"DOI.org (Crossref)","title":"Influence of Marijuana Potency and Amount of Cigarette Consumed on Marijuana Smoking Pattern","volume":"20","author":[{"family":"Wu","given":"Tzu-Chin"},{"family":"Tashkin","given":"Donald P."},{"family":"Rose","given":"Jed E."},{"family":"Djahed","given":"Benham"}],"issued":{"date-parts":[["1988",1]]}}}],"schema":"https://github.com/citation-style-language/schema/raw/master/csl-citation.json"} </w:instrText>
            </w:r>
            <w:r w:rsidRPr="00F929FA">
              <w:fldChar w:fldCharType="separate"/>
            </w:r>
            <w:r w:rsidRPr="00DF676A">
              <w:rPr>
                <w:noProof/>
              </w:rPr>
              <w:t>(Wu et al., 1988)</w:t>
            </w:r>
            <w:r w:rsidRPr="00F929FA">
              <w:fldChar w:fldCharType="end"/>
            </w:r>
          </w:p>
        </w:tc>
        <w:tc>
          <w:tcPr>
            <w:tcW w:w="7380" w:type="dxa"/>
            <w:tcBorders>
              <w:bottom w:val="single" w:sz="8" w:space="0" w:color="000000"/>
              <w:right w:val="single" w:sz="8" w:space="0" w:color="000000"/>
            </w:tcBorders>
            <w:tcMar>
              <w:top w:w="100" w:type="dxa"/>
              <w:left w:w="100" w:type="dxa"/>
              <w:bottom w:w="100" w:type="dxa"/>
              <w:right w:w="100" w:type="dxa"/>
            </w:tcMar>
          </w:tcPr>
          <w:p w14:paraId="3CE770E9" w14:textId="5A3D8C18" w:rsidR="00CE1A43" w:rsidRPr="00DF676A" w:rsidRDefault="00CE1A43" w:rsidP="00D44C77">
            <w:r w:rsidRPr="00DF676A">
              <w:t>“Subjects were asked to smoke each joint in a manner as similar as possible to their usual pattern of smoking.”</w:t>
            </w:r>
          </w:p>
        </w:tc>
      </w:tr>
      <w:tr w:rsidR="00CE1A43" w:rsidRPr="00893D31" w14:paraId="69F38D0F" w14:textId="77777777" w:rsidTr="00F929FA">
        <w:trPr>
          <w:trHeight w:val="28"/>
        </w:trPr>
        <w:tc>
          <w:tcPr>
            <w:tcW w:w="1970" w:type="dxa"/>
            <w:tcBorders>
              <w:left w:val="single" w:sz="8" w:space="0" w:color="000000"/>
              <w:right w:val="single" w:sz="8" w:space="0" w:color="000000"/>
            </w:tcBorders>
            <w:tcMar>
              <w:top w:w="100" w:type="dxa"/>
              <w:left w:w="100" w:type="dxa"/>
              <w:bottom w:w="100" w:type="dxa"/>
              <w:right w:w="100" w:type="dxa"/>
            </w:tcMar>
          </w:tcPr>
          <w:p w14:paraId="0AA1873B" w14:textId="77777777" w:rsidR="00CE1A43" w:rsidRPr="00DF676A" w:rsidRDefault="00CE1A43" w:rsidP="00D44C77">
            <w:r w:rsidRPr="00F929FA">
              <w:fldChar w:fldCharType="begin"/>
            </w:r>
            <w:r w:rsidRPr="00DF676A">
              <w:instrText xml:space="preserve"> ADDIN ZOTERO_ITEM CSL_CITATION {"citationID":"TVh0C0nS","properties":{"formattedCitation":"(Zacny &amp; De Wit, 1991)","plainCitation":"(Zacny &amp; De Wit, 1991)","noteIndex":0},"citationItems":[{"id":"aeOinNBx/5FEidXSY","uris":["http://zotero.org/users/7442040/items/BFN8FRRR"],"itemData":{"id":77,"type":"article-journal","abstract":"The effects of fasting on the intake and subjective effects of marijuana were studied in five marijuana smokers. A within-subjects design was used in which subjects smoked either active (0.8 and 3.6% THC) or placebo (0.0% THC) marijuana after eating normally or after fasting for 24 hr. Six experimental sessions were conducted in a randomized order. Each 3-hr. session consisted of two periods: a sampling period in which subjects took 4 controlled puffs from a cigarette of a given potency, followed about one hour later by a 30-min. self-administration period, in which subjects could smoke as much or as Little of the sampled marijuana as desired. Subjective and physiological measures (i.e., carbon monoxide level and heart rate) were assessed before and 5, 20, and 60 min. after the four puffs during the sampling period. During the self-administration period, the number of puffs taken was recorded. Dose-dependent effects of marijuana, such as elevated heart rate and \"high\" ratings, were observed during the sampling period, but these effects of marijuana were not affected by the feeding manipulation. Subjects varied widely in their marijuana self-administration, but self-administration was not systematically affected by fasting. We conclude that an acute period of food deprivation does not affect the mood-altering effects of cUferent potencies of marijuana. We could not adequately demonstrate whether fasting increases the reinforcing efficacy of marijuana, since self-administration rate of active marijuana did not exceed that of placebo marijuana self-administration.","language":"en","page":"12","source":"Zotero","title":"Effects of Food Deprivation on Subjective Effects and Self-Administration of Marijuana in Humans","author":[{"family":"Zacny","given":"James P"},{"family":"De Wit","given":"Harriet"}],"issued":{"date-parts":[["1991"]]}}}],"schema":"https://github.com/citation-style-language/schema/raw/master/csl-citation.json"} </w:instrText>
            </w:r>
            <w:r w:rsidRPr="00F929FA">
              <w:fldChar w:fldCharType="separate"/>
            </w:r>
            <w:r w:rsidRPr="00DF676A">
              <w:rPr>
                <w:noProof/>
              </w:rPr>
              <w:t>(Zacny &amp; De Wit, 1991)</w:t>
            </w:r>
            <w:r w:rsidRPr="00F929FA">
              <w:fldChar w:fldCharType="end"/>
            </w:r>
          </w:p>
        </w:tc>
        <w:tc>
          <w:tcPr>
            <w:tcW w:w="7380" w:type="dxa"/>
            <w:tcBorders>
              <w:right w:val="single" w:sz="8" w:space="0" w:color="000000"/>
            </w:tcBorders>
            <w:tcMar>
              <w:top w:w="100" w:type="dxa"/>
              <w:left w:w="100" w:type="dxa"/>
              <w:bottom w:w="100" w:type="dxa"/>
              <w:right w:w="100" w:type="dxa"/>
            </w:tcMar>
          </w:tcPr>
          <w:p w14:paraId="71CD9A54" w14:textId="01EB3FFE" w:rsidR="00CE1A43" w:rsidRPr="00893D31" w:rsidRDefault="00650FBF" w:rsidP="00D44C77">
            <w:r>
              <w:t>“For the next 30 min.</w:t>
            </w:r>
            <w:r w:rsidR="00CE1A43" w:rsidRPr="00DF676A">
              <w:t xml:space="preserve"> you can smoke more of the same kind of marijuana that you smoked earlier this evening. Whether you smoke or how much you smoke is </w:t>
            </w:r>
            <w:r>
              <w:t xml:space="preserve">entirely </w:t>
            </w:r>
            <w:r w:rsidR="00CE1A43" w:rsidRPr="00DF676A">
              <w:t>up to you</w:t>
            </w:r>
            <w:r>
              <w:t>.”</w:t>
            </w:r>
          </w:p>
        </w:tc>
      </w:tr>
      <w:tr w:rsidR="00CE1A43" w14:paraId="719AD19E" w14:textId="77777777" w:rsidTr="00213DFB">
        <w:trPr>
          <w:trHeight w:val="353"/>
        </w:trPr>
        <w:tc>
          <w:tcPr>
            <w:tcW w:w="935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19E14182" w14:textId="20EBBB19" w:rsidR="00CE1A43" w:rsidRDefault="00CE1A43" w:rsidP="00D11342">
            <w:proofErr w:type="spellStart"/>
            <w:r w:rsidRPr="00D11342">
              <w:rPr>
                <w:vertAlign w:val="superscript"/>
              </w:rPr>
              <w:t>a</w:t>
            </w:r>
            <w:proofErr w:type="spellEnd"/>
            <w:r w:rsidRPr="00893D31">
              <w:t xml:space="preserve"> </w:t>
            </w:r>
            <w:r w:rsidR="00650FBF">
              <w:t>I</w:t>
            </w:r>
            <w:r>
              <w:t>nformation r</w:t>
            </w:r>
            <w:r w:rsidRPr="00893D31">
              <w:t>eceived from author</w:t>
            </w:r>
            <w:r>
              <w:t xml:space="preserve"> about how participants administer</w:t>
            </w:r>
            <w:r w:rsidR="00D81B4C">
              <w:t>ed</w:t>
            </w:r>
            <w:r>
              <w:t xml:space="preserve"> cannabis </w:t>
            </w:r>
            <w:r w:rsidRPr="00B517F5">
              <w:rPr>
                <w:i/>
              </w:rPr>
              <w:t>ad libitum</w:t>
            </w:r>
          </w:p>
        </w:tc>
      </w:tr>
    </w:tbl>
    <w:p w14:paraId="59D334BB" w14:textId="77777777" w:rsidR="003B7103" w:rsidRDefault="003B7103"/>
    <w:sectPr w:rsidR="003B710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28E823" w14:textId="77777777" w:rsidR="00E4575F" w:rsidRDefault="00E4575F" w:rsidP="008D1D36">
      <w:pPr>
        <w:spacing w:after="0" w:line="240" w:lineRule="auto"/>
      </w:pPr>
      <w:r>
        <w:separator/>
      </w:r>
    </w:p>
  </w:endnote>
  <w:endnote w:type="continuationSeparator" w:id="0">
    <w:p w14:paraId="1411C691" w14:textId="77777777" w:rsidR="00E4575F" w:rsidRDefault="00E4575F" w:rsidP="008D1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3064896"/>
      <w:docPartObj>
        <w:docPartGallery w:val="Page Numbers (Bottom of Page)"/>
        <w:docPartUnique/>
      </w:docPartObj>
    </w:sdtPr>
    <w:sdtEndPr>
      <w:rPr>
        <w:noProof/>
      </w:rPr>
    </w:sdtEndPr>
    <w:sdtContent>
      <w:p w14:paraId="0CAE9490" w14:textId="7278BF73" w:rsidR="008D1D36" w:rsidRDefault="008D1D36">
        <w:pPr>
          <w:pStyle w:val="Footer"/>
          <w:jc w:val="right"/>
        </w:pPr>
        <w:r>
          <w:fldChar w:fldCharType="begin"/>
        </w:r>
        <w:r>
          <w:instrText xml:space="preserve"> PAGE   \* MERGEFORMAT </w:instrText>
        </w:r>
        <w:r>
          <w:fldChar w:fldCharType="separate"/>
        </w:r>
        <w:r w:rsidR="006D7571">
          <w:rPr>
            <w:noProof/>
          </w:rPr>
          <w:t>2</w:t>
        </w:r>
        <w:r>
          <w:rPr>
            <w:noProof/>
          </w:rPr>
          <w:fldChar w:fldCharType="end"/>
        </w:r>
      </w:p>
    </w:sdtContent>
  </w:sdt>
  <w:p w14:paraId="71E620E2" w14:textId="77777777" w:rsidR="008D1D36" w:rsidRDefault="008D1D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31081F" w14:textId="77777777" w:rsidR="00E4575F" w:rsidRDefault="00E4575F" w:rsidP="008D1D36">
      <w:pPr>
        <w:spacing w:after="0" w:line="240" w:lineRule="auto"/>
      </w:pPr>
      <w:r>
        <w:separator/>
      </w:r>
    </w:p>
  </w:footnote>
  <w:footnote w:type="continuationSeparator" w:id="0">
    <w:p w14:paraId="4FBF0F61" w14:textId="77777777" w:rsidR="00E4575F" w:rsidRDefault="00E4575F" w:rsidP="008D1D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03D32"/>
    <w:multiLevelType w:val="hybridMultilevel"/>
    <w:tmpl w:val="D0B066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BB14897"/>
    <w:multiLevelType w:val="hybridMultilevel"/>
    <w:tmpl w:val="C978AF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F1D7F63"/>
    <w:multiLevelType w:val="hybridMultilevel"/>
    <w:tmpl w:val="5A68CD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F5D04C4"/>
    <w:multiLevelType w:val="hybridMultilevel"/>
    <w:tmpl w:val="CC987904"/>
    <w:lvl w:ilvl="0" w:tplc="E22E7AFC">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8E522AE"/>
    <w:multiLevelType w:val="hybridMultilevel"/>
    <w:tmpl w:val="462A0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DB52CD"/>
    <w:multiLevelType w:val="hybridMultilevel"/>
    <w:tmpl w:val="963A9C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3BB5785"/>
    <w:multiLevelType w:val="hybridMultilevel"/>
    <w:tmpl w:val="C978AF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C3554AE"/>
    <w:multiLevelType w:val="hybridMultilevel"/>
    <w:tmpl w:val="98627E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0BE51B4"/>
    <w:multiLevelType w:val="hybridMultilevel"/>
    <w:tmpl w:val="404046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88831AB"/>
    <w:multiLevelType w:val="hybridMultilevel"/>
    <w:tmpl w:val="7116D9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5D55AE4"/>
    <w:multiLevelType w:val="hybridMultilevel"/>
    <w:tmpl w:val="404046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0"/>
  </w:num>
  <w:num w:numId="7">
    <w:abstractNumId w:val="3"/>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
  </w:num>
  <w:num w:numId="11">
    <w:abstractNumId w:val="2"/>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67D"/>
    <w:rsid w:val="0002467D"/>
    <w:rsid w:val="000319BB"/>
    <w:rsid w:val="00043E17"/>
    <w:rsid w:val="00055624"/>
    <w:rsid w:val="000606ED"/>
    <w:rsid w:val="00062FE9"/>
    <w:rsid w:val="000A14BF"/>
    <w:rsid w:val="000A77B9"/>
    <w:rsid w:val="000B134B"/>
    <w:rsid w:val="000C2DF2"/>
    <w:rsid w:val="000D110F"/>
    <w:rsid w:val="000E2915"/>
    <w:rsid w:val="00116E27"/>
    <w:rsid w:val="00130FCE"/>
    <w:rsid w:val="0013207C"/>
    <w:rsid w:val="001367E1"/>
    <w:rsid w:val="001772A8"/>
    <w:rsid w:val="00192442"/>
    <w:rsid w:val="001C035E"/>
    <w:rsid w:val="001D3A7D"/>
    <w:rsid w:val="001D6994"/>
    <w:rsid w:val="001E3BC4"/>
    <w:rsid w:val="00213DFB"/>
    <w:rsid w:val="00216731"/>
    <w:rsid w:val="00243636"/>
    <w:rsid w:val="00261129"/>
    <w:rsid w:val="0026424A"/>
    <w:rsid w:val="0028443E"/>
    <w:rsid w:val="002A2772"/>
    <w:rsid w:val="002B3B2D"/>
    <w:rsid w:val="002B3F3E"/>
    <w:rsid w:val="002F0475"/>
    <w:rsid w:val="002F2708"/>
    <w:rsid w:val="002F622B"/>
    <w:rsid w:val="00312BC0"/>
    <w:rsid w:val="0031637C"/>
    <w:rsid w:val="00357CA2"/>
    <w:rsid w:val="0037635D"/>
    <w:rsid w:val="00387FE5"/>
    <w:rsid w:val="003922AB"/>
    <w:rsid w:val="003B7103"/>
    <w:rsid w:val="003F7B16"/>
    <w:rsid w:val="00416058"/>
    <w:rsid w:val="00482D6C"/>
    <w:rsid w:val="004909C0"/>
    <w:rsid w:val="004C14B2"/>
    <w:rsid w:val="004C411A"/>
    <w:rsid w:val="00551EB7"/>
    <w:rsid w:val="00556F5E"/>
    <w:rsid w:val="005B5A32"/>
    <w:rsid w:val="005B6638"/>
    <w:rsid w:val="005F0C4E"/>
    <w:rsid w:val="005F1854"/>
    <w:rsid w:val="00602D6F"/>
    <w:rsid w:val="006126A6"/>
    <w:rsid w:val="00620C95"/>
    <w:rsid w:val="00650FBF"/>
    <w:rsid w:val="006547B8"/>
    <w:rsid w:val="00690FB3"/>
    <w:rsid w:val="006A230D"/>
    <w:rsid w:val="006C0E8A"/>
    <w:rsid w:val="006D7571"/>
    <w:rsid w:val="00727DDC"/>
    <w:rsid w:val="00753DCD"/>
    <w:rsid w:val="007C463B"/>
    <w:rsid w:val="007F7525"/>
    <w:rsid w:val="00802890"/>
    <w:rsid w:val="00836080"/>
    <w:rsid w:val="00852FDE"/>
    <w:rsid w:val="00893D31"/>
    <w:rsid w:val="008B04CE"/>
    <w:rsid w:val="008D1D36"/>
    <w:rsid w:val="008F3F09"/>
    <w:rsid w:val="008F754F"/>
    <w:rsid w:val="00942E07"/>
    <w:rsid w:val="00947A67"/>
    <w:rsid w:val="009705D4"/>
    <w:rsid w:val="0098376A"/>
    <w:rsid w:val="009D16B6"/>
    <w:rsid w:val="00A14547"/>
    <w:rsid w:val="00A424CF"/>
    <w:rsid w:val="00A5423D"/>
    <w:rsid w:val="00B12A18"/>
    <w:rsid w:val="00B21155"/>
    <w:rsid w:val="00B517F5"/>
    <w:rsid w:val="00B7160A"/>
    <w:rsid w:val="00B763A4"/>
    <w:rsid w:val="00B76A81"/>
    <w:rsid w:val="00B970F4"/>
    <w:rsid w:val="00BD66DA"/>
    <w:rsid w:val="00C065C5"/>
    <w:rsid w:val="00C14111"/>
    <w:rsid w:val="00C2575A"/>
    <w:rsid w:val="00C34E7C"/>
    <w:rsid w:val="00CB0AB8"/>
    <w:rsid w:val="00CD11C2"/>
    <w:rsid w:val="00CE1A43"/>
    <w:rsid w:val="00CE7200"/>
    <w:rsid w:val="00CF4524"/>
    <w:rsid w:val="00CF57CE"/>
    <w:rsid w:val="00D32F0A"/>
    <w:rsid w:val="00D37FCB"/>
    <w:rsid w:val="00D44C77"/>
    <w:rsid w:val="00D81B4C"/>
    <w:rsid w:val="00D9103F"/>
    <w:rsid w:val="00DA2136"/>
    <w:rsid w:val="00DF6344"/>
    <w:rsid w:val="00DF676A"/>
    <w:rsid w:val="00E306A1"/>
    <w:rsid w:val="00E4575F"/>
    <w:rsid w:val="00E46085"/>
    <w:rsid w:val="00E54A08"/>
    <w:rsid w:val="00E74C12"/>
    <w:rsid w:val="00EF396B"/>
    <w:rsid w:val="00F06D45"/>
    <w:rsid w:val="00F92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EA0C6"/>
  <w15:chartTrackingRefBased/>
  <w15:docId w15:val="{0AC2D22C-C7FE-4B3B-85D7-529C83BE8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02467D"/>
    <w:pPr>
      <w:spacing w:after="0" w:line="240" w:lineRule="auto"/>
    </w:pPr>
    <w:rPr>
      <w:rFonts w:ascii="Arial" w:eastAsia="Arial" w:hAnsi="Arial" w:cs="Arial"/>
      <w:sz w:val="20"/>
      <w:szCs w:val="20"/>
      <w:lang w:val="en"/>
    </w:rPr>
  </w:style>
  <w:style w:type="character" w:customStyle="1" w:styleId="CommentTextChar">
    <w:name w:val="Comment Text Char"/>
    <w:basedOn w:val="DefaultParagraphFont"/>
    <w:link w:val="CommentText"/>
    <w:uiPriority w:val="99"/>
    <w:semiHidden/>
    <w:rsid w:val="0002467D"/>
    <w:rPr>
      <w:rFonts w:ascii="Arial" w:eastAsia="Arial" w:hAnsi="Arial" w:cs="Arial"/>
      <w:sz w:val="20"/>
      <w:szCs w:val="20"/>
      <w:lang w:val="en"/>
    </w:rPr>
  </w:style>
  <w:style w:type="character" w:styleId="CommentReference">
    <w:name w:val="annotation reference"/>
    <w:basedOn w:val="DefaultParagraphFont"/>
    <w:uiPriority w:val="99"/>
    <w:semiHidden/>
    <w:unhideWhenUsed/>
    <w:rsid w:val="0002467D"/>
    <w:rPr>
      <w:sz w:val="16"/>
      <w:szCs w:val="16"/>
    </w:rPr>
  </w:style>
  <w:style w:type="paragraph" w:styleId="BalloonText">
    <w:name w:val="Balloon Text"/>
    <w:basedOn w:val="Normal"/>
    <w:link w:val="BalloonTextChar"/>
    <w:uiPriority w:val="99"/>
    <w:semiHidden/>
    <w:unhideWhenUsed/>
    <w:rsid w:val="000246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467D"/>
    <w:rPr>
      <w:rFonts w:ascii="Segoe UI" w:hAnsi="Segoe UI" w:cs="Segoe UI"/>
      <w:sz w:val="18"/>
      <w:szCs w:val="18"/>
    </w:rPr>
  </w:style>
  <w:style w:type="table" w:styleId="TableGrid">
    <w:name w:val="Table Grid"/>
    <w:basedOn w:val="TableNormal"/>
    <w:uiPriority w:val="39"/>
    <w:rsid w:val="004C14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8F754F"/>
  </w:style>
  <w:style w:type="character" w:styleId="Hyperlink">
    <w:name w:val="Hyperlink"/>
    <w:basedOn w:val="DefaultParagraphFont"/>
    <w:uiPriority w:val="99"/>
    <w:unhideWhenUsed/>
    <w:rsid w:val="003B7103"/>
    <w:rPr>
      <w:color w:val="0563C1" w:themeColor="hyperlink"/>
      <w:u w:val="single"/>
    </w:rPr>
  </w:style>
  <w:style w:type="paragraph" w:styleId="Header">
    <w:name w:val="header"/>
    <w:basedOn w:val="Normal"/>
    <w:link w:val="HeaderChar"/>
    <w:uiPriority w:val="99"/>
    <w:unhideWhenUsed/>
    <w:rsid w:val="008D1D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1D36"/>
  </w:style>
  <w:style w:type="paragraph" w:styleId="Footer">
    <w:name w:val="footer"/>
    <w:basedOn w:val="Normal"/>
    <w:link w:val="FooterChar"/>
    <w:uiPriority w:val="99"/>
    <w:unhideWhenUsed/>
    <w:rsid w:val="008D1D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D36"/>
  </w:style>
  <w:style w:type="paragraph" w:styleId="NoSpacing">
    <w:name w:val="No Spacing"/>
    <w:uiPriority w:val="1"/>
    <w:qFormat/>
    <w:rsid w:val="00243636"/>
    <w:pPr>
      <w:spacing w:after="0" w:line="240" w:lineRule="auto"/>
    </w:pPr>
  </w:style>
  <w:style w:type="paragraph" w:styleId="ListParagraph">
    <w:name w:val="List Paragraph"/>
    <w:basedOn w:val="Normal"/>
    <w:uiPriority w:val="34"/>
    <w:qFormat/>
    <w:rsid w:val="0098376A"/>
    <w:pPr>
      <w:spacing w:line="256" w:lineRule="auto"/>
      <w:ind w:left="720"/>
      <w:contextualSpacing/>
    </w:pPr>
  </w:style>
  <w:style w:type="paragraph" w:styleId="CommentSubject">
    <w:name w:val="annotation subject"/>
    <w:basedOn w:val="CommentText"/>
    <w:next w:val="CommentText"/>
    <w:link w:val="CommentSubjectChar"/>
    <w:uiPriority w:val="99"/>
    <w:semiHidden/>
    <w:unhideWhenUsed/>
    <w:rsid w:val="00551EB7"/>
    <w:pPr>
      <w:spacing w:after="16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551EB7"/>
    <w:rPr>
      <w:rFonts w:ascii="Arial" w:eastAsia="Arial" w:hAnsi="Arial" w:cs="Arial"/>
      <w:b/>
      <w:bCs/>
      <w:sz w:val="20"/>
      <w:szCs w:val="20"/>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5092">
      <w:bodyDiv w:val="1"/>
      <w:marLeft w:val="0"/>
      <w:marRight w:val="0"/>
      <w:marTop w:val="0"/>
      <w:marBottom w:val="0"/>
      <w:divBdr>
        <w:top w:val="none" w:sz="0" w:space="0" w:color="auto"/>
        <w:left w:val="none" w:sz="0" w:space="0" w:color="auto"/>
        <w:bottom w:val="none" w:sz="0" w:space="0" w:color="auto"/>
        <w:right w:val="none" w:sz="0" w:space="0" w:color="auto"/>
      </w:divBdr>
    </w:div>
    <w:div w:id="44766063">
      <w:bodyDiv w:val="1"/>
      <w:marLeft w:val="0"/>
      <w:marRight w:val="0"/>
      <w:marTop w:val="0"/>
      <w:marBottom w:val="0"/>
      <w:divBdr>
        <w:top w:val="none" w:sz="0" w:space="0" w:color="auto"/>
        <w:left w:val="none" w:sz="0" w:space="0" w:color="auto"/>
        <w:bottom w:val="none" w:sz="0" w:space="0" w:color="auto"/>
        <w:right w:val="none" w:sz="0" w:space="0" w:color="auto"/>
      </w:divBdr>
    </w:div>
    <w:div w:id="62531589">
      <w:bodyDiv w:val="1"/>
      <w:marLeft w:val="0"/>
      <w:marRight w:val="0"/>
      <w:marTop w:val="0"/>
      <w:marBottom w:val="0"/>
      <w:divBdr>
        <w:top w:val="none" w:sz="0" w:space="0" w:color="auto"/>
        <w:left w:val="none" w:sz="0" w:space="0" w:color="auto"/>
        <w:bottom w:val="none" w:sz="0" w:space="0" w:color="auto"/>
        <w:right w:val="none" w:sz="0" w:space="0" w:color="auto"/>
      </w:divBdr>
    </w:div>
    <w:div w:id="137232473">
      <w:bodyDiv w:val="1"/>
      <w:marLeft w:val="0"/>
      <w:marRight w:val="0"/>
      <w:marTop w:val="0"/>
      <w:marBottom w:val="0"/>
      <w:divBdr>
        <w:top w:val="none" w:sz="0" w:space="0" w:color="auto"/>
        <w:left w:val="none" w:sz="0" w:space="0" w:color="auto"/>
        <w:bottom w:val="none" w:sz="0" w:space="0" w:color="auto"/>
        <w:right w:val="none" w:sz="0" w:space="0" w:color="auto"/>
      </w:divBdr>
    </w:div>
    <w:div w:id="252013107">
      <w:bodyDiv w:val="1"/>
      <w:marLeft w:val="0"/>
      <w:marRight w:val="0"/>
      <w:marTop w:val="0"/>
      <w:marBottom w:val="0"/>
      <w:divBdr>
        <w:top w:val="none" w:sz="0" w:space="0" w:color="auto"/>
        <w:left w:val="none" w:sz="0" w:space="0" w:color="auto"/>
        <w:bottom w:val="none" w:sz="0" w:space="0" w:color="auto"/>
        <w:right w:val="none" w:sz="0" w:space="0" w:color="auto"/>
      </w:divBdr>
    </w:div>
    <w:div w:id="276759369">
      <w:bodyDiv w:val="1"/>
      <w:marLeft w:val="0"/>
      <w:marRight w:val="0"/>
      <w:marTop w:val="0"/>
      <w:marBottom w:val="0"/>
      <w:divBdr>
        <w:top w:val="none" w:sz="0" w:space="0" w:color="auto"/>
        <w:left w:val="none" w:sz="0" w:space="0" w:color="auto"/>
        <w:bottom w:val="none" w:sz="0" w:space="0" w:color="auto"/>
        <w:right w:val="none" w:sz="0" w:space="0" w:color="auto"/>
      </w:divBdr>
    </w:div>
    <w:div w:id="336621716">
      <w:bodyDiv w:val="1"/>
      <w:marLeft w:val="0"/>
      <w:marRight w:val="0"/>
      <w:marTop w:val="0"/>
      <w:marBottom w:val="0"/>
      <w:divBdr>
        <w:top w:val="none" w:sz="0" w:space="0" w:color="auto"/>
        <w:left w:val="none" w:sz="0" w:space="0" w:color="auto"/>
        <w:bottom w:val="none" w:sz="0" w:space="0" w:color="auto"/>
        <w:right w:val="none" w:sz="0" w:space="0" w:color="auto"/>
      </w:divBdr>
    </w:div>
    <w:div w:id="438109079">
      <w:bodyDiv w:val="1"/>
      <w:marLeft w:val="0"/>
      <w:marRight w:val="0"/>
      <w:marTop w:val="0"/>
      <w:marBottom w:val="0"/>
      <w:divBdr>
        <w:top w:val="none" w:sz="0" w:space="0" w:color="auto"/>
        <w:left w:val="none" w:sz="0" w:space="0" w:color="auto"/>
        <w:bottom w:val="none" w:sz="0" w:space="0" w:color="auto"/>
        <w:right w:val="none" w:sz="0" w:space="0" w:color="auto"/>
      </w:divBdr>
    </w:div>
    <w:div w:id="521935401">
      <w:bodyDiv w:val="1"/>
      <w:marLeft w:val="0"/>
      <w:marRight w:val="0"/>
      <w:marTop w:val="0"/>
      <w:marBottom w:val="0"/>
      <w:divBdr>
        <w:top w:val="none" w:sz="0" w:space="0" w:color="auto"/>
        <w:left w:val="none" w:sz="0" w:space="0" w:color="auto"/>
        <w:bottom w:val="none" w:sz="0" w:space="0" w:color="auto"/>
        <w:right w:val="none" w:sz="0" w:space="0" w:color="auto"/>
      </w:divBdr>
    </w:div>
    <w:div w:id="525295304">
      <w:bodyDiv w:val="1"/>
      <w:marLeft w:val="0"/>
      <w:marRight w:val="0"/>
      <w:marTop w:val="0"/>
      <w:marBottom w:val="0"/>
      <w:divBdr>
        <w:top w:val="none" w:sz="0" w:space="0" w:color="auto"/>
        <w:left w:val="none" w:sz="0" w:space="0" w:color="auto"/>
        <w:bottom w:val="none" w:sz="0" w:space="0" w:color="auto"/>
        <w:right w:val="none" w:sz="0" w:space="0" w:color="auto"/>
      </w:divBdr>
    </w:div>
    <w:div w:id="767232219">
      <w:bodyDiv w:val="1"/>
      <w:marLeft w:val="0"/>
      <w:marRight w:val="0"/>
      <w:marTop w:val="0"/>
      <w:marBottom w:val="0"/>
      <w:divBdr>
        <w:top w:val="none" w:sz="0" w:space="0" w:color="auto"/>
        <w:left w:val="none" w:sz="0" w:space="0" w:color="auto"/>
        <w:bottom w:val="none" w:sz="0" w:space="0" w:color="auto"/>
        <w:right w:val="none" w:sz="0" w:space="0" w:color="auto"/>
      </w:divBdr>
    </w:div>
    <w:div w:id="774710065">
      <w:bodyDiv w:val="1"/>
      <w:marLeft w:val="0"/>
      <w:marRight w:val="0"/>
      <w:marTop w:val="0"/>
      <w:marBottom w:val="0"/>
      <w:divBdr>
        <w:top w:val="none" w:sz="0" w:space="0" w:color="auto"/>
        <w:left w:val="none" w:sz="0" w:space="0" w:color="auto"/>
        <w:bottom w:val="none" w:sz="0" w:space="0" w:color="auto"/>
        <w:right w:val="none" w:sz="0" w:space="0" w:color="auto"/>
      </w:divBdr>
    </w:div>
    <w:div w:id="774713897">
      <w:bodyDiv w:val="1"/>
      <w:marLeft w:val="0"/>
      <w:marRight w:val="0"/>
      <w:marTop w:val="0"/>
      <w:marBottom w:val="0"/>
      <w:divBdr>
        <w:top w:val="none" w:sz="0" w:space="0" w:color="auto"/>
        <w:left w:val="none" w:sz="0" w:space="0" w:color="auto"/>
        <w:bottom w:val="none" w:sz="0" w:space="0" w:color="auto"/>
        <w:right w:val="none" w:sz="0" w:space="0" w:color="auto"/>
      </w:divBdr>
      <w:divsChild>
        <w:div w:id="1072511853">
          <w:marLeft w:val="0"/>
          <w:marRight w:val="0"/>
          <w:marTop w:val="0"/>
          <w:marBottom w:val="0"/>
          <w:divBdr>
            <w:top w:val="none" w:sz="0" w:space="0" w:color="auto"/>
            <w:left w:val="none" w:sz="0" w:space="0" w:color="auto"/>
            <w:bottom w:val="none" w:sz="0" w:space="0" w:color="auto"/>
            <w:right w:val="none" w:sz="0" w:space="0" w:color="auto"/>
          </w:divBdr>
        </w:div>
      </w:divsChild>
    </w:div>
    <w:div w:id="793789243">
      <w:bodyDiv w:val="1"/>
      <w:marLeft w:val="0"/>
      <w:marRight w:val="0"/>
      <w:marTop w:val="0"/>
      <w:marBottom w:val="0"/>
      <w:divBdr>
        <w:top w:val="none" w:sz="0" w:space="0" w:color="auto"/>
        <w:left w:val="none" w:sz="0" w:space="0" w:color="auto"/>
        <w:bottom w:val="none" w:sz="0" w:space="0" w:color="auto"/>
        <w:right w:val="none" w:sz="0" w:space="0" w:color="auto"/>
      </w:divBdr>
    </w:div>
    <w:div w:id="801732454">
      <w:bodyDiv w:val="1"/>
      <w:marLeft w:val="0"/>
      <w:marRight w:val="0"/>
      <w:marTop w:val="0"/>
      <w:marBottom w:val="0"/>
      <w:divBdr>
        <w:top w:val="none" w:sz="0" w:space="0" w:color="auto"/>
        <w:left w:val="none" w:sz="0" w:space="0" w:color="auto"/>
        <w:bottom w:val="none" w:sz="0" w:space="0" w:color="auto"/>
        <w:right w:val="none" w:sz="0" w:space="0" w:color="auto"/>
      </w:divBdr>
      <w:divsChild>
        <w:div w:id="813378310">
          <w:marLeft w:val="0"/>
          <w:marRight w:val="0"/>
          <w:marTop w:val="0"/>
          <w:marBottom w:val="0"/>
          <w:divBdr>
            <w:top w:val="none" w:sz="0" w:space="0" w:color="auto"/>
            <w:left w:val="none" w:sz="0" w:space="0" w:color="auto"/>
            <w:bottom w:val="none" w:sz="0" w:space="0" w:color="auto"/>
            <w:right w:val="none" w:sz="0" w:space="0" w:color="auto"/>
          </w:divBdr>
        </w:div>
      </w:divsChild>
    </w:div>
    <w:div w:id="855383666">
      <w:bodyDiv w:val="1"/>
      <w:marLeft w:val="0"/>
      <w:marRight w:val="0"/>
      <w:marTop w:val="0"/>
      <w:marBottom w:val="0"/>
      <w:divBdr>
        <w:top w:val="none" w:sz="0" w:space="0" w:color="auto"/>
        <w:left w:val="none" w:sz="0" w:space="0" w:color="auto"/>
        <w:bottom w:val="none" w:sz="0" w:space="0" w:color="auto"/>
        <w:right w:val="none" w:sz="0" w:space="0" w:color="auto"/>
      </w:divBdr>
    </w:div>
    <w:div w:id="879703767">
      <w:bodyDiv w:val="1"/>
      <w:marLeft w:val="0"/>
      <w:marRight w:val="0"/>
      <w:marTop w:val="0"/>
      <w:marBottom w:val="0"/>
      <w:divBdr>
        <w:top w:val="none" w:sz="0" w:space="0" w:color="auto"/>
        <w:left w:val="none" w:sz="0" w:space="0" w:color="auto"/>
        <w:bottom w:val="none" w:sz="0" w:space="0" w:color="auto"/>
        <w:right w:val="none" w:sz="0" w:space="0" w:color="auto"/>
      </w:divBdr>
    </w:div>
    <w:div w:id="977300651">
      <w:bodyDiv w:val="1"/>
      <w:marLeft w:val="0"/>
      <w:marRight w:val="0"/>
      <w:marTop w:val="0"/>
      <w:marBottom w:val="0"/>
      <w:divBdr>
        <w:top w:val="none" w:sz="0" w:space="0" w:color="auto"/>
        <w:left w:val="none" w:sz="0" w:space="0" w:color="auto"/>
        <w:bottom w:val="none" w:sz="0" w:space="0" w:color="auto"/>
        <w:right w:val="none" w:sz="0" w:space="0" w:color="auto"/>
      </w:divBdr>
    </w:div>
    <w:div w:id="986667769">
      <w:bodyDiv w:val="1"/>
      <w:marLeft w:val="0"/>
      <w:marRight w:val="0"/>
      <w:marTop w:val="0"/>
      <w:marBottom w:val="0"/>
      <w:divBdr>
        <w:top w:val="none" w:sz="0" w:space="0" w:color="auto"/>
        <w:left w:val="none" w:sz="0" w:space="0" w:color="auto"/>
        <w:bottom w:val="none" w:sz="0" w:space="0" w:color="auto"/>
        <w:right w:val="none" w:sz="0" w:space="0" w:color="auto"/>
      </w:divBdr>
    </w:div>
    <w:div w:id="1057051537">
      <w:bodyDiv w:val="1"/>
      <w:marLeft w:val="0"/>
      <w:marRight w:val="0"/>
      <w:marTop w:val="0"/>
      <w:marBottom w:val="0"/>
      <w:divBdr>
        <w:top w:val="none" w:sz="0" w:space="0" w:color="auto"/>
        <w:left w:val="none" w:sz="0" w:space="0" w:color="auto"/>
        <w:bottom w:val="none" w:sz="0" w:space="0" w:color="auto"/>
        <w:right w:val="none" w:sz="0" w:space="0" w:color="auto"/>
      </w:divBdr>
    </w:div>
    <w:div w:id="1170832406">
      <w:bodyDiv w:val="1"/>
      <w:marLeft w:val="0"/>
      <w:marRight w:val="0"/>
      <w:marTop w:val="0"/>
      <w:marBottom w:val="0"/>
      <w:divBdr>
        <w:top w:val="none" w:sz="0" w:space="0" w:color="auto"/>
        <w:left w:val="none" w:sz="0" w:space="0" w:color="auto"/>
        <w:bottom w:val="none" w:sz="0" w:space="0" w:color="auto"/>
        <w:right w:val="none" w:sz="0" w:space="0" w:color="auto"/>
      </w:divBdr>
    </w:div>
    <w:div w:id="1191719843">
      <w:bodyDiv w:val="1"/>
      <w:marLeft w:val="0"/>
      <w:marRight w:val="0"/>
      <w:marTop w:val="0"/>
      <w:marBottom w:val="0"/>
      <w:divBdr>
        <w:top w:val="none" w:sz="0" w:space="0" w:color="auto"/>
        <w:left w:val="none" w:sz="0" w:space="0" w:color="auto"/>
        <w:bottom w:val="none" w:sz="0" w:space="0" w:color="auto"/>
        <w:right w:val="none" w:sz="0" w:space="0" w:color="auto"/>
      </w:divBdr>
    </w:div>
    <w:div w:id="1204564982">
      <w:bodyDiv w:val="1"/>
      <w:marLeft w:val="0"/>
      <w:marRight w:val="0"/>
      <w:marTop w:val="0"/>
      <w:marBottom w:val="0"/>
      <w:divBdr>
        <w:top w:val="none" w:sz="0" w:space="0" w:color="auto"/>
        <w:left w:val="none" w:sz="0" w:space="0" w:color="auto"/>
        <w:bottom w:val="none" w:sz="0" w:space="0" w:color="auto"/>
        <w:right w:val="none" w:sz="0" w:space="0" w:color="auto"/>
      </w:divBdr>
      <w:divsChild>
        <w:div w:id="400569003">
          <w:marLeft w:val="0"/>
          <w:marRight w:val="0"/>
          <w:marTop w:val="0"/>
          <w:marBottom w:val="0"/>
          <w:divBdr>
            <w:top w:val="none" w:sz="0" w:space="0" w:color="auto"/>
            <w:left w:val="none" w:sz="0" w:space="0" w:color="auto"/>
            <w:bottom w:val="none" w:sz="0" w:space="0" w:color="auto"/>
            <w:right w:val="none" w:sz="0" w:space="0" w:color="auto"/>
          </w:divBdr>
        </w:div>
      </w:divsChild>
    </w:div>
    <w:div w:id="1264649270">
      <w:bodyDiv w:val="1"/>
      <w:marLeft w:val="0"/>
      <w:marRight w:val="0"/>
      <w:marTop w:val="0"/>
      <w:marBottom w:val="0"/>
      <w:divBdr>
        <w:top w:val="none" w:sz="0" w:space="0" w:color="auto"/>
        <w:left w:val="none" w:sz="0" w:space="0" w:color="auto"/>
        <w:bottom w:val="none" w:sz="0" w:space="0" w:color="auto"/>
        <w:right w:val="none" w:sz="0" w:space="0" w:color="auto"/>
      </w:divBdr>
    </w:div>
    <w:div w:id="1268273027">
      <w:bodyDiv w:val="1"/>
      <w:marLeft w:val="0"/>
      <w:marRight w:val="0"/>
      <w:marTop w:val="0"/>
      <w:marBottom w:val="0"/>
      <w:divBdr>
        <w:top w:val="none" w:sz="0" w:space="0" w:color="auto"/>
        <w:left w:val="none" w:sz="0" w:space="0" w:color="auto"/>
        <w:bottom w:val="none" w:sz="0" w:space="0" w:color="auto"/>
        <w:right w:val="none" w:sz="0" w:space="0" w:color="auto"/>
      </w:divBdr>
    </w:div>
    <w:div w:id="1464958052">
      <w:bodyDiv w:val="1"/>
      <w:marLeft w:val="0"/>
      <w:marRight w:val="0"/>
      <w:marTop w:val="0"/>
      <w:marBottom w:val="0"/>
      <w:divBdr>
        <w:top w:val="none" w:sz="0" w:space="0" w:color="auto"/>
        <w:left w:val="none" w:sz="0" w:space="0" w:color="auto"/>
        <w:bottom w:val="none" w:sz="0" w:space="0" w:color="auto"/>
        <w:right w:val="none" w:sz="0" w:space="0" w:color="auto"/>
      </w:divBdr>
    </w:div>
    <w:div w:id="1598101682">
      <w:bodyDiv w:val="1"/>
      <w:marLeft w:val="0"/>
      <w:marRight w:val="0"/>
      <w:marTop w:val="0"/>
      <w:marBottom w:val="0"/>
      <w:divBdr>
        <w:top w:val="none" w:sz="0" w:space="0" w:color="auto"/>
        <w:left w:val="none" w:sz="0" w:space="0" w:color="auto"/>
        <w:bottom w:val="none" w:sz="0" w:space="0" w:color="auto"/>
        <w:right w:val="none" w:sz="0" w:space="0" w:color="auto"/>
      </w:divBdr>
    </w:div>
    <w:div w:id="1621493452">
      <w:bodyDiv w:val="1"/>
      <w:marLeft w:val="0"/>
      <w:marRight w:val="0"/>
      <w:marTop w:val="0"/>
      <w:marBottom w:val="0"/>
      <w:divBdr>
        <w:top w:val="none" w:sz="0" w:space="0" w:color="auto"/>
        <w:left w:val="none" w:sz="0" w:space="0" w:color="auto"/>
        <w:bottom w:val="none" w:sz="0" w:space="0" w:color="auto"/>
        <w:right w:val="none" w:sz="0" w:space="0" w:color="auto"/>
      </w:divBdr>
    </w:div>
    <w:div w:id="1649434678">
      <w:bodyDiv w:val="1"/>
      <w:marLeft w:val="0"/>
      <w:marRight w:val="0"/>
      <w:marTop w:val="0"/>
      <w:marBottom w:val="0"/>
      <w:divBdr>
        <w:top w:val="none" w:sz="0" w:space="0" w:color="auto"/>
        <w:left w:val="none" w:sz="0" w:space="0" w:color="auto"/>
        <w:bottom w:val="none" w:sz="0" w:space="0" w:color="auto"/>
        <w:right w:val="none" w:sz="0" w:space="0" w:color="auto"/>
      </w:divBdr>
    </w:div>
    <w:div w:id="1728214803">
      <w:bodyDiv w:val="1"/>
      <w:marLeft w:val="0"/>
      <w:marRight w:val="0"/>
      <w:marTop w:val="0"/>
      <w:marBottom w:val="0"/>
      <w:divBdr>
        <w:top w:val="none" w:sz="0" w:space="0" w:color="auto"/>
        <w:left w:val="none" w:sz="0" w:space="0" w:color="auto"/>
        <w:bottom w:val="none" w:sz="0" w:space="0" w:color="auto"/>
        <w:right w:val="none" w:sz="0" w:space="0" w:color="auto"/>
      </w:divBdr>
    </w:div>
    <w:div w:id="1854761305">
      <w:bodyDiv w:val="1"/>
      <w:marLeft w:val="0"/>
      <w:marRight w:val="0"/>
      <w:marTop w:val="0"/>
      <w:marBottom w:val="0"/>
      <w:divBdr>
        <w:top w:val="none" w:sz="0" w:space="0" w:color="auto"/>
        <w:left w:val="none" w:sz="0" w:space="0" w:color="auto"/>
        <w:bottom w:val="none" w:sz="0" w:space="0" w:color="auto"/>
        <w:right w:val="none" w:sz="0" w:space="0" w:color="auto"/>
      </w:divBdr>
    </w:div>
    <w:div w:id="1897617310">
      <w:bodyDiv w:val="1"/>
      <w:marLeft w:val="0"/>
      <w:marRight w:val="0"/>
      <w:marTop w:val="0"/>
      <w:marBottom w:val="0"/>
      <w:divBdr>
        <w:top w:val="none" w:sz="0" w:space="0" w:color="auto"/>
        <w:left w:val="none" w:sz="0" w:space="0" w:color="auto"/>
        <w:bottom w:val="none" w:sz="0" w:space="0" w:color="auto"/>
        <w:right w:val="none" w:sz="0" w:space="0" w:color="auto"/>
      </w:divBdr>
    </w:div>
    <w:div w:id="205673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8/s41598-021-02137-x" TargetMode="External"/><Relationship Id="rId13" Type="http://schemas.openxmlformats.org/officeDocument/2006/relationships/hyperlink" Target="https://doi.org/10.1002/dta.171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0091-3057(91)90378-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89/fpsyt.2022.88770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1016/j.cca.2012.01.011" TargetMode="External"/><Relationship Id="rId4" Type="http://schemas.openxmlformats.org/officeDocument/2006/relationships/settings" Target="settings.xml"/><Relationship Id="rId9" Type="http://schemas.openxmlformats.org/officeDocument/2006/relationships/hyperlink" Target="https://doi.org/10.1373/clinchem.2011.17788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BBF5F-E0E0-47AF-843A-A97D62493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5206</Words>
  <Characters>29677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Xiao</dc:creator>
  <cp:keywords/>
  <dc:description/>
  <cp:lastModifiedBy>Kelly Xiao</cp:lastModifiedBy>
  <cp:revision>3</cp:revision>
  <dcterms:created xsi:type="dcterms:W3CDTF">2023-02-18T02:55:00Z</dcterms:created>
  <dcterms:modified xsi:type="dcterms:W3CDTF">2023-02-18T03:12:00Z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zotero-version="6.0.9"&gt;&lt;session id="aeOinNBx"/&gt;&lt;style id="http://www.zotero.org/styles/apa" locale="en-CA" hasBibliography="1" bibliographyStyleHasBeenSet="1"/&gt;&lt;prefs&gt;&lt;pref name="fieldType" value="Field"/&gt;&lt;/prefs&gt;&lt;/data&gt;</vt:lpwstr>
  </property>
</Properties>
</file>