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79A4F" w14:textId="77777777" w:rsidR="0021404E" w:rsidRDefault="0021404E" w:rsidP="0021404E">
      <w:pPr>
        <w:jc w:val="both"/>
        <w:rPr>
          <w:b/>
          <w:caps/>
          <w:sz w:val="20"/>
          <w:szCs w:val="20"/>
          <w:lang w:val="en-US"/>
        </w:rPr>
      </w:pPr>
      <w:r>
        <w:rPr>
          <w:b/>
          <w:caps/>
          <w:sz w:val="20"/>
          <w:szCs w:val="20"/>
          <w:lang w:val="en-US"/>
        </w:rPr>
        <w:t>PSYCHOPHARMACOLOGY</w:t>
      </w:r>
    </w:p>
    <w:p w14:paraId="7B67FFAD" w14:textId="77777777" w:rsidR="0021404E" w:rsidRDefault="0021404E" w:rsidP="0021404E">
      <w:pPr>
        <w:jc w:val="both"/>
        <w:rPr>
          <w:b/>
          <w:caps/>
          <w:sz w:val="20"/>
          <w:szCs w:val="20"/>
          <w:lang w:val="en-US"/>
        </w:rPr>
      </w:pPr>
    </w:p>
    <w:p w14:paraId="3FE2AC54" w14:textId="2AF7B1AD" w:rsidR="0021404E" w:rsidRPr="00E80756" w:rsidRDefault="0021404E" w:rsidP="0021404E">
      <w:pPr>
        <w:jc w:val="both"/>
        <w:rPr>
          <w:rFonts w:eastAsia="Arial Unicode MS"/>
          <w:b/>
          <w:caps/>
          <w:color w:val="000000"/>
          <w:sz w:val="20"/>
          <w:szCs w:val="20"/>
          <w:lang w:val="en-US" w:eastAsia="en-US"/>
        </w:rPr>
      </w:pPr>
      <w:r w:rsidRPr="00E80756">
        <w:rPr>
          <w:b/>
          <w:caps/>
          <w:sz w:val="20"/>
          <w:szCs w:val="20"/>
          <w:lang w:val="en-US"/>
        </w:rPr>
        <w:t>A</w:t>
      </w:r>
      <w:r w:rsidRPr="00E80756">
        <w:rPr>
          <w:rFonts w:eastAsia="Arial Unicode MS"/>
          <w:b/>
          <w:caps/>
          <w:color w:val="000000"/>
          <w:sz w:val="20"/>
          <w:szCs w:val="20"/>
          <w:lang w:val="en-US" w:eastAsia="en-US"/>
        </w:rPr>
        <w:t xml:space="preserve">dolescent self-administration of the syntHetic CANNABINOID RECEPTOR AGONIST </w:t>
      </w:r>
      <w:r w:rsidRPr="00E80756">
        <w:rPr>
          <w:b/>
          <w:caps/>
          <w:sz w:val="20"/>
          <w:szCs w:val="20"/>
          <w:lang w:val="en-US"/>
        </w:rPr>
        <w:t xml:space="preserve">JWH-018 </w:t>
      </w:r>
      <w:r w:rsidRPr="00E80756">
        <w:rPr>
          <w:rFonts w:eastAsia="Arial Unicode MS"/>
          <w:b/>
          <w:caps/>
          <w:color w:val="000000"/>
          <w:sz w:val="20"/>
          <w:szCs w:val="20"/>
          <w:lang w:val="en-US" w:eastAsia="en-US"/>
        </w:rPr>
        <w:t>INDUCES neurobiological and behavioral alterations in adult MALE mice</w:t>
      </w:r>
    </w:p>
    <w:p w14:paraId="75F9DD4B" w14:textId="77777777" w:rsidR="0021404E" w:rsidRPr="00E80756" w:rsidRDefault="0021404E" w:rsidP="0021404E">
      <w:pPr>
        <w:pStyle w:val="Corpo"/>
        <w:spacing w:line="276" w:lineRule="auto"/>
        <w:jc w:val="both"/>
        <w:rPr>
          <w:rFonts w:ascii="Times New Roman" w:hAnsi="Times New Roman" w:cs="Times New Roman"/>
          <w:b/>
          <w:sz w:val="20"/>
          <w:szCs w:val="20"/>
          <w:lang w:val="en-US"/>
        </w:rPr>
      </w:pPr>
    </w:p>
    <w:p w14:paraId="0DAB6ABA" w14:textId="77777777" w:rsidR="0021404E" w:rsidRPr="00E80756" w:rsidRDefault="0021404E" w:rsidP="0021404E">
      <w:pPr>
        <w:pStyle w:val="Corpo"/>
        <w:spacing w:line="360" w:lineRule="auto"/>
        <w:jc w:val="both"/>
        <w:rPr>
          <w:rFonts w:ascii="Times New Roman" w:hAnsi="Times New Roman" w:cs="Times New Roman"/>
          <w:b/>
          <w:bCs/>
          <w:sz w:val="20"/>
          <w:szCs w:val="20"/>
        </w:rPr>
      </w:pPr>
      <w:r w:rsidRPr="00E80756">
        <w:rPr>
          <w:rFonts w:ascii="Times New Roman" w:hAnsi="Times New Roman" w:cs="Times New Roman"/>
          <w:b/>
          <w:bCs/>
          <w:sz w:val="20"/>
          <w:szCs w:val="20"/>
        </w:rPr>
        <w:t xml:space="preserve">Giulia </w:t>
      </w:r>
      <w:proofErr w:type="spellStart"/>
      <w:r w:rsidRPr="00E80756">
        <w:rPr>
          <w:rFonts w:ascii="Times New Roman" w:hAnsi="Times New Roman" w:cs="Times New Roman"/>
          <w:b/>
          <w:bCs/>
          <w:sz w:val="20"/>
          <w:szCs w:val="20"/>
        </w:rPr>
        <w:t>Margiani</w:t>
      </w:r>
      <w:proofErr w:type="spellEnd"/>
      <w:r w:rsidRPr="00E80756">
        <w:rPr>
          <w:rFonts w:ascii="Times New Roman" w:hAnsi="Times New Roman" w:cs="Times New Roman"/>
          <w:b/>
          <w:bCs/>
          <w:sz w:val="20"/>
          <w:szCs w:val="20"/>
        </w:rPr>
        <w:t>*</w:t>
      </w:r>
      <w:r w:rsidRPr="00E80756">
        <w:rPr>
          <w:rFonts w:ascii="Times New Roman" w:hAnsi="Times New Roman" w:cs="Times New Roman"/>
          <w:b/>
          <w:bCs/>
          <w:sz w:val="20"/>
          <w:szCs w:val="20"/>
          <w:vertAlign w:val="superscript"/>
        </w:rPr>
        <w:t>1</w:t>
      </w:r>
      <w:r w:rsidRPr="00E80756">
        <w:rPr>
          <w:rFonts w:ascii="Times New Roman" w:hAnsi="Times New Roman" w:cs="Times New Roman"/>
          <w:b/>
          <w:bCs/>
          <w:sz w:val="20"/>
          <w:szCs w:val="20"/>
        </w:rPr>
        <w:t>, Maria Paola Castelli*</w:t>
      </w:r>
      <w:r w:rsidRPr="00E80756">
        <w:rPr>
          <w:rFonts w:ascii="Times New Roman" w:hAnsi="Times New Roman" w:cs="Times New Roman"/>
          <w:b/>
          <w:bCs/>
          <w:sz w:val="20"/>
          <w:szCs w:val="20"/>
          <w:vertAlign w:val="superscript"/>
        </w:rPr>
        <w:t>1</w:t>
      </w:r>
      <w:r w:rsidRPr="00E80756">
        <w:rPr>
          <w:rFonts w:ascii="Times New Roman" w:hAnsi="Times New Roman" w:cs="Times New Roman"/>
          <w:b/>
          <w:bCs/>
          <w:sz w:val="20"/>
          <w:szCs w:val="20"/>
        </w:rPr>
        <w:t>, Nicholas Pintori</w:t>
      </w:r>
      <w:r w:rsidRPr="00E80756">
        <w:rPr>
          <w:rFonts w:ascii="Times New Roman" w:hAnsi="Times New Roman" w:cs="Times New Roman"/>
          <w:b/>
          <w:bCs/>
          <w:sz w:val="20"/>
          <w:szCs w:val="20"/>
          <w:vertAlign w:val="superscript"/>
        </w:rPr>
        <w:t>1</w:t>
      </w:r>
      <w:r w:rsidRPr="00E80756">
        <w:rPr>
          <w:rFonts w:ascii="Times New Roman" w:hAnsi="Times New Roman" w:cs="Times New Roman"/>
          <w:b/>
          <w:bCs/>
          <w:sz w:val="20"/>
          <w:szCs w:val="20"/>
        </w:rPr>
        <w:t>, Roberto Frau</w:t>
      </w:r>
      <w:r w:rsidRPr="00E80756">
        <w:rPr>
          <w:rFonts w:ascii="Times New Roman" w:hAnsi="Times New Roman" w:cs="Times New Roman"/>
          <w:b/>
          <w:bCs/>
          <w:sz w:val="20"/>
          <w:szCs w:val="20"/>
          <w:vertAlign w:val="superscript"/>
        </w:rPr>
        <w:t>1,3</w:t>
      </w:r>
      <w:r w:rsidRPr="00E80756">
        <w:rPr>
          <w:rFonts w:ascii="Times New Roman" w:hAnsi="Times New Roman" w:cs="Times New Roman"/>
          <w:b/>
          <w:bCs/>
          <w:sz w:val="20"/>
          <w:szCs w:val="20"/>
        </w:rPr>
        <w:t>, Maria Grazia Ennas</w:t>
      </w:r>
      <w:r w:rsidRPr="00E80756">
        <w:rPr>
          <w:rFonts w:ascii="Times New Roman" w:hAnsi="Times New Roman" w:cs="Times New Roman"/>
          <w:b/>
          <w:bCs/>
          <w:sz w:val="20"/>
          <w:szCs w:val="20"/>
          <w:vertAlign w:val="superscript"/>
        </w:rPr>
        <w:t>1</w:t>
      </w:r>
      <w:r w:rsidRPr="00E80756">
        <w:rPr>
          <w:rFonts w:ascii="Times New Roman" w:hAnsi="Times New Roman" w:cs="Times New Roman"/>
          <w:b/>
          <w:bCs/>
          <w:sz w:val="20"/>
          <w:szCs w:val="20"/>
        </w:rPr>
        <w:t>, Valeria Orrù</w:t>
      </w:r>
      <w:r w:rsidRPr="00E80756">
        <w:rPr>
          <w:rFonts w:ascii="Times New Roman" w:hAnsi="Times New Roman" w:cs="Times New Roman"/>
          <w:b/>
          <w:bCs/>
          <w:sz w:val="20"/>
          <w:szCs w:val="20"/>
          <w:vertAlign w:val="superscript"/>
        </w:rPr>
        <w:t>2</w:t>
      </w:r>
      <w:r w:rsidRPr="00E80756">
        <w:rPr>
          <w:rFonts w:ascii="Times New Roman" w:hAnsi="Times New Roman" w:cs="Times New Roman"/>
          <w:b/>
          <w:bCs/>
          <w:sz w:val="20"/>
          <w:szCs w:val="20"/>
        </w:rPr>
        <w:t>, Valentina Serra</w:t>
      </w:r>
      <w:r w:rsidRPr="00E80756">
        <w:rPr>
          <w:rFonts w:ascii="Times New Roman" w:hAnsi="Times New Roman" w:cs="Times New Roman"/>
          <w:b/>
          <w:bCs/>
          <w:sz w:val="20"/>
          <w:szCs w:val="20"/>
          <w:vertAlign w:val="superscript"/>
        </w:rPr>
        <w:t>2</w:t>
      </w:r>
      <w:r w:rsidRPr="00E80756">
        <w:rPr>
          <w:rFonts w:ascii="Times New Roman" w:hAnsi="Times New Roman" w:cs="Times New Roman"/>
          <w:b/>
          <w:bCs/>
          <w:sz w:val="20"/>
          <w:szCs w:val="20"/>
        </w:rPr>
        <w:t>, Edoardo Fiorillo</w:t>
      </w:r>
      <w:r w:rsidRPr="00E80756">
        <w:rPr>
          <w:rFonts w:ascii="Times New Roman" w:hAnsi="Times New Roman" w:cs="Times New Roman"/>
          <w:b/>
          <w:bCs/>
          <w:sz w:val="20"/>
          <w:szCs w:val="20"/>
          <w:vertAlign w:val="superscript"/>
        </w:rPr>
        <w:t>2</w:t>
      </w:r>
      <w:r w:rsidRPr="00E80756">
        <w:rPr>
          <w:rFonts w:ascii="Times New Roman" w:hAnsi="Times New Roman" w:cs="Times New Roman"/>
          <w:b/>
          <w:bCs/>
          <w:sz w:val="20"/>
          <w:szCs w:val="20"/>
        </w:rPr>
        <w:t>, Paola Fadda</w:t>
      </w:r>
      <w:r w:rsidRPr="00E80756">
        <w:rPr>
          <w:rFonts w:ascii="Times New Roman" w:hAnsi="Times New Roman" w:cs="Times New Roman"/>
          <w:b/>
          <w:bCs/>
          <w:sz w:val="20"/>
          <w:szCs w:val="20"/>
          <w:vertAlign w:val="superscript"/>
        </w:rPr>
        <w:t>1</w:t>
      </w:r>
      <w:r w:rsidRPr="00E80756">
        <w:rPr>
          <w:rFonts w:ascii="Times New Roman" w:hAnsi="Times New Roman" w:cs="Times New Roman"/>
          <w:b/>
          <w:bCs/>
          <w:sz w:val="20"/>
          <w:szCs w:val="20"/>
        </w:rPr>
        <w:t>, Giovanni Marsicano</w:t>
      </w:r>
      <w:r w:rsidRPr="00E80756">
        <w:rPr>
          <w:rFonts w:ascii="Times New Roman" w:hAnsi="Times New Roman" w:cs="Times New Roman"/>
          <w:b/>
          <w:bCs/>
          <w:sz w:val="20"/>
          <w:szCs w:val="20"/>
          <w:vertAlign w:val="superscript"/>
        </w:rPr>
        <w:t>4,5</w:t>
      </w:r>
      <w:r w:rsidRPr="00E80756">
        <w:rPr>
          <w:rFonts w:ascii="Times New Roman" w:hAnsi="Times New Roman" w:cs="Times New Roman"/>
          <w:b/>
          <w:bCs/>
          <w:sz w:val="20"/>
          <w:szCs w:val="20"/>
        </w:rPr>
        <w:t>, and Maria Antonietta De Luca</w:t>
      </w:r>
      <w:r w:rsidRPr="00E80756">
        <w:rPr>
          <w:rFonts w:ascii="Times New Roman" w:hAnsi="Times New Roman" w:cs="Times New Roman"/>
          <w:b/>
          <w:bCs/>
          <w:sz w:val="20"/>
          <w:szCs w:val="20"/>
          <w:vertAlign w:val="superscript"/>
        </w:rPr>
        <w:t>1</w:t>
      </w:r>
      <w:r w:rsidRPr="00E80756">
        <w:rPr>
          <w:rFonts w:ascii="Times New Roman" w:hAnsi="Times New Roman" w:cs="Times New Roman"/>
          <w:b/>
          <w:bCs/>
          <w:sz w:val="20"/>
          <w:szCs w:val="20"/>
        </w:rPr>
        <w:t xml:space="preserve"> </w:t>
      </w:r>
    </w:p>
    <w:p w14:paraId="042A2B61" w14:textId="77777777" w:rsidR="0021404E" w:rsidRPr="00E80756" w:rsidRDefault="0021404E" w:rsidP="0021404E">
      <w:pPr>
        <w:pStyle w:val="Corpo"/>
        <w:spacing w:line="360" w:lineRule="auto"/>
        <w:jc w:val="both"/>
        <w:rPr>
          <w:rFonts w:ascii="Times New Roman" w:hAnsi="Times New Roman" w:cs="Times New Roman"/>
          <w:b/>
          <w:bCs/>
          <w:sz w:val="20"/>
          <w:szCs w:val="20"/>
        </w:rPr>
      </w:pPr>
    </w:p>
    <w:p w14:paraId="157CBA66" w14:textId="77777777" w:rsidR="0021404E" w:rsidRPr="00E80756" w:rsidRDefault="0021404E" w:rsidP="0021404E">
      <w:pPr>
        <w:widowControl w:val="0"/>
        <w:autoSpaceDE w:val="0"/>
        <w:autoSpaceDN w:val="0"/>
        <w:adjustRightInd w:val="0"/>
        <w:rPr>
          <w:sz w:val="20"/>
          <w:szCs w:val="20"/>
        </w:rPr>
      </w:pPr>
      <w:proofErr w:type="spellStart"/>
      <w:r w:rsidRPr="00E80756">
        <w:rPr>
          <w:sz w:val="20"/>
          <w:szCs w:val="20"/>
        </w:rPr>
        <w:t>Correspondence</w:t>
      </w:r>
      <w:proofErr w:type="spellEnd"/>
      <w:r w:rsidRPr="00E80756">
        <w:rPr>
          <w:sz w:val="20"/>
          <w:szCs w:val="20"/>
        </w:rPr>
        <w:t xml:space="preserve"> to:</w:t>
      </w:r>
    </w:p>
    <w:p w14:paraId="6D079B57" w14:textId="77777777" w:rsidR="0021404E" w:rsidRPr="00E80756" w:rsidRDefault="0021404E" w:rsidP="0021404E">
      <w:pPr>
        <w:widowControl w:val="0"/>
        <w:autoSpaceDE w:val="0"/>
        <w:autoSpaceDN w:val="0"/>
        <w:adjustRightInd w:val="0"/>
        <w:rPr>
          <w:sz w:val="20"/>
          <w:szCs w:val="20"/>
        </w:rPr>
      </w:pPr>
    </w:p>
    <w:p w14:paraId="57DF52F6" w14:textId="77777777" w:rsidR="0021404E" w:rsidRPr="00E80756" w:rsidRDefault="0021404E" w:rsidP="0021404E">
      <w:pPr>
        <w:widowControl w:val="0"/>
        <w:autoSpaceDE w:val="0"/>
        <w:autoSpaceDN w:val="0"/>
        <w:adjustRightInd w:val="0"/>
        <w:rPr>
          <w:sz w:val="20"/>
          <w:szCs w:val="20"/>
        </w:rPr>
      </w:pPr>
      <w:r w:rsidRPr="00E80756">
        <w:rPr>
          <w:sz w:val="20"/>
          <w:szCs w:val="20"/>
        </w:rPr>
        <w:t>Maria Antonietta De Luca, PhD</w:t>
      </w:r>
    </w:p>
    <w:p w14:paraId="2D7E9909" w14:textId="77777777" w:rsidR="0021404E" w:rsidRPr="00E80756" w:rsidRDefault="0021404E" w:rsidP="0021404E">
      <w:pPr>
        <w:widowControl w:val="0"/>
        <w:autoSpaceDE w:val="0"/>
        <w:autoSpaceDN w:val="0"/>
        <w:adjustRightInd w:val="0"/>
        <w:rPr>
          <w:sz w:val="20"/>
          <w:szCs w:val="20"/>
          <w:lang w:val="en-US"/>
        </w:rPr>
      </w:pPr>
      <w:r w:rsidRPr="00E80756">
        <w:rPr>
          <w:sz w:val="20"/>
          <w:szCs w:val="20"/>
          <w:lang w:val="en-US"/>
        </w:rPr>
        <w:t>Department of Biomedical Sciences</w:t>
      </w:r>
    </w:p>
    <w:p w14:paraId="6CC1B6CC" w14:textId="77777777" w:rsidR="0021404E" w:rsidRPr="00E80756" w:rsidRDefault="0021404E" w:rsidP="0021404E">
      <w:pPr>
        <w:widowControl w:val="0"/>
        <w:autoSpaceDE w:val="0"/>
        <w:autoSpaceDN w:val="0"/>
        <w:adjustRightInd w:val="0"/>
        <w:rPr>
          <w:sz w:val="20"/>
          <w:szCs w:val="20"/>
          <w:lang w:val="en-US"/>
        </w:rPr>
      </w:pPr>
      <w:r w:rsidRPr="00E80756">
        <w:rPr>
          <w:sz w:val="20"/>
          <w:szCs w:val="20"/>
          <w:lang w:val="en-US"/>
        </w:rPr>
        <w:t>University of Cagliari (Italy)</w:t>
      </w:r>
    </w:p>
    <w:p w14:paraId="5E8EA9B7" w14:textId="77777777" w:rsidR="0021404E" w:rsidRPr="00E80756" w:rsidRDefault="0021404E" w:rsidP="0021404E">
      <w:pPr>
        <w:widowControl w:val="0"/>
        <w:autoSpaceDE w:val="0"/>
        <w:autoSpaceDN w:val="0"/>
        <w:adjustRightInd w:val="0"/>
        <w:rPr>
          <w:sz w:val="20"/>
          <w:szCs w:val="20"/>
          <w:lang w:val="en-US"/>
        </w:rPr>
      </w:pPr>
      <w:r w:rsidRPr="00E80756">
        <w:rPr>
          <w:sz w:val="20"/>
          <w:szCs w:val="20"/>
          <w:lang w:val="en-US"/>
        </w:rPr>
        <w:t>Phone: +390706758633</w:t>
      </w:r>
    </w:p>
    <w:p w14:paraId="2211CA31" w14:textId="77777777" w:rsidR="0021404E" w:rsidRDefault="0021404E" w:rsidP="0021404E">
      <w:pPr>
        <w:rPr>
          <w:sz w:val="20"/>
          <w:szCs w:val="20"/>
          <w:lang w:val="en-US"/>
        </w:rPr>
      </w:pPr>
      <w:r w:rsidRPr="00E80756">
        <w:rPr>
          <w:sz w:val="20"/>
          <w:szCs w:val="20"/>
          <w:lang w:val="en-US"/>
        </w:rPr>
        <w:t xml:space="preserve">Email: </w:t>
      </w:r>
      <w:r w:rsidR="00AE1CF7">
        <w:fldChar w:fldCharType="begin"/>
      </w:r>
      <w:r w:rsidR="00AE1CF7" w:rsidRPr="00AE1CF7">
        <w:rPr>
          <w:lang w:val="en-US"/>
        </w:rPr>
        <w:instrText xml:space="preserve"> HYPERLINK "mailto:deluca@unica.it" </w:instrText>
      </w:r>
      <w:r w:rsidR="00AE1CF7">
        <w:fldChar w:fldCharType="separate"/>
      </w:r>
      <w:r w:rsidRPr="00E80756">
        <w:rPr>
          <w:rStyle w:val="Hyperlink"/>
          <w:sz w:val="20"/>
          <w:szCs w:val="20"/>
          <w:lang w:val="en-US"/>
        </w:rPr>
        <w:t>deluca@unica.it</w:t>
      </w:r>
      <w:r w:rsidR="00AE1CF7">
        <w:rPr>
          <w:rStyle w:val="Hyperlink"/>
          <w:sz w:val="20"/>
          <w:szCs w:val="20"/>
          <w:lang w:val="en-US"/>
        </w:rPr>
        <w:fldChar w:fldCharType="end"/>
      </w:r>
    </w:p>
    <w:p w14:paraId="3E5A3109" w14:textId="77777777" w:rsidR="00EE4859" w:rsidRDefault="00EE4859" w:rsidP="001A5194">
      <w:pPr>
        <w:pStyle w:val="Corpo"/>
        <w:spacing w:line="360" w:lineRule="auto"/>
        <w:jc w:val="both"/>
        <w:rPr>
          <w:rFonts w:ascii="Times New Roman" w:hAnsi="Times New Roman" w:cs="Times New Roman"/>
          <w:b/>
          <w:szCs w:val="20"/>
          <w:lang w:val="en-US"/>
        </w:rPr>
      </w:pPr>
    </w:p>
    <w:p w14:paraId="2740B624" w14:textId="6D786226" w:rsidR="001A5194" w:rsidRPr="00251F9D" w:rsidRDefault="001A5194" w:rsidP="001A5194">
      <w:pPr>
        <w:pStyle w:val="Corpo"/>
        <w:spacing w:line="360" w:lineRule="auto"/>
        <w:jc w:val="both"/>
        <w:rPr>
          <w:rFonts w:ascii="Times New Roman" w:hAnsi="Times New Roman" w:cs="Times New Roman"/>
          <w:b/>
          <w:szCs w:val="20"/>
          <w:lang w:val="en-US"/>
        </w:rPr>
      </w:pPr>
      <w:r w:rsidRPr="00251F9D">
        <w:rPr>
          <w:rFonts w:ascii="Times New Roman" w:hAnsi="Times New Roman" w:cs="Times New Roman"/>
          <w:b/>
          <w:szCs w:val="20"/>
          <w:lang w:val="en-US"/>
        </w:rPr>
        <w:t>SUPPLEMENT</w:t>
      </w:r>
      <w:r w:rsidR="00251F9D" w:rsidRPr="00251F9D">
        <w:rPr>
          <w:rFonts w:ascii="Times New Roman" w:hAnsi="Times New Roman" w:cs="Times New Roman"/>
          <w:b/>
          <w:szCs w:val="20"/>
          <w:lang w:val="en-US"/>
        </w:rPr>
        <w:t>ARY</w:t>
      </w:r>
      <w:r w:rsidRPr="00251F9D">
        <w:rPr>
          <w:rFonts w:ascii="Times New Roman" w:hAnsi="Times New Roman" w:cs="Times New Roman"/>
          <w:b/>
          <w:szCs w:val="20"/>
          <w:lang w:val="en-US"/>
        </w:rPr>
        <w:t xml:space="preserve"> </w:t>
      </w:r>
      <w:r w:rsidR="00251F9D" w:rsidRPr="00251F9D">
        <w:rPr>
          <w:rFonts w:ascii="Times New Roman" w:hAnsi="Times New Roman" w:cs="Times New Roman"/>
          <w:b/>
          <w:szCs w:val="20"/>
          <w:lang w:val="en-US"/>
        </w:rPr>
        <w:t>INFORMATION</w:t>
      </w:r>
    </w:p>
    <w:p w14:paraId="4232C50C" w14:textId="77777777" w:rsidR="00251F9D" w:rsidRPr="00251F9D" w:rsidRDefault="00251F9D" w:rsidP="001A5194">
      <w:pPr>
        <w:pStyle w:val="Corpo"/>
        <w:spacing w:line="360" w:lineRule="auto"/>
        <w:jc w:val="both"/>
        <w:rPr>
          <w:rFonts w:ascii="Times New Roman" w:hAnsi="Times New Roman" w:cs="Times New Roman"/>
          <w:b/>
          <w:sz w:val="20"/>
          <w:szCs w:val="20"/>
          <w:lang w:val="en-US"/>
        </w:rPr>
      </w:pPr>
    </w:p>
    <w:p w14:paraId="30BE474F" w14:textId="77777777" w:rsidR="00251F9D" w:rsidRPr="00251F9D" w:rsidRDefault="00251F9D" w:rsidP="00251F9D">
      <w:pPr>
        <w:pStyle w:val="Corpo"/>
        <w:spacing w:line="360" w:lineRule="auto"/>
        <w:jc w:val="both"/>
        <w:rPr>
          <w:rFonts w:ascii="Times New Roman" w:hAnsi="Times New Roman" w:cs="Times New Roman"/>
          <w:b/>
          <w:sz w:val="20"/>
          <w:szCs w:val="20"/>
          <w:lang w:val="en-US"/>
        </w:rPr>
      </w:pPr>
      <w:r w:rsidRPr="00251F9D">
        <w:rPr>
          <w:rFonts w:ascii="Times New Roman" w:hAnsi="Times New Roman" w:cs="Times New Roman"/>
          <w:b/>
          <w:sz w:val="20"/>
          <w:szCs w:val="20"/>
          <w:lang w:val="en-US"/>
        </w:rPr>
        <w:t>MATERIALS AND METHODS</w:t>
      </w:r>
    </w:p>
    <w:p w14:paraId="7898514D" w14:textId="77777777" w:rsidR="001A5194" w:rsidRDefault="001A5194" w:rsidP="001A5194">
      <w:pPr>
        <w:pStyle w:val="Corpo"/>
        <w:spacing w:line="360" w:lineRule="auto"/>
        <w:jc w:val="both"/>
        <w:rPr>
          <w:rFonts w:ascii="Times New Roman" w:hAnsi="Times New Roman" w:cs="Times New Roman"/>
          <w:i/>
          <w:sz w:val="24"/>
          <w:szCs w:val="24"/>
          <w:lang w:val="en-US"/>
        </w:rPr>
      </w:pPr>
    </w:p>
    <w:p w14:paraId="0673E918" w14:textId="0EC27566" w:rsidR="001A5194" w:rsidRPr="00251F9D" w:rsidRDefault="001A5194" w:rsidP="001A5194">
      <w:pPr>
        <w:pStyle w:val="Corpo"/>
        <w:spacing w:line="360" w:lineRule="auto"/>
        <w:jc w:val="both"/>
        <w:rPr>
          <w:rFonts w:ascii="Times New Roman" w:hAnsi="Times New Roman" w:cs="Times New Roman"/>
          <w:b/>
          <w:i/>
          <w:iCs/>
          <w:sz w:val="24"/>
          <w:szCs w:val="24"/>
          <w:lang w:val="en-US"/>
        </w:rPr>
      </w:pPr>
      <w:r w:rsidRPr="00251F9D">
        <w:rPr>
          <w:rFonts w:ascii="Times New Roman" w:hAnsi="Times New Roman" w:cs="Times New Roman"/>
          <w:b/>
          <w:i/>
          <w:iCs/>
          <w:sz w:val="24"/>
          <w:szCs w:val="24"/>
          <w:lang w:val="en-US"/>
        </w:rPr>
        <w:t xml:space="preserve">Surgery </w:t>
      </w:r>
    </w:p>
    <w:p w14:paraId="27C1E369" w14:textId="29CF4ACB" w:rsidR="001A5194" w:rsidRDefault="001A5194" w:rsidP="001A5194">
      <w:pPr>
        <w:pStyle w:val="Corpo"/>
        <w:spacing w:line="360" w:lineRule="auto"/>
        <w:jc w:val="both"/>
        <w:rPr>
          <w:rFonts w:ascii="Times New Roman" w:hAnsi="Times New Roman" w:cs="Times New Roman"/>
          <w:sz w:val="24"/>
          <w:szCs w:val="24"/>
          <w:lang w:val="en-US"/>
        </w:rPr>
      </w:pPr>
      <w:r w:rsidRPr="00703FD3">
        <w:rPr>
          <w:rFonts w:ascii="Times New Roman" w:hAnsi="Times New Roman" w:cs="Times New Roman"/>
          <w:sz w:val="24"/>
          <w:szCs w:val="24"/>
          <w:lang w:val="en-US"/>
        </w:rPr>
        <w:t xml:space="preserve">On PND 25-26, mice were anesthetized with isoflurane gas, and maintained under anesthesia using a breathing tube under a scavenging system. </w:t>
      </w:r>
      <w:r w:rsidRPr="001E2A1C">
        <w:rPr>
          <w:rFonts w:ascii="Times New Roman" w:hAnsi="Times New Roman" w:cs="Times New Roman"/>
          <w:sz w:val="24"/>
          <w:szCs w:val="24"/>
          <w:lang w:val="en-US"/>
        </w:rPr>
        <w:t xml:space="preserve">Lubricant </w:t>
      </w:r>
      <w:r w:rsidRPr="00A23A3A">
        <w:rPr>
          <w:rFonts w:ascii="Times New Roman" w:hAnsi="Times New Roman" w:cs="Times New Roman"/>
          <w:sz w:val="24"/>
          <w:szCs w:val="24"/>
          <w:lang w:val="en-US"/>
        </w:rPr>
        <w:t xml:space="preserve">eye drops (Tears </w:t>
      </w:r>
      <w:proofErr w:type="spellStart"/>
      <w:r w:rsidRPr="00A23A3A">
        <w:rPr>
          <w:rFonts w:ascii="Times New Roman" w:hAnsi="Times New Roman" w:cs="Times New Roman"/>
          <w:sz w:val="24"/>
          <w:szCs w:val="24"/>
          <w:lang w:val="en-US"/>
        </w:rPr>
        <w:t>Naturale</w:t>
      </w:r>
      <w:proofErr w:type="spellEnd"/>
      <w:r w:rsidRPr="00A23A3A">
        <w:rPr>
          <w:rFonts w:ascii="Times New Roman" w:hAnsi="Times New Roman" w:cs="Times New Roman"/>
          <w:sz w:val="24"/>
          <w:szCs w:val="24"/>
          <w:lang w:val="en-US"/>
        </w:rPr>
        <w:t xml:space="preserve">, Alcon, USA) was applied to both eyes to prevent them from drying out during the procedure. A chronic intravenous catheter for mice was prepared and implanted in the right jugular, as previously described </w:t>
      </w:r>
      <w:r w:rsidRPr="004A3FF9">
        <w:rPr>
          <w:lang w:val="en-US"/>
        </w:rPr>
        <w:fldChar w:fldCharType="begin"/>
      </w:r>
      <w:r w:rsidRPr="004A3FF9">
        <w:rPr>
          <w:rFonts w:ascii="Times New Roman" w:hAnsi="Times New Roman" w:cs="Times New Roman"/>
          <w:sz w:val="24"/>
          <w:szCs w:val="24"/>
          <w:lang w:val="en-US"/>
        </w:rPr>
        <w:instrText xml:space="preserve"> ADDIN ZOTERO_ITEM CSL_CITATION {"citationID":"7hmHW60E","properties":{"formattedCitation":"(David et al., 2001; De Luca et al., 2015; Rocha et al., 1998)","plainCitation":"(David et al., 2001; De Luca et al., 2015; Rocha et al., 1998)","noteIndex":0},"citationItems":[{"id":11,"uris":["http://zotero.org/users/local/NpfbDyke/items/XPZ75M2R"],"uri":["http://zotero.org/users/local/NpfbDyke/items/XPZ75M2R"],"itemData":{"id":11,"type":"article-journal","title":"Intravenous self-administration of heroin/cocaine combinations (speedball) using nose-poke or lever-press operant responding in mice:","container-title":"Behavioral Pharmacology","page":"25-34","volume":"12","issue":"1","source":"CrossRef","DOI":"10.1097/00008877-200102000-00003","ISSN":"0955-8810","title-short":"Intravenous self-administration of heroin/cocaine combinations (speedball) using nose-poke or lever-press operant responding in mice","language":"en","author":[{"family":"David","given":"V."},{"family":"Polis","given":"I."},{"family":"McDonald","given":"J."},{"family":"Gold","given":"L.H."}],"issued":{"date-parts":[["2001",2]]}}},{"id":12,"uris":["http://zotero.org/users/local/NpfbDyke/items/ZR2W6UES"],"uri":["http://zotero.org/users/local/NpfbDyke/items/ZR2W6UES"],"itemData":{"id":12,"type":"article-journal","title":"Stimulation of in vivo dopamine transmission and intravenous self-administration in rats and mice by JWH-018, a Spice cannabinoid","container-title":"Neuropharmacology","page":"705-714","volume":"99","source":"CrossRef","DOI":"10.1016/j.neuropharm.2015.08.041","ISSN":"00283908","language":"en","author":[{"family":"De Luca","given":"M.A."},{"family":"Bimpisidis","given":"Z."},{"family":"Melis","given":"M."},{"family":"Marti","given":"M."},{"family":"Caboni","given":"P."},{"family":"Valentini","given":"V."},{"family":"Margiani","given":"G."},{"family":"Pintori","given":"N."},{"family":"Polis","given":"I."},{"family":"Marsicano","given":"G."},{"family":"Parsons","given":"L.H."},{"family":"Di Chiara","given":"G."}],"issued":{"date-parts":[["2015",12]]}}},{"id":10,"uris":["http://zotero.org/users/local/NpfbDyke/items/WVE7DQE6"],"uri":["http://zotero.org/users/local/NpfbDyke/items/WVE7DQE6"],"itemData":{"id":10,"type":"article-journal","title":"Cocaine self-administration in dopamine-transporter knockout mice","container-title":"Nature Neuroscience","page":"132-137","volume":"1","issue":"2","source":"CrossRef","DOI":"10.1038/381","ISSN":"1097-6256, 1546-1726","language":"en","author":[{"family":"Rocha","given":"Beatriz A."},{"family":"Fumagalli","given":"Fabio"},{"family":"Gainetdinov","given":"Raul R."},{"family":"Jones","given":"Sara R."},{"family":"Ator","given":"Robert"},{"family":"Giros","given":"Bruno"},{"family":"Miller","given":"Gary W."},{"family":"Caron","given":"Marc G."}],"issued":{"date-parts":[["1998",6]]}}}],"schema":"https://github.com/citation-style-language/schema/raw/master/csl-citation.json"} </w:instrText>
      </w:r>
      <w:r w:rsidRPr="004A3FF9">
        <w:rPr>
          <w:lang w:val="en-US"/>
        </w:rPr>
        <w:fldChar w:fldCharType="separate"/>
      </w:r>
      <w:r w:rsidRPr="004A3FF9">
        <w:rPr>
          <w:rFonts w:ascii="Times New Roman" w:hAnsi="Times New Roman" w:cs="Times New Roman"/>
          <w:noProof/>
          <w:sz w:val="24"/>
          <w:szCs w:val="24"/>
          <w:lang w:val="en-US"/>
        </w:rPr>
        <w:t>(David et al., 2001; De Luca et al., 2015)</w:t>
      </w:r>
      <w:r w:rsidRPr="004A3FF9">
        <w:rPr>
          <w:lang w:val="en-US"/>
        </w:rPr>
        <w:fldChar w:fldCharType="end"/>
      </w:r>
      <w:r w:rsidRPr="004A3FF9">
        <w:rPr>
          <w:rFonts w:ascii="Times New Roman" w:hAnsi="Times New Roman" w:cs="Times New Roman"/>
          <w:sz w:val="24"/>
          <w:szCs w:val="24"/>
          <w:lang w:val="en-US"/>
        </w:rPr>
        <w:t>. After surgery, mice were housed individually under standard conditions</w:t>
      </w:r>
      <w:r w:rsidRPr="001E2A1C">
        <w:rPr>
          <w:rFonts w:ascii="Times New Roman" w:hAnsi="Times New Roman" w:cs="Times New Roman"/>
          <w:sz w:val="24"/>
          <w:szCs w:val="24"/>
          <w:lang w:val="en-US"/>
        </w:rPr>
        <w:t xml:space="preserve"> (see </w:t>
      </w:r>
      <w:r w:rsidRPr="001E2A1C">
        <w:rPr>
          <w:rFonts w:ascii="Times New Roman" w:hAnsi="Times New Roman" w:cs="Times New Roman"/>
          <w:i/>
          <w:sz w:val="24"/>
          <w:szCs w:val="24"/>
          <w:lang w:val="en-US"/>
        </w:rPr>
        <w:t>2.1</w:t>
      </w:r>
      <w:r w:rsidRPr="00A23A3A">
        <w:rPr>
          <w:rFonts w:ascii="Times New Roman" w:hAnsi="Times New Roman" w:cs="Times New Roman"/>
          <w:sz w:val="24"/>
          <w:szCs w:val="24"/>
          <w:lang w:val="en-US"/>
        </w:rPr>
        <w:t>); in order to ensure full recovery, mice underwent post-operative antibiotic treatment with gentamycin sulphate (30 mg/kg, subcutaneously [</w:t>
      </w:r>
      <w:proofErr w:type="spellStart"/>
      <w:r w:rsidRPr="00A23A3A">
        <w:rPr>
          <w:rFonts w:ascii="Times New Roman" w:hAnsi="Times New Roman" w:cs="Times New Roman"/>
          <w:sz w:val="24"/>
          <w:szCs w:val="24"/>
          <w:lang w:val="en-US"/>
        </w:rPr>
        <w:t>s.c.</w:t>
      </w:r>
      <w:proofErr w:type="spellEnd"/>
      <w:r w:rsidRPr="00A23A3A">
        <w:rPr>
          <w:rFonts w:ascii="Times New Roman" w:hAnsi="Times New Roman" w:cs="Times New Roman"/>
          <w:sz w:val="24"/>
          <w:szCs w:val="24"/>
          <w:lang w:val="en-US"/>
        </w:rPr>
        <w:t xml:space="preserve">]), for 3 days to aid recovery </w:t>
      </w:r>
      <w:r w:rsidRPr="004A3FF9">
        <w:rPr>
          <w:rFonts w:ascii="Times New Roman" w:hAnsi="Times New Roman" w:cs="Times New Roman"/>
          <w:sz w:val="24"/>
          <w:szCs w:val="24"/>
          <w:lang w:val="en-US"/>
        </w:rPr>
        <w:t>before starting the IVSA.</w:t>
      </w:r>
    </w:p>
    <w:p w14:paraId="10751814" w14:textId="77777777" w:rsidR="00251F9D" w:rsidRPr="004A3FF9" w:rsidRDefault="00251F9D" w:rsidP="001A5194">
      <w:pPr>
        <w:pStyle w:val="Corpo"/>
        <w:spacing w:line="360" w:lineRule="auto"/>
        <w:jc w:val="both"/>
        <w:rPr>
          <w:rFonts w:ascii="Times New Roman" w:hAnsi="Times New Roman" w:cs="Times New Roman"/>
          <w:sz w:val="24"/>
          <w:szCs w:val="24"/>
          <w:lang w:val="en-US"/>
        </w:rPr>
      </w:pPr>
    </w:p>
    <w:p w14:paraId="543DF4A2" w14:textId="67FE8208" w:rsidR="001A5194" w:rsidRPr="00251F9D" w:rsidRDefault="001A5194" w:rsidP="001A5194">
      <w:pPr>
        <w:pStyle w:val="Corpo"/>
        <w:spacing w:line="360" w:lineRule="auto"/>
        <w:jc w:val="both"/>
        <w:rPr>
          <w:rFonts w:ascii="Times New Roman" w:hAnsi="Times New Roman" w:cs="Times New Roman"/>
          <w:b/>
          <w:i/>
          <w:iCs/>
          <w:sz w:val="24"/>
          <w:szCs w:val="24"/>
          <w:lang w:val="en-US"/>
        </w:rPr>
      </w:pPr>
      <w:r w:rsidRPr="00251F9D">
        <w:rPr>
          <w:rFonts w:ascii="Times New Roman" w:hAnsi="Times New Roman" w:cs="Times New Roman"/>
          <w:b/>
          <w:i/>
          <w:iCs/>
          <w:sz w:val="24"/>
          <w:szCs w:val="24"/>
          <w:lang w:val="en-US"/>
        </w:rPr>
        <w:t>IVSA experiments</w:t>
      </w:r>
    </w:p>
    <w:p w14:paraId="67DEBB3F" w14:textId="77777777" w:rsidR="001A5194" w:rsidRDefault="001A5194" w:rsidP="001A5194">
      <w:pPr>
        <w:pStyle w:val="Corpo"/>
        <w:spacing w:line="360" w:lineRule="auto"/>
        <w:jc w:val="both"/>
        <w:rPr>
          <w:rFonts w:ascii="Times New Roman" w:hAnsi="Times New Roman" w:cs="Times New Roman"/>
          <w:sz w:val="24"/>
          <w:szCs w:val="24"/>
          <w:lang w:val="en-US"/>
        </w:rPr>
      </w:pPr>
      <w:r w:rsidRPr="004A3FF9">
        <w:rPr>
          <w:rFonts w:ascii="Times New Roman" w:hAnsi="Times New Roman" w:cs="Times New Roman"/>
          <w:sz w:val="24"/>
          <w:szCs w:val="24"/>
          <w:lang w:val="en-US"/>
        </w:rPr>
        <w:t xml:space="preserve">Daily IVSA sessions of 2h were carried out from 9 AM to 4 PM, in chambers housed in sound-proof boxes (model LE 1002 </w:t>
      </w:r>
      <w:proofErr w:type="spellStart"/>
      <w:r w:rsidRPr="004A3FF9">
        <w:rPr>
          <w:rFonts w:ascii="Times New Roman" w:hAnsi="Times New Roman" w:cs="Times New Roman"/>
          <w:sz w:val="24"/>
          <w:szCs w:val="24"/>
          <w:lang w:val="en-US"/>
        </w:rPr>
        <w:t>Panlab</w:t>
      </w:r>
      <w:proofErr w:type="spellEnd"/>
      <w:r w:rsidRPr="004A3FF9">
        <w:rPr>
          <w:rFonts w:ascii="Times New Roman" w:hAnsi="Times New Roman" w:cs="Times New Roman"/>
          <w:sz w:val="24"/>
          <w:szCs w:val="24"/>
          <w:lang w:val="en-US"/>
        </w:rPr>
        <w:t xml:space="preserve"> Harvard Apparatus, Spain). SA boxes were equipped with two levers, and the responses on one lever (active lever) delivers one reinforcer, whereas responses on the second lever had no programmed consequences </w:t>
      </w:r>
      <w:r w:rsidRPr="004A3FF9">
        <w:rPr>
          <w:rFonts w:ascii="Times New Roman" w:hAnsi="Times New Roman" w:cs="Times New Roman"/>
          <w:sz w:val="24"/>
          <w:szCs w:val="24"/>
          <w:lang w:val="en-US"/>
        </w:rPr>
        <w:lastRenderedPageBreak/>
        <w:t>(inactive lever). A white light was placed over the active lever as discriminative stimuli. Prior to each daily session, the jugular catheter was flushed with 0.1 ml of sterile saline and the mice were placed in the SA box</w:t>
      </w:r>
      <w:r w:rsidRPr="001E2A1C">
        <w:rPr>
          <w:rFonts w:ascii="Times New Roman" w:hAnsi="Times New Roman" w:cs="Times New Roman"/>
          <w:sz w:val="24"/>
          <w:szCs w:val="24"/>
          <w:lang w:val="en-US"/>
        </w:rPr>
        <w:t xml:space="preserve">es. At the end of each SA session, the catheters were flushed with 0.1 ml of heparinized saline and the mice were </w:t>
      </w:r>
      <w:r w:rsidRPr="00A23A3A">
        <w:rPr>
          <w:rFonts w:ascii="Times New Roman" w:hAnsi="Times New Roman" w:cs="Times New Roman"/>
          <w:sz w:val="24"/>
          <w:szCs w:val="24"/>
          <w:lang w:val="en-US"/>
        </w:rPr>
        <w:t xml:space="preserve">returned to their home cages where a daily ratio of 4g of standard food was made available, which maintained body weights at </w:t>
      </w:r>
      <w:r w:rsidRPr="004A3FF9">
        <w:rPr>
          <w:rFonts w:ascii="Times New Roman" w:hAnsi="Times New Roman" w:cs="Times New Roman"/>
          <w:sz w:val="24"/>
          <w:szCs w:val="24"/>
          <w:lang w:val="en-US"/>
        </w:rPr>
        <w:t>stable levels throughout these studies. The responses performed by each mouse on both levers for the entire 2h daily session and the corresponding number of reinforcers received was recorded (</w:t>
      </w:r>
      <w:proofErr w:type="spellStart"/>
      <w:r w:rsidRPr="004A3FF9">
        <w:rPr>
          <w:rFonts w:ascii="Times New Roman" w:hAnsi="Times New Roman" w:cs="Times New Roman"/>
          <w:sz w:val="24"/>
          <w:szCs w:val="24"/>
          <w:lang w:val="en-US"/>
        </w:rPr>
        <w:t>Panlab</w:t>
      </w:r>
      <w:proofErr w:type="spellEnd"/>
      <w:r w:rsidRPr="004A3FF9">
        <w:rPr>
          <w:rFonts w:ascii="Times New Roman" w:hAnsi="Times New Roman" w:cs="Times New Roman"/>
          <w:sz w:val="24"/>
          <w:szCs w:val="24"/>
          <w:lang w:val="en-US"/>
        </w:rPr>
        <w:t xml:space="preserve"> software, </w:t>
      </w:r>
      <w:proofErr w:type="spellStart"/>
      <w:r w:rsidRPr="004A3FF9">
        <w:rPr>
          <w:rFonts w:ascii="Times New Roman" w:hAnsi="Times New Roman" w:cs="Times New Roman"/>
          <w:sz w:val="24"/>
          <w:szCs w:val="24"/>
          <w:lang w:val="en-US"/>
        </w:rPr>
        <w:t>Panlab</w:t>
      </w:r>
      <w:proofErr w:type="spellEnd"/>
      <w:r w:rsidRPr="004A3FF9">
        <w:rPr>
          <w:rFonts w:ascii="Times New Roman" w:hAnsi="Times New Roman" w:cs="Times New Roman"/>
          <w:sz w:val="24"/>
          <w:szCs w:val="24"/>
          <w:lang w:val="en-US"/>
        </w:rPr>
        <w:t xml:space="preserve"> Harvard Apparatus, Spain). In all the IVSA experiments performed, the patency of intravenous catheters was evaluated at the end of the experiments by an infusion of 0.05 ml of thiopental sodium (5 mg/mL) (Braun Medical) through the catheter. If the signs of anesthesia were not apparent within 3 seconds of the infusion, the mouse was removed from the experiment. </w:t>
      </w:r>
    </w:p>
    <w:p w14:paraId="66C25C44" w14:textId="77777777" w:rsidR="00327390" w:rsidRPr="00251F9D" w:rsidRDefault="00327390" w:rsidP="001A5194">
      <w:pPr>
        <w:pStyle w:val="Corpo"/>
        <w:spacing w:line="360" w:lineRule="auto"/>
        <w:jc w:val="both"/>
        <w:rPr>
          <w:rFonts w:ascii="Times New Roman" w:hAnsi="Times New Roman" w:cs="Times New Roman"/>
          <w:b/>
          <w:sz w:val="24"/>
          <w:szCs w:val="24"/>
          <w:lang w:val="en-US"/>
        </w:rPr>
      </w:pPr>
    </w:p>
    <w:p w14:paraId="495A8A9F" w14:textId="112D0655" w:rsidR="00327390" w:rsidRPr="00251F9D" w:rsidRDefault="00327390" w:rsidP="00327390">
      <w:pPr>
        <w:pStyle w:val="Corpo"/>
        <w:spacing w:line="360" w:lineRule="auto"/>
        <w:jc w:val="both"/>
        <w:rPr>
          <w:rFonts w:ascii="Times New Roman" w:hAnsi="Times New Roman" w:cs="Times New Roman"/>
          <w:b/>
          <w:sz w:val="24"/>
          <w:szCs w:val="24"/>
          <w:lang w:val="en-US"/>
        </w:rPr>
      </w:pPr>
      <w:r w:rsidRPr="00251F9D">
        <w:rPr>
          <w:rFonts w:ascii="Times New Roman" w:hAnsi="Times New Roman" w:cs="Times New Roman"/>
          <w:b/>
          <w:i/>
          <w:iCs/>
          <w:sz w:val="24"/>
          <w:szCs w:val="24"/>
          <w:lang w:val="en-US"/>
        </w:rPr>
        <w:t>Brain tissue</w:t>
      </w:r>
      <w:r w:rsidRPr="00251F9D">
        <w:rPr>
          <w:rFonts w:ascii="Times New Roman" w:hAnsi="Times New Roman" w:cs="Times New Roman"/>
          <w:b/>
          <w:i/>
          <w:sz w:val="24"/>
          <w:szCs w:val="24"/>
          <w:lang w:val="en-US"/>
        </w:rPr>
        <w:t xml:space="preserve"> </w:t>
      </w:r>
      <w:r w:rsidRPr="00251F9D">
        <w:rPr>
          <w:rFonts w:ascii="Times New Roman" w:hAnsi="Times New Roman" w:cs="Times New Roman"/>
          <w:b/>
          <w:i/>
          <w:iCs/>
          <w:sz w:val="24"/>
          <w:szCs w:val="24"/>
          <w:lang w:val="en-US"/>
        </w:rPr>
        <w:t xml:space="preserve">preparation and GFAP and IBA-1 immunofluorescent staining </w:t>
      </w:r>
    </w:p>
    <w:p w14:paraId="3184E183" w14:textId="77777777" w:rsidR="00327390" w:rsidRDefault="00327390" w:rsidP="00327390">
      <w:pPr>
        <w:spacing w:line="360" w:lineRule="auto"/>
        <w:jc w:val="both"/>
        <w:rPr>
          <w:lang w:val="en-US"/>
        </w:rPr>
      </w:pPr>
      <w:r>
        <w:rPr>
          <w:lang w:val="en-US"/>
        </w:rPr>
        <w:t xml:space="preserve">Mice were </w:t>
      </w:r>
      <w:r w:rsidRPr="004A3FF9">
        <w:rPr>
          <w:lang w:val="en-US"/>
        </w:rPr>
        <w:t xml:space="preserve">deeply anaesthetized with </w:t>
      </w:r>
      <w:proofErr w:type="spellStart"/>
      <w:r w:rsidRPr="004A3FF9">
        <w:rPr>
          <w:lang w:val="en-US"/>
        </w:rPr>
        <w:t>Equithesin</w:t>
      </w:r>
      <w:proofErr w:type="spellEnd"/>
      <w:r w:rsidRPr="004A3FF9">
        <w:rPr>
          <w:lang w:val="en-US"/>
        </w:rPr>
        <w:t xml:space="preserve"> (0.97 g pentobarbital, 2.1 g magnesium sulphate, 4.25 g chloral hydrate, 42.8 mL propylene glycol, 11.5 mL ethanol 90%, 5 mL kg 1, intraperitoneal) and then </w:t>
      </w:r>
      <w:proofErr w:type="spellStart"/>
      <w:r w:rsidRPr="004A3FF9">
        <w:rPr>
          <w:lang w:val="en-US"/>
        </w:rPr>
        <w:t>transcardially</w:t>
      </w:r>
      <w:proofErr w:type="spellEnd"/>
      <w:r w:rsidRPr="004A3FF9">
        <w:rPr>
          <w:lang w:val="en-US"/>
        </w:rPr>
        <w:t xml:space="preserve"> perfused with 4% paraformaldehyde and 0.1% glutaraldehyde in 0.1 M phosphate-buffered saline (PBS, pH 7.4). Brains were rapidly removed and post-fixed in the same fixative for 6 h. After repeated washing in 0.1 M PBS, brains were cryoprotected in 30% sucrose in PBS for 48 h. Immunostaining was performed on free-floating coronal sections (thickness: 40</w:t>
      </w:r>
      <w:r>
        <w:rPr>
          <w:lang w:val="en-US"/>
        </w:rPr>
        <w:t xml:space="preserve"> µm</w:t>
      </w:r>
      <w:r w:rsidRPr="00833C40">
        <w:rPr>
          <w:color w:val="000000" w:themeColor="text1"/>
          <w:lang w:val="en-US"/>
        </w:rPr>
        <w:t>)</w:t>
      </w:r>
      <w:r w:rsidRPr="004A3FF9">
        <w:rPr>
          <w:lang w:val="en-US"/>
        </w:rPr>
        <w:t xml:space="preserve"> which were obtained using a cryostat at levels containing the selected brain areas (PFC, </w:t>
      </w:r>
      <w:proofErr w:type="spellStart"/>
      <w:r w:rsidRPr="004A3FF9">
        <w:rPr>
          <w:lang w:val="en-US"/>
        </w:rPr>
        <w:t>CPu</w:t>
      </w:r>
      <w:proofErr w:type="spellEnd"/>
      <w:r w:rsidRPr="004A3FF9">
        <w:rPr>
          <w:lang w:val="en-US"/>
        </w:rPr>
        <w:t xml:space="preserve">, </w:t>
      </w:r>
      <w:proofErr w:type="spellStart"/>
      <w:r w:rsidRPr="004A3FF9">
        <w:rPr>
          <w:lang w:val="en-US"/>
        </w:rPr>
        <w:t>NAc</w:t>
      </w:r>
      <w:proofErr w:type="spellEnd"/>
      <w:r w:rsidRPr="004A3FF9">
        <w:rPr>
          <w:lang w:val="en-US"/>
        </w:rPr>
        <w:t xml:space="preserve"> shell and core) according to the Atlas of Mouse Brain, </w:t>
      </w:r>
      <w:proofErr w:type="spellStart"/>
      <w:r w:rsidRPr="004A3FF9">
        <w:rPr>
          <w:lang w:val="en-US"/>
        </w:rPr>
        <w:t>Paxinos</w:t>
      </w:r>
      <w:proofErr w:type="spellEnd"/>
      <w:r w:rsidRPr="004A3FF9">
        <w:rPr>
          <w:lang w:val="en-US"/>
        </w:rPr>
        <w:t xml:space="preserve"> and Franklin, 2001. To facilitate the identification of the selected brain areas, adjacent sections were also collected and stained with Neutral Red. After repeated washing in 0.1 M PBS, tissue sections were incubated for 1 hour at 20°C in working solution of mouse immunoglobulin-blocking reagent, prepared as specified by the manufacturer (Vector Laboratories, Burlingame, CA). Following washing, pre-blocking of tissue sections was performed using normal goat serum (NGS, 5%) and </w:t>
      </w:r>
      <w:r w:rsidRPr="004A3FF9">
        <w:rPr>
          <w:color w:val="2E2E2E"/>
          <w:lang w:val="en-US"/>
        </w:rPr>
        <w:t>normal donkey serum (</w:t>
      </w:r>
      <w:r w:rsidRPr="004A3FF9">
        <w:rPr>
          <w:lang w:val="en-US"/>
        </w:rPr>
        <w:t xml:space="preserve">NDS, 5%), bovine serum albumin (BSA, 1%) and Triton X-100 (0.2%) in PBS for 1 h at room temperature. As concerns GFAP-immunofluorescence, tissue sections were incubated at 4°C for 24 h with a mouse monoclonal anti-GFAP antibody (1:5000; Millipore </w:t>
      </w:r>
      <w:r w:rsidRPr="004A3FF9">
        <w:rPr>
          <w:lang w:val="en-US"/>
        </w:rPr>
        <w:lastRenderedPageBreak/>
        <w:t xml:space="preserve">Temecula, CA, USA) in PBS containing 0.2% Triton X-100, 0.1% BSA, 1% NDS. Then, sections were washed in PBS containing 0.2% Triton X-100 and incubated them with Alexa Fluor 594-labeled donkey anti-mouse IgG (1:500; Molecular Probes, Eugene, OR, USA) for 1 h in the dark at room temperature (Castelli et al., 2014). As concerns IBA-1 immunofluorescence, tissue sections, after washing, were incubated at 4°C for 24 h with a rabbit polyclonal anti-IBA-1 antibody (1:2000; Wako Pure Chemical Industries, Chuo-Ku, Osaka, Japan) in PBS containing 0.2% Triton X-100, 0.1% BSA, 1% NGS. Then, sections were washed in PBS containing 0.2% Triton X-100 and incubated them with Alexa Fluor 488-labeled goat anti-rabbit IgG (1:500; Molecular Probes, Eugene, OR, USA) for 1 h in the dark at room temperature. Moreover, standard control experiments were performed by omitting either the primary or secondary antibody and yielded no cellular labelling (data not shown). </w:t>
      </w:r>
    </w:p>
    <w:p w14:paraId="51CC19B5" w14:textId="29E7FC1D" w:rsidR="00327390" w:rsidRPr="00251F9D" w:rsidRDefault="00327390" w:rsidP="00327390">
      <w:pPr>
        <w:pStyle w:val="Corpo"/>
        <w:spacing w:line="360" w:lineRule="auto"/>
        <w:jc w:val="both"/>
        <w:rPr>
          <w:rFonts w:ascii="Times New Roman" w:hAnsi="Times New Roman" w:cs="Times New Roman"/>
          <w:b/>
          <w:iCs/>
          <w:sz w:val="24"/>
          <w:szCs w:val="24"/>
          <w:lang w:val="en-US"/>
        </w:rPr>
      </w:pPr>
      <w:r w:rsidRPr="00251F9D">
        <w:rPr>
          <w:rFonts w:ascii="Times New Roman" w:hAnsi="Times New Roman" w:cs="Times New Roman"/>
          <w:b/>
          <w:i/>
          <w:iCs/>
          <w:sz w:val="24"/>
          <w:szCs w:val="24"/>
          <w:lang w:val="en-US"/>
        </w:rPr>
        <w:t>Imaging and quantitative analysis of GFAP and IBA-1 immunofluorescent staining</w:t>
      </w:r>
    </w:p>
    <w:p w14:paraId="1E031AA9" w14:textId="43BFA69F" w:rsidR="00327390" w:rsidRDefault="00327390" w:rsidP="00327390">
      <w:pPr>
        <w:spacing w:line="360" w:lineRule="auto"/>
        <w:jc w:val="both"/>
        <w:rPr>
          <w:lang w:val="en-US"/>
        </w:rPr>
      </w:pPr>
      <w:r w:rsidRPr="004A3FF9">
        <w:rPr>
          <w:lang w:val="en-US"/>
        </w:rPr>
        <w:t xml:space="preserve">For each animal, analysis of GFAP and IBA-1 immunoreactivity (IR) was performed on one tissue section out of every 2 successive sections for a total of 3 sections containing the PFC, one tissue section out of every 3 successive sections for a total of 4 and 10 sections containing the </w:t>
      </w:r>
      <w:proofErr w:type="spellStart"/>
      <w:r w:rsidRPr="004A3FF9">
        <w:rPr>
          <w:lang w:val="en-US"/>
        </w:rPr>
        <w:t>NAc</w:t>
      </w:r>
      <w:proofErr w:type="spellEnd"/>
      <w:r w:rsidRPr="004A3FF9">
        <w:rPr>
          <w:lang w:val="en-US"/>
        </w:rPr>
        <w:t xml:space="preserve"> (shell and core) and the </w:t>
      </w:r>
      <w:proofErr w:type="spellStart"/>
      <w:r w:rsidRPr="004A3FF9">
        <w:rPr>
          <w:lang w:val="en-US"/>
        </w:rPr>
        <w:t>CPu</w:t>
      </w:r>
      <w:proofErr w:type="spellEnd"/>
      <w:r w:rsidRPr="004A3FF9">
        <w:rPr>
          <w:lang w:val="en-US"/>
        </w:rPr>
        <w:t xml:space="preserve">, respectively. The total size of the examined area in which GFAP-IR and IBA-1-IR cells were counted was selected according to the extension of the region under analysis, in order to include the whole area (either PFC, </w:t>
      </w:r>
      <w:proofErr w:type="spellStart"/>
      <w:r w:rsidRPr="004A3FF9">
        <w:rPr>
          <w:lang w:val="en-US"/>
        </w:rPr>
        <w:t>CPu</w:t>
      </w:r>
      <w:proofErr w:type="spellEnd"/>
      <w:r w:rsidRPr="004A3FF9">
        <w:rPr>
          <w:lang w:val="en-US"/>
        </w:rPr>
        <w:t xml:space="preserve">, </w:t>
      </w:r>
      <w:proofErr w:type="spellStart"/>
      <w:r w:rsidRPr="004A3FF9">
        <w:rPr>
          <w:lang w:val="en-US"/>
        </w:rPr>
        <w:t>NAc</w:t>
      </w:r>
      <w:proofErr w:type="spellEnd"/>
      <w:r w:rsidRPr="004A3FF9">
        <w:rPr>
          <w:lang w:val="en-US"/>
        </w:rPr>
        <w:t xml:space="preserve"> core and shell). The selected coronal levels of these sections corresponded to the levels of plates 12-15 for the PFC (AP: +2.2 to +1.94), 21–31 for the </w:t>
      </w:r>
      <w:proofErr w:type="spellStart"/>
      <w:r w:rsidRPr="004A3FF9">
        <w:rPr>
          <w:lang w:val="en-US"/>
        </w:rPr>
        <w:t>CPu</w:t>
      </w:r>
      <w:proofErr w:type="spellEnd"/>
      <w:r w:rsidRPr="004A3FF9">
        <w:rPr>
          <w:lang w:val="en-US"/>
        </w:rPr>
        <w:t xml:space="preserve"> (AP: +1.18 to +0.02), 12-24 for </w:t>
      </w:r>
      <w:proofErr w:type="spellStart"/>
      <w:r w:rsidRPr="004A3FF9">
        <w:rPr>
          <w:lang w:val="en-US"/>
        </w:rPr>
        <w:t>NAc</w:t>
      </w:r>
      <w:proofErr w:type="spellEnd"/>
      <w:r w:rsidRPr="004A3FF9">
        <w:rPr>
          <w:lang w:val="en-US"/>
        </w:rPr>
        <w:t xml:space="preserve"> shell and core (AP: +1.18 to +0.86) (Atlas of Mouse Brain, </w:t>
      </w:r>
      <w:proofErr w:type="spellStart"/>
      <w:r w:rsidRPr="004A3FF9">
        <w:rPr>
          <w:lang w:val="en-US"/>
        </w:rPr>
        <w:t>Paxinos</w:t>
      </w:r>
      <w:proofErr w:type="spellEnd"/>
      <w:r w:rsidRPr="004A3FF9">
        <w:rPr>
          <w:lang w:val="en-US"/>
        </w:rPr>
        <w:t xml:space="preserve"> and Franklin, 2001). GFAP-IR analysis was carried out as previously described (Castelli et al., 2014).  Briefly, three images of non-overlapping regions of interest (ROIs) from one out of either every 3 slices of </w:t>
      </w:r>
      <w:proofErr w:type="spellStart"/>
      <w:r w:rsidRPr="004A3FF9">
        <w:rPr>
          <w:lang w:val="en-US"/>
        </w:rPr>
        <w:t>NAc</w:t>
      </w:r>
      <w:proofErr w:type="spellEnd"/>
      <w:r w:rsidRPr="004A3FF9">
        <w:rPr>
          <w:lang w:val="en-US"/>
        </w:rPr>
        <w:t xml:space="preserve"> and </w:t>
      </w:r>
      <w:proofErr w:type="spellStart"/>
      <w:r w:rsidRPr="004A3FF9">
        <w:rPr>
          <w:lang w:val="en-US"/>
        </w:rPr>
        <w:t>CPu</w:t>
      </w:r>
      <w:proofErr w:type="spellEnd"/>
      <w:r w:rsidRPr="004A3FF9">
        <w:rPr>
          <w:lang w:val="en-US"/>
        </w:rPr>
        <w:t xml:space="preserve"> region or 2 slices of the PFC region were analyzed, and positively stained fibers were detected using the Cell P Analysis software module. The number of IBA-1 positive cells was counted bilaterally in different sections containing PFC, </w:t>
      </w:r>
      <w:proofErr w:type="spellStart"/>
      <w:r w:rsidRPr="004A3FF9">
        <w:rPr>
          <w:lang w:val="en-US"/>
        </w:rPr>
        <w:t>NAc</w:t>
      </w:r>
      <w:proofErr w:type="spellEnd"/>
      <w:r w:rsidRPr="004A3FF9">
        <w:rPr>
          <w:lang w:val="en-US"/>
        </w:rPr>
        <w:t xml:space="preserve"> and </w:t>
      </w:r>
      <w:proofErr w:type="spellStart"/>
      <w:r w:rsidRPr="004A3FF9">
        <w:rPr>
          <w:lang w:val="en-US"/>
        </w:rPr>
        <w:t>CPu</w:t>
      </w:r>
      <w:proofErr w:type="spellEnd"/>
      <w:r w:rsidRPr="004A3FF9">
        <w:rPr>
          <w:lang w:val="en-US"/>
        </w:rPr>
        <w:t xml:space="preserve"> sections per animal. In these sections, non-overlapping randomly selected ROIs of 0.15 mm</w:t>
      </w:r>
      <w:r w:rsidRPr="004A3FF9">
        <w:rPr>
          <w:vertAlign w:val="superscript"/>
          <w:lang w:val="en-US"/>
        </w:rPr>
        <w:t>2</w:t>
      </w:r>
      <w:r w:rsidRPr="004A3FF9">
        <w:rPr>
          <w:lang w:val="en-US"/>
        </w:rPr>
        <w:t xml:space="preserve"> (N=6) were examined with a 20X objective by two trained observers blind to drug treatment. Limits of the ROI were defined based on structural details within the tissue sections to ensure the ROIs did not overlap. </w:t>
      </w:r>
      <w:r w:rsidRPr="004A3FF9">
        <w:rPr>
          <w:lang w:val="en-US"/>
        </w:rPr>
        <w:lastRenderedPageBreak/>
        <w:t xml:space="preserve">The distance among the 6 ROIs was superior to 40 </w:t>
      </w:r>
      <w:proofErr w:type="spellStart"/>
      <w:r w:rsidRPr="004A3FF9">
        <w:rPr>
          <w:lang w:val="en-US"/>
        </w:rPr>
        <w:t>μm</w:t>
      </w:r>
      <w:proofErr w:type="spellEnd"/>
      <w:r w:rsidRPr="004A3FF9">
        <w:rPr>
          <w:lang w:val="en-US"/>
        </w:rPr>
        <w:t xml:space="preserve"> to avoid overlapping. IBA-1 positive cells touching the inferior or the right sides of the ROI were excluded from counting. GFAP-IR was expressed as average values of percentage of area occupied by fibers while the number of IBA-1 cells was expressed as mean/mm</w:t>
      </w:r>
      <w:r w:rsidRPr="004A3FF9">
        <w:rPr>
          <w:vertAlign w:val="superscript"/>
          <w:lang w:val="en-US"/>
        </w:rPr>
        <w:t>2</w:t>
      </w:r>
      <w:r w:rsidRPr="004A3FF9">
        <w:rPr>
          <w:lang w:val="en-US"/>
        </w:rPr>
        <w:t xml:space="preserve">. </w:t>
      </w:r>
    </w:p>
    <w:p w14:paraId="2A68038B" w14:textId="77777777" w:rsidR="00251F9D" w:rsidRDefault="00251F9D" w:rsidP="00327390">
      <w:pPr>
        <w:spacing w:line="360" w:lineRule="auto"/>
        <w:jc w:val="both"/>
        <w:rPr>
          <w:lang w:val="en-US"/>
        </w:rPr>
      </w:pPr>
    </w:p>
    <w:p w14:paraId="5CE4015C" w14:textId="354D9ADC" w:rsidR="00497E54" w:rsidRPr="00251F9D" w:rsidRDefault="00497E54" w:rsidP="00497E54">
      <w:pPr>
        <w:pStyle w:val="Corpo"/>
        <w:spacing w:line="360" w:lineRule="auto"/>
        <w:jc w:val="both"/>
        <w:rPr>
          <w:rFonts w:ascii="Times New Roman" w:hAnsi="Times New Roman" w:cs="Times New Roman"/>
          <w:b/>
          <w:i/>
          <w:sz w:val="24"/>
          <w:szCs w:val="24"/>
          <w:lang w:val="en-US"/>
        </w:rPr>
      </w:pPr>
      <w:r w:rsidRPr="00251F9D">
        <w:rPr>
          <w:rFonts w:ascii="Times New Roman" w:hAnsi="Times New Roman" w:cs="Times New Roman"/>
          <w:b/>
          <w:i/>
          <w:sz w:val="24"/>
          <w:szCs w:val="24"/>
          <w:lang w:val="en-US"/>
        </w:rPr>
        <w:t>Sample processing</w:t>
      </w:r>
    </w:p>
    <w:p w14:paraId="73FC2FC0" w14:textId="77777777" w:rsidR="00D46866" w:rsidRDefault="00497E54" w:rsidP="00497E54">
      <w:pPr>
        <w:spacing w:line="360" w:lineRule="auto"/>
        <w:jc w:val="both"/>
        <w:rPr>
          <w:lang w:val="en-US"/>
        </w:rPr>
      </w:pPr>
      <w:r w:rsidRPr="004A3FF9">
        <w:rPr>
          <w:lang w:val="en-US"/>
        </w:rPr>
        <w:t xml:space="preserve">Briefly, frozen tissues were thawed and disrupted in </w:t>
      </w:r>
      <w:proofErr w:type="spellStart"/>
      <w:r w:rsidRPr="004A3FF9">
        <w:rPr>
          <w:lang w:val="en-US"/>
        </w:rPr>
        <w:t>Bioplex</w:t>
      </w:r>
      <w:proofErr w:type="spellEnd"/>
      <w:r w:rsidRPr="004A3FF9">
        <w:rPr>
          <w:lang w:val="en-US"/>
        </w:rPr>
        <w:t xml:space="preserve"> cell lysis buffer (</w:t>
      </w:r>
      <w:proofErr w:type="spellStart"/>
      <w:r w:rsidRPr="004A3FF9">
        <w:rPr>
          <w:lang w:val="en-US"/>
        </w:rPr>
        <w:t>BioRad</w:t>
      </w:r>
      <w:proofErr w:type="spellEnd"/>
      <w:r w:rsidRPr="004A3FF9">
        <w:rPr>
          <w:lang w:val="en-US"/>
        </w:rPr>
        <w:t xml:space="preserve">, Hercules, CA, USA) containing factors 1 and 2 (protease and phosphatase inhibitors, respectively; </w:t>
      </w:r>
      <w:proofErr w:type="spellStart"/>
      <w:r w:rsidRPr="004A3FF9">
        <w:rPr>
          <w:lang w:val="en-US"/>
        </w:rPr>
        <w:t>BioRad</w:t>
      </w:r>
      <w:proofErr w:type="spellEnd"/>
      <w:r w:rsidRPr="004A3FF9">
        <w:rPr>
          <w:lang w:val="en-US"/>
        </w:rPr>
        <w:t>) and the protease inhibitor phenyl-</w:t>
      </w:r>
      <w:proofErr w:type="spellStart"/>
      <w:r w:rsidRPr="004A3FF9">
        <w:rPr>
          <w:lang w:val="en-US"/>
        </w:rPr>
        <w:t>methylsulfonyl</w:t>
      </w:r>
      <w:proofErr w:type="spellEnd"/>
      <w:r w:rsidRPr="004A3FF9">
        <w:rPr>
          <w:lang w:val="en-US"/>
        </w:rPr>
        <w:t xml:space="preserve"> fluoride (500 </w:t>
      </w:r>
      <w:proofErr w:type="spellStart"/>
      <w:r w:rsidRPr="004A3FF9">
        <w:rPr>
          <w:lang w:val="en-US"/>
        </w:rPr>
        <w:t>mM</w:t>
      </w:r>
      <w:proofErr w:type="spellEnd"/>
      <w:r w:rsidRPr="004A3FF9">
        <w:rPr>
          <w:lang w:val="en-US"/>
        </w:rPr>
        <w:t>; Sigma–Aldrich). Samples were homogenized on ice with a potter (</w:t>
      </w:r>
      <w:proofErr w:type="spellStart"/>
      <w:r w:rsidRPr="004A3FF9">
        <w:rPr>
          <w:lang w:val="en-US"/>
        </w:rPr>
        <w:t>Quiminigen</w:t>
      </w:r>
      <w:proofErr w:type="spellEnd"/>
      <w:r w:rsidRPr="004A3FF9">
        <w:rPr>
          <w:lang w:val="en-US"/>
        </w:rPr>
        <w:t>, Portugal) and homogenate frozen for 30 min at -80 °C. After thawed and sonicated for 15 sec, samples were centrifuged at 4°C and 4500 × g (</w:t>
      </w:r>
      <w:proofErr w:type="spellStart"/>
      <w:r w:rsidRPr="004A3FF9">
        <w:rPr>
          <w:lang w:val="en-US"/>
        </w:rPr>
        <w:t>Thermo</w:t>
      </w:r>
      <w:proofErr w:type="spellEnd"/>
      <w:r w:rsidRPr="004A3FF9">
        <w:rPr>
          <w:lang w:val="en-US"/>
        </w:rPr>
        <w:t xml:space="preserve"> Scientific </w:t>
      </w:r>
      <w:proofErr w:type="spellStart"/>
      <w:r w:rsidRPr="004A3FF9">
        <w:rPr>
          <w:lang w:val="en-US"/>
        </w:rPr>
        <w:t>Sorvall</w:t>
      </w:r>
      <w:proofErr w:type="spellEnd"/>
      <w:r w:rsidRPr="004A3FF9">
        <w:rPr>
          <w:lang w:val="en-US"/>
        </w:rPr>
        <w:t xml:space="preserve"> Legend Micro 17R Refrigerated Centrifuge) for 8 min. The supernatant was removed, and the protein content of each sample was determined using the </w:t>
      </w:r>
      <w:proofErr w:type="spellStart"/>
      <w:r w:rsidRPr="004A3FF9">
        <w:rPr>
          <w:lang w:val="en-US"/>
        </w:rPr>
        <w:t>BioRad</w:t>
      </w:r>
      <w:proofErr w:type="spellEnd"/>
      <w:r w:rsidRPr="004A3FF9">
        <w:rPr>
          <w:lang w:val="en-US"/>
        </w:rPr>
        <w:t xml:space="preserve"> Protein Assay (</w:t>
      </w:r>
      <w:proofErr w:type="spellStart"/>
      <w:r w:rsidRPr="004A3FF9">
        <w:rPr>
          <w:lang w:val="en-US"/>
        </w:rPr>
        <w:t>BioRad</w:t>
      </w:r>
      <w:proofErr w:type="spellEnd"/>
      <w:r w:rsidRPr="004A3FF9">
        <w:rPr>
          <w:lang w:val="en-US"/>
        </w:rPr>
        <w:t xml:space="preserve">), with bovine serum albumin as a standard, according to the manufacturer’s protocol. The protein concentrations were determined according to Bradford method using Bio-Rad DC protein assay kit (Bio-Rad). Lysates were stored at -80°C until the day of experiment. </w:t>
      </w:r>
    </w:p>
    <w:p w14:paraId="32151A43" w14:textId="761C369E" w:rsidR="00497E54" w:rsidRPr="004A3FF9" w:rsidRDefault="00497E54" w:rsidP="00497E54">
      <w:pPr>
        <w:spacing w:line="360" w:lineRule="auto"/>
        <w:jc w:val="both"/>
        <w:rPr>
          <w:highlight w:val="yellow"/>
          <w:lang w:val="en-US"/>
        </w:rPr>
      </w:pPr>
      <w:r w:rsidRPr="004A3FF9">
        <w:rPr>
          <w:color w:val="000000" w:themeColor="text1"/>
          <w:lang w:val="en-US"/>
        </w:rPr>
        <w:t>For CB1R immunoblotting</w:t>
      </w:r>
      <w:r w:rsidRPr="004A3FF9">
        <w:rPr>
          <w:lang w:val="en-US"/>
        </w:rPr>
        <w:t xml:space="preserve">, samples were homogenized in PBS pH 7.4 1X (Gibco by life technologies, Carlsbad, US) supplemented with protease and phosphatase inhibitors purchased from Roche (Basel, Switzerland), using the Tissue </w:t>
      </w:r>
      <w:proofErr w:type="spellStart"/>
      <w:r w:rsidRPr="004A3FF9">
        <w:rPr>
          <w:lang w:val="en-US"/>
        </w:rPr>
        <w:t>Lyser</w:t>
      </w:r>
      <w:proofErr w:type="spellEnd"/>
      <w:r w:rsidRPr="004A3FF9">
        <w:rPr>
          <w:lang w:val="en-US"/>
        </w:rPr>
        <w:t xml:space="preserve"> (</w:t>
      </w:r>
      <w:proofErr w:type="spellStart"/>
      <w:r w:rsidRPr="004A3FF9">
        <w:rPr>
          <w:lang w:val="en-US"/>
        </w:rPr>
        <w:t>Quiagen</w:t>
      </w:r>
      <w:proofErr w:type="spellEnd"/>
      <w:r w:rsidRPr="004A3FF9">
        <w:rPr>
          <w:lang w:val="en-US"/>
        </w:rPr>
        <w:t>, Hilden, Germany). The protein contents were determined with Roti-</w:t>
      </w:r>
      <w:proofErr w:type="spellStart"/>
      <w:r w:rsidRPr="004A3FF9">
        <w:rPr>
          <w:lang w:val="en-US"/>
        </w:rPr>
        <w:t>Nanoquant</w:t>
      </w:r>
      <w:proofErr w:type="spellEnd"/>
      <w:r w:rsidRPr="004A3FF9">
        <w:rPr>
          <w:lang w:val="en-US"/>
        </w:rPr>
        <w:t xml:space="preserve"> protein quantitation assay, following manufacturer’s instruction (Carl Roth, Karlsruhe, Germany). </w:t>
      </w:r>
      <w:bookmarkStart w:id="0" w:name="_GoBack"/>
      <w:bookmarkEnd w:id="0"/>
    </w:p>
    <w:p w14:paraId="3DA0CCF7" w14:textId="77777777" w:rsidR="00497E54" w:rsidRPr="004A3FF9" w:rsidRDefault="00497E54" w:rsidP="00327390">
      <w:pPr>
        <w:spacing w:line="360" w:lineRule="auto"/>
        <w:jc w:val="both"/>
        <w:rPr>
          <w:lang w:val="en-US"/>
        </w:rPr>
      </w:pPr>
    </w:p>
    <w:p w14:paraId="3EBBBEB1" w14:textId="532170C1" w:rsidR="00571433" w:rsidRPr="00251F9D" w:rsidRDefault="00571433" w:rsidP="00571433">
      <w:pPr>
        <w:pStyle w:val="Corpo"/>
        <w:spacing w:line="360" w:lineRule="auto"/>
        <w:jc w:val="both"/>
        <w:rPr>
          <w:rFonts w:ascii="Times New Roman" w:hAnsi="Times New Roman" w:cs="Times New Roman"/>
          <w:b/>
          <w:i/>
          <w:sz w:val="24"/>
          <w:szCs w:val="24"/>
          <w:lang w:val="en-US"/>
        </w:rPr>
      </w:pPr>
      <w:r w:rsidRPr="00251F9D">
        <w:rPr>
          <w:rFonts w:ascii="Times New Roman" w:hAnsi="Times New Roman" w:cs="Times New Roman"/>
          <w:b/>
          <w:i/>
          <w:sz w:val="24"/>
          <w:szCs w:val="24"/>
          <w:lang w:val="en-US"/>
        </w:rPr>
        <w:t>Cytokine measurements</w:t>
      </w:r>
    </w:p>
    <w:p w14:paraId="438F708E" w14:textId="146EA82E" w:rsidR="00571433" w:rsidRDefault="00571433" w:rsidP="00571433">
      <w:pPr>
        <w:pStyle w:val="Corpo"/>
        <w:spacing w:line="360" w:lineRule="auto"/>
        <w:jc w:val="both"/>
        <w:rPr>
          <w:rFonts w:ascii="Times New Roman" w:hAnsi="Times New Roman" w:cs="Times New Roman"/>
          <w:sz w:val="24"/>
          <w:szCs w:val="24"/>
          <w:lang w:val="en-US"/>
        </w:rPr>
      </w:pPr>
      <w:r w:rsidRPr="004A3FF9">
        <w:rPr>
          <w:rFonts w:ascii="Times New Roman" w:hAnsi="Times New Roman" w:cs="Times New Roman"/>
          <w:sz w:val="24"/>
          <w:szCs w:val="24"/>
          <w:lang w:val="en-US"/>
        </w:rPr>
        <w:t xml:space="preserve">Assays were performed in 96-well plates; briefly, each assay plate layout consisted of eight standards in duplicate, two blank wells and up to </w:t>
      </w:r>
      <w:r>
        <w:rPr>
          <w:rFonts w:ascii="Times New Roman" w:hAnsi="Times New Roman" w:cs="Times New Roman"/>
          <w:sz w:val="24"/>
          <w:szCs w:val="24"/>
          <w:lang w:val="en-US"/>
        </w:rPr>
        <w:t>39</w:t>
      </w:r>
      <w:r w:rsidRPr="004A3FF9">
        <w:rPr>
          <w:rFonts w:ascii="Times New Roman" w:hAnsi="Times New Roman" w:cs="Times New Roman"/>
          <w:sz w:val="24"/>
          <w:szCs w:val="24"/>
          <w:lang w:val="en-US"/>
        </w:rPr>
        <w:t xml:space="preserve"> mouse brain homogenate sample</w:t>
      </w:r>
      <w:r>
        <w:rPr>
          <w:rFonts w:ascii="Times New Roman" w:hAnsi="Times New Roman" w:cs="Times New Roman"/>
          <w:sz w:val="24"/>
          <w:szCs w:val="24"/>
          <w:lang w:val="en-US"/>
        </w:rPr>
        <w:t>s</w:t>
      </w:r>
      <w:r w:rsidRPr="004A3FF9">
        <w:rPr>
          <w:rFonts w:ascii="Times New Roman" w:hAnsi="Times New Roman" w:cs="Times New Roman"/>
          <w:sz w:val="24"/>
          <w:szCs w:val="24"/>
          <w:lang w:val="en-US"/>
        </w:rPr>
        <w:t xml:space="preserve"> (diluted 1:3 prior to assay)</w:t>
      </w:r>
      <w:r>
        <w:rPr>
          <w:rFonts w:ascii="Times New Roman" w:hAnsi="Times New Roman" w:cs="Times New Roman"/>
          <w:sz w:val="24"/>
          <w:szCs w:val="24"/>
          <w:lang w:val="en-US"/>
        </w:rPr>
        <w:t>, run in duplicate</w:t>
      </w:r>
      <w:r w:rsidRPr="004A3FF9">
        <w:rPr>
          <w:rFonts w:ascii="Times New Roman" w:hAnsi="Times New Roman" w:cs="Times New Roman"/>
          <w:sz w:val="24"/>
          <w:szCs w:val="24"/>
          <w:lang w:val="en-US"/>
        </w:rPr>
        <w:t xml:space="preserve"> at 300 μg proteins/well. </w:t>
      </w:r>
      <w:r>
        <w:rPr>
          <w:rFonts w:ascii="Times New Roman" w:hAnsi="Times New Roman" w:cs="Times New Roman"/>
          <w:sz w:val="24"/>
          <w:szCs w:val="24"/>
          <w:lang w:val="en-US"/>
        </w:rPr>
        <w:t>S</w:t>
      </w:r>
      <w:r w:rsidRPr="004A3FF9">
        <w:rPr>
          <w:rFonts w:ascii="Times New Roman" w:hAnsi="Times New Roman" w:cs="Times New Roman"/>
          <w:sz w:val="24"/>
          <w:szCs w:val="24"/>
          <w:lang w:val="en-US"/>
        </w:rPr>
        <w:t>ample</w:t>
      </w:r>
      <w:r>
        <w:rPr>
          <w:rFonts w:ascii="Times New Roman" w:hAnsi="Times New Roman" w:cs="Times New Roman"/>
          <w:sz w:val="24"/>
          <w:szCs w:val="24"/>
          <w:lang w:val="en-US"/>
        </w:rPr>
        <w:t>s</w:t>
      </w:r>
      <w:r w:rsidRPr="004A3FF9">
        <w:rPr>
          <w:rFonts w:ascii="Times New Roman" w:hAnsi="Times New Roman" w:cs="Times New Roman"/>
          <w:sz w:val="24"/>
          <w:szCs w:val="24"/>
          <w:lang w:val="en-US"/>
        </w:rPr>
        <w:t xml:space="preserve"> from </w:t>
      </w:r>
      <w:proofErr w:type="spellStart"/>
      <w:r w:rsidRPr="004A3FF9">
        <w:rPr>
          <w:rFonts w:ascii="Times New Roman" w:hAnsi="Times New Roman" w:cs="Times New Roman"/>
          <w:sz w:val="24"/>
          <w:szCs w:val="24"/>
          <w:lang w:val="en-US"/>
        </w:rPr>
        <w:t>Veh</w:t>
      </w:r>
      <w:proofErr w:type="spellEnd"/>
      <w:r w:rsidRPr="004A3FF9">
        <w:rPr>
          <w:rFonts w:ascii="Times New Roman" w:hAnsi="Times New Roman" w:cs="Times New Roman"/>
          <w:sz w:val="24"/>
          <w:szCs w:val="24"/>
          <w:lang w:val="en-US"/>
        </w:rPr>
        <w:t xml:space="preserve"> and JWH-018-treated animals were analyzed in the same plate. All the wash steps were performed on a Bio-Plex Pro wash station at room temperature. A Bio-Plex </w:t>
      </w:r>
      <w:proofErr w:type="spellStart"/>
      <w:r w:rsidRPr="00C92171">
        <w:rPr>
          <w:rFonts w:ascii="Times New Roman" w:hAnsi="Times New Roman" w:cs="Times New Roman"/>
          <w:sz w:val="24"/>
          <w:szCs w:val="24"/>
          <w:lang w:val="en-US"/>
        </w:rPr>
        <w:t>MagPix</w:t>
      </w:r>
      <w:proofErr w:type="spellEnd"/>
      <w:r w:rsidRPr="00C92171">
        <w:rPr>
          <w:rFonts w:ascii="Times New Roman" w:hAnsi="Times New Roman" w:cs="Times New Roman"/>
          <w:sz w:val="24"/>
          <w:szCs w:val="24"/>
          <w:lang w:val="en-US"/>
        </w:rPr>
        <w:t xml:space="preserve"> Multiplex System by Luminex</w:t>
      </w:r>
      <w:r w:rsidRPr="005F3F4D">
        <w:rPr>
          <w:rFonts w:ascii="Times New Roman" w:hAnsi="Times New Roman" w:cs="Times New Roman"/>
          <w:sz w:val="24"/>
          <w:szCs w:val="24"/>
          <w:lang w:val="en-US"/>
        </w:rPr>
        <w:t xml:space="preserve"> </w:t>
      </w:r>
      <w:r w:rsidRPr="004A3FF9">
        <w:rPr>
          <w:rFonts w:ascii="Times New Roman" w:hAnsi="Times New Roman" w:cs="Times New Roman"/>
          <w:sz w:val="24"/>
          <w:szCs w:val="24"/>
          <w:lang w:val="en-US"/>
        </w:rPr>
        <w:t xml:space="preserve">was used to read the plate and data were analyzed using </w:t>
      </w:r>
      <w:proofErr w:type="spellStart"/>
      <w:r w:rsidRPr="004A3FF9">
        <w:rPr>
          <w:rFonts w:ascii="Times New Roman" w:hAnsi="Times New Roman" w:cs="Times New Roman"/>
          <w:sz w:val="24"/>
          <w:szCs w:val="24"/>
          <w:lang w:val="en-US"/>
        </w:rPr>
        <w:t>BioPlex</w:t>
      </w:r>
      <w:proofErr w:type="spellEnd"/>
      <w:r w:rsidRPr="004A3FF9">
        <w:rPr>
          <w:rFonts w:ascii="Times New Roman" w:hAnsi="Times New Roman" w:cs="Times New Roman"/>
          <w:sz w:val="24"/>
          <w:szCs w:val="24"/>
          <w:lang w:val="en-US"/>
        </w:rPr>
        <w:t xml:space="preserve"> manager 4.1 software with 5-parametric logistic regression (5PL) curve fitting to </w:t>
      </w:r>
      <w:r w:rsidRPr="004A3FF9">
        <w:rPr>
          <w:rFonts w:ascii="Times New Roman" w:hAnsi="Times New Roman" w:cs="Times New Roman"/>
          <w:sz w:val="24"/>
          <w:szCs w:val="24"/>
          <w:lang w:val="en-US"/>
        </w:rPr>
        <w:lastRenderedPageBreak/>
        <w:t>determine the standard curve (</w:t>
      </w:r>
      <w:proofErr w:type="spellStart"/>
      <w:r w:rsidRPr="004A3FF9">
        <w:rPr>
          <w:rFonts w:ascii="Times New Roman" w:hAnsi="Times New Roman" w:cs="Times New Roman"/>
          <w:sz w:val="24"/>
          <w:szCs w:val="24"/>
          <w:lang w:val="en-US"/>
        </w:rPr>
        <w:t>pg</w:t>
      </w:r>
      <w:proofErr w:type="spellEnd"/>
      <w:r w:rsidRPr="004A3FF9">
        <w:rPr>
          <w:rFonts w:ascii="Times New Roman" w:hAnsi="Times New Roman" w:cs="Times New Roman"/>
          <w:sz w:val="24"/>
          <w:szCs w:val="24"/>
          <w:lang w:val="en-US"/>
        </w:rPr>
        <w:t>/ml) from 8 standards in duplicate and extrapolate the sample concentrations from the standard curve. Only standards and samples with coefficients of variance under 5% were used. When readings fell under the detection limit (below the background value) they were excluded from analyses.</w:t>
      </w:r>
    </w:p>
    <w:p w14:paraId="09E9B55E" w14:textId="77777777" w:rsidR="00D11496" w:rsidRPr="00251F9D" w:rsidRDefault="00D11496">
      <w:pPr>
        <w:rPr>
          <w:lang w:val="en-US"/>
        </w:rPr>
      </w:pPr>
    </w:p>
    <w:sectPr w:rsidR="00D11496" w:rsidRPr="00251F9D" w:rsidSect="00D114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94"/>
    <w:rsid w:val="001A5194"/>
    <w:rsid w:val="0021404E"/>
    <w:rsid w:val="00251F9D"/>
    <w:rsid w:val="00327390"/>
    <w:rsid w:val="00357A56"/>
    <w:rsid w:val="00497E54"/>
    <w:rsid w:val="00571433"/>
    <w:rsid w:val="00A846E5"/>
    <w:rsid w:val="00AC079D"/>
    <w:rsid w:val="00AE1CF7"/>
    <w:rsid w:val="00AE5598"/>
    <w:rsid w:val="00C93A5B"/>
    <w:rsid w:val="00D11496"/>
    <w:rsid w:val="00D46866"/>
    <w:rsid w:val="00EE4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14FF71"/>
  <w14:defaultImageDpi w14:val="300"/>
  <w15:docId w15:val="{CC56E480-A771-4E44-BB4A-DF19358A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390"/>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link w:val="CorpoCarattere"/>
    <w:rsid w:val="001A5194"/>
    <w:rPr>
      <w:rFonts w:ascii="Helvetica" w:eastAsia="Arial Unicode MS" w:hAnsi="Helvetica" w:cs="Arial Unicode MS"/>
      <w:color w:val="000000"/>
      <w:sz w:val="22"/>
      <w:szCs w:val="22"/>
      <w:lang w:val="it-IT"/>
    </w:rPr>
  </w:style>
  <w:style w:type="character" w:customStyle="1" w:styleId="CorpoCarattere">
    <w:name w:val="Corpo Carattere"/>
    <w:link w:val="Corpo"/>
    <w:rsid w:val="001A5194"/>
    <w:rPr>
      <w:rFonts w:ascii="Helvetica" w:eastAsia="Arial Unicode MS" w:hAnsi="Helvetica" w:cs="Arial Unicode MS"/>
      <w:color w:val="000000"/>
      <w:sz w:val="22"/>
      <w:szCs w:val="22"/>
      <w:lang w:val="it-IT"/>
    </w:rPr>
  </w:style>
  <w:style w:type="paragraph" w:styleId="BalloonText">
    <w:name w:val="Balloon Text"/>
    <w:basedOn w:val="Normal"/>
    <w:link w:val="BalloonTextChar"/>
    <w:uiPriority w:val="99"/>
    <w:semiHidden/>
    <w:unhideWhenUsed/>
    <w:rsid w:val="001A5194"/>
    <w:rPr>
      <w:rFonts w:ascii="Lucida Grande" w:eastAsiaTheme="minorEastAsia"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1A5194"/>
    <w:rPr>
      <w:rFonts w:ascii="Lucida Grande" w:hAnsi="Lucida Grande" w:cs="Lucida Grande"/>
      <w:sz w:val="18"/>
      <w:szCs w:val="18"/>
    </w:rPr>
  </w:style>
  <w:style w:type="character" w:styleId="Hyperlink">
    <w:name w:val="Hyperlink"/>
    <w:rsid w:val="002140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6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1865</Words>
  <Characters>10637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Antonietta</dc:creator>
  <cp:keywords/>
  <dc:description/>
  <cp:lastModifiedBy>Microsoft Office User</cp:lastModifiedBy>
  <cp:revision>2</cp:revision>
  <dcterms:created xsi:type="dcterms:W3CDTF">2022-06-08T14:34:00Z</dcterms:created>
  <dcterms:modified xsi:type="dcterms:W3CDTF">2022-06-08T14:34:00Z</dcterms:modified>
</cp:coreProperties>
</file>