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C6D" w:rsidRDefault="00494C6D" w:rsidP="00494C6D">
      <w:pPr>
        <w:pStyle w:val="Default"/>
      </w:pPr>
    </w:p>
    <w:p w:rsidR="00494C6D" w:rsidRPr="00494C6D" w:rsidRDefault="00494C6D" w:rsidP="00494C6D">
      <w:pPr>
        <w:pStyle w:val="Default"/>
        <w:spacing w:line="480" w:lineRule="auto"/>
        <w:rPr>
          <w:rFonts w:ascii="Times New Roman" w:hAnsi="Times New Roman" w:cs="Times New Roman"/>
        </w:rPr>
      </w:pPr>
      <w:proofErr w:type="spellStart"/>
      <w:r w:rsidRPr="00494C6D">
        <w:rPr>
          <w:rFonts w:ascii="Times New Roman" w:hAnsi="Times New Roman" w:cs="Times New Roman"/>
          <w:b/>
          <w:bCs/>
        </w:rPr>
        <w:t>Cannabinoids</w:t>
      </w:r>
      <w:proofErr w:type="spellEnd"/>
      <w:r w:rsidRPr="00494C6D">
        <w:rPr>
          <w:rFonts w:ascii="Times New Roman" w:hAnsi="Times New Roman" w:cs="Times New Roman"/>
          <w:b/>
          <w:bCs/>
        </w:rPr>
        <w:t xml:space="preserve">: an </w:t>
      </w:r>
      <w:proofErr w:type="spellStart"/>
      <w:r w:rsidRPr="00494C6D">
        <w:rPr>
          <w:rFonts w:ascii="Times New Roman" w:hAnsi="Times New Roman" w:cs="Times New Roman"/>
          <w:b/>
          <w:bCs/>
        </w:rPr>
        <w:t>effective</w:t>
      </w:r>
      <w:proofErr w:type="spellEnd"/>
      <w:r w:rsidRPr="00494C6D">
        <w:rPr>
          <w:rFonts w:ascii="Times New Roman" w:hAnsi="Times New Roman" w:cs="Times New Roman"/>
          <w:b/>
          <w:bCs/>
        </w:rPr>
        <w:t xml:space="preserve"> treatment for </w:t>
      </w:r>
      <w:proofErr w:type="spellStart"/>
      <w:r w:rsidRPr="00494C6D">
        <w:rPr>
          <w:rFonts w:ascii="Times New Roman" w:hAnsi="Times New Roman" w:cs="Times New Roman"/>
          <w:b/>
          <w:bCs/>
        </w:rPr>
        <w:t>chemotherapy-induced</w:t>
      </w:r>
      <w:proofErr w:type="spellEnd"/>
      <w:r w:rsidRPr="00494C6D">
        <w:rPr>
          <w:rFonts w:ascii="Times New Roman" w:hAnsi="Times New Roman" w:cs="Times New Roman"/>
          <w:b/>
          <w:bCs/>
        </w:rPr>
        <w:t xml:space="preserve"> </w:t>
      </w:r>
      <w:proofErr w:type="spellStart"/>
      <w:r w:rsidRPr="00494C6D">
        <w:rPr>
          <w:rFonts w:ascii="Times New Roman" w:hAnsi="Times New Roman" w:cs="Times New Roman"/>
          <w:b/>
          <w:bCs/>
        </w:rPr>
        <w:t>peripheral</w:t>
      </w:r>
      <w:proofErr w:type="spellEnd"/>
      <w:r w:rsidRPr="00494C6D">
        <w:rPr>
          <w:rFonts w:ascii="Times New Roman" w:hAnsi="Times New Roman" w:cs="Times New Roman"/>
          <w:b/>
          <w:bCs/>
        </w:rPr>
        <w:t xml:space="preserve"> </w:t>
      </w:r>
      <w:proofErr w:type="spellStart"/>
      <w:r w:rsidRPr="00494C6D">
        <w:rPr>
          <w:rFonts w:ascii="Times New Roman" w:hAnsi="Times New Roman" w:cs="Times New Roman"/>
          <w:b/>
          <w:bCs/>
        </w:rPr>
        <w:t>neurotoxicity</w:t>
      </w:r>
      <w:proofErr w:type="spellEnd"/>
      <w:r w:rsidRPr="00494C6D">
        <w:rPr>
          <w:rFonts w:ascii="Times New Roman" w:hAnsi="Times New Roman" w:cs="Times New Roman"/>
          <w:b/>
          <w:bCs/>
        </w:rPr>
        <w:t xml:space="preserve">? </w:t>
      </w:r>
    </w:p>
    <w:p w:rsidR="0014203C" w:rsidRDefault="0014203C" w:rsidP="00494C6D">
      <w:pPr>
        <w:pStyle w:val="Default"/>
        <w:spacing w:line="480" w:lineRule="auto"/>
        <w:rPr>
          <w:rFonts w:ascii="Times New Roman" w:hAnsi="Times New Roman" w:cs="Times New Roman"/>
        </w:rPr>
      </w:pPr>
    </w:p>
    <w:p w:rsidR="00494C6D" w:rsidRPr="00494C6D" w:rsidRDefault="00494C6D" w:rsidP="00C50198">
      <w:pPr>
        <w:pStyle w:val="Default"/>
        <w:spacing w:line="480" w:lineRule="auto"/>
        <w:jc w:val="center"/>
        <w:rPr>
          <w:rFonts w:ascii="Times New Roman" w:hAnsi="Times New Roman" w:cs="Times New Roman"/>
        </w:rPr>
      </w:pPr>
      <w:r w:rsidRPr="00494C6D">
        <w:rPr>
          <w:rFonts w:ascii="Times New Roman" w:hAnsi="Times New Roman" w:cs="Times New Roman"/>
        </w:rPr>
        <w:t xml:space="preserve">Guido </w:t>
      </w:r>
      <w:proofErr w:type="spellStart"/>
      <w:r w:rsidRPr="00494C6D">
        <w:rPr>
          <w:rFonts w:ascii="Times New Roman" w:hAnsi="Times New Roman" w:cs="Times New Roman"/>
        </w:rPr>
        <w:t>Cavaletti</w:t>
      </w:r>
      <w:proofErr w:type="spellEnd"/>
      <w:r w:rsidRPr="00494C6D">
        <w:rPr>
          <w:rFonts w:ascii="Times New Roman" w:hAnsi="Times New Roman" w:cs="Times New Roman"/>
        </w:rPr>
        <w:t xml:space="preserve"> *‡, Paola </w:t>
      </w:r>
      <w:proofErr w:type="spellStart"/>
      <w:r w:rsidRPr="00494C6D">
        <w:rPr>
          <w:rFonts w:ascii="Times New Roman" w:hAnsi="Times New Roman" w:cs="Times New Roman"/>
        </w:rPr>
        <w:t>Marmiroli</w:t>
      </w:r>
      <w:proofErr w:type="spellEnd"/>
      <w:r w:rsidRPr="00494C6D">
        <w:rPr>
          <w:rFonts w:ascii="Times New Roman" w:hAnsi="Times New Roman" w:cs="Times New Roman"/>
        </w:rPr>
        <w:t xml:space="preserve"> †‡, </w:t>
      </w:r>
      <w:proofErr w:type="spellStart"/>
      <w:r w:rsidRPr="00494C6D">
        <w:rPr>
          <w:rFonts w:ascii="Times New Roman" w:hAnsi="Times New Roman" w:cs="Times New Roman"/>
        </w:rPr>
        <w:t>Cynthia</w:t>
      </w:r>
      <w:proofErr w:type="spellEnd"/>
      <w:r w:rsidRPr="00494C6D">
        <w:rPr>
          <w:rFonts w:ascii="Times New Roman" w:hAnsi="Times New Roman" w:cs="Times New Roman"/>
        </w:rPr>
        <w:t xml:space="preserve"> L. </w:t>
      </w:r>
      <w:proofErr w:type="spellStart"/>
      <w:r w:rsidRPr="00494C6D">
        <w:rPr>
          <w:rFonts w:ascii="Times New Roman" w:hAnsi="Times New Roman" w:cs="Times New Roman"/>
        </w:rPr>
        <w:t>Renn</w:t>
      </w:r>
      <w:proofErr w:type="spellEnd"/>
      <w:r w:rsidRPr="00494C6D">
        <w:rPr>
          <w:rFonts w:ascii="Times New Roman" w:hAnsi="Times New Roman" w:cs="Times New Roman"/>
        </w:rPr>
        <w:t xml:space="preserve"> §, Susan G. </w:t>
      </w:r>
      <w:proofErr w:type="spellStart"/>
      <w:r w:rsidRPr="00494C6D">
        <w:rPr>
          <w:rFonts w:ascii="Times New Roman" w:hAnsi="Times New Roman" w:cs="Times New Roman"/>
        </w:rPr>
        <w:t>Dorsey</w:t>
      </w:r>
      <w:proofErr w:type="spellEnd"/>
      <w:r w:rsidRPr="00494C6D">
        <w:rPr>
          <w:rFonts w:ascii="Times New Roman" w:hAnsi="Times New Roman" w:cs="Times New Roman"/>
        </w:rPr>
        <w:t xml:space="preserve">§, Maria Pina Serra ¶, Marina Quartu ¶, Cristina </w:t>
      </w:r>
      <w:proofErr w:type="spellStart"/>
      <w:r w:rsidRPr="00494C6D">
        <w:rPr>
          <w:rFonts w:ascii="Times New Roman" w:hAnsi="Times New Roman" w:cs="Times New Roman"/>
        </w:rPr>
        <w:t>Meregalli</w:t>
      </w:r>
      <w:proofErr w:type="spellEnd"/>
      <w:r w:rsidRPr="00494C6D">
        <w:rPr>
          <w:rFonts w:ascii="Times New Roman" w:hAnsi="Times New Roman" w:cs="Times New Roman"/>
        </w:rPr>
        <w:t xml:space="preserve"> *‡</w:t>
      </w:r>
    </w:p>
    <w:p w:rsidR="00494C6D" w:rsidRPr="00494C6D" w:rsidRDefault="00494C6D" w:rsidP="00494C6D">
      <w:pPr>
        <w:pStyle w:val="Default"/>
        <w:spacing w:line="480" w:lineRule="auto"/>
        <w:rPr>
          <w:rFonts w:ascii="Times New Roman" w:hAnsi="Times New Roman" w:cs="Times New Roman"/>
        </w:rPr>
      </w:pPr>
      <w:r w:rsidRPr="00494C6D">
        <w:rPr>
          <w:rFonts w:ascii="Times New Roman" w:hAnsi="Times New Roman" w:cs="Times New Roman"/>
        </w:rPr>
        <w:t xml:space="preserve">* </w:t>
      </w:r>
      <w:proofErr w:type="spellStart"/>
      <w:r w:rsidRPr="00494C6D">
        <w:rPr>
          <w:rFonts w:ascii="Times New Roman" w:hAnsi="Times New Roman" w:cs="Times New Roman"/>
        </w:rPr>
        <w:t>Experimental</w:t>
      </w:r>
      <w:proofErr w:type="spellEnd"/>
      <w:r w:rsidRPr="00494C6D">
        <w:rPr>
          <w:rFonts w:ascii="Times New Roman" w:hAnsi="Times New Roman" w:cs="Times New Roman"/>
        </w:rPr>
        <w:t xml:space="preserve"> </w:t>
      </w:r>
      <w:proofErr w:type="spellStart"/>
      <w:r w:rsidRPr="00494C6D">
        <w:rPr>
          <w:rFonts w:ascii="Times New Roman" w:hAnsi="Times New Roman" w:cs="Times New Roman"/>
        </w:rPr>
        <w:t>Neurology</w:t>
      </w:r>
      <w:proofErr w:type="spellEnd"/>
      <w:r w:rsidRPr="00494C6D">
        <w:rPr>
          <w:rFonts w:ascii="Times New Roman" w:hAnsi="Times New Roman" w:cs="Times New Roman"/>
        </w:rPr>
        <w:t xml:space="preserve"> Unit, School of Medicine and </w:t>
      </w:r>
      <w:proofErr w:type="spellStart"/>
      <w:r w:rsidRPr="00494C6D">
        <w:rPr>
          <w:rFonts w:ascii="Times New Roman" w:hAnsi="Times New Roman" w:cs="Times New Roman"/>
        </w:rPr>
        <w:t>Surgery</w:t>
      </w:r>
      <w:proofErr w:type="spellEnd"/>
      <w:r w:rsidRPr="00494C6D">
        <w:rPr>
          <w:rFonts w:ascii="Times New Roman" w:hAnsi="Times New Roman" w:cs="Times New Roman"/>
        </w:rPr>
        <w:t xml:space="preserve">, </w:t>
      </w:r>
      <w:proofErr w:type="spellStart"/>
      <w:r w:rsidRPr="00494C6D">
        <w:rPr>
          <w:rFonts w:ascii="Times New Roman" w:hAnsi="Times New Roman" w:cs="Times New Roman"/>
        </w:rPr>
        <w:t>University</w:t>
      </w:r>
      <w:proofErr w:type="spellEnd"/>
      <w:r w:rsidRPr="00494C6D">
        <w:rPr>
          <w:rFonts w:ascii="Times New Roman" w:hAnsi="Times New Roman" w:cs="Times New Roman"/>
        </w:rPr>
        <w:t xml:space="preserve"> of Milano Bicocca, </w:t>
      </w:r>
    </w:p>
    <w:p w:rsidR="00494C6D" w:rsidRPr="00494C6D" w:rsidRDefault="00494C6D" w:rsidP="00494C6D">
      <w:pPr>
        <w:pStyle w:val="Default"/>
        <w:spacing w:line="480" w:lineRule="auto"/>
        <w:rPr>
          <w:rFonts w:ascii="Times New Roman" w:hAnsi="Times New Roman" w:cs="Times New Roman"/>
        </w:rPr>
      </w:pPr>
      <w:r w:rsidRPr="00494C6D">
        <w:rPr>
          <w:rFonts w:ascii="Times New Roman" w:hAnsi="Times New Roman" w:cs="Times New Roman"/>
        </w:rPr>
        <w:t xml:space="preserve">via Cadore 48, Monza, </w:t>
      </w:r>
      <w:proofErr w:type="spellStart"/>
      <w:r w:rsidRPr="00494C6D">
        <w:rPr>
          <w:rFonts w:ascii="Times New Roman" w:hAnsi="Times New Roman" w:cs="Times New Roman"/>
        </w:rPr>
        <w:t>Italy</w:t>
      </w:r>
      <w:proofErr w:type="spellEnd"/>
      <w:r w:rsidRPr="00494C6D">
        <w:rPr>
          <w:rFonts w:ascii="Times New Roman" w:hAnsi="Times New Roman" w:cs="Times New Roman"/>
        </w:rPr>
        <w:t xml:space="preserve"> </w:t>
      </w:r>
    </w:p>
    <w:p w:rsidR="00494C6D" w:rsidRPr="00494C6D" w:rsidRDefault="00494C6D" w:rsidP="00494C6D">
      <w:pPr>
        <w:pStyle w:val="Default"/>
        <w:spacing w:line="480" w:lineRule="auto"/>
        <w:rPr>
          <w:rFonts w:ascii="Times New Roman" w:hAnsi="Times New Roman" w:cs="Times New Roman"/>
        </w:rPr>
      </w:pPr>
      <w:r w:rsidRPr="00494C6D">
        <w:rPr>
          <w:rFonts w:ascii="Times New Roman" w:hAnsi="Times New Roman" w:cs="Times New Roman"/>
        </w:rPr>
        <w:t xml:space="preserve">† </w:t>
      </w:r>
      <w:proofErr w:type="spellStart"/>
      <w:r w:rsidRPr="00494C6D">
        <w:rPr>
          <w:rFonts w:ascii="Times New Roman" w:hAnsi="Times New Roman" w:cs="Times New Roman"/>
        </w:rPr>
        <w:t>Department</w:t>
      </w:r>
      <w:proofErr w:type="spellEnd"/>
      <w:r w:rsidRPr="00494C6D">
        <w:rPr>
          <w:rFonts w:ascii="Times New Roman" w:hAnsi="Times New Roman" w:cs="Times New Roman"/>
        </w:rPr>
        <w:t xml:space="preserve"> of </w:t>
      </w:r>
      <w:proofErr w:type="spellStart"/>
      <w:r w:rsidRPr="00494C6D">
        <w:rPr>
          <w:rFonts w:ascii="Times New Roman" w:hAnsi="Times New Roman" w:cs="Times New Roman"/>
        </w:rPr>
        <w:t>Biotechnology</w:t>
      </w:r>
      <w:proofErr w:type="spellEnd"/>
      <w:r w:rsidRPr="00494C6D">
        <w:rPr>
          <w:rFonts w:ascii="Times New Roman" w:hAnsi="Times New Roman" w:cs="Times New Roman"/>
        </w:rPr>
        <w:t xml:space="preserve"> and </w:t>
      </w:r>
      <w:proofErr w:type="spellStart"/>
      <w:r w:rsidRPr="00494C6D">
        <w:rPr>
          <w:rFonts w:ascii="Times New Roman" w:hAnsi="Times New Roman" w:cs="Times New Roman"/>
        </w:rPr>
        <w:t>Biosciences</w:t>
      </w:r>
      <w:proofErr w:type="spellEnd"/>
      <w:r w:rsidRPr="00494C6D">
        <w:rPr>
          <w:rFonts w:ascii="Times New Roman" w:hAnsi="Times New Roman" w:cs="Times New Roman"/>
        </w:rPr>
        <w:t xml:space="preserve">, </w:t>
      </w:r>
      <w:proofErr w:type="spellStart"/>
      <w:r w:rsidRPr="00494C6D">
        <w:rPr>
          <w:rFonts w:ascii="Times New Roman" w:hAnsi="Times New Roman" w:cs="Times New Roman"/>
        </w:rPr>
        <w:t>University</w:t>
      </w:r>
      <w:proofErr w:type="spellEnd"/>
      <w:r w:rsidRPr="00494C6D">
        <w:rPr>
          <w:rFonts w:ascii="Times New Roman" w:hAnsi="Times New Roman" w:cs="Times New Roman"/>
        </w:rPr>
        <w:t xml:space="preserve"> of Milano-Bicocca, Piazza della Scienza, 2, Milano, </w:t>
      </w:r>
      <w:proofErr w:type="spellStart"/>
      <w:r w:rsidRPr="00494C6D">
        <w:rPr>
          <w:rFonts w:ascii="Times New Roman" w:hAnsi="Times New Roman" w:cs="Times New Roman"/>
        </w:rPr>
        <w:t>Italy</w:t>
      </w:r>
      <w:proofErr w:type="spellEnd"/>
      <w:r w:rsidRPr="00494C6D">
        <w:rPr>
          <w:rFonts w:ascii="Times New Roman" w:hAnsi="Times New Roman" w:cs="Times New Roman"/>
        </w:rPr>
        <w:t xml:space="preserve"> </w:t>
      </w:r>
    </w:p>
    <w:p w:rsidR="00494C6D" w:rsidRPr="00494C6D" w:rsidRDefault="00494C6D" w:rsidP="00494C6D">
      <w:pPr>
        <w:pStyle w:val="Default"/>
        <w:spacing w:line="480" w:lineRule="auto"/>
        <w:rPr>
          <w:rFonts w:ascii="Times New Roman" w:hAnsi="Times New Roman" w:cs="Times New Roman"/>
        </w:rPr>
      </w:pPr>
      <w:r w:rsidRPr="00494C6D">
        <w:rPr>
          <w:rFonts w:ascii="Times New Roman" w:hAnsi="Times New Roman" w:cs="Times New Roman"/>
        </w:rPr>
        <w:t xml:space="preserve">‡ Milan Center for </w:t>
      </w:r>
      <w:proofErr w:type="spellStart"/>
      <w:r w:rsidRPr="00494C6D">
        <w:rPr>
          <w:rFonts w:ascii="Times New Roman" w:hAnsi="Times New Roman" w:cs="Times New Roman"/>
        </w:rPr>
        <w:t>Neuroscience</w:t>
      </w:r>
      <w:proofErr w:type="spellEnd"/>
      <w:r w:rsidRPr="00494C6D">
        <w:rPr>
          <w:rFonts w:ascii="Times New Roman" w:hAnsi="Times New Roman" w:cs="Times New Roman"/>
        </w:rPr>
        <w:t xml:space="preserve">, </w:t>
      </w:r>
      <w:proofErr w:type="spellStart"/>
      <w:r w:rsidRPr="00494C6D">
        <w:rPr>
          <w:rFonts w:ascii="Times New Roman" w:hAnsi="Times New Roman" w:cs="Times New Roman"/>
        </w:rPr>
        <w:t>Univers</w:t>
      </w:r>
      <w:r w:rsidR="00832F1E">
        <w:rPr>
          <w:rFonts w:ascii="Times New Roman" w:hAnsi="Times New Roman" w:cs="Times New Roman"/>
        </w:rPr>
        <w:t>ity</w:t>
      </w:r>
      <w:proofErr w:type="spellEnd"/>
      <w:r w:rsidR="00832F1E">
        <w:rPr>
          <w:rFonts w:ascii="Times New Roman" w:hAnsi="Times New Roman" w:cs="Times New Roman"/>
        </w:rPr>
        <w:t xml:space="preserve"> of Milano Bicocca, Pia</w:t>
      </w:r>
      <w:r w:rsidRPr="00494C6D">
        <w:rPr>
          <w:rFonts w:ascii="Times New Roman" w:hAnsi="Times New Roman" w:cs="Times New Roman"/>
        </w:rPr>
        <w:t xml:space="preserve">zza Ateneo Nuovo 1, Milano, </w:t>
      </w:r>
      <w:proofErr w:type="spellStart"/>
      <w:r w:rsidRPr="00494C6D">
        <w:rPr>
          <w:rFonts w:ascii="Times New Roman" w:hAnsi="Times New Roman" w:cs="Times New Roman"/>
        </w:rPr>
        <w:t>Italy</w:t>
      </w:r>
      <w:proofErr w:type="spellEnd"/>
      <w:r w:rsidRPr="00494C6D">
        <w:rPr>
          <w:rFonts w:ascii="Times New Roman" w:hAnsi="Times New Roman" w:cs="Times New Roman"/>
        </w:rPr>
        <w:t xml:space="preserve"> </w:t>
      </w:r>
    </w:p>
    <w:p w:rsidR="00494C6D" w:rsidRPr="00494C6D" w:rsidRDefault="00494C6D" w:rsidP="00494C6D">
      <w:pPr>
        <w:pStyle w:val="Default"/>
        <w:spacing w:line="480" w:lineRule="auto"/>
        <w:rPr>
          <w:rFonts w:ascii="Times New Roman" w:hAnsi="Times New Roman" w:cs="Times New Roman"/>
        </w:rPr>
      </w:pPr>
      <w:r w:rsidRPr="00494C6D">
        <w:rPr>
          <w:rFonts w:ascii="Times New Roman" w:hAnsi="Times New Roman" w:cs="Times New Roman"/>
        </w:rPr>
        <w:t xml:space="preserve">§ </w:t>
      </w:r>
      <w:proofErr w:type="spellStart"/>
      <w:r w:rsidRPr="00494C6D">
        <w:rPr>
          <w:rFonts w:ascii="Times New Roman" w:hAnsi="Times New Roman" w:cs="Times New Roman"/>
        </w:rPr>
        <w:t>Department</w:t>
      </w:r>
      <w:proofErr w:type="spellEnd"/>
      <w:r w:rsidRPr="00494C6D">
        <w:rPr>
          <w:rFonts w:ascii="Times New Roman" w:hAnsi="Times New Roman" w:cs="Times New Roman"/>
        </w:rPr>
        <w:t xml:space="preserve"> of </w:t>
      </w:r>
      <w:proofErr w:type="spellStart"/>
      <w:r w:rsidRPr="00494C6D">
        <w:rPr>
          <w:rFonts w:ascii="Times New Roman" w:hAnsi="Times New Roman" w:cs="Times New Roman"/>
        </w:rPr>
        <w:t>Pain</w:t>
      </w:r>
      <w:proofErr w:type="spellEnd"/>
      <w:r w:rsidRPr="00494C6D">
        <w:rPr>
          <w:rFonts w:ascii="Times New Roman" w:hAnsi="Times New Roman" w:cs="Times New Roman"/>
        </w:rPr>
        <w:t xml:space="preserve"> and </w:t>
      </w:r>
      <w:proofErr w:type="spellStart"/>
      <w:r w:rsidRPr="00494C6D">
        <w:rPr>
          <w:rFonts w:ascii="Times New Roman" w:hAnsi="Times New Roman" w:cs="Times New Roman"/>
        </w:rPr>
        <w:t>Translational</w:t>
      </w:r>
      <w:proofErr w:type="spellEnd"/>
      <w:r w:rsidRPr="00494C6D">
        <w:rPr>
          <w:rFonts w:ascii="Times New Roman" w:hAnsi="Times New Roman" w:cs="Times New Roman"/>
        </w:rPr>
        <w:t xml:space="preserve"> Science, School of Nursing, </w:t>
      </w:r>
      <w:proofErr w:type="spellStart"/>
      <w:r w:rsidRPr="00494C6D">
        <w:rPr>
          <w:rFonts w:ascii="Times New Roman" w:hAnsi="Times New Roman" w:cs="Times New Roman"/>
        </w:rPr>
        <w:t>University</w:t>
      </w:r>
      <w:proofErr w:type="spellEnd"/>
      <w:r w:rsidRPr="00494C6D">
        <w:rPr>
          <w:rFonts w:ascii="Times New Roman" w:hAnsi="Times New Roman" w:cs="Times New Roman"/>
        </w:rPr>
        <w:t xml:space="preserve"> of Maryland. 655 West </w:t>
      </w:r>
      <w:proofErr w:type="spellStart"/>
      <w:r w:rsidRPr="00494C6D">
        <w:rPr>
          <w:rFonts w:ascii="Times New Roman" w:hAnsi="Times New Roman" w:cs="Times New Roman"/>
        </w:rPr>
        <w:t>Lombard</w:t>
      </w:r>
      <w:proofErr w:type="spellEnd"/>
      <w:r w:rsidRPr="00494C6D">
        <w:rPr>
          <w:rFonts w:ascii="Times New Roman" w:hAnsi="Times New Roman" w:cs="Times New Roman"/>
        </w:rPr>
        <w:t xml:space="preserve"> Street, Baltimore, MD 21201 USA </w:t>
      </w:r>
    </w:p>
    <w:p w:rsidR="00494C6D" w:rsidRPr="00494C6D" w:rsidRDefault="00494C6D" w:rsidP="00494C6D">
      <w:pPr>
        <w:pStyle w:val="Default"/>
        <w:spacing w:line="480" w:lineRule="auto"/>
        <w:rPr>
          <w:rFonts w:ascii="Times New Roman" w:hAnsi="Times New Roman" w:cs="Times New Roman"/>
        </w:rPr>
      </w:pPr>
      <w:r w:rsidRPr="00494C6D">
        <w:rPr>
          <w:rFonts w:ascii="Times New Roman" w:hAnsi="Times New Roman" w:cs="Times New Roman"/>
        </w:rPr>
        <w:t xml:space="preserve">¶ </w:t>
      </w:r>
      <w:proofErr w:type="spellStart"/>
      <w:r w:rsidRPr="00494C6D">
        <w:rPr>
          <w:rFonts w:ascii="Times New Roman" w:hAnsi="Times New Roman" w:cs="Times New Roman"/>
        </w:rPr>
        <w:t>Department</w:t>
      </w:r>
      <w:proofErr w:type="spellEnd"/>
      <w:r w:rsidRPr="00494C6D">
        <w:rPr>
          <w:rFonts w:ascii="Times New Roman" w:hAnsi="Times New Roman" w:cs="Times New Roman"/>
        </w:rPr>
        <w:t xml:space="preserve"> of </w:t>
      </w:r>
      <w:proofErr w:type="spellStart"/>
      <w:r w:rsidRPr="00494C6D">
        <w:rPr>
          <w:rFonts w:ascii="Times New Roman" w:hAnsi="Times New Roman" w:cs="Times New Roman"/>
        </w:rPr>
        <w:t>Biomedical</w:t>
      </w:r>
      <w:proofErr w:type="spellEnd"/>
      <w:r w:rsidRPr="00494C6D">
        <w:rPr>
          <w:rFonts w:ascii="Times New Roman" w:hAnsi="Times New Roman" w:cs="Times New Roman"/>
        </w:rPr>
        <w:t xml:space="preserve"> </w:t>
      </w:r>
      <w:proofErr w:type="spellStart"/>
      <w:r w:rsidRPr="00494C6D">
        <w:rPr>
          <w:rFonts w:ascii="Times New Roman" w:hAnsi="Times New Roman" w:cs="Times New Roman"/>
        </w:rPr>
        <w:t>Sciences</w:t>
      </w:r>
      <w:proofErr w:type="spellEnd"/>
      <w:r w:rsidRPr="00494C6D">
        <w:rPr>
          <w:rFonts w:ascii="Times New Roman" w:hAnsi="Times New Roman" w:cs="Times New Roman"/>
        </w:rPr>
        <w:t xml:space="preserve">, </w:t>
      </w:r>
      <w:proofErr w:type="spellStart"/>
      <w:r w:rsidRPr="00494C6D">
        <w:rPr>
          <w:rFonts w:ascii="Times New Roman" w:hAnsi="Times New Roman" w:cs="Times New Roman"/>
        </w:rPr>
        <w:t>University</w:t>
      </w:r>
      <w:proofErr w:type="spellEnd"/>
      <w:r w:rsidRPr="00494C6D">
        <w:rPr>
          <w:rFonts w:ascii="Times New Roman" w:hAnsi="Times New Roman" w:cs="Times New Roman"/>
        </w:rPr>
        <w:t xml:space="preserve"> of Cagliari, Cittadella Universitaria, 09042 Monserrato, </w:t>
      </w:r>
      <w:proofErr w:type="spellStart"/>
      <w:r w:rsidRPr="00494C6D">
        <w:rPr>
          <w:rFonts w:ascii="Times New Roman" w:hAnsi="Times New Roman" w:cs="Times New Roman"/>
        </w:rPr>
        <w:t>Italy</w:t>
      </w:r>
      <w:proofErr w:type="spellEnd"/>
      <w:r w:rsidRPr="00494C6D">
        <w:rPr>
          <w:rFonts w:ascii="Times New Roman" w:hAnsi="Times New Roman" w:cs="Times New Roman"/>
        </w:rPr>
        <w:t xml:space="preserve"> </w:t>
      </w:r>
    </w:p>
    <w:p w:rsidR="00494C6D" w:rsidRPr="00C50198" w:rsidRDefault="00494C6D" w:rsidP="00C50198">
      <w:pPr>
        <w:shd w:val="clear" w:color="auto" w:fill="FFFFFF"/>
        <w:spacing w:before="308" w:after="154" w:line="240" w:lineRule="auto"/>
        <w:jc w:val="center"/>
        <w:rPr>
          <w:b/>
          <w:u w:val="single"/>
        </w:rPr>
      </w:pPr>
      <w:r w:rsidRPr="00C50198">
        <w:rPr>
          <w:b/>
          <w:bCs/>
          <w:u w:val="single"/>
        </w:rPr>
        <w:t xml:space="preserve">Materials and Methods of the </w:t>
      </w:r>
      <w:proofErr w:type="spellStart"/>
      <w:r w:rsidRPr="00C50198">
        <w:rPr>
          <w:b/>
          <w:bCs/>
          <w:u w:val="single"/>
        </w:rPr>
        <w:t>bortezomib</w:t>
      </w:r>
      <w:proofErr w:type="spellEnd"/>
      <w:r w:rsidRPr="00C50198">
        <w:rPr>
          <w:b/>
          <w:bCs/>
          <w:u w:val="single"/>
        </w:rPr>
        <w:t>-induced peripheral neurotoxicity study</w:t>
      </w:r>
    </w:p>
    <w:p w:rsidR="00D408EC" w:rsidRPr="00494C6D" w:rsidRDefault="00BB3045">
      <w:pPr>
        <w:shd w:val="clear" w:color="auto" w:fill="FFFFFF"/>
        <w:spacing w:before="308" w:after="154" w:line="240" w:lineRule="auto"/>
        <w:rPr>
          <w:u w:val="single"/>
        </w:rPr>
      </w:pPr>
      <w:r w:rsidRPr="00494C6D">
        <w:rPr>
          <w:u w:val="single"/>
        </w:rPr>
        <w:t>Animals and Ethics Statements</w:t>
      </w:r>
    </w:p>
    <w:p w:rsidR="00D408EC" w:rsidRDefault="00BB3045">
      <w:pPr>
        <w:pBdr>
          <w:top w:val="nil"/>
          <w:left w:val="nil"/>
          <w:bottom w:val="nil"/>
          <w:right w:val="nil"/>
          <w:between w:val="nil"/>
        </w:pBdr>
        <w:spacing w:line="480" w:lineRule="auto"/>
        <w:rPr>
          <w:color w:val="000000"/>
        </w:rPr>
      </w:pPr>
      <w:proofErr w:type="gramStart"/>
      <w:r w:rsidRPr="00494C6D">
        <w:rPr>
          <w:color w:val="000000"/>
        </w:rPr>
        <w:t xml:space="preserve">A total of 20 adult female </w:t>
      </w:r>
      <w:proofErr w:type="spellStart"/>
      <w:r w:rsidRPr="00494C6D">
        <w:rPr>
          <w:color w:val="000000"/>
        </w:rPr>
        <w:t>Wistar</w:t>
      </w:r>
      <w:proofErr w:type="spellEnd"/>
      <w:r w:rsidRPr="00494C6D">
        <w:rPr>
          <w:color w:val="000000"/>
        </w:rPr>
        <w:t xml:space="preserve"> rats (</w:t>
      </w:r>
      <w:proofErr w:type="spellStart"/>
      <w:r w:rsidRPr="00494C6D">
        <w:rPr>
          <w:color w:val="000000"/>
        </w:rPr>
        <w:t>Envigo</w:t>
      </w:r>
      <w:proofErr w:type="spellEnd"/>
      <w:r>
        <w:rPr>
          <w:color w:val="000000"/>
        </w:rPr>
        <w:t xml:space="preserve">, Udine Italy), aged 10-11 weeks at the beginning of the experiment, were used for the </w:t>
      </w:r>
      <w:r>
        <w:rPr>
          <w:b/>
          <w:color w:val="000000"/>
        </w:rPr>
        <w:t>experiment 1</w:t>
      </w:r>
      <w:r>
        <w:rPr>
          <w:color w:val="000000"/>
        </w:rPr>
        <w:t xml:space="preserve"> at UNIMIB (University of Milan Bicocca, Milan), and a total of 32 adult female </w:t>
      </w:r>
      <w:proofErr w:type="spellStart"/>
      <w:r>
        <w:rPr>
          <w:color w:val="000000"/>
        </w:rPr>
        <w:t>Wistar</w:t>
      </w:r>
      <w:proofErr w:type="spellEnd"/>
      <w:r>
        <w:rPr>
          <w:color w:val="000000"/>
        </w:rPr>
        <w:t xml:space="preserve"> rats (Charles River Laboratories, Frederick, MD, USA), aged 10-11 weeks at the beginning of the experiment, were used for the </w:t>
      </w:r>
      <w:r>
        <w:rPr>
          <w:b/>
          <w:color w:val="000000"/>
        </w:rPr>
        <w:t>experiment 2</w:t>
      </w:r>
      <w:r>
        <w:rPr>
          <w:color w:val="000000"/>
        </w:rPr>
        <w:t xml:space="preserve"> at UMB (University of Maryland, Baltimore).</w:t>
      </w:r>
      <w:proofErr w:type="gramEnd"/>
      <w:r>
        <w:rPr>
          <w:color w:val="000000"/>
        </w:rPr>
        <w:t xml:space="preserve"> Animals </w:t>
      </w:r>
      <w:proofErr w:type="gramStart"/>
      <w:r>
        <w:rPr>
          <w:color w:val="000000"/>
        </w:rPr>
        <w:t>were housed</w:t>
      </w:r>
      <w:proofErr w:type="gramEnd"/>
      <w:r>
        <w:rPr>
          <w:color w:val="000000"/>
        </w:rPr>
        <w:t xml:space="preserve"> in a limited access animal facility with controlled room temperature (22 ± 2°C) and relative humidity (55 ± 10%) and under an artificial 12 h light/dark cycle (light 7 a.m.–7 p.m.). </w:t>
      </w:r>
      <w:r w:rsidR="00EB1C9A">
        <w:rPr>
          <w:color w:val="000000"/>
        </w:rPr>
        <w:t xml:space="preserve">The care and husbandry of the animals were in conformity with the institutional guidelines in compliance with Italian legislation (D.L n. 26/2014). </w:t>
      </w:r>
      <w:r>
        <w:rPr>
          <w:color w:val="000000"/>
        </w:rPr>
        <w:t xml:space="preserve">The Institutional </w:t>
      </w:r>
      <w:r>
        <w:rPr>
          <w:color w:val="000000"/>
        </w:rPr>
        <w:lastRenderedPageBreak/>
        <w:t>Animal Care and Use Committee of the University of Maryland School of Medicine approved the study at UMB while the experimental plan at UNIMIB was examined and approved by the Ethics Committee of the University of Milano-Bicocca and Italian Ministry of Health</w:t>
      </w:r>
      <w:r w:rsidR="00ED0108">
        <w:rPr>
          <w:color w:val="000000"/>
        </w:rPr>
        <w:t xml:space="preserve"> (approval number # 842/2018-PR)</w:t>
      </w:r>
      <w:r>
        <w:rPr>
          <w:color w:val="000000"/>
        </w:rPr>
        <w:t>.</w:t>
      </w:r>
    </w:p>
    <w:p w:rsidR="00D408EC" w:rsidRDefault="00BB3045">
      <w:pPr>
        <w:shd w:val="clear" w:color="auto" w:fill="FFFFFF"/>
        <w:spacing w:before="308" w:after="154" w:line="240" w:lineRule="auto"/>
        <w:rPr>
          <w:u w:val="single"/>
        </w:rPr>
      </w:pPr>
      <w:r>
        <w:rPr>
          <w:u w:val="single"/>
        </w:rPr>
        <w:t>Drug Administration and Euthanasia</w:t>
      </w:r>
    </w:p>
    <w:p w:rsidR="00D408EC" w:rsidRDefault="00BB3045">
      <w:pPr>
        <w:shd w:val="clear" w:color="auto" w:fill="FFFFFF"/>
        <w:spacing w:before="166" w:after="166" w:line="480" w:lineRule="auto"/>
      </w:pPr>
      <w:proofErr w:type="spellStart"/>
      <w:r>
        <w:t>Bortezomib</w:t>
      </w:r>
      <w:proofErr w:type="spellEnd"/>
      <w:r>
        <w:t xml:space="preserve"> (BTZ) (LC Laboratories, Woburn, MA) </w:t>
      </w:r>
      <w:proofErr w:type="gramStart"/>
      <w:r>
        <w:t>was dissolved</w:t>
      </w:r>
      <w:proofErr w:type="gramEnd"/>
      <w:r>
        <w:t xml:space="preserve"> in 10% Tween 80, 10% ethanol, and 80% sterile saline. </w:t>
      </w:r>
      <w:proofErr w:type="gramStart"/>
      <w:r w:rsidR="00866710">
        <w:t xml:space="preserve">A total of </w:t>
      </w:r>
      <w:r>
        <w:t>26</w:t>
      </w:r>
      <w:proofErr w:type="gramEnd"/>
      <w:r>
        <w:t xml:space="preserve"> rats was treated with BTZ for 8-week period by tail vein injection (0.20 mg/kg/day th</w:t>
      </w:r>
      <w:r w:rsidR="00832F1E">
        <w:t>ree times/week; see [1],</w:t>
      </w:r>
      <w:r>
        <w:t xml:space="preserve"> the remaining animals were left untreated and used as controls. The experimental plan (summarized in Table 1) </w:t>
      </w:r>
      <w:proofErr w:type="gramStart"/>
      <w:r>
        <w:t>was divided</w:t>
      </w:r>
      <w:proofErr w:type="gramEnd"/>
      <w:r>
        <w:t xml:space="preserve"> into two parts: </w:t>
      </w:r>
      <w:r>
        <w:rPr>
          <w:b/>
        </w:rPr>
        <w:t>experiment 1</w:t>
      </w:r>
      <w:r>
        <w:t xml:space="preserve"> was carried out at UNIMIB to characterize the </w:t>
      </w:r>
      <w:r w:rsidR="00832F1E">
        <w:t>BTZ</w:t>
      </w:r>
      <w:r>
        <w:t xml:space="preserve">-induced painful peripheral neuropathy in </w:t>
      </w:r>
      <w:proofErr w:type="spellStart"/>
      <w:r>
        <w:t>Wistar</w:t>
      </w:r>
      <w:proofErr w:type="spellEnd"/>
      <w:r>
        <w:t xml:space="preserve"> rats; </w:t>
      </w:r>
      <w:r>
        <w:rPr>
          <w:b/>
        </w:rPr>
        <w:t>experiment 2</w:t>
      </w:r>
      <w:r>
        <w:t xml:space="preserve"> was performed at UMB to investigate the alterations of the wide dynamic range neurons excitability and the quantitative measure of nerve function by </w:t>
      </w:r>
      <w:proofErr w:type="spellStart"/>
      <w:r>
        <w:t>neurometer</w:t>
      </w:r>
      <w:proofErr w:type="spellEnd"/>
      <w:r>
        <w:t xml:space="preserve"> after </w:t>
      </w:r>
      <w:r w:rsidR="00832F1E">
        <w:t>BTZ</w:t>
      </w:r>
      <w:r>
        <w:t xml:space="preserve"> treatment. </w:t>
      </w:r>
      <w:proofErr w:type="gramStart"/>
      <w:r>
        <w:rPr>
          <w:highlight w:val="white"/>
        </w:rPr>
        <w:t>All tests were operated by an experimenter blinded to groupings and in the controlled test room</w:t>
      </w:r>
      <w:proofErr w:type="gramEnd"/>
      <w:r>
        <w:rPr>
          <w:highlight w:val="white"/>
        </w:rPr>
        <w:t xml:space="preserve">. </w:t>
      </w:r>
      <w:r>
        <w:t xml:space="preserve">At the end of all experiments, rats </w:t>
      </w:r>
      <w:proofErr w:type="gramStart"/>
      <w:r>
        <w:t>were euthanized</w:t>
      </w:r>
      <w:proofErr w:type="gramEnd"/>
      <w:r>
        <w:t xml:space="preserve"> by CO</w:t>
      </w:r>
      <w:r>
        <w:rPr>
          <w:vertAlign w:val="subscript"/>
        </w:rPr>
        <w:t>2</w:t>
      </w:r>
      <w:r>
        <w:t xml:space="preserve"> inhalation followed by cervical dislocation and partially used for biological sampling. </w:t>
      </w:r>
    </w:p>
    <w:p w:rsidR="00D408EC" w:rsidRDefault="00BB3045">
      <w:pPr>
        <w:shd w:val="clear" w:color="auto" w:fill="FFFFFF"/>
        <w:spacing w:before="308" w:after="154" w:line="240" w:lineRule="auto"/>
        <w:rPr>
          <w:u w:val="single"/>
        </w:rPr>
      </w:pPr>
      <w:r>
        <w:rPr>
          <w:u w:val="single"/>
        </w:rPr>
        <w:t>Assessment of mechanical allodynia</w:t>
      </w:r>
    </w:p>
    <w:p w:rsidR="00D408EC" w:rsidRDefault="00BB3045">
      <w:pPr>
        <w:spacing w:line="480" w:lineRule="auto"/>
      </w:pPr>
      <w:proofErr w:type="gramStart"/>
      <w:r>
        <w:t xml:space="preserve">Mechanical tests were performed </w:t>
      </w:r>
      <w:r w:rsidR="00BE76E8" w:rsidRPr="005A538B">
        <w:t>by a single experimenter who was blind to the treatment groups</w:t>
      </w:r>
      <w:r w:rsidR="00BE76E8">
        <w:t xml:space="preserve"> </w:t>
      </w:r>
      <w:r>
        <w:t>to determine the presence of chemotherapy-induced allodynia as previously described [2]</w:t>
      </w:r>
      <w:proofErr w:type="gramEnd"/>
      <w:r>
        <w:t xml:space="preserve">. Rats were placed into a </w:t>
      </w:r>
      <w:proofErr w:type="spellStart"/>
      <w:r>
        <w:t>plexiglas</w:t>
      </w:r>
      <w:r w:rsidR="00C41EC6">
        <w:t>s</w:t>
      </w:r>
      <w:proofErr w:type="spellEnd"/>
      <w:r>
        <w:t xml:space="preserve"> cage positioned on an elevated wire mesh floor and were allowed to adapt to the testing environment for at least 10 min. Tactile hind paw withdrawal threshold in rats was automatically recorded. Three thresholds </w:t>
      </w:r>
      <w:proofErr w:type="gramStart"/>
      <w:r>
        <w:t>were taken</w:t>
      </w:r>
      <w:proofErr w:type="gramEnd"/>
      <w:r>
        <w:t xml:space="preserve"> for each paw. The electronic Von Frey apparatus progressively increases puncture pressure to the plantar surface, reaching up to 50 grams within 20 seconds. An upper limit cutoff of 20 s </w:t>
      </w:r>
      <w:proofErr w:type="gramStart"/>
      <w:r>
        <w:t>was fixed</w:t>
      </w:r>
      <w:proofErr w:type="gramEnd"/>
      <w:r>
        <w:t>.</w:t>
      </w:r>
    </w:p>
    <w:p w:rsidR="002D49AB" w:rsidRDefault="002D49AB">
      <w:pPr>
        <w:shd w:val="clear" w:color="auto" w:fill="FFFFFF"/>
        <w:spacing w:before="308" w:after="154" w:line="240" w:lineRule="auto"/>
        <w:rPr>
          <w:u w:val="single"/>
        </w:rPr>
      </w:pPr>
    </w:p>
    <w:p w:rsidR="00D408EC" w:rsidRDefault="00BB3045">
      <w:pPr>
        <w:shd w:val="clear" w:color="auto" w:fill="FFFFFF"/>
        <w:spacing w:before="308" w:after="154" w:line="240" w:lineRule="auto"/>
        <w:rPr>
          <w:u w:val="single"/>
        </w:rPr>
      </w:pPr>
      <w:r>
        <w:rPr>
          <w:u w:val="single"/>
        </w:rPr>
        <w:lastRenderedPageBreak/>
        <w:t>Assessment of paw withdrawal latencies to heat stimulation</w:t>
      </w:r>
    </w:p>
    <w:p w:rsidR="00D408EC" w:rsidRDefault="00BB3045">
      <w:pPr>
        <w:shd w:val="clear" w:color="auto" w:fill="FFFFFF"/>
        <w:spacing w:before="308" w:after="154" w:line="480" w:lineRule="auto"/>
      </w:pPr>
      <w:proofErr w:type="gramStart"/>
      <w:r>
        <w:t>Plantar tests were performed</w:t>
      </w:r>
      <w:r w:rsidR="008B3069">
        <w:t xml:space="preserve"> </w:t>
      </w:r>
      <w:r w:rsidR="008B3069" w:rsidRPr="005A538B">
        <w:t xml:space="preserve">by a single experimenter who was blind to the treatment groups </w:t>
      </w:r>
      <w:r>
        <w:t>to determine the response to thermal stimuli as previously described [3]</w:t>
      </w:r>
      <w:proofErr w:type="gramEnd"/>
      <w:r>
        <w:t xml:space="preserve">. Animals were placed into a </w:t>
      </w:r>
      <w:proofErr w:type="spellStart"/>
      <w:proofErr w:type="gramStart"/>
      <w:r>
        <w:t>plexiglas</w:t>
      </w:r>
      <w:proofErr w:type="spellEnd"/>
      <w:proofErr w:type="gramEnd"/>
      <w:r>
        <w:t xml:space="preserve"> cage on an elevated glass floor for a 10 min acclimatization period followed by testing.  Radiant heat was located under the glass platform and </w:t>
      </w:r>
      <w:proofErr w:type="gramStart"/>
      <w:r>
        <w:t>was positioned</w:t>
      </w:r>
      <w:proofErr w:type="gramEnd"/>
      <w:r>
        <w:t xml:space="preserve"> under the </w:t>
      </w:r>
      <w:proofErr w:type="spellStart"/>
      <w:r>
        <w:t>centre</w:t>
      </w:r>
      <w:proofErr w:type="spellEnd"/>
      <w:r>
        <w:t xml:space="preserve"> of the rear paw of rats, and withdrawal</w:t>
      </w:r>
      <w:r w:rsidR="00285ABD">
        <w:t xml:space="preserve"> time</w:t>
      </w:r>
      <w:r>
        <w:t xml:space="preserve"> was recorded as withdrawal latency (sec). The intensity of the heat source was fixed to an </w:t>
      </w:r>
      <w:proofErr w:type="gramStart"/>
      <w:r>
        <w:t>infra-red</w:t>
      </w:r>
      <w:proofErr w:type="gramEnd"/>
      <w:r>
        <w:t xml:space="preserve"> setting of 40W. The mean of the four readings </w:t>
      </w:r>
      <w:proofErr w:type="gramStart"/>
      <w:r>
        <w:t>was used</w:t>
      </w:r>
      <w:proofErr w:type="gramEnd"/>
      <w:r>
        <w:t xml:space="preserve"> for data analysis.</w:t>
      </w:r>
    </w:p>
    <w:p w:rsidR="00D408EC" w:rsidRDefault="00BB3045">
      <w:pPr>
        <w:shd w:val="clear" w:color="auto" w:fill="FFFFFF"/>
        <w:spacing w:before="308" w:after="154" w:line="240" w:lineRule="auto"/>
        <w:rPr>
          <w:u w:val="single"/>
        </w:rPr>
      </w:pPr>
      <w:r>
        <w:rPr>
          <w:u w:val="single"/>
        </w:rPr>
        <w:t>Current Perception Threshold (CPT) Measurements</w:t>
      </w:r>
      <w:r>
        <w:rPr>
          <w:b/>
          <w:highlight w:val="yellow"/>
          <w:u w:val="single"/>
        </w:rPr>
        <w:t xml:space="preserve">  </w:t>
      </w:r>
    </w:p>
    <w:p w:rsidR="00D408EC" w:rsidRDefault="00BB3045">
      <w:pPr>
        <w:spacing w:before="0" w:after="0" w:line="480" w:lineRule="auto"/>
      </w:pPr>
      <w:r>
        <w:t xml:space="preserve">For the current perception threshold (CPT) measurement in the footpad, the rats </w:t>
      </w:r>
      <w:proofErr w:type="gramStart"/>
      <w:r>
        <w:t xml:space="preserve">were placed in a </w:t>
      </w:r>
      <w:r w:rsidRPr="00AD2658">
        <w:t>restraint jacket and suspended from a frame 3 inches above the bench surface with the paws dangling freely [4]</w:t>
      </w:r>
      <w:proofErr w:type="gramEnd"/>
      <w:r w:rsidRPr="00AD2658">
        <w:t>. Anesthesia was induced in a chamber with 3% isoflurane carried in oxygen followed by 0.75-1% titrate isoflurane by nose cone for maintenance throughout the procedure, to allow a withdrawal response of the hind paw to occur without the rat struggling to escape from the restraint.</w:t>
      </w:r>
      <w:r>
        <w:t xml:space="preserve"> The stimulus electrode </w:t>
      </w:r>
      <w:proofErr w:type="gramStart"/>
      <w:r>
        <w:t>was applied</w:t>
      </w:r>
      <w:proofErr w:type="gramEnd"/>
      <w:r>
        <w:t xml:space="preserve"> to the plantar surface of the left hind paw and the ground electrode was applied to the left ankle. Using the </w:t>
      </w:r>
      <w:proofErr w:type="spellStart"/>
      <w:r>
        <w:t>Neurometer</w:t>
      </w:r>
      <w:proofErr w:type="spellEnd"/>
      <w:r>
        <w:t xml:space="preserve"> (</w:t>
      </w:r>
      <w:proofErr w:type="spellStart"/>
      <w:r>
        <w:t>Neurotron</w:t>
      </w:r>
      <w:proofErr w:type="spellEnd"/>
      <w:r>
        <w:t xml:space="preserve"> Inc., Baltimore, MD), sine-wave transcutaneous electrical stimuli were applied at three frequencies</w:t>
      </w:r>
      <w:r w:rsidR="00330D37">
        <w:t>:</w:t>
      </w:r>
      <w:r w:rsidR="00330D37" w:rsidRPr="005A538B">
        <w:t xml:space="preserve"> 250 Hz activating A-</w:t>
      </w:r>
      <w:r w:rsidR="00330D37" w:rsidRPr="005A538B">
        <w:rPr>
          <w:rFonts w:ascii="Symbol" w:hAnsi="Symbol"/>
        </w:rPr>
        <w:t></w:t>
      </w:r>
      <w:r w:rsidR="00330D37" w:rsidRPr="005A538B">
        <w:t xml:space="preserve">  fibers and 5 Hz activating C-fibers involved in pain perception, while 2000 Hz activates large myelinated fibers</w:t>
      </w:r>
      <w:r w:rsidR="00330D37">
        <w:t xml:space="preserve">, </w:t>
      </w:r>
      <w:r>
        <w:t xml:space="preserve">with the current increasing stepwise until a </w:t>
      </w:r>
      <w:proofErr w:type="spellStart"/>
      <w:r>
        <w:t>nocifensive</w:t>
      </w:r>
      <w:proofErr w:type="spellEnd"/>
      <w:r>
        <w:t xml:space="preserve"> response (paw withdrawal or flick) was observed. When a response was elicited, the stimulus was stopped and the amount of current (µA) delivered at the time of the response was recorded [</w:t>
      </w:r>
      <w:proofErr w:type="gramStart"/>
      <w:r>
        <w:t>5</w:t>
      </w:r>
      <w:proofErr w:type="gramEnd"/>
      <w:r>
        <w:t xml:space="preserve">]. A </w:t>
      </w:r>
      <w:proofErr w:type="spellStart"/>
      <w:r>
        <w:t>nocifensive</w:t>
      </w:r>
      <w:proofErr w:type="spellEnd"/>
      <w:r>
        <w:t xml:space="preserve"> response was defined as a brisk withdrawal or flicking of the hind paw. The hind paw </w:t>
      </w:r>
      <w:proofErr w:type="gramStart"/>
      <w:r>
        <w:t>was tested</w:t>
      </w:r>
      <w:proofErr w:type="gramEnd"/>
      <w:r>
        <w:t xml:space="preserve"> three times at each frequency and the current perception threshold was the average of those three trials.</w:t>
      </w:r>
    </w:p>
    <w:p w:rsidR="00BA1D5B" w:rsidRDefault="00BA1D5B">
      <w:pPr>
        <w:shd w:val="clear" w:color="auto" w:fill="FFFFFF"/>
        <w:spacing w:before="308" w:after="154" w:line="240" w:lineRule="auto"/>
        <w:rPr>
          <w:u w:val="single"/>
        </w:rPr>
      </w:pPr>
    </w:p>
    <w:p w:rsidR="00D408EC" w:rsidRDefault="00BB3045">
      <w:pPr>
        <w:shd w:val="clear" w:color="auto" w:fill="FFFFFF"/>
        <w:spacing w:before="308" w:after="154" w:line="240" w:lineRule="auto"/>
        <w:rPr>
          <w:u w:val="single"/>
        </w:rPr>
      </w:pPr>
      <w:r>
        <w:rPr>
          <w:u w:val="single"/>
        </w:rPr>
        <w:t>Wide Dynamic Range (WDR) neurons recordings</w:t>
      </w:r>
    </w:p>
    <w:p w:rsidR="00903D6A" w:rsidRDefault="00BB3045">
      <w:pPr>
        <w:spacing w:before="0" w:after="0" w:line="480" w:lineRule="auto"/>
      </w:pPr>
      <w:r>
        <w:lastRenderedPageBreak/>
        <w:t xml:space="preserve">Extracellular electrophysiological recording </w:t>
      </w:r>
      <w:proofErr w:type="gramStart"/>
      <w:r>
        <w:t>was performed</w:t>
      </w:r>
      <w:proofErr w:type="gramEnd"/>
      <w:r>
        <w:t xml:space="preserve"> to measure the activity of wide dynamic range neurons (WDRN) in the spinal cord dorsal horn</w:t>
      </w:r>
      <w:r w:rsidRPr="00AD2658">
        <w:t xml:space="preserve">. Anesthesia </w:t>
      </w:r>
      <w:proofErr w:type="gramStart"/>
      <w:r w:rsidRPr="00AD2658">
        <w:t>was induced and maintained similarly to CPT measurement analysis, and prior to the laminectomy surgery for the spinal cord electrophysiological recordings</w:t>
      </w:r>
      <w:proofErr w:type="gramEnd"/>
      <w:r w:rsidRPr="00AD2658">
        <w:t xml:space="preserve">, rats were </w:t>
      </w:r>
      <w:proofErr w:type="spellStart"/>
      <w:r w:rsidRPr="00AD2658">
        <w:t>intraperitoneally</w:t>
      </w:r>
      <w:proofErr w:type="spellEnd"/>
      <w:r w:rsidRPr="00AD2658">
        <w:t xml:space="preserve"> injected with Pentobarbital 4 mg/kg.  The</w:t>
      </w:r>
      <w:r>
        <w:t xml:space="preserve"> animals underwent laminectomy to expose the L4-L5 spinal segment and a tungsten microelectrode (10 </w:t>
      </w:r>
      <w:proofErr w:type="spellStart"/>
      <w:r>
        <w:t>μm</w:t>
      </w:r>
      <w:proofErr w:type="spellEnd"/>
      <w:r>
        <w:t xml:space="preserve">-tip, Frederick </w:t>
      </w:r>
      <w:proofErr w:type="spellStart"/>
      <w:r>
        <w:t>Haer</w:t>
      </w:r>
      <w:proofErr w:type="spellEnd"/>
      <w:r>
        <w:t xml:space="preserve"> Co., Brunswick, ME, USA) was vertically positioned with an </w:t>
      </w:r>
      <w:proofErr w:type="spellStart"/>
      <w:r>
        <w:t>electronical</w:t>
      </w:r>
      <w:proofErr w:type="spellEnd"/>
      <w:r>
        <w:t xml:space="preserve"> </w:t>
      </w:r>
      <w:proofErr w:type="spellStart"/>
      <w:r>
        <w:t>micropositioner</w:t>
      </w:r>
      <w:proofErr w:type="spellEnd"/>
      <w:r>
        <w:t xml:space="preserve"> at 400–600 </w:t>
      </w:r>
      <w:proofErr w:type="spellStart"/>
      <w:r>
        <w:t>μm</w:t>
      </w:r>
      <w:proofErr w:type="spellEnd"/>
      <w:r>
        <w:t xml:space="preserve"> in depth in the spinal cord dorsal horn (Model 660 </w:t>
      </w:r>
      <w:proofErr w:type="spellStart"/>
      <w:r>
        <w:t>micropositioner</w:t>
      </w:r>
      <w:proofErr w:type="spellEnd"/>
      <w:r>
        <w:t xml:space="preserve">, David Kopf Instruments, Tujunga, CA, USA). </w:t>
      </w:r>
      <w:proofErr w:type="spellStart"/>
      <w:r>
        <w:t>SciWorks</w:t>
      </w:r>
      <w:proofErr w:type="spellEnd"/>
      <w:r>
        <w:t xml:space="preserve"> (</w:t>
      </w:r>
      <w:proofErr w:type="spellStart"/>
      <w:r>
        <w:t>Datawave</w:t>
      </w:r>
      <w:proofErr w:type="spellEnd"/>
      <w:r>
        <w:t xml:space="preserve"> Technologies, Loveland, CO, USA) was used to acquire and digitalize the neuronal electrical activity during spontaneous and evoked response by light tactile (sable-hair brush</w:t>
      </w:r>
      <w:r w:rsidR="00BD3B79">
        <w:t>, light Von Frey (VF) hairs</w:t>
      </w:r>
      <w:r>
        <w:t xml:space="preserve">), </w:t>
      </w:r>
      <w:r w:rsidRPr="00903D6A">
        <w:t>moderate noxious tactile (press)</w:t>
      </w:r>
      <w:r w:rsidR="00BD3B79">
        <w:t xml:space="preserve"> and painful stimuli (pinching). </w:t>
      </w:r>
      <w:r w:rsidRPr="00903D6A">
        <w:t xml:space="preserve"> Neuronal activity was </w:t>
      </w:r>
      <w:r w:rsidR="005A3FCF">
        <w:t>discriminated, sorted and analyz</w:t>
      </w:r>
      <w:bookmarkStart w:id="0" w:name="_GoBack"/>
      <w:bookmarkEnd w:id="0"/>
      <w:r w:rsidRPr="00903D6A">
        <w:t xml:space="preserve">ed by principal components analysis offline using </w:t>
      </w:r>
      <w:proofErr w:type="spellStart"/>
      <w:r w:rsidRPr="00903D6A">
        <w:t>SciWorks</w:t>
      </w:r>
      <w:proofErr w:type="spellEnd"/>
      <w:r w:rsidRPr="00903D6A">
        <w:t xml:space="preserve"> (v7.0, </w:t>
      </w:r>
      <w:proofErr w:type="spellStart"/>
      <w:r w:rsidRPr="00903D6A">
        <w:t>Datawave</w:t>
      </w:r>
      <w:proofErr w:type="spellEnd"/>
      <w:r w:rsidRPr="00903D6A">
        <w:t xml:space="preserve"> Technologies, Berthoud, CO, USA). Stimulus-evoked activity </w:t>
      </w:r>
      <w:proofErr w:type="gramStart"/>
      <w:r w:rsidRPr="00903D6A">
        <w:t>was quantified</w:t>
      </w:r>
      <w:proofErr w:type="gramEnd"/>
      <w:r w:rsidRPr="00903D6A">
        <w:t xml:space="preserve"> by calculating the number of spikes/seconds [6, 7].</w:t>
      </w:r>
    </w:p>
    <w:p w:rsidR="00434089" w:rsidRDefault="00434089">
      <w:pPr>
        <w:spacing w:before="0" w:after="0" w:line="480" w:lineRule="auto"/>
        <w:rPr>
          <w:u w:val="single"/>
        </w:rPr>
      </w:pPr>
    </w:p>
    <w:p w:rsidR="00434089" w:rsidRPr="00434089" w:rsidRDefault="00434089">
      <w:pPr>
        <w:spacing w:before="0" w:after="0" w:line="480" w:lineRule="auto"/>
        <w:rPr>
          <w:u w:val="single"/>
        </w:rPr>
      </w:pPr>
      <w:r w:rsidRPr="00434089">
        <w:rPr>
          <w:u w:val="single"/>
        </w:rPr>
        <w:t>Sampling</w:t>
      </w:r>
    </w:p>
    <w:p w:rsidR="00D408EC" w:rsidRDefault="00434089" w:rsidP="00434089">
      <w:pPr>
        <w:spacing w:before="0" w:after="0" w:line="480" w:lineRule="auto"/>
      </w:pPr>
      <w:proofErr w:type="gramStart"/>
      <w:r w:rsidRPr="00434089">
        <w:t>Immediately after sacrifice, the L4-L6 DRGs with the corresponding spinal cord segments were rapidly dissected out and either frozen at −80°C for western blot analyses or fixed by immersion in freshly prepared 4% phosphate-buffered paraformaldehyde, pH 7.3, for 4–6 h at 4°C, and then rinsed overnight in 0.1 M phosphate buffer (PB), pH 7.3, containing 20% sucrose for immunohistochemistry.</w:t>
      </w:r>
      <w:proofErr w:type="gramEnd"/>
      <w:r w:rsidRPr="00434089">
        <w:t xml:space="preserve"> After sucrose infiltration, samples were embedded in Optimal Cutting Temperature (OCT) medium for cryostat sectioning. For each assay, the investigator was blind with respect to the experimental condition of rats.</w:t>
      </w:r>
    </w:p>
    <w:p w:rsidR="00BA1D5B" w:rsidRDefault="00BA1D5B">
      <w:pPr>
        <w:shd w:val="clear" w:color="auto" w:fill="FFFFFF"/>
        <w:spacing w:before="308" w:after="154" w:line="240" w:lineRule="auto"/>
        <w:ind w:right="849"/>
        <w:rPr>
          <w:u w:val="single"/>
        </w:rPr>
      </w:pPr>
    </w:p>
    <w:p w:rsidR="00D408EC" w:rsidRDefault="00BB3045">
      <w:pPr>
        <w:shd w:val="clear" w:color="auto" w:fill="FFFFFF"/>
        <w:spacing w:before="308" w:after="154" w:line="240" w:lineRule="auto"/>
        <w:ind w:right="849"/>
        <w:rPr>
          <w:u w:val="single"/>
        </w:rPr>
      </w:pPr>
      <w:r>
        <w:rPr>
          <w:u w:val="single"/>
        </w:rPr>
        <w:lastRenderedPageBreak/>
        <w:t>Western blot</w:t>
      </w:r>
    </w:p>
    <w:p w:rsidR="00D408EC" w:rsidRDefault="00BB3045">
      <w:pPr>
        <w:shd w:val="clear" w:color="auto" w:fill="FFFFFF"/>
        <w:spacing w:before="166" w:after="166" w:line="480" w:lineRule="auto"/>
      </w:pPr>
      <w:r>
        <w:t xml:space="preserve">Tissue homogenates of 5 pools of 3 DRGs (L4-L6) and 5 spinal cord segments from 5 animals per group (5 BTZ-treated and 5 controls) were homogenized in distilled water containing 2% sodium dodecyl sulfate (SDS; 300 </w:t>
      </w:r>
      <w:proofErr w:type="spellStart"/>
      <w:r>
        <w:t>μl</w:t>
      </w:r>
      <w:proofErr w:type="spellEnd"/>
      <w:r>
        <w:t>/100 mg of tissue) and a cocktail of protease inhibitors (</w:t>
      </w:r>
      <w:proofErr w:type="spellStart"/>
      <w:r>
        <w:t>completeTM</w:t>
      </w:r>
      <w:proofErr w:type="spellEnd"/>
      <w:r>
        <w:t>, Mini Protease Inhibitor Cocktail Tablets, Cat# 11697498001, Roche, Basel, Switzerland).</w:t>
      </w:r>
    </w:p>
    <w:p w:rsidR="00D408EC" w:rsidRDefault="00BB3045">
      <w:pPr>
        <w:pBdr>
          <w:top w:val="nil"/>
          <w:left w:val="nil"/>
          <w:bottom w:val="nil"/>
          <w:right w:val="nil"/>
          <w:between w:val="nil"/>
        </w:pBdr>
        <w:shd w:val="clear" w:color="auto" w:fill="FFFFFF"/>
        <w:spacing w:before="0" w:after="0" w:line="480" w:lineRule="auto"/>
      </w:pPr>
      <w:r>
        <w:t xml:space="preserve">Protein concentrations were determined using the Lowry method [8] with bovine serum albumin as the standard. </w:t>
      </w:r>
      <w:proofErr w:type="gramStart"/>
      <w:r>
        <w:t xml:space="preserve">Proteins, 40 </w:t>
      </w:r>
      <w:proofErr w:type="spellStart"/>
      <w:r>
        <w:t>μg</w:t>
      </w:r>
      <w:proofErr w:type="spellEnd"/>
      <w:r>
        <w:t xml:space="preserve"> for each tissue homogenate, diluted 3:1 in 4× loading buffer (</w:t>
      </w:r>
      <w:proofErr w:type="spellStart"/>
      <w:r>
        <w:t>NuPAGE</w:t>
      </w:r>
      <w:proofErr w:type="spellEnd"/>
      <w:r>
        <w:t xml:space="preserve"> LDS Sample Buffer 4×, </w:t>
      </w:r>
      <w:proofErr w:type="spellStart"/>
      <w:r>
        <w:t>Novex</w:t>
      </w:r>
      <w:proofErr w:type="spellEnd"/>
      <w:r>
        <w:t xml:space="preserve"> </w:t>
      </w:r>
      <w:proofErr w:type="spellStart"/>
      <w:r>
        <w:t>ThermoFisher</w:t>
      </w:r>
      <w:proofErr w:type="spellEnd"/>
      <w:r>
        <w:t xml:space="preserve"> Scientific, Waltham, MA, USA), were heated to 95°C for 7 min and separated by SDS-polyacrylamide gel electrophoresis using precast polyacrylamide gradient gel (</w:t>
      </w:r>
      <w:proofErr w:type="spellStart"/>
      <w:r>
        <w:t>NuPAGE</w:t>
      </w:r>
      <w:proofErr w:type="spellEnd"/>
      <w:r>
        <w:t xml:space="preserve"> 4–12% </w:t>
      </w:r>
      <w:proofErr w:type="spellStart"/>
      <w:r>
        <w:t>Bis-Tris</w:t>
      </w:r>
      <w:proofErr w:type="spellEnd"/>
      <w:r>
        <w:t xml:space="preserve"> Gel Midi, </w:t>
      </w:r>
      <w:proofErr w:type="spellStart"/>
      <w:r>
        <w:t>Novex</w:t>
      </w:r>
      <w:proofErr w:type="spellEnd"/>
      <w:r>
        <w:t xml:space="preserve">, </w:t>
      </w:r>
      <w:proofErr w:type="spellStart"/>
      <w:r>
        <w:t>ThermoFisher</w:t>
      </w:r>
      <w:proofErr w:type="spellEnd"/>
      <w:r>
        <w:t xml:space="preserve"> Scientific, Waltham, MA, USA) in the XCell4 Sure-Lock Midi-Cell chamber (</w:t>
      </w:r>
      <w:proofErr w:type="spellStart"/>
      <w:r>
        <w:t>ThermoFisher</w:t>
      </w:r>
      <w:proofErr w:type="spellEnd"/>
      <w:r>
        <w:t xml:space="preserve"> Scientific, Waltham, MA, USA).</w:t>
      </w:r>
      <w:proofErr w:type="gramEnd"/>
      <w:r>
        <w:t xml:space="preserve"> Internal molecular weight (MW) standards (Precision </w:t>
      </w:r>
      <w:proofErr w:type="gramStart"/>
      <w:r>
        <w:t>Plus</w:t>
      </w:r>
      <w:proofErr w:type="gramEnd"/>
      <w:r>
        <w:t xml:space="preserve"> Protein </w:t>
      </w:r>
      <w:proofErr w:type="spellStart"/>
      <w:r>
        <w:t>WesternC</w:t>
      </w:r>
      <w:proofErr w:type="spellEnd"/>
      <w:r>
        <w:t xml:space="preserve"> Standards, Bio-Rad, Hercules, CA, USA) were run in parallel. Two gels at a time were run for </w:t>
      </w:r>
      <w:proofErr w:type="spellStart"/>
      <w:r>
        <w:t>Coomassie</w:t>
      </w:r>
      <w:proofErr w:type="spellEnd"/>
      <w:r>
        <w:t xml:space="preserve"> staining and immunoblotting, respectively. Proteins for immunoblotting were </w:t>
      </w:r>
      <w:proofErr w:type="spellStart"/>
      <w:r>
        <w:t>electrophoretically</w:t>
      </w:r>
      <w:proofErr w:type="spellEnd"/>
      <w:r>
        <w:t xml:space="preserve"> transferred on a </w:t>
      </w:r>
      <w:proofErr w:type="spellStart"/>
      <w:r>
        <w:t>polyvinylidene</w:t>
      </w:r>
      <w:proofErr w:type="spellEnd"/>
      <w:r>
        <w:t xml:space="preserve"> fluoride membrane (</w:t>
      </w:r>
      <w:proofErr w:type="spellStart"/>
      <w:r>
        <w:t>Amersham</w:t>
      </w:r>
      <w:proofErr w:type="spellEnd"/>
      <w:r>
        <w:t xml:space="preserve"> </w:t>
      </w:r>
      <w:proofErr w:type="spellStart"/>
      <w:r>
        <w:t>Hybond</w:t>
      </w:r>
      <w:proofErr w:type="spellEnd"/>
      <w:r>
        <w:t xml:space="preserve">-P, GE Healthcare, Little Chalfont, UK) using the Criterion Blotter (Bio-Rad). Blots </w:t>
      </w:r>
      <w:proofErr w:type="gramStart"/>
      <w:r>
        <w:t>were blocked</w:t>
      </w:r>
      <w:proofErr w:type="gramEnd"/>
      <w:r>
        <w:t xml:space="preserve"> by immersion in 20 </w:t>
      </w:r>
      <w:proofErr w:type="spellStart"/>
      <w:r>
        <w:t>mM</w:t>
      </w:r>
      <w:proofErr w:type="spellEnd"/>
      <w:r>
        <w:t xml:space="preserve"> </w:t>
      </w:r>
      <w:proofErr w:type="spellStart"/>
      <w:r>
        <w:t>Tris</w:t>
      </w:r>
      <w:proofErr w:type="spellEnd"/>
      <w:r>
        <w:t xml:space="preserve"> base and 137 </w:t>
      </w:r>
      <w:proofErr w:type="spellStart"/>
      <w:r>
        <w:t>mM</w:t>
      </w:r>
      <w:proofErr w:type="spellEnd"/>
      <w:r>
        <w:t xml:space="preserve"> sodium chloride (TBS), containing 0.1% Tween 20 (TBS/T) and 5% milk powder, for 60 min, at room temperature. The primary antibodies were rabbit polyclonal antibodies directed against CB1R (Synaptic System, </w:t>
      </w:r>
      <w:proofErr w:type="spellStart"/>
      <w:r>
        <w:t>Göttingen</w:t>
      </w:r>
      <w:proofErr w:type="spellEnd"/>
      <w:r>
        <w:t xml:space="preserve">, Germany), diluted 1:500, and CB2R (Cayman Chemical, Ann Arbor, </w:t>
      </w:r>
      <w:proofErr w:type="spellStart"/>
      <w:r>
        <w:t>Mi</w:t>
      </w:r>
      <w:proofErr w:type="spellEnd"/>
      <w:r>
        <w:t xml:space="preserve">, USA), diluted 1:1000 in TBS/T containing 5% milk powder and 0.02% sodium </w:t>
      </w:r>
      <w:proofErr w:type="spellStart"/>
      <w:r>
        <w:t>azide</w:t>
      </w:r>
      <w:proofErr w:type="spellEnd"/>
      <w:r>
        <w:t xml:space="preserve">. Incubations with primary antiserum </w:t>
      </w:r>
      <w:proofErr w:type="gramStart"/>
      <w:r>
        <w:t>were carried out</w:t>
      </w:r>
      <w:proofErr w:type="gramEnd"/>
      <w:r>
        <w:t xml:space="preserve"> for one night at 4°C. </w:t>
      </w:r>
      <w:proofErr w:type="gramStart"/>
      <w:r>
        <w:t xml:space="preserve">After rinsing in TBS/T, blots were incubated at room temperature, for 60 min, with peroxidase-conjugated goat anti-rabbit serum (Cat#9169, Sigma Aldrich, St. Louis, MO, USA), diluted 1:10,000 in TBS/T. Controls for equal-loading of the wells were obtained by immunostaining the membranes, as above, using a mouse monoclonal antibody against glyceraldehyde-3-phosphate dehydrogenase (GAPDH; MAB374, </w:t>
      </w:r>
      <w:r>
        <w:lastRenderedPageBreak/>
        <w:t>Merck Millipore), diluted 1:1,000, as the primary antiserum, and a peroxidase-conjugated goat anti-mouse serum (AP124P, Merck Millipore), diluted 1:5,000, as the secondary antiserum.</w:t>
      </w:r>
      <w:proofErr w:type="gramEnd"/>
      <w:r>
        <w:t xml:space="preserve"> To control for non-specific staining, blots </w:t>
      </w:r>
      <w:proofErr w:type="gramStart"/>
      <w:r>
        <w:t>were stripped and incubated with the relevant secondary antiserum</w:t>
      </w:r>
      <w:proofErr w:type="gramEnd"/>
      <w:r>
        <w:t xml:space="preserve">. After rinsing in TBS/T, protein bands were developed using the Clarity Max ECL Substrate (Cat# 1705062, Bio-Rad), according to the protocol provided by the manufacturer, and visualized using the </w:t>
      </w:r>
      <w:proofErr w:type="spellStart"/>
      <w:r>
        <w:t>ImageQuant</w:t>
      </w:r>
      <w:proofErr w:type="spellEnd"/>
      <w:r>
        <w:t xml:space="preserve"> LAS-4000 (GE Healthcare). Approximate MW and relative optical density (O.D.) of the labeled protein bands were evaluated by an examiner who was not aware of the </w:t>
      </w:r>
      <w:proofErr w:type="gramStart"/>
      <w:r>
        <w:t>rat line</w:t>
      </w:r>
      <w:proofErr w:type="gramEnd"/>
      <w:r>
        <w:t xml:space="preserve"> from which the tissue analyzed was obtained. The ratio of the intensity of the CB1R- and CB2R-positive bands to the intensity of the GAPDH-positive ones </w:t>
      </w:r>
      <w:proofErr w:type="gramStart"/>
      <w:r>
        <w:t>was used</w:t>
      </w:r>
      <w:proofErr w:type="gramEnd"/>
      <w:r>
        <w:t xml:space="preserve"> to compare the relative expression levels of these proteins in the controls and BTZ-treated rats. </w:t>
      </w:r>
    </w:p>
    <w:p w:rsidR="00D408EC" w:rsidRDefault="00BB3045">
      <w:pPr>
        <w:pBdr>
          <w:top w:val="nil"/>
          <w:left w:val="nil"/>
          <w:bottom w:val="nil"/>
          <w:right w:val="nil"/>
          <w:between w:val="nil"/>
        </w:pBdr>
        <w:shd w:val="clear" w:color="auto" w:fill="FFFFFF"/>
        <w:spacing w:before="0" w:after="0" w:line="480" w:lineRule="auto"/>
      </w:pPr>
      <w:r>
        <w:t xml:space="preserve">The O.D. </w:t>
      </w:r>
      <w:proofErr w:type="gramStart"/>
      <w:r>
        <w:t>was quantified</w:t>
      </w:r>
      <w:proofErr w:type="gramEnd"/>
      <w:r>
        <w:t xml:space="preserve"> by Image Studio Lite Software (Li-Cor, </w:t>
      </w:r>
      <w:hyperlink r:id="rId5">
        <w:r>
          <w:rPr>
            <w:u w:val="single"/>
          </w:rPr>
          <w:t>http:/www.licor.com/bio/products/software/image_studio_lite/</w:t>
        </w:r>
      </w:hyperlink>
      <w:r>
        <w:t>) and is shown as histograms in Figure 4.</w:t>
      </w:r>
    </w:p>
    <w:p w:rsidR="00D408EC" w:rsidRDefault="00BB3045">
      <w:pPr>
        <w:shd w:val="clear" w:color="auto" w:fill="FFFFFF"/>
        <w:spacing w:before="308" w:after="154" w:line="240" w:lineRule="auto"/>
        <w:ind w:right="849"/>
        <w:rPr>
          <w:u w:val="single"/>
        </w:rPr>
      </w:pPr>
      <w:r>
        <w:rPr>
          <w:u w:val="single"/>
        </w:rPr>
        <w:t>Immunohistochemistry</w:t>
      </w:r>
    </w:p>
    <w:p w:rsidR="00D408EC" w:rsidRDefault="00BB3045">
      <w:pPr>
        <w:pBdr>
          <w:top w:val="nil"/>
          <w:left w:val="nil"/>
          <w:bottom w:val="nil"/>
          <w:right w:val="nil"/>
          <w:between w:val="nil"/>
        </w:pBdr>
        <w:shd w:val="clear" w:color="auto" w:fill="FFFFFF"/>
        <w:spacing w:before="166" w:after="166" w:line="480" w:lineRule="auto"/>
      </w:pPr>
      <w:r>
        <w:t xml:space="preserve">Cryostat sections (14 </w:t>
      </w:r>
      <w:proofErr w:type="spellStart"/>
      <w:r>
        <w:t>μm</w:t>
      </w:r>
      <w:proofErr w:type="spellEnd"/>
      <w:r>
        <w:t xml:space="preserve"> thick) of </w:t>
      </w:r>
      <w:proofErr w:type="gramStart"/>
      <w:r>
        <w:t>3</w:t>
      </w:r>
      <w:proofErr w:type="gramEnd"/>
      <w:r>
        <w:t xml:space="preserve"> DRGs (L4-L6)/animal (n=3) and lumbar-sacral spinal cord segments (n=5) for each group (control and BTZ-treated) were collected on chrome alum-gelatin coated slides and processed by the </w:t>
      </w:r>
      <w:proofErr w:type="spellStart"/>
      <w:r>
        <w:t>avidin</w:t>
      </w:r>
      <w:proofErr w:type="spellEnd"/>
      <w:r>
        <w:t xml:space="preserve">–biotin–peroxidase complex (ABC) </w:t>
      </w:r>
      <w:proofErr w:type="spellStart"/>
      <w:r>
        <w:t>immunohistochemical</w:t>
      </w:r>
      <w:proofErr w:type="spellEnd"/>
      <w:r>
        <w:t xml:space="preserve"> technique. </w:t>
      </w:r>
      <w:proofErr w:type="gramStart"/>
      <w:r>
        <w:t xml:space="preserve">The endogenous peroxidase activity was blocked with 0.1% </w:t>
      </w:r>
      <w:proofErr w:type="spellStart"/>
      <w:r>
        <w:t>phenylhydrazine</w:t>
      </w:r>
      <w:proofErr w:type="spellEnd"/>
      <w:r>
        <w:t xml:space="preserve"> in phosphate buffered saline (PBS) containing 0.2% Triton X-100 (PBS/T) followed by incubation with 20% of either normal goat or normal horse serum (Vector, Burlingame, CA, USA) for 1 </w:t>
      </w:r>
      <w:proofErr w:type="spellStart"/>
      <w:r>
        <w:t>h at</w:t>
      </w:r>
      <w:proofErr w:type="spellEnd"/>
      <w:r>
        <w:t xml:space="preserve"> RT and then incubated with rabbit polyclonal antibody against CB1R (Synaptic System, Germany), diluted 1:1000, and against CB2R (Cayman Chemical, Ann Arbor, </w:t>
      </w:r>
      <w:proofErr w:type="spellStart"/>
      <w:r>
        <w:t>Mi</w:t>
      </w:r>
      <w:proofErr w:type="spellEnd"/>
      <w:r>
        <w:t>, USA), diluted 1:600 in PBS/T, as primary antibodies.</w:t>
      </w:r>
      <w:proofErr w:type="gramEnd"/>
      <w:r>
        <w:t xml:space="preserve"> Incubations with primary antiserum </w:t>
      </w:r>
      <w:proofErr w:type="gramStart"/>
      <w:r>
        <w:t>were carried</w:t>
      </w:r>
      <w:proofErr w:type="gramEnd"/>
      <w:r>
        <w:t xml:space="preserve"> out overnight at 4 °C. Biotin-conjugated goat anti-rabbit serum (Vector, Burlingame, CA, USA), diluted 1:400, was used as </w:t>
      </w:r>
      <w:r>
        <w:lastRenderedPageBreak/>
        <w:t>secondary antiserum. The ABC (</w:t>
      </w:r>
      <w:proofErr w:type="spellStart"/>
      <w:r>
        <w:t>BioSpa</w:t>
      </w:r>
      <w:proofErr w:type="spellEnd"/>
      <w:r>
        <w:t xml:space="preserve"> Div. Milan, Italy), diluted 1:250, followed by a solution of 0.1 M PB, pH 7.3, containing 0.05% 3</w:t>
      </w:r>
      <w:proofErr w:type="gramStart"/>
      <w:r>
        <w:t>,3</w:t>
      </w:r>
      <w:proofErr w:type="gramEnd"/>
      <w:r>
        <w:t xml:space="preserve">′-diaminobenzidine (Sigma, Milan, Italy), 0.01% hydrogen peroxide and 0.04% nickel ammonium sulfate was used to reveal the reaction product. Incubations with secondary antiserum and ABC lasted 60 min and </w:t>
      </w:r>
      <w:proofErr w:type="gramStart"/>
      <w:r>
        <w:t>were performed</w:t>
      </w:r>
      <w:proofErr w:type="gramEnd"/>
      <w:r>
        <w:t xml:space="preserve"> at RT. Negative control preparations were obtained by omitting the primary antibody or by substituting it with normal goat serum. </w:t>
      </w:r>
      <w:proofErr w:type="gramStart"/>
      <w:r>
        <w:t>Slides were examined by the same examiner blinded to animals’ treatment with an Olympus BX61 microscope</w:t>
      </w:r>
      <w:proofErr w:type="gramEnd"/>
      <w:r>
        <w:t xml:space="preserve"> and digital images were captured with a Leica DF 450C camera.</w:t>
      </w:r>
    </w:p>
    <w:p w:rsidR="00D408EC" w:rsidRDefault="00BB3045">
      <w:pPr>
        <w:shd w:val="clear" w:color="auto" w:fill="FFFFFF"/>
        <w:spacing w:before="308" w:after="154" w:line="240" w:lineRule="auto"/>
        <w:rPr>
          <w:u w:val="single"/>
        </w:rPr>
      </w:pPr>
      <w:r>
        <w:rPr>
          <w:u w:val="single"/>
        </w:rPr>
        <w:t>Image Densitometry</w:t>
      </w:r>
    </w:p>
    <w:p w:rsidR="00D408EC" w:rsidRDefault="00BB3045">
      <w:pPr>
        <w:shd w:val="clear" w:color="auto" w:fill="FFFFFF"/>
        <w:spacing w:before="166" w:after="166" w:line="480" w:lineRule="auto"/>
      </w:pPr>
      <w:r>
        <w:t xml:space="preserve">For the quantitative evaluation of the CB1R and CB2R </w:t>
      </w:r>
      <w:proofErr w:type="spellStart"/>
      <w:r>
        <w:t>immunohistochemical</w:t>
      </w:r>
      <w:proofErr w:type="spellEnd"/>
      <w:r>
        <w:t xml:space="preserve"> labeling, representative 10× magnification microscopic fields, were taken from 15 DRG sections (5 L4, 5 L5, </w:t>
      </w:r>
      <w:proofErr w:type="gramStart"/>
      <w:r>
        <w:t>5</w:t>
      </w:r>
      <w:proofErr w:type="gramEnd"/>
      <w:r>
        <w:t xml:space="preserve"> L6)/animal and five transverse sections of spinal cord dorsal horn/animal for each condition. The sections </w:t>
      </w:r>
      <w:proofErr w:type="gramStart"/>
      <w:r>
        <w:t>were blindly analyzed</w:t>
      </w:r>
      <w:proofErr w:type="gramEnd"/>
      <w:r>
        <w:t xml:space="preserve"> with </w:t>
      </w:r>
      <w:proofErr w:type="spellStart"/>
      <w:r>
        <w:t>ImageJ</w:t>
      </w:r>
      <w:proofErr w:type="spellEnd"/>
      <w:r>
        <w:t xml:space="preserve"> (</w:t>
      </w:r>
      <w:hyperlink r:id="rId6">
        <w:r>
          <w:rPr>
            <w:u w:val="single"/>
          </w:rPr>
          <w:t>http://rsb.info.nih.gov/ij/</w:t>
        </w:r>
      </w:hyperlink>
      <w:r>
        <w:t xml:space="preserve">) to calculate the density of </w:t>
      </w:r>
      <w:proofErr w:type="spellStart"/>
      <w:r>
        <w:t>immunoreactivity</w:t>
      </w:r>
      <w:proofErr w:type="spellEnd"/>
      <w:r>
        <w:t xml:space="preserve"> per µm</w:t>
      </w:r>
      <w:r>
        <w:rPr>
          <w:vertAlign w:val="superscript"/>
        </w:rPr>
        <w:t>2</w:t>
      </w:r>
      <w:r>
        <w:t xml:space="preserve">. To exclude the background staining, mean gray values from the unstained areas </w:t>
      </w:r>
      <w:proofErr w:type="gramStart"/>
      <w:r>
        <w:t>were subtracted</w:t>
      </w:r>
      <w:proofErr w:type="gramEnd"/>
      <w:r>
        <w:t xml:space="preserve"> from the gray values of the </w:t>
      </w:r>
      <w:proofErr w:type="spellStart"/>
      <w:r>
        <w:t>immunostained</w:t>
      </w:r>
      <w:proofErr w:type="spellEnd"/>
      <w:r>
        <w:t xml:space="preserve"> regions.</w:t>
      </w:r>
    </w:p>
    <w:p w:rsidR="00D408EC" w:rsidRDefault="00BB3045">
      <w:pPr>
        <w:shd w:val="clear" w:color="auto" w:fill="FFFFFF"/>
        <w:spacing w:before="308" w:after="154" w:line="240" w:lineRule="auto"/>
        <w:rPr>
          <w:u w:val="single"/>
        </w:rPr>
      </w:pPr>
      <w:r>
        <w:rPr>
          <w:u w:val="single"/>
        </w:rPr>
        <w:t>Statistical Analyses</w:t>
      </w:r>
    </w:p>
    <w:p w:rsidR="00D408EC" w:rsidRDefault="00BB3045">
      <w:pPr>
        <w:shd w:val="clear" w:color="auto" w:fill="FFFFFF"/>
        <w:spacing w:before="166" w:after="166" w:line="480" w:lineRule="auto"/>
      </w:pPr>
      <w:r w:rsidRPr="00CD01FC">
        <w:t xml:space="preserve">The data from behavioral test, </w:t>
      </w:r>
      <w:proofErr w:type="spellStart"/>
      <w:r w:rsidRPr="00CD01FC">
        <w:t>Neurometer</w:t>
      </w:r>
      <w:proofErr w:type="spellEnd"/>
      <w:r w:rsidRPr="00CD01FC">
        <w:t xml:space="preserve"> and WDR neurons recordings </w:t>
      </w:r>
      <w:proofErr w:type="gramStart"/>
      <w:r w:rsidRPr="00CD01FC">
        <w:t>were analyzed</w:t>
      </w:r>
      <w:proofErr w:type="gramEnd"/>
      <w:r w:rsidRPr="00CD01FC">
        <w:t xml:space="preserve"> </w:t>
      </w:r>
      <w:r w:rsidRPr="00CD01FC">
        <w:rPr>
          <w:color w:val="000000"/>
        </w:rPr>
        <w:t>by nonparametric unpaired two-tailed Mann-Whitney test,</w:t>
      </w:r>
      <w:r>
        <w:rPr>
          <w:color w:val="000000"/>
        </w:rPr>
        <w:t xml:space="preserve"> and </w:t>
      </w:r>
      <w:r>
        <w:t xml:space="preserve">WB and </w:t>
      </w:r>
      <w:proofErr w:type="spellStart"/>
      <w:r>
        <w:t>immunohistochemical</w:t>
      </w:r>
      <w:proofErr w:type="spellEnd"/>
      <w:r>
        <w:t xml:space="preserve"> data were statistically evaluated using the unpaired, two-sided Student’s </w:t>
      </w:r>
      <w:r>
        <w:rPr>
          <w:i/>
        </w:rPr>
        <w:t>t</w:t>
      </w:r>
      <w:r>
        <w:t xml:space="preserve"> test. Statistical analyses </w:t>
      </w:r>
      <w:proofErr w:type="gramStart"/>
      <w:r>
        <w:t>were all carried out</w:t>
      </w:r>
      <w:proofErr w:type="gramEnd"/>
      <w:r>
        <w:t xml:space="preserve"> with the PRISM, </w:t>
      </w:r>
      <w:proofErr w:type="spellStart"/>
      <w:r>
        <w:t>GraphPad</w:t>
      </w:r>
      <w:proofErr w:type="spellEnd"/>
      <w:r>
        <w:t xml:space="preserve"> 6 Software (San Diego, CA, USA), with the significance level set at </w:t>
      </w:r>
      <w:r>
        <w:rPr>
          <w:i/>
        </w:rPr>
        <w:t>p</w:t>
      </w:r>
      <w:r>
        <w:t> &lt; 0.05.</w:t>
      </w:r>
    </w:p>
    <w:p w:rsidR="00D408EC" w:rsidRDefault="00BB3045">
      <w:pPr>
        <w:ind w:right="849"/>
      </w:pPr>
      <w:r>
        <w:rPr>
          <w:noProof/>
          <w:lang w:val="it-IT"/>
        </w:rPr>
        <w:lastRenderedPageBreak/>
        <w:drawing>
          <wp:inline distT="0" distB="0" distL="0" distR="0">
            <wp:extent cx="6138051" cy="2498463"/>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4358" t="13832" r="16121" b="28624"/>
                    <a:stretch>
                      <a:fillRect/>
                    </a:stretch>
                  </pic:blipFill>
                  <pic:spPr>
                    <a:xfrm>
                      <a:off x="0" y="0"/>
                      <a:ext cx="6138051" cy="2498463"/>
                    </a:xfrm>
                    <a:prstGeom prst="rect">
                      <a:avLst/>
                    </a:prstGeom>
                    <a:ln/>
                  </pic:spPr>
                </pic:pic>
              </a:graphicData>
            </a:graphic>
          </wp:inline>
        </w:drawing>
      </w:r>
    </w:p>
    <w:p w:rsidR="00D408EC" w:rsidRDefault="00BB3045">
      <w:pPr>
        <w:shd w:val="clear" w:color="auto" w:fill="FFFFFF"/>
        <w:spacing w:before="166" w:after="166" w:line="480" w:lineRule="auto"/>
      </w:pPr>
      <w:r>
        <w:t xml:space="preserve">Table 1: Summary of the experimental plan. The experimental plan was composed of two experiments. In </w:t>
      </w:r>
      <w:r>
        <w:rPr>
          <w:b/>
        </w:rPr>
        <w:t>experiment 1</w:t>
      </w:r>
      <w:r>
        <w:t>, on</w:t>
      </w:r>
      <w:r w:rsidR="00AE435A">
        <w:t xml:space="preserve">e set of rats </w:t>
      </w:r>
      <w:proofErr w:type="gramStart"/>
      <w:r w:rsidR="00AE435A">
        <w:t xml:space="preserve">were </w:t>
      </w:r>
      <w:r>
        <w:t>employed</w:t>
      </w:r>
      <w:proofErr w:type="gramEnd"/>
      <w:r>
        <w:t xml:space="preserve"> for the behavioral and </w:t>
      </w:r>
      <w:proofErr w:type="spellStart"/>
      <w:r>
        <w:t>immunohistochemical</w:t>
      </w:r>
      <w:proofErr w:type="spellEnd"/>
      <w:r>
        <w:t xml:space="preserve"> analyses. Here, the animals were randomized into </w:t>
      </w:r>
      <w:proofErr w:type="gramStart"/>
      <w:r>
        <w:t>2</w:t>
      </w:r>
      <w:proofErr w:type="gramEnd"/>
      <w:r>
        <w:t xml:space="preserve"> groups, one treated with </w:t>
      </w:r>
      <w:proofErr w:type="spellStart"/>
      <w:r>
        <w:t>bortezomib</w:t>
      </w:r>
      <w:proofErr w:type="spellEnd"/>
      <w:r>
        <w:t xml:space="preserve"> (BTZ) and one left untreated (control). In </w:t>
      </w:r>
      <w:r>
        <w:rPr>
          <w:b/>
        </w:rPr>
        <w:t>experiment 2</w:t>
      </w:r>
      <w:r>
        <w:t xml:space="preserve">, the animals were randomized into </w:t>
      </w:r>
      <w:proofErr w:type="gramStart"/>
      <w:r>
        <w:t>2</w:t>
      </w:r>
      <w:proofErr w:type="gramEnd"/>
      <w:r>
        <w:t xml:space="preserve"> groups similarly to experiment 1 (BTZ and control). Here, one set of rats </w:t>
      </w:r>
      <w:proofErr w:type="gramStart"/>
      <w:r>
        <w:t>was dedicated</w:t>
      </w:r>
      <w:proofErr w:type="gramEnd"/>
      <w:r>
        <w:t xml:space="preserve"> to </w:t>
      </w:r>
      <w:proofErr w:type="spellStart"/>
      <w:r>
        <w:t>neurometer</w:t>
      </w:r>
      <w:proofErr w:type="spellEnd"/>
      <w:r>
        <w:t xml:space="preserve"> analysis and the second one for electrophysiological analysis in the dorsal horn of the spinal cord.</w:t>
      </w:r>
    </w:p>
    <w:p w:rsidR="00D408EC" w:rsidRDefault="00D408EC">
      <w:pPr>
        <w:rPr>
          <w:u w:val="single"/>
        </w:rPr>
      </w:pPr>
    </w:p>
    <w:p w:rsidR="00D408EC" w:rsidRDefault="00D408EC"/>
    <w:p w:rsidR="00D408EC" w:rsidRDefault="00D408EC"/>
    <w:p w:rsidR="00D408EC" w:rsidRDefault="00D408EC"/>
    <w:p w:rsidR="00D408EC" w:rsidRDefault="00D408EC"/>
    <w:p w:rsidR="004F2A42" w:rsidRDefault="004F2A42">
      <w:bookmarkStart w:id="1" w:name="_heading=h.gjdgxs" w:colFirst="0" w:colLast="0"/>
      <w:bookmarkEnd w:id="1"/>
    </w:p>
    <w:p w:rsidR="00BA1D5B" w:rsidRDefault="00BA1D5B">
      <w:pPr>
        <w:rPr>
          <w:u w:val="single"/>
        </w:rPr>
      </w:pPr>
    </w:p>
    <w:p w:rsidR="00BA1D5B" w:rsidRDefault="00BA1D5B">
      <w:pPr>
        <w:rPr>
          <w:u w:val="single"/>
        </w:rPr>
      </w:pPr>
    </w:p>
    <w:p w:rsidR="00D408EC" w:rsidRPr="007F13F7" w:rsidRDefault="00BB3045">
      <w:pPr>
        <w:rPr>
          <w:u w:val="single"/>
        </w:rPr>
      </w:pPr>
      <w:r w:rsidRPr="007F13F7">
        <w:rPr>
          <w:u w:val="single"/>
        </w:rPr>
        <w:lastRenderedPageBreak/>
        <w:t>Reference:</w:t>
      </w:r>
    </w:p>
    <w:p w:rsidR="00D408EC" w:rsidRDefault="00BB3045">
      <w:pPr>
        <w:shd w:val="clear" w:color="auto" w:fill="FFFFFF"/>
        <w:spacing w:before="166" w:after="166" w:line="276" w:lineRule="auto"/>
      </w:pPr>
      <w:r>
        <w:t xml:space="preserve">[1] </w:t>
      </w:r>
      <w:proofErr w:type="spellStart"/>
      <w:r>
        <w:t>Meregalli</w:t>
      </w:r>
      <w:proofErr w:type="spellEnd"/>
      <w:r>
        <w:t xml:space="preserve"> C, </w:t>
      </w:r>
      <w:proofErr w:type="spellStart"/>
      <w:r>
        <w:t>Canta</w:t>
      </w:r>
      <w:proofErr w:type="spellEnd"/>
      <w:r>
        <w:t xml:space="preserve"> A, </w:t>
      </w:r>
      <w:proofErr w:type="spellStart"/>
      <w:r>
        <w:t>Carozzi</w:t>
      </w:r>
      <w:proofErr w:type="spellEnd"/>
      <w:r>
        <w:t xml:space="preserve"> VA, </w:t>
      </w:r>
      <w:proofErr w:type="spellStart"/>
      <w:r>
        <w:t>Chiorazzi</w:t>
      </w:r>
      <w:proofErr w:type="spellEnd"/>
      <w:r>
        <w:t xml:space="preserve"> A, </w:t>
      </w:r>
      <w:proofErr w:type="spellStart"/>
      <w:r>
        <w:t>Oggioni</w:t>
      </w:r>
      <w:proofErr w:type="spellEnd"/>
      <w:r>
        <w:t xml:space="preserve"> N, </w:t>
      </w:r>
      <w:proofErr w:type="spellStart"/>
      <w:r>
        <w:t>Gilardini</w:t>
      </w:r>
      <w:proofErr w:type="spellEnd"/>
      <w:r>
        <w:t xml:space="preserve"> A, et al. </w:t>
      </w:r>
      <w:proofErr w:type="spellStart"/>
      <w:r>
        <w:t>Bortezomib</w:t>
      </w:r>
      <w:proofErr w:type="spellEnd"/>
      <w:r>
        <w:t xml:space="preserve">-induced painful neuropathy in rats: a behavioral, neurophysiological and pathological study in rats. </w:t>
      </w:r>
      <w:proofErr w:type="spellStart"/>
      <w:r>
        <w:t>Eur</w:t>
      </w:r>
      <w:proofErr w:type="spellEnd"/>
      <w:r>
        <w:t xml:space="preserve"> J Pain 2010</w:t>
      </w:r>
      <w:proofErr w:type="gramStart"/>
      <w:r>
        <w:t>;14:343</w:t>
      </w:r>
      <w:proofErr w:type="gramEnd"/>
      <w:r>
        <w:t xml:space="preserve">-350. </w:t>
      </w:r>
    </w:p>
    <w:p w:rsidR="00D408EC" w:rsidRDefault="00BB3045">
      <w:pPr>
        <w:shd w:val="clear" w:color="auto" w:fill="FFFFFF"/>
        <w:spacing w:line="240" w:lineRule="auto"/>
      </w:pPr>
      <w:r>
        <w:t xml:space="preserve">[2] </w:t>
      </w:r>
      <w:proofErr w:type="spellStart"/>
      <w:r>
        <w:t>Meregalli</w:t>
      </w:r>
      <w:proofErr w:type="spellEnd"/>
      <w:r>
        <w:t xml:space="preserve"> C, Monza L, </w:t>
      </w:r>
      <w:proofErr w:type="spellStart"/>
      <w:r>
        <w:t>Chiorazzi</w:t>
      </w:r>
      <w:proofErr w:type="spellEnd"/>
      <w:r>
        <w:t xml:space="preserve"> A, </w:t>
      </w:r>
      <w:proofErr w:type="spellStart"/>
      <w:r>
        <w:t>Scali</w:t>
      </w:r>
      <w:proofErr w:type="spellEnd"/>
      <w:r>
        <w:t xml:space="preserve"> C, </w:t>
      </w:r>
      <w:proofErr w:type="spellStart"/>
      <w:r>
        <w:t>Guarnieri</w:t>
      </w:r>
      <w:proofErr w:type="spellEnd"/>
      <w:r>
        <w:t xml:space="preserve"> C, </w:t>
      </w:r>
      <w:proofErr w:type="spellStart"/>
      <w:r>
        <w:t>Fumagalli</w:t>
      </w:r>
      <w:proofErr w:type="spellEnd"/>
      <w:r>
        <w:t xml:space="preserve"> G, et al. Human Intravenous Immunoglobulin Alleviates Neuropathic Symptoms in a Rat Model of Paclitaxel-Induced Peripheral Neurotoxicity. </w:t>
      </w:r>
      <w:proofErr w:type="spellStart"/>
      <w:r>
        <w:t>Int</w:t>
      </w:r>
      <w:proofErr w:type="spellEnd"/>
      <w:r>
        <w:t xml:space="preserve"> J </w:t>
      </w:r>
      <w:proofErr w:type="spellStart"/>
      <w:r>
        <w:t>Mol</w:t>
      </w:r>
      <w:proofErr w:type="spellEnd"/>
      <w:r>
        <w:t xml:space="preserve"> </w:t>
      </w:r>
      <w:proofErr w:type="spellStart"/>
      <w:r>
        <w:t>Sci</w:t>
      </w:r>
      <w:proofErr w:type="spellEnd"/>
      <w:r>
        <w:t> 2021</w:t>
      </w:r>
      <w:proofErr w:type="gramStart"/>
      <w:r>
        <w:t>;22:1058</w:t>
      </w:r>
      <w:proofErr w:type="gramEnd"/>
      <w:r>
        <w:t>. </w:t>
      </w:r>
    </w:p>
    <w:p w:rsidR="00D408EC" w:rsidRDefault="00BB3045">
      <w:pPr>
        <w:shd w:val="clear" w:color="auto" w:fill="FFFFFF"/>
        <w:spacing w:line="240" w:lineRule="auto"/>
      </w:pPr>
      <w:r>
        <w:t xml:space="preserve">[3] </w:t>
      </w:r>
      <w:proofErr w:type="spellStart"/>
      <w:r>
        <w:t>Quartu</w:t>
      </w:r>
      <w:proofErr w:type="spellEnd"/>
      <w:r>
        <w:t xml:space="preserve"> M, </w:t>
      </w:r>
      <w:proofErr w:type="spellStart"/>
      <w:r>
        <w:t>Carozzi</w:t>
      </w:r>
      <w:proofErr w:type="spellEnd"/>
      <w:r>
        <w:t xml:space="preserve"> VA, Dorsey SG, Serra MP, </w:t>
      </w:r>
      <w:proofErr w:type="spellStart"/>
      <w:r>
        <w:t>Poddighe</w:t>
      </w:r>
      <w:proofErr w:type="spellEnd"/>
      <w:r>
        <w:t xml:space="preserve"> L, </w:t>
      </w:r>
      <w:proofErr w:type="spellStart"/>
      <w:r>
        <w:t>Picci</w:t>
      </w:r>
      <w:proofErr w:type="spellEnd"/>
      <w:r>
        <w:t xml:space="preserve"> C, et al. </w:t>
      </w:r>
      <w:hyperlink r:id="rId8">
        <w:proofErr w:type="spellStart"/>
        <w:r>
          <w:t>Bortezomib</w:t>
        </w:r>
        <w:proofErr w:type="spellEnd"/>
        <w:r>
          <w:t xml:space="preserve"> Treatment Produces </w:t>
        </w:r>
        <w:proofErr w:type="spellStart"/>
        <w:r>
          <w:t>Nocifensive</w:t>
        </w:r>
        <w:proofErr w:type="spellEnd"/>
        <w:r>
          <w:t xml:space="preserve"> Behavior and Changes in the Expression of TRPV1, CGRP, and Substance P in the Rat DRG, Spinal Cord, and Sciatic Nerve</w:t>
        </w:r>
      </w:hyperlink>
      <w:r>
        <w:t xml:space="preserve">. Biomed Res </w:t>
      </w:r>
      <w:proofErr w:type="spellStart"/>
      <w:r>
        <w:t>Int</w:t>
      </w:r>
      <w:proofErr w:type="spellEnd"/>
      <w:r>
        <w:t> 2014</w:t>
      </w:r>
      <w:proofErr w:type="gramStart"/>
      <w:r>
        <w:t>;2014:180428</w:t>
      </w:r>
      <w:proofErr w:type="gramEnd"/>
      <w:r>
        <w:t>. </w:t>
      </w:r>
    </w:p>
    <w:p w:rsidR="00D408EC" w:rsidRDefault="00BB3045">
      <w:pPr>
        <w:spacing w:line="276" w:lineRule="auto"/>
      </w:pPr>
      <w:r>
        <w:t xml:space="preserve">[4] Ueda H, Matsumoto M. Novel sensory fiber-specific nociception test with the </w:t>
      </w:r>
      <w:proofErr w:type="spellStart"/>
      <w:r>
        <w:t>Neurometer</w:t>
      </w:r>
      <w:proofErr w:type="spellEnd"/>
      <w:r>
        <w:t xml:space="preserve">. Nihon </w:t>
      </w:r>
      <w:proofErr w:type="spellStart"/>
      <w:r>
        <w:t>YakurigakuZasshi</w:t>
      </w:r>
      <w:proofErr w:type="spellEnd"/>
      <w:r>
        <w:t xml:space="preserve"> 2008</w:t>
      </w:r>
      <w:proofErr w:type="gramStart"/>
      <w:r>
        <w:t>;131:367</w:t>
      </w:r>
      <w:proofErr w:type="gramEnd"/>
      <w:r>
        <w:t xml:space="preserve">-371. </w:t>
      </w:r>
    </w:p>
    <w:p w:rsidR="00D408EC" w:rsidRDefault="00BB3045">
      <w:pPr>
        <w:spacing w:line="276" w:lineRule="auto"/>
      </w:pPr>
      <w:r>
        <w:t xml:space="preserve">[5] Matsumoto M, Inoue M, </w:t>
      </w:r>
      <w:proofErr w:type="spellStart"/>
      <w:r>
        <w:t>Hald</w:t>
      </w:r>
      <w:proofErr w:type="spellEnd"/>
      <w:r>
        <w:t xml:space="preserve"> A, Yamaguchi A, Ueda H. Characterization of three different sensory fibers by use of neonatal capsaicin treatment, spinal antagonism and a novel electrical stimulation-induced paw flexion test. </w:t>
      </w:r>
      <w:proofErr w:type="spellStart"/>
      <w:r>
        <w:t>Mol</w:t>
      </w:r>
      <w:proofErr w:type="spellEnd"/>
      <w:r>
        <w:t xml:space="preserve"> Pain 2006</w:t>
      </w:r>
      <w:proofErr w:type="gramStart"/>
      <w:r>
        <w:t>;2:16</w:t>
      </w:r>
      <w:proofErr w:type="gramEnd"/>
      <w:r>
        <w:t xml:space="preserve">. </w:t>
      </w:r>
    </w:p>
    <w:p w:rsidR="00D408EC" w:rsidRDefault="00BB3045">
      <w:pPr>
        <w:pBdr>
          <w:top w:val="nil"/>
          <w:left w:val="nil"/>
          <w:bottom w:val="nil"/>
          <w:right w:val="nil"/>
          <w:between w:val="nil"/>
        </w:pBdr>
        <w:spacing w:before="0" w:after="0" w:line="276" w:lineRule="auto"/>
      </w:pPr>
      <w:r>
        <w:t xml:space="preserve">[6] </w:t>
      </w:r>
      <w:proofErr w:type="spellStart"/>
      <w:r>
        <w:t>Renn</w:t>
      </w:r>
      <w:proofErr w:type="spellEnd"/>
      <w:r>
        <w:t xml:space="preserve"> CL, </w:t>
      </w:r>
      <w:proofErr w:type="spellStart"/>
      <w:r>
        <w:t>Carozzi</w:t>
      </w:r>
      <w:proofErr w:type="spellEnd"/>
      <w:r>
        <w:t xml:space="preserve"> VA, Rhee P, Gallop D, Dorsey SG, </w:t>
      </w:r>
      <w:proofErr w:type="spellStart"/>
      <w:r>
        <w:t>Cavaletti</w:t>
      </w:r>
      <w:proofErr w:type="spellEnd"/>
      <w:r>
        <w:t xml:space="preserve"> G. Multimodal assessment of painful peripheral neuropathy induced by chronic </w:t>
      </w:r>
      <w:proofErr w:type="spellStart"/>
      <w:r>
        <w:t>oxaliplatin</w:t>
      </w:r>
      <w:proofErr w:type="spellEnd"/>
      <w:r>
        <w:t xml:space="preserve">-based chemotherapy in mice. </w:t>
      </w:r>
      <w:proofErr w:type="spellStart"/>
      <w:r>
        <w:t>Mol</w:t>
      </w:r>
      <w:proofErr w:type="spellEnd"/>
      <w:r>
        <w:t xml:space="preserve"> Pain 2011</w:t>
      </w:r>
      <w:proofErr w:type="gramStart"/>
      <w:r>
        <w:t>;7:29</w:t>
      </w:r>
      <w:proofErr w:type="gramEnd"/>
      <w:r>
        <w:t>.</w:t>
      </w:r>
    </w:p>
    <w:p w:rsidR="00D408EC" w:rsidRDefault="00BB3045">
      <w:pPr>
        <w:pBdr>
          <w:top w:val="nil"/>
          <w:left w:val="nil"/>
          <w:bottom w:val="nil"/>
          <w:right w:val="nil"/>
          <w:between w:val="nil"/>
        </w:pBdr>
        <w:shd w:val="clear" w:color="auto" w:fill="FFFFFF"/>
        <w:spacing w:before="166" w:after="166" w:line="276" w:lineRule="auto"/>
      </w:pPr>
      <w:r>
        <w:t xml:space="preserve">[7] </w:t>
      </w:r>
      <w:proofErr w:type="spellStart"/>
      <w:r>
        <w:t>Marmiroli</w:t>
      </w:r>
      <w:proofErr w:type="spellEnd"/>
      <w:r>
        <w:t xml:space="preserve"> P, Riva B, </w:t>
      </w:r>
      <w:proofErr w:type="spellStart"/>
      <w:r>
        <w:t>Pozzi</w:t>
      </w:r>
      <w:proofErr w:type="spellEnd"/>
      <w:r>
        <w:t xml:space="preserve"> E, </w:t>
      </w:r>
      <w:proofErr w:type="spellStart"/>
      <w:r>
        <w:t>Ballarini</w:t>
      </w:r>
      <w:proofErr w:type="spellEnd"/>
      <w:r>
        <w:t xml:space="preserve"> E, Lim D, </w:t>
      </w:r>
      <w:proofErr w:type="spellStart"/>
      <w:r>
        <w:t>Chiorazzi</w:t>
      </w:r>
      <w:proofErr w:type="spellEnd"/>
      <w:r>
        <w:t xml:space="preserve"> A, et al. Susceptibility of different mouse strains to </w:t>
      </w:r>
      <w:proofErr w:type="spellStart"/>
      <w:r>
        <w:t>oxaliplatin</w:t>
      </w:r>
      <w:proofErr w:type="spellEnd"/>
      <w:r>
        <w:t xml:space="preserve"> peripheral neurotoxicity: Phenotypic and genotypic insights. </w:t>
      </w:r>
      <w:proofErr w:type="spellStart"/>
      <w:r>
        <w:t>PLoS</w:t>
      </w:r>
      <w:proofErr w:type="spellEnd"/>
      <w:r>
        <w:t xml:space="preserve"> One 2017</w:t>
      </w:r>
      <w:proofErr w:type="gramStart"/>
      <w:r>
        <w:t>;12</w:t>
      </w:r>
      <w:proofErr w:type="gramEnd"/>
      <w:r>
        <w:t>(10):e0186250.</w:t>
      </w:r>
    </w:p>
    <w:p w:rsidR="00D408EC" w:rsidRDefault="00BB3045">
      <w:pPr>
        <w:pBdr>
          <w:top w:val="nil"/>
          <w:left w:val="nil"/>
          <w:bottom w:val="nil"/>
          <w:right w:val="nil"/>
          <w:between w:val="nil"/>
        </w:pBdr>
        <w:shd w:val="clear" w:color="auto" w:fill="FFFFFF"/>
        <w:spacing w:before="166" w:after="166" w:line="276" w:lineRule="auto"/>
      </w:pPr>
      <w:r>
        <w:t xml:space="preserve">[8] Lowry OH, </w:t>
      </w:r>
      <w:proofErr w:type="spellStart"/>
      <w:r>
        <w:t>Rosebrough</w:t>
      </w:r>
      <w:proofErr w:type="spellEnd"/>
      <w:r>
        <w:t xml:space="preserve"> NJ, Farr AL, Randall RJ. Protein measurements with the </w:t>
      </w:r>
      <w:proofErr w:type="spellStart"/>
      <w:r>
        <w:t>Folin</w:t>
      </w:r>
      <w:proofErr w:type="spellEnd"/>
      <w:r>
        <w:t xml:space="preserve"> phenol reagent. J </w:t>
      </w:r>
      <w:proofErr w:type="spellStart"/>
      <w:r>
        <w:t>Biol</w:t>
      </w:r>
      <w:proofErr w:type="spellEnd"/>
      <w:r>
        <w:t xml:space="preserve"> </w:t>
      </w:r>
      <w:proofErr w:type="spellStart"/>
      <w:r>
        <w:t>Chem</w:t>
      </w:r>
      <w:proofErr w:type="spellEnd"/>
      <w:r>
        <w:t> 1951</w:t>
      </w:r>
      <w:proofErr w:type="gramStart"/>
      <w:r>
        <w:t>;193:265</w:t>
      </w:r>
      <w:proofErr w:type="gramEnd"/>
      <w:r>
        <w:t>–275.</w:t>
      </w:r>
    </w:p>
    <w:p w:rsidR="00D408EC" w:rsidRDefault="00D408EC">
      <w:pPr>
        <w:ind w:right="849"/>
      </w:pPr>
    </w:p>
    <w:sectPr w:rsidR="00D408EC">
      <w:pgSz w:w="11906" w:h="16838"/>
      <w:pgMar w:top="1418" w:right="849" w:bottom="1701"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EC"/>
    <w:rsid w:val="0014203C"/>
    <w:rsid w:val="00285ABD"/>
    <w:rsid w:val="002D49AB"/>
    <w:rsid w:val="00330D37"/>
    <w:rsid w:val="003358A7"/>
    <w:rsid w:val="00434089"/>
    <w:rsid w:val="00494C6D"/>
    <w:rsid w:val="004F2A42"/>
    <w:rsid w:val="005A3FCF"/>
    <w:rsid w:val="006938BA"/>
    <w:rsid w:val="0070126B"/>
    <w:rsid w:val="007F13F7"/>
    <w:rsid w:val="00832F1E"/>
    <w:rsid w:val="00866710"/>
    <w:rsid w:val="008B3069"/>
    <w:rsid w:val="00903D6A"/>
    <w:rsid w:val="00AD2658"/>
    <w:rsid w:val="00AE435A"/>
    <w:rsid w:val="00BA1D5B"/>
    <w:rsid w:val="00BB3045"/>
    <w:rsid w:val="00BD3B79"/>
    <w:rsid w:val="00BE76E8"/>
    <w:rsid w:val="00C41EC6"/>
    <w:rsid w:val="00C50198"/>
    <w:rsid w:val="00CD01FC"/>
    <w:rsid w:val="00CF55CE"/>
    <w:rsid w:val="00D408EC"/>
    <w:rsid w:val="00EB1C9A"/>
    <w:rsid w:val="00ED01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80EB2"/>
  <w15:docId w15:val="{21E7A4FA-C4DE-4D1E-A881-9B753492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it-IT" w:bidi="ar-SA"/>
      </w:rPr>
    </w:rPrDefault>
    <w:pPrDefault>
      <w:pPr>
        <w:spacing w:before="120" w:after="28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D3FA6"/>
  </w:style>
  <w:style w:type="paragraph" w:styleId="Titolo1">
    <w:name w:val="heading 1"/>
    <w:basedOn w:val="Normale"/>
    <w:next w:val="Normale"/>
    <w:link w:val="Titolo1Carattere"/>
    <w:autoRedefine/>
    <w:uiPriority w:val="9"/>
    <w:qFormat/>
    <w:rsid w:val="00D21A77"/>
    <w:pPr>
      <w:keepNext/>
      <w:keepLines/>
      <w:spacing w:before="480" w:line="276" w:lineRule="auto"/>
      <w:outlineLvl w:val="0"/>
    </w:pPr>
    <w:rPr>
      <w:rFonts w:eastAsiaTheme="majorEastAsia" w:cstheme="majorBidi"/>
      <w:b/>
      <w:bCs/>
      <w:sz w:val="28"/>
      <w:szCs w:val="28"/>
    </w:rPr>
  </w:style>
  <w:style w:type="paragraph" w:styleId="Titolo2">
    <w:name w:val="heading 2"/>
    <w:basedOn w:val="Normale"/>
    <w:next w:val="Normale"/>
    <w:link w:val="Titolo2Carattere"/>
    <w:autoRedefine/>
    <w:uiPriority w:val="9"/>
    <w:unhideWhenUsed/>
    <w:qFormat/>
    <w:rsid w:val="00D21A77"/>
    <w:pPr>
      <w:keepNext/>
      <w:keepLines/>
      <w:spacing w:before="200" w:line="276" w:lineRule="auto"/>
      <w:outlineLvl w:val="1"/>
    </w:pPr>
    <w:rPr>
      <w:rFonts w:eastAsiaTheme="majorEastAsia" w:cstheme="majorBidi"/>
      <w:b/>
      <w:bCs/>
      <w:color w:val="000000" w:themeColor="text1"/>
      <w:sz w:val="26"/>
      <w:szCs w:val="26"/>
    </w:rPr>
  </w:style>
  <w:style w:type="paragraph" w:styleId="Titolo3">
    <w:name w:val="heading 3"/>
    <w:basedOn w:val="Normale"/>
    <w:next w:val="Normale"/>
    <w:link w:val="Titolo3Carattere"/>
    <w:autoRedefine/>
    <w:uiPriority w:val="9"/>
    <w:unhideWhenUsed/>
    <w:qFormat/>
    <w:rsid w:val="00A7053C"/>
    <w:pPr>
      <w:keepNext/>
      <w:keepLines/>
      <w:spacing w:before="40" w:line="259" w:lineRule="auto"/>
      <w:outlineLvl w:val="2"/>
    </w:pPr>
    <w:rPr>
      <w:rFonts w:asciiTheme="majorHAnsi" w:eastAsiaTheme="majorEastAsia" w:hAnsiTheme="majorHAnsi" w:cstheme="majorBidi"/>
      <w:b/>
      <w:color w:val="243F60" w:themeColor="accent1" w:themeShade="7F"/>
    </w:rPr>
  </w:style>
  <w:style w:type="paragraph" w:styleId="Titolo4">
    <w:name w:val="heading 4"/>
    <w:basedOn w:val="Normale"/>
    <w:next w:val="Normale"/>
    <w:link w:val="Titolo4Carattere"/>
    <w:qFormat/>
    <w:rsid w:val="00C70D07"/>
    <w:pPr>
      <w:keepNext/>
      <w:spacing w:before="240" w:after="60"/>
      <w:outlineLvl w:val="3"/>
    </w:pPr>
    <w:rPr>
      <w:rFonts w:ascii="Times" w:eastAsia="Times" w:hAnsi="Times"/>
      <w:b/>
      <w:sz w:val="28"/>
      <w:szCs w:val="20"/>
    </w:rPr>
  </w:style>
  <w:style w:type="paragraph" w:styleId="Titolo5">
    <w:name w:val="heading 5"/>
    <w:basedOn w:val="Normale"/>
    <w:next w:val="Normale"/>
    <w:link w:val="Titolo5Carattere"/>
    <w:semiHidden/>
    <w:unhideWhenUsed/>
    <w:qFormat/>
    <w:rsid w:val="007F7702"/>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Titolo1Carattere">
    <w:name w:val="Titolo 1 Carattere"/>
    <w:basedOn w:val="Carpredefinitoparagrafo"/>
    <w:link w:val="Titolo1"/>
    <w:uiPriority w:val="9"/>
    <w:rsid w:val="00D21A77"/>
    <w:rPr>
      <w:rFonts w:eastAsiaTheme="majorEastAsia" w:cstheme="majorBidi"/>
      <w:b/>
      <w:bCs/>
      <w:sz w:val="28"/>
      <w:szCs w:val="28"/>
    </w:rPr>
  </w:style>
  <w:style w:type="character" w:customStyle="1" w:styleId="Titolo2Carattere">
    <w:name w:val="Titolo 2 Carattere"/>
    <w:basedOn w:val="Carpredefinitoparagrafo"/>
    <w:link w:val="Titolo2"/>
    <w:uiPriority w:val="9"/>
    <w:rsid w:val="00D21A77"/>
    <w:rPr>
      <w:rFonts w:eastAsiaTheme="majorEastAsia" w:cstheme="majorBidi"/>
      <w:b/>
      <w:bCs/>
      <w:color w:val="000000" w:themeColor="text1"/>
      <w:sz w:val="26"/>
      <w:szCs w:val="26"/>
    </w:rPr>
  </w:style>
  <w:style w:type="character" w:customStyle="1" w:styleId="Titolo3Carattere">
    <w:name w:val="Titolo 3 Carattere"/>
    <w:basedOn w:val="Carpredefinitoparagrafo"/>
    <w:link w:val="Titolo3"/>
    <w:uiPriority w:val="9"/>
    <w:rsid w:val="00A7053C"/>
    <w:rPr>
      <w:rFonts w:asciiTheme="majorHAnsi" w:eastAsiaTheme="majorEastAsia" w:hAnsiTheme="majorHAnsi" w:cstheme="majorBidi"/>
      <w:b/>
      <w:color w:val="243F60" w:themeColor="accent1" w:themeShade="7F"/>
    </w:rPr>
  </w:style>
  <w:style w:type="character" w:customStyle="1" w:styleId="Titolo4Carattere">
    <w:name w:val="Titolo 4 Carattere"/>
    <w:basedOn w:val="Carpredefinitoparagrafo"/>
    <w:link w:val="Titolo4"/>
    <w:rsid w:val="00C70D07"/>
    <w:rPr>
      <w:rFonts w:ascii="Times" w:eastAsia="Times" w:hAnsi="Times"/>
      <w:b/>
      <w:sz w:val="28"/>
    </w:rPr>
  </w:style>
  <w:style w:type="paragraph" w:customStyle="1" w:styleId="p">
    <w:name w:val="p"/>
    <w:basedOn w:val="Normale"/>
    <w:rsid w:val="00A71EA7"/>
    <w:pPr>
      <w:spacing w:before="100" w:beforeAutospacing="1" w:after="100" w:afterAutospacing="1" w:line="240" w:lineRule="auto"/>
      <w:jc w:val="left"/>
    </w:pPr>
  </w:style>
  <w:style w:type="character" w:styleId="Collegamentoipertestuale">
    <w:name w:val="Hyperlink"/>
    <w:basedOn w:val="Carpredefinitoparagrafo"/>
    <w:uiPriority w:val="99"/>
    <w:semiHidden/>
    <w:unhideWhenUsed/>
    <w:rsid w:val="00A71EA7"/>
    <w:rPr>
      <w:color w:val="0000FF"/>
      <w:u w:val="single"/>
    </w:rPr>
  </w:style>
  <w:style w:type="paragraph" w:styleId="NormaleWeb">
    <w:name w:val="Normal (Web)"/>
    <w:basedOn w:val="Normale"/>
    <w:uiPriority w:val="99"/>
    <w:semiHidden/>
    <w:unhideWhenUsed/>
    <w:rsid w:val="00A71EA7"/>
    <w:pPr>
      <w:spacing w:before="100" w:beforeAutospacing="1" w:after="100" w:afterAutospacing="1" w:line="240" w:lineRule="auto"/>
      <w:jc w:val="left"/>
    </w:pPr>
  </w:style>
  <w:style w:type="character" w:styleId="Enfasicorsivo">
    <w:name w:val="Emphasis"/>
    <w:basedOn w:val="Carpredefinitoparagrafo"/>
    <w:uiPriority w:val="20"/>
    <w:qFormat/>
    <w:rsid w:val="00A71EA7"/>
    <w:rPr>
      <w:i/>
      <w:iCs/>
    </w:rPr>
  </w:style>
  <w:style w:type="character" w:customStyle="1" w:styleId="figpopup-sensitive-area">
    <w:name w:val="figpopup-sensitive-area"/>
    <w:basedOn w:val="Carpredefinitoparagrafo"/>
    <w:rsid w:val="00A71EA7"/>
  </w:style>
  <w:style w:type="character" w:styleId="Rimandocommento">
    <w:name w:val="annotation reference"/>
    <w:basedOn w:val="Carpredefinitoparagrafo"/>
    <w:uiPriority w:val="99"/>
    <w:semiHidden/>
    <w:unhideWhenUsed/>
    <w:rsid w:val="00B41987"/>
    <w:rPr>
      <w:sz w:val="16"/>
      <w:szCs w:val="16"/>
    </w:rPr>
  </w:style>
  <w:style w:type="paragraph" w:styleId="Testocommento">
    <w:name w:val="annotation text"/>
    <w:basedOn w:val="Normale"/>
    <w:link w:val="TestocommentoCarattere"/>
    <w:uiPriority w:val="99"/>
    <w:unhideWhenUsed/>
    <w:rsid w:val="00B41987"/>
    <w:pPr>
      <w:spacing w:line="240" w:lineRule="auto"/>
    </w:pPr>
    <w:rPr>
      <w:sz w:val="20"/>
      <w:szCs w:val="20"/>
    </w:rPr>
  </w:style>
  <w:style w:type="character" w:customStyle="1" w:styleId="TestocommentoCarattere">
    <w:name w:val="Testo commento Carattere"/>
    <w:basedOn w:val="Carpredefinitoparagrafo"/>
    <w:link w:val="Testocommento"/>
    <w:uiPriority w:val="99"/>
    <w:rsid w:val="00B41987"/>
    <w:rPr>
      <w:sz w:val="20"/>
      <w:szCs w:val="20"/>
    </w:rPr>
  </w:style>
  <w:style w:type="paragraph" w:styleId="Soggettocommento">
    <w:name w:val="annotation subject"/>
    <w:basedOn w:val="Testocommento"/>
    <w:next w:val="Testocommento"/>
    <w:link w:val="SoggettocommentoCarattere"/>
    <w:uiPriority w:val="99"/>
    <w:semiHidden/>
    <w:unhideWhenUsed/>
    <w:rsid w:val="00B41987"/>
    <w:rPr>
      <w:b/>
      <w:bCs/>
    </w:rPr>
  </w:style>
  <w:style w:type="character" w:customStyle="1" w:styleId="SoggettocommentoCarattere">
    <w:name w:val="Soggetto commento Carattere"/>
    <w:basedOn w:val="TestocommentoCarattere"/>
    <w:link w:val="Soggettocommento"/>
    <w:uiPriority w:val="99"/>
    <w:semiHidden/>
    <w:rsid w:val="00B41987"/>
    <w:rPr>
      <w:b/>
      <w:bCs/>
      <w:sz w:val="20"/>
      <w:szCs w:val="20"/>
    </w:rPr>
  </w:style>
  <w:style w:type="paragraph" w:styleId="Testofumetto">
    <w:name w:val="Balloon Text"/>
    <w:basedOn w:val="Normale"/>
    <w:link w:val="TestofumettoCarattere"/>
    <w:uiPriority w:val="99"/>
    <w:semiHidden/>
    <w:unhideWhenUsed/>
    <w:rsid w:val="00B41987"/>
    <w:pPr>
      <w:spacing w:before="0"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41987"/>
    <w:rPr>
      <w:rFonts w:ascii="Tahoma" w:hAnsi="Tahoma" w:cs="Tahoma"/>
      <w:sz w:val="16"/>
      <w:szCs w:val="16"/>
    </w:rPr>
  </w:style>
  <w:style w:type="character" w:customStyle="1" w:styleId="ref-journal">
    <w:name w:val="ref-journal"/>
    <w:basedOn w:val="Carpredefinitoparagrafo"/>
    <w:rsid w:val="00E14E99"/>
  </w:style>
  <w:style w:type="character" w:customStyle="1" w:styleId="ref-vol">
    <w:name w:val="ref-vol"/>
    <w:basedOn w:val="Carpredefinitoparagrafo"/>
    <w:rsid w:val="00E14E99"/>
  </w:style>
  <w:style w:type="character" w:styleId="Collegamentovisitato">
    <w:name w:val="FollowedHyperlink"/>
    <w:basedOn w:val="Carpredefinitoparagrafo"/>
    <w:uiPriority w:val="99"/>
    <w:semiHidden/>
    <w:unhideWhenUsed/>
    <w:rsid w:val="00AD3D32"/>
    <w:rPr>
      <w:color w:val="800080" w:themeColor="followedHyperlink"/>
      <w:u w:val="single"/>
    </w:rPr>
  </w:style>
  <w:style w:type="paragraph" w:customStyle="1" w:styleId="EndNoteBibliography">
    <w:name w:val="EndNote Bibliography"/>
    <w:basedOn w:val="Normale"/>
    <w:link w:val="EndNoteBibliographyCarattere"/>
    <w:rsid w:val="001A050E"/>
    <w:pPr>
      <w:spacing w:before="0" w:after="160" w:line="240" w:lineRule="auto"/>
      <w:jc w:val="left"/>
    </w:pPr>
    <w:rPr>
      <w:rFonts w:ascii="Calibri" w:eastAsiaTheme="minorHAnsi" w:hAnsi="Calibri" w:cstheme="minorBidi"/>
      <w:noProof/>
      <w:sz w:val="22"/>
      <w:szCs w:val="22"/>
      <w:lang w:eastAsia="en-US"/>
    </w:rPr>
  </w:style>
  <w:style w:type="character" w:customStyle="1" w:styleId="EndNoteBibliographyCarattere">
    <w:name w:val="EndNote Bibliography Carattere"/>
    <w:basedOn w:val="Carpredefinitoparagrafo"/>
    <w:link w:val="EndNoteBibliography"/>
    <w:rsid w:val="001A050E"/>
    <w:rPr>
      <w:rFonts w:ascii="Calibri" w:eastAsiaTheme="minorHAnsi" w:hAnsi="Calibri" w:cstheme="minorBidi"/>
      <w:noProof/>
      <w:sz w:val="22"/>
      <w:szCs w:val="22"/>
      <w:lang w:val="en-US" w:eastAsia="en-US"/>
    </w:rPr>
  </w:style>
  <w:style w:type="paragraph" w:customStyle="1" w:styleId="Firstpageinfo">
    <w:name w:val="Firstpageinfo"/>
    <w:basedOn w:val="Titolo5"/>
    <w:rsid w:val="007F7702"/>
    <w:pPr>
      <w:spacing w:before="240" w:line="240" w:lineRule="auto"/>
      <w:jc w:val="left"/>
      <w:outlineLvl w:val="9"/>
    </w:pPr>
    <w:rPr>
      <w:rFonts w:ascii="Arial" w:eastAsia="Times New Roman" w:hAnsi="Arial" w:cs="Times New Roman"/>
      <w:color w:val="auto"/>
      <w:szCs w:val="20"/>
      <w:lang w:eastAsia="en-US"/>
    </w:rPr>
  </w:style>
  <w:style w:type="character" w:customStyle="1" w:styleId="Titolo5Carattere">
    <w:name w:val="Titolo 5 Carattere"/>
    <w:basedOn w:val="Carpredefinitoparagrafo"/>
    <w:link w:val="Titolo5"/>
    <w:semiHidden/>
    <w:rsid w:val="007F7702"/>
    <w:rPr>
      <w:rFonts w:asciiTheme="majorHAnsi" w:eastAsiaTheme="majorEastAsia" w:hAnsiTheme="majorHAnsi" w:cstheme="majorBidi"/>
      <w:color w:val="365F91" w:themeColor="accent1" w:themeShade="BF"/>
    </w:rPr>
  </w:style>
  <w:style w:type="paragraph" w:customStyle="1" w:styleId="Text">
    <w:name w:val="Text"/>
    <w:basedOn w:val="Normale"/>
    <w:rsid w:val="00A7053C"/>
    <w:pPr>
      <w:spacing w:after="0" w:line="240" w:lineRule="auto"/>
    </w:pPr>
    <w:rPr>
      <w:szCs w:val="20"/>
      <w:lang w:eastAsia="en-US"/>
    </w:rPr>
  </w:style>
  <w:style w:type="paragraph" w:styleId="Revisione">
    <w:name w:val="Revision"/>
    <w:hidden/>
    <w:uiPriority w:val="99"/>
    <w:semiHidden/>
    <w:rsid w:val="00A7053C"/>
    <w:pPr>
      <w:spacing w:before="0" w:after="0" w:line="240" w:lineRule="auto"/>
      <w:jc w:val="left"/>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customStyle="1" w:styleId="Default">
    <w:name w:val="Default"/>
    <w:rsid w:val="00494C6D"/>
    <w:pPr>
      <w:autoSpaceDE w:val="0"/>
      <w:autoSpaceDN w:val="0"/>
      <w:adjustRightInd w:val="0"/>
      <w:spacing w:before="0" w:after="0" w:line="240" w:lineRule="auto"/>
      <w:jc w:val="left"/>
    </w:pPr>
    <w:rPr>
      <w:rFonts w:ascii="Arial" w:hAnsi="Arial" w:cs="Arial"/>
      <w:color w:val="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022313/"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rsb.info.nih.gov/ij/" TargetMode="External"/><Relationship Id="rId5" Type="http://schemas.openxmlformats.org/officeDocument/2006/relationships/hyperlink" Target="http://www.licor.com/bio/products/software/image_studio_lit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bddrkChBdkePwYZlft3AfDP4pg==">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2398</Words>
  <Characters>13670</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Quartu</dc:creator>
  <cp:lastModifiedBy>Roberto</cp:lastModifiedBy>
  <cp:revision>33</cp:revision>
  <dcterms:created xsi:type="dcterms:W3CDTF">2021-03-25T17:06:00Z</dcterms:created>
  <dcterms:modified xsi:type="dcterms:W3CDTF">2021-09-27T22:32:00Z</dcterms:modified>
</cp:coreProperties>
</file>