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8E" w:rsidRDefault="009D008E" w:rsidP="009D008E">
      <w:pPr>
        <w:spacing w:after="0" w:line="240" w:lineRule="auto"/>
        <w:rPr>
          <w:rFonts w:ascii="Arial" w:hAnsi="Arial"/>
          <w:b/>
          <w:sz w:val="20"/>
          <w:szCs w:val="20"/>
        </w:rPr>
      </w:pPr>
      <w:r>
        <w:rPr>
          <w:rFonts w:ascii="Arial" w:hAnsi="Arial"/>
          <w:b/>
          <w:sz w:val="20"/>
          <w:szCs w:val="20"/>
        </w:rPr>
        <w:t>ADDITIONAL INFORMATION</w:t>
      </w:r>
    </w:p>
    <w:p w:rsidR="009D008E" w:rsidRDefault="009D008E" w:rsidP="009D008E">
      <w:pPr>
        <w:spacing w:after="0" w:line="240" w:lineRule="auto"/>
        <w:jc w:val="center"/>
        <w:rPr>
          <w:rFonts w:ascii="Arial" w:hAnsi="Arial"/>
          <w:b/>
          <w:sz w:val="20"/>
          <w:szCs w:val="20"/>
        </w:rPr>
      </w:pPr>
    </w:p>
    <w:p w:rsidR="009D008E" w:rsidRDefault="009D008E" w:rsidP="009D008E">
      <w:pPr>
        <w:spacing w:after="0" w:line="240" w:lineRule="auto"/>
        <w:rPr>
          <w:rFonts w:ascii="Arial" w:hAnsi="Arial"/>
          <w:b/>
          <w:sz w:val="20"/>
          <w:szCs w:val="20"/>
        </w:rPr>
      </w:pPr>
      <w:r>
        <w:rPr>
          <w:noProof/>
        </w:rPr>
        <w:drawing>
          <wp:inline distT="0" distB="0" distL="0" distR="0">
            <wp:extent cx="3028950" cy="13144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srcRect/>
                    <a:stretch>
                      <a:fillRect/>
                    </a:stretch>
                  </pic:blipFill>
                  <pic:spPr bwMode="auto">
                    <a:xfrm>
                      <a:off x="0" y="0"/>
                      <a:ext cx="3028950" cy="1314450"/>
                    </a:xfrm>
                    <a:prstGeom prst="rect">
                      <a:avLst/>
                    </a:prstGeom>
                    <a:noFill/>
                    <a:ln w="9525">
                      <a:noFill/>
                      <a:miter lim="800000"/>
                      <a:headEnd/>
                      <a:tailEnd/>
                    </a:ln>
                  </pic:spPr>
                </pic:pic>
              </a:graphicData>
            </a:graphic>
          </wp:inline>
        </w:drawing>
      </w:r>
    </w:p>
    <w:p w:rsidR="009D008E" w:rsidRDefault="009D008E" w:rsidP="009D008E">
      <w:pPr>
        <w:spacing w:after="0" w:line="240" w:lineRule="auto"/>
        <w:jc w:val="center"/>
        <w:rPr>
          <w:rFonts w:ascii="Arial" w:hAnsi="Arial"/>
          <w:b/>
          <w:sz w:val="20"/>
          <w:szCs w:val="20"/>
        </w:rPr>
      </w:pPr>
    </w:p>
    <w:p w:rsidR="009D008E" w:rsidRDefault="009D008E" w:rsidP="009D008E">
      <w:pPr>
        <w:spacing w:after="0" w:line="240" w:lineRule="auto"/>
        <w:jc w:val="both"/>
        <w:rPr>
          <w:rFonts w:ascii="Arial" w:hAnsi="Arial"/>
          <w:b/>
          <w:sz w:val="20"/>
          <w:szCs w:val="20"/>
        </w:rPr>
      </w:pPr>
      <w:r w:rsidRPr="001B68AB">
        <w:rPr>
          <w:rFonts w:ascii="Arial" w:hAnsi="Arial"/>
          <w:b/>
          <w:sz w:val="18"/>
          <w:szCs w:val="18"/>
        </w:rPr>
        <w:t xml:space="preserve">Figure </w:t>
      </w:r>
      <w:r>
        <w:rPr>
          <w:rFonts w:ascii="Arial" w:hAnsi="Arial"/>
          <w:b/>
          <w:sz w:val="18"/>
          <w:szCs w:val="18"/>
        </w:rPr>
        <w:t>S</w:t>
      </w:r>
      <w:r w:rsidRPr="001B68AB">
        <w:rPr>
          <w:rFonts w:ascii="Arial" w:hAnsi="Arial"/>
          <w:b/>
          <w:sz w:val="18"/>
          <w:szCs w:val="18"/>
        </w:rPr>
        <w:t>1.</w:t>
      </w:r>
      <w:r>
        <w:rPr>
          <w:rFonts w:ascii="Arial" w:hAnsi="Arial"/>
          <w:sz w:val="18"/>
          <w:szCs w:val="18"/>
        </w:rPr>
        <w:t xml:space="preserve"> Mass spectrometry (MS) data of enriched SetDB1 complex isolated from cytosolic HeLa cell extracts, indicating the number of peptides identified and the function for each protein.</w:t>
      </w:r>
    </w:p>
    <w:p w:rsidR="009D008E" w:rsidRDefault="009D008E" w:rsidP="009D008E">
      <w:pPr>
        <w:spacing w:after="0" w:line="240" w:lineRule="auto"/>
        <w:jc w:val="center"/>
        <w:rPr>
          <w:rFonts w:ascii="Arial" w:hAnsi="Arial"/>
          <w:b/>
          <w:sz w:val="20"/>
          <w:szCs w:val="20"/>
        </w:rPr>
      </w:pPr>
      <w:r>
        <w:rPr>
          <w:rFonts w:ascii="Arial" w:hAnsi="Arial"/>
          <w:b/>
          <w:sz w:val="20"/>
          <w:szCs w:val="20"/>
        </w:rPr>
        <w:br w:type="page"/>
      </w:r>
    </w:p>
    <w:p w:rsidR="009D008E" w:rsidRDefault="009D008E" w:rsidP="009D008E">
      <w:pPr>
        <w:spacing w:after="0" w:line="240" w:lineRule="auto"/>
        <w:jc w:val="both"/>
      </w:pPr>
      <w:r>
        <w:rPr>
          <w:noProof/>
        </w:rPr>
        <w:lastRenderedPageBreak/>
        <w:drawing>
          <wp:inline distT="0" distB="0" distL="0" distR="0">
            <wp:extent cx="4591050" cy="7591425"/>
            <wp:effectExtent l="1905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5" cstate="print"/>
                    <a:srcRect/>
                    <a:stretch>
                      <a:fillRect/>
                    </a:stretch>
                  </pic:blipFill>
                  <pic:spPr bwMode="auto">
                    <a:xfrm>
                      <a:off x="0" y="0"/>
                      <a:ext cx="4591050" cy="7591425"/>
                    </a:xfrm>
                    <a:prstGeom prst="rect">
                      <a:avLst/>
                    </a:prstGeom>
                    <a:noFill/>
                    <a:ln w="9525">
                      <a:noFill/>
                      <a:miter lim="800000"/>
                      <a:headEnd/>
                      <a:tailEnd/>
                    </a:ln>
                  </pic:spPr>
                </pic:pic>
              </a:graphicData>
            </a:graphic>
          </wp:inline>
        </w:drawing>
      </w:r>
      <w:r w:rsidRPr="007E0D49">
        <w:t xml:space="preserve"> </w:t>
      </w:r>
    </w:p>
    <w:p w:rsidR="009D008E" w:rsidRDefault="009D008E" w:rsidP="009D008E">
      <w:pPr>
        <w:spacing w:after="0" w:line="240" w:lineRule="auto"/>
        <w:jc w:val="both"/>
        <w:rPr>
          <w:rFonts w:ascii="Arial" w:hAnsi="Arial"/>
          <w:b/>
          <w:sz w:val="20"/>
          <w:szCs w:val="20"/>
        </w:rPr>
      </w:pPr>
    </w:p>
    <w:p w:rsidR="009D008E" w:rsidRPr="00883543" w:rsidRDefault="009D008E" w:rsidP="009D008E">
      <w:pPr>
        <w:spacing w:after="0" w:line="240" w:lineRule="auto"/>
        <w:jc w:val="both"/>
        <w:rPr>
          <w:rFonts w:ascii="Arial" w:hAnsi="Arial"/>
          <w:sz w:val="20"/>
          <w:szCs w:val="20"/>
        </w:rPr>
      </w:pPr>
      <w:r>
        <w:rPr>
          <w:rFonts w:ascii="Arial" w:hAnsi="Arial"/>
          <w:b/>
          <w:sz w:val="20"/>
          <w:szCs w:val="20"/>
        </w:rPr>
        <w:t>Figure S2</w:t>
      </w:r>
      <w:r w:rsidRPr="00883543">
        <w:rPr>
          <w:rFonts w:ascii="Arial" w:hAnsi="Arial"/>
          <w:b/>
          <w:sz w:val="20"/>
          <w:szCs w:val="20"/>
        </w:rPr>
        <w:t>.</w:t>
      </w:r>
      <w:r w:rsidRPr="00883543">
        <w:rPr>
          <w:rFonts w:ascii="Arial" w:hAnsi="Arial"/>
          <w:sz w:val="20"/>
          <w:szCs w:val="20"/>
        </w:rPr>
        <w:t xml:space="preserve"> (A, C) The graph shows the incidence of either JMJD1B point (A) or INDEL (insertion/deletion) (C) mutations among patients with different types of cancers. Affimetrix data was obtained from the NIH Cancer Data Portal (B, D) The graph shows the total number of either point (B) or INDEL (D) mutations found per each cancer type on the JMJD1B gene. </w:t>
      </w:r>
      <w:r>
        <w:rPr>
          <w:rFonts w:ascii="Arial" w:hAnsi="Arial"/>
          <w:sz w:val="20"/>
          <w:szCs w:val="20"/>
        </w:rPr>
        <w:t>TCGA Project Abbrevia</w:t>
      </w:r>
      <w:r w:rsidRPr="00883543">
        <w:rPr>
          <w:rFonts w:ascii="Arial" w:hAnsi="Arial"/>
          <w:sz w:val="20"/>
          <w:szCs w:val="20"/>
        </w:rPr>
        <w:t>tions are as follows, ACC: Adrenocortical Carcinoma; BLCA: Bladder Urothelial Carcinoma; BRCA:</w:t>
      </w:r>
      <w:r>
        <w:rPr>
          <w:rFonts w:ascii="Arial" w:hAnsi="Arial"/>
          <w:sz w:val="20"/>
          <w:szCs w:val="20"/>
        </w:rPr>
        <w:t xml:space="preserve"> </w:t>
      </w:r>
      <w:r w:rsidRPr="00883543">
        <w:rPr>
          <w:rFonts w:ascii="Arial" w:hAnsi="Arial"/>
          <w:sz w:val="20"/>
          <w:szCs w:val="20"/>
        </w:rPr>
        <w:t>Breast Invasive Carcinoma; CESC:</w:t>
      </w:r>
      <w:r>
        <w:rPr>
          <w:rFonts w:ascii="Arial" w:hAnsi="Arial"/>
          <w:sz w:val="20"/>
          <w:szCs w:val="20"/>
        </w:rPr>
        <w:t xml:space="preserve"> </w:t>
      </w:r>
      <w:r w:rsidRPr="00883543">
        <w:rPr>
          <w:rFonts w:ascii="Arial" w:hAnsi="Arial"/>
          <w:sz w:val="20"/>
          <w:szCs w:val="20"/>
        </w:rPr>
        <w:t xml:space="preserve">Cervical Squamous Cell Carcinoma and Endocervical </w:t>
      </w:r>
      <w:r w:rsidRPr="00883543">
        <w:rPr>
          <w:rFonts w:ascii="Arial" w:hAnsi="Arial"/>
          <w:sz w:val="20"/>
          <w:szCs w:val="20"/>
        </w:rPr>
        <w:lastRenderedPageBreak/>
        <w:t>Adenocarcinoma; COAD: Colon Adenocarcinoma; ESCA: Esophageal Carcinoma; GBM: Glioblastoma Multiforme; HNSC: Head and Neck Squamous Cell Carcinoma; KIRC: Kidney Renal Clear Cell Carcinoma; KIRP: Kidney Renal Papillary Cell Carcinoma; LAML: Acute Myeloid Leukemia; LGG: Brain Lower Grade Glioma; LIHC: Liver Hepatocellular Carcinoma; LUAD: Lung Adenocarcinoma; LUSC: Lung Squamous Cell Carcinoma; OV: Ovarian Serous Cystadenocarcinoma; PAAD: Pancreatic Adenocarcinoma; PRAD: Prostate Adenocarcinoma; READ: Rectum Adenocarcinoma; SARC: Sarcoma; SKCM: Skin Cutaneous Melanoma; STAD: Stomach Adenocarcinoma; TGCT: Testicular Germ Cell Tumors; THCA: Thyroid Carcinoma; UCEC: Uterine Corpus Endometrial Carcinoma; UCS: Uterine Carcinosarcoma; UVM: Uveal Melanoma.</w:t>
      </w:r>
    </w:p>
    <w:p w:rsidR="009D008E" w:rsidRDefault="009D008E" w:rsidP="009D008E">
      <w:pPr>
        <w:rPr>
          <w:rFonts w:ascii="Arial" w:hAnsi="Arial"/>
          <w:sz w:val="20"/>
          <w:szCs w:val="20"/>
        </w:rPr>
      </w:pPr>
      <w:r>
        <w:rPr>
          <w:rFonts w:ascii="Arial" w:hAnsi="Arial"/>
          <w:sz w:val="20"/>
          <w:szCs w:val="20"/>
        </w:rPr>
        <w:br w:type="page"/>
      </w:r>
    </w:p>
    <w:p w:rsidR="009D008E" w:rsidRPr="00296074" w:rsidRDefault="009D008E" w:rsidP="009D008E">
      <w:pPr>
        <w:spacing w:after="0" w:line="240" w:lineRule="auto"/>
        <w:jc w:val="both"/>
        <w:rPr>
          <w:rFonts w:ascii="Arial" w:hAnsi="Arial"/>
          <w:sz w:val="20"/>
          <w:szCs w:val="20"/>
        </w:rPr>
      </w:pPr>
    </w:p>
    <w:p w:rsidR="009D008E" w:rsidRDefault="009D008E" w:rsidP="009D008E">
      <w:pPr>
        <w:spacing w:after="0" w:line="240" w:lineRule="auto"/>
        <w:jc w:val="both"/>
      </w:pPr>
      <w:r>
        <w:rPr>
          <w:noProof/>
        </w:rPr>
        <w:drawing>
          <wp:inline distT="0" distB="0" distL="0" distR="0">
            <wp:extent cx="5019675" cy="5381625"/>
            <wp:effectExtent l="19050" t="0" r="9525" b="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6" cstate="print"/>
                    <a:srcRect/>
                    <a:stretch>
                      <a:fillRect/>
                    </a:stretch>
                  </pic:blipFill>
                  <pic:spPr bwMode="auto">
                    <a:xfrm>
                      <a:off x="0" y="0"/>
                      <a:ext cx="5019675" cy="5381625"/>
                    </a:xfrm>
                    <a:prstGeom prst="rect">
                      <a:avLst/>
                    </a:prstGeom>
                    <a:noFill/>
                    <a:ln w="9525">
                      <a:noFill/>
                      <a:miter lim="800000"/>
                      <a:headEnd/>
                      <a:tailEnd/>
                    </a:ln>
                  </pic:spPr>
                </pic:pic>
              </a:graphicData>
            </a:graphic>
          </wp:inline>
        </w:drawing>
      </w:r>
      <w:r w:rsidRPr="007E0D49">
        <w:t xml:space="preserve"> </w:t>
      </w:r>
    </w:p>
    <w:p w:rsidR="009D008E" w:rsidRDefault="009D008E" w:rsidP="009D008E">
      <w:pPr>
        <w:spacing w:after="0" w:line="240" w:lineRule="auto"/>
        <w:jc w:val="both"/>
      </w:pPr>
    </w:p>
    <w:p w:rsidR="009D008E" w:rsidRPr="00296074" w:rsidRDefault="009D008E" w:rsidP="009D008E">
      <w:pPr>
        <w:spacing w:after="0" w:line="240" w:lineRule="auto"/>
        <w:jc w:val="both"/>
        <w:rPr>
          <w:rFonts w:ascii="Arial" w:hAnsi="Arial"/>
          <w:sz w:val="20"/>
          <w:szCs w:val="20"/>
        </w:rPr>
      </w:pPr>
      <w:r>
        <w:rPr>
          <w:rFonts w:ascii="Arial" w:hAnsi="Arial"/>
          <w:b/>
          <w:sz w:val="20"/>
          <w:szCs w:val="20"/>
        </w:rPr>
        <w:t>Figure S3</w:t>
      </w:r>
      <w:r w:rsidRPr="00296074">
        <w:rPr>
          <w:rFonts w:ascii="Arial" w:hAnsi="Arial"/>
          <w:b/>
          <w:sz w:val="20"/>
          <w:szCs w:val="20"/>
        </w:rPr>
        <w:t xml:space="preserve">. </w:t>
      </w:r>
      <w:r w:rsidRPr="00296074">
        <w:rPr>
          <w:rFonts w:ascii="Arial" w:hAnsi="Arial"/>
          <w:sz w:val="20"/>
          <w:szCs w:val="20"/>
        </w:rPr>
        <w:t xml:space="preserve">Genomic instability index was calculated from the population of patients that contain mutations (point mutations and insertion/deletion) on the JMJD1B gene. The data is shown for the following cancers: KIRC, OV, ACC, and UCEC, from data derived from healthy tissues (blue) and primary tumor (red) of the same patients. </w:t>
      </w:r>
    </w:p>
    <w:p w:rsidR="009D008E" w:rsidRPr="00A13A78" w:rsidRDefault="009D008E" w:rsidP="009D008E"/>
    <w:p w:rsidR="009D008E" w:rsidRPr="008231B8" w:rsidRDefault="009D008E" w:rsidP="009D008E">
      <w:pPr>
        <w:pStyle w:val="NoSpacing"/>
        <w:rPr>
          <w:rFonts w:ascii="Arial" w:hAnsi="Arial" w:cs="Arial"/>
          <w:b/>
          <w:sz w:val="20"/>
          <w:szCs w:val="20"/>
          <w:lang w:val="en-US"/>
        </w:rPr>
      </w:pPr>
    </w:p>
    <w:p w:rsidR="007844C1" w:rsidRDefault="007844C1"/>
    <w:sectPr w:rsidR="007844C1" w:rsidSect="00DB212F">
      <w:footerReference w:type="default" r:id="rI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F9" w:rsidRDefault="009D008E">
    <w:pPr>
      <w:pStyle w:val="Footer"/>
      <w:jc w:val="center"/>
    </w:pPr>
    <w:r>
      <w:fldChar w:fldCharType="begin"/>
    </w:r>
    <w:r>
      <w:instrText>PAGE   \* MERGEFORMAT</w:instrText>
    </w:r>
    <w:r>
      <w:fldChar w:fldCharType="separate"/>
    </w:r>
    <w:r w:rsidRPr="009D008E">
      <w:rPr>
        <w:noProof/>
        <w:lang w:val="es-ES"/>
      </w:rPr>
      <w:t>1</w:t>
    </w:r>
    <w:r>
      <w:fldChar w:fldCharType="end"/>
    </w:r>
  </w:p>
  <w:p w:rsidR="00792CF9" w:rsidRDefault="009D008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D008E"/>
    <w:rsid w:val="00361199"/>
    <w:rsid w:val="00443166"/>
    <w:rsid w:val="00650743"/>
    <w:rsid w:val="00652BD6"/>
    <w:rsid w:val="007844C1"/>
    <w:rsid w:val="009D008E"/>
    <w:rsid w:val="00D01BF5"/>
    <w:rsid w:val="00F41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008E"/>
    <w:pPr>
      <w:tabs>
        <w:tab w:val="center" w:pos="4419"/>
        <w:tab w:val="right" w:pos="8838"/>
      </w:tabs>
    </w:pPr>
    <w:rPr>
      <w:rFonts w:ascii="Calibri" w:eastAsia="SimSun" w:hAnsi="Calibri" w:cs="Arial"/>
      <w:lang w:val="en-GB" w:eastAsia="zh-CN"/>
    </w:rPr>
  </w:style>
  <w:style w:type="character" w:customStyle="1" w:styleId="FooterChar">
    <w:name w:val="Footer Char"/>
    <w:basedOn w:val="DefaultParagraphFont"/>
    <w:link w:val="Footer"/>
    <w:uiPriority w:val="99"/>
    <w:rsid w:val="009D008E"/>
    <w:rPr>
      <w:rFonts w:ascii="Calibri" w:eastAsia="SimSun" w:hAnsi="Calibri" w:cs="Arial"/>
      <w:lang w:val="en-GB" w:eastAsia="zh-CN"/>
    </w:rPr>
  </w:style>
  <w:style w:type="paragraph" w:styleId="NoSpacing">
    <w:name w:val="No Spacing"/>
    <w:uiPriority w:val="1"/>
    <w:qFormat/>
    <w:rsid w:val="009D008E"/>
    <w:pPr>
      <w:spacing w:after="0" w:line="240" w:lineRule="auto"/>
    </w:pPr>
    <w:rPr>
      <w:rFonts w:ascii="Cambria" w:eastAsia="MS Mincho" w:hAnsi="Cambria" w:cs="Times New Roman"/>
      <w:sz w:val="24"/>
      <w:szCs w:val="24"/>
      <w:lang w:val="en-GB" w:eastAsia="es-ES"/>
    </w:rPr>
  </w:style>
  <w:style w:type="paragraph" w:styleId="BalloonText">
    <w:name w:val="Balloon Text"/>
    <w:basedOn w:val="Normal"/>
    <w:link w:val="BalloonTextChar"/>
    <w:uiPriority w:val="99"/>
    <w:semiHidden/>
    <w:unhideWhenUsed/>
    <w:rsid w:val="009D0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0011692</dc:creator>
  <cp:keywords/>
  <dc:description/>
  <cp:lastModifiedBy>0011692</cp:lastModifiedBy>
  <cp:revision>2</cp:revision>
  <dcterms:created xsi:type="dcterms:W3CDTF">2020-02-07T02:26:00Z</dcterms:created>
  <dcterms:modified xsi:type="dcterms:W3CDTF">2020-02-07T02:26:00Z</dcterms:modified>
</cp:coreProperties>
</file>