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08C1B" w14:textId="0698FB61" w:rsidR="00390DF9" w:rsidRPr="00390DF9" w:rsidRDefault="00390DF9" w:rsidP="00390DF9">
      <w:pPr>
        <w:spacing w:after="160" w:line="360" w:lineRule="auto"/>
        <w:jc w:val="both"/>
        <w:rPr>
          <w:rFonts w:ascii="Times New Roman" w:eastAsia="Calibri" w:hAnsi="Times New Roman" w:cs="Times New Roman"/>
          <w:b/>
          <w:bCs/>
          <w:sz w:val="22"/>
          <w:szCs w:val="22"/>
          <w:lang w:val="en-GB"/>
        </w:rPr>
      </w:pPr>
      <w:r>
        <w:rPr>
          <w:rFonts w:ascii="Times New Roman" w:eastAsia="Calibri" w:hAnsi="Times New Roman" w:cs="Times New Roman"/>
          <w:b/>
          <w:bCs/>
          <w:szCs w:val="28"/>
          <w:lang w:val="en-GB"/>
        </w:rPr>
        <w:t>T</w:t>
      </w:r>
      <w:r w:rsidRPr="00390DF9">
        <w:rPr>
          <w:rFonts w:ascii="Times New Roman" w:eastAsia="Calibri" w:hAnsi="Times New Roman" w:cs="Times New Roman"/>
          <w:b/>
          <w:bCs/>
          <w:szCs w:val="28"/>
          <w:lang w:val="en-GB"/>
        </w:rPr>
        <w:t>au protein profiling in tauopathies: a human brain study</w:t>
      </w:r>
    </w:p>
    <w:p w14:paraId="3F8AB85C" w14:textId="109EAEB2" w:rsidR="00FA7E6E" w:rsidRDefault="00FA7E6E" w:rsidP="00FA7E6E">
      <w:pPr>
        <w:rPr>
          <w:rFonts w:ascii="Times New Roman" w:hAnsi="Times New Roman" w:cs="Times New Roman"/>
          <w:bCs/>
          <w:lang w:val="en-GB"/>
        </w:rPr>
      </w:pPr>
      <w:r w:rsidRPr="00FA7E6E">
        <w:rPr>
          <w:rFonts w:ascii="Times New Roman" w:hAnsi="Times New Roman" w:cs="Times New Roman"/>
          <w:bCs/>
          <w:lang w:val="en-GB"/>
        </w:rPr>
        <w:t>Juan Lantero-Rodriguez</w:t>
      </w:r>
      <w:r w:rsidRPr="00FA7E6E">
        <w:rPr>
          <w:rFonts w:ascii="Times New Roman" w:hAnsi="Times New Roman" w:cs="Times New Roman"/>
          <w:bCs/>
          <w:vertAlign w:val="superscript"/>
          <w:lang w:val="en-GB"/>
        </w:rPr>
        <w:t>1,2</w:t>
      </w:r>
      <w:r w:rsidRPr="00FA7E6E">
        <w:rPr>
          <w:rFonts w:ascii="Times New Roman" w:hAnsi="Times New Roman" w:cs="Times New Roman"/>
          <w:bCs/>
          <w:lang w:val="en-GB"/>
        </w:rPr>
        <w:t>*, Elena Camporesi</w:t>
      </w:r>
      <w:r w:rsidRPr="00FA7E6E">
        <w:rPr>
          <w:rFonts w:ascii="Times New Roman" w:hAnsi="Times New Roman" w:cs="Times New Roman"/>
          <w:bCs/>
          <w:vertAlign w:val="superscript"/>
          <w:lang w:val="en-GB"/>
        </w:rPr>
        <w:t>1,2</w:t>
      </w:r>
      <w:r w:rsidRPr="00FA7E6E">
        <w:rPr>
          <w:rFonts w:ascii="Times New Roman" w:hAnsi="Times New Roman" w:cs="Times New Roman"/>
          <w:bCs/>
          <w:lang w:val="en-GB"/>
        </w:rPr>
        <w:t>*, Laia Montoliu-Gaya</w:t>
      </w:r>
      <w:r w:rsidRPr="00FA7E6E">
        <w:rPr>
          <w:rFonts w:ascii="Times New Roman" w:hAnsi="Times New Roman" w:cs="Times New Roman"/>
          <w:bCs/>
          <w:vertAlign w:val="superscript"/>
          <w:lang w:val="en-GB"/>
        </w:rPr>
        <w:t>1,2</w:t>
      </w:r>
      <w:r w:rsidRPr="00FA7E6E">
        <w:rPr>
          <w:rFonts w:ascii="Times New Roman" w:hAnsi="Times New Roman" w:cs="Times New Roman"/>
          <w:bCs/>
          <w:lang w:val="en-GB"/>
        </w:rPr>
        <w:t>, Johan Gobom</w:t>
      </w:r>
      <w:r w:rsidRPr="00FA7E6E">
        <w:rPr>
          <w:rFonts w:ascii="Times New Roman" w:hAnsi="Times New Roman" w:cs="Times New Roman"/>
          <w:bCs/>
          <w:vertAlign w:val="superscript"/>
          <w:lang w:val="en-GB"/>
        </w:rPr>
        <w:t>1,2</w:t>
      </w:r>
      <w:r w:rsidRPr="00FA7E6E">
        <w:rPr>
          <w:rFonts w:ascii="Times New Roman" w:hAnsi="Times New Roman" w:cs="Times New Roman"/>
          <w:bCs/>
          <w:lang w:val="en-GB"/>
        </w:rPr>
        <w:t xml:space="preserve">, </w:t>
      </w:r>
      <w:r w:rsidR="00441CE6" w:rsidRPr="00441CE6">
        <w:rPr>
          <w:rFonts w:ascii="Times New Roman" w:hAnsi="Times New Roman" w:cs="Times New Roman"/>
          <w:bCs/>
          <w:lang w:val="en-GB"/>
        </w:rPr>
        <w:t>Diana Piotrowska</w:t>
      </w:r>
      <w:r w:rsidR="00441CE6" w:rsidRPr="00441CE6">
        <w:rPr>
          <w:rFonts w:ascii="Times New Roman" w:hAnsi="Times New Roman" w:cs="Times New Roman"/>
          <w:bCs/>
          <w:vertAlign w:val="superscript"/>
          <w:lang w:val="en-GB"/>
        </w:rPr>
        <w:t>1,2</w:t>
      </w:r>
      <w:r w:rsidR="00441CE6">
        <w:rPr>
          <w:rFonts w:ascii="Times New Roman" w:hAnsi="Times New Roman" w:cs="Times New Roman"/>
          <w:bCs/>
          <w:lang w:val="en-GB"/>
        </w:rPr>
        <w:t xml:space="preserve">, </w:t>
      </w:r>
      <w:r w:rsidRPr="00FA7E6E">
        <w:rPr>
          <w:rFonts w:ascii="Times New Roman" w:hAnsi="Times New Roman" w:cs="Times New Roman"/>
          <w:bCs/>
          <w:lang w:val="en-GB"/>
        </w:rPr>
        <w:t>Maria Olsson</w:t>
      </w:r>
      <w:r w:rsidRPr="00FA7E6E">
        <w:rPr>
          <w:rFonts w:ascii="Times New Roman" w:hAnsi="Times New Roman" w:cs="Times New Roman"/>
          <w:bCs/>
          <w:vertAlign w:val="superscript"/>
          <w:lang w:val="en-GB"/>
        </w:rPr>
        <w:t>1</w:t>
      </w:r>
      <w:r w:rsidRPr="00FA7E6E">
        <w:rPr>
          <w:rFonts w:ascii="Times New Roman" w:hAnsi="Times New Roman" w:cs="Times New Roman"/>
          <w:bCs/>
          <w:lang w:val="en-GB"/>
        </w:rPr>
        <w:t>, Irena Matečko Burmann</w:t>
      </w:r>
      <w:r w:rsidRPr="00FA7E6E">
        <w:rPr>
          <w:rFonts w:ascii="Times New Roman" w:hAnsi="Times New Roman" w:cs="Times New Roman"/>
          <w:bCs/>
          <w:vertAlign w:val="superscript"/>
          <w:lang w:val="en-GB"/>
        </w:rPr>
        <w:t>1,2,4</w:t>
      </w:r>
      <w:r w:rsidRPr="00FA7E6E">
        <w:rPr>
          <w:rFonts w:ascii="Times New Roman" w:hAnsi="Times New Roman" w:cs="Times New Roman"/>
          <w:bCs/>
          <w:lang w:val="en-GB"/>
        </w:rPr>
        <w:t xml:space="preserve">, </w:t>
      </w:r>
      <w:r w:rsidR="00441CE6" w:rsidRPr="00441CE6">
        <w:rPr>
          <w:rFonts w:ascii="Times New Roman" w:hAnsi="Times New Roman" w:cs="Times New Roman"/>
          <w:bCs/>
          <w:lang w:val="en-GB"/>
        </w:rPr>
        <w:t>Bruno Becker</w:t>
      </w:r>
      <w:r w:rsidR="00441CE6" w:rsidRPr="00441CE6">
        <w:rPr>
          <w:rFonts w:ascii="Times New Roman" w:hAnsi="Times New Roman" w:cs="Times New Roman"/>
          <w:bCs/>
          <w:vertAlign w:val="superscript"/>
          <w:lang w:val="en-GB"/>
        </w:rPr>
        <w:t>1,2</w:t>
      </w:r>
      <w:r w:rsidR="00441CE6" w:rsidRPr="00441CE6">
        <w:rPr>
          <w:rFonts w:ascii="Times New Roman" w:hAnsi="Times New Roman" w:cs="Times New Roman"/>
          <w:bCs/>
          <w:lang w:val="en-GB"/>
        </w:rPr>
        <w:t xml:space="preserve">, </w:t>
      </w:r>
      <w:r w:rsidRPr="00FA7E6E">
        <w:rPr>
          <w:rFonts w:ascii="Times New Roman" w:hAnsi="Times New Roman" w:cs="Times New Roman"/>
          <w:bCs/>
          <w:lang w:val="en-GB"/>
        </w:rPr>
        <w:t>Ann Brinkmalm</w:t>
      </w:r>
      <w:r w:rsidRPr="00FA7E6E">
        <w:rPr>
          <w:rFonts w:ascii="Times New Roman" w:hAnsi="Times New Roman" w:cs="Times New Roman"/>
          <w:bCs/>
          <w:vertAlign w:val="superscript"/>
          <w:lang w:val="en-GB"/>
        </w:rPr>
        <w:t>1,2</w:t>
      </w:r>
      <w:r w:rsidRPr="00FA7E6E">
        <w:rPr>
          <w:rFonts w:ascii="Times New Roman" w:hAnsi="Times New Roman" w:cs="Times New Roman"/>
          <w:bCs/>
          <w:lang w:val="en-GB"/>
        </w:rPr>
        <w:t>, Björn M. Burmann</w:t>
      </w:r>
      <w:r w:rsidRPr="00FA7E6E">
        <w:rPr>
          <w:rFonts w:ascii="Times New Roman" w:hAnsi="Times New Roman" w:cs="Times New Roman"/>
          <w:bCs/>
          <w:vertAlign w:val="superscript"/>
          <w:lang w:val="en-GB"/>
        </w:rPr>
        <w:t>3,4</w:t>
      </w:r>
      <w:r w:rsidRPr="00FA7E6E">
        <w:rPr>
          <w:rFonts w:ascii="Times New Roman" w:hAnsi="Times New Roman" w:cs="Times New Roman"/>
          <w:bCs/>
          <w:lang w:val="en-GB"/>
        </w:rPr>
        <w:t>, Michael Perkinton</w:t>
      </w:r>
      <w:r w:rsidRPr="00FA7E6E">
        <w:rPr>
          <w:rFonts w:ascii="Times New Roman" w:hAnsi="Times New Roman" w:cs="Times New Roman"/>
          <w:bCs/>
          <w:vertAlign w:val="superscript"/>
          <w:lang w:val="en-GB"/>
        </w:rPr>
        <w:t>5</w:t>
      </w:r>
      <w:r w:rsidRPr="00FA7E6E">
        <w:rPr>
          <w:rFonts w:ascii="Times New Roman" w:hAnsi="Times New Roman" w:cs="Times New Roman"/>
          <w:bCs/>
          <w:lang w:val="en-GB"/>
        </w:rPr>
        <w:t>, Nicholas J. Ashton</w:t>
      </w:r>
      <w:r w:rsidRPr="00FA7E6E">
        <w:rPr>
          <w:rFonts w:ascii="Times New Roman" w:hAnsi="Times New Roman" w:cs="Times New Roman"/>
          <w:bCs/>
          <w:vertAlign w:val="superscript"/>
          <w:lang w:val="en-GB"/>
        </w:rPr>
        <w:t>1,2,6,7,8</w:t>
      </w:r>
      <w:r w:rsidRPr="00FA7E6E">
        <w:rPr>
          <w:rFonts w:ascii="Times New Roman" w:hAnsi="Times New Roman" w:cs="Times New Roman"/>
          <w:bCs/>
          <w:lang w:val="en-GB"/>
        </w:rPr>
        <w:t>, Nick C. Fox</w:t>
      </w:r>
      <w:r w:rsidRPr="00FA7E6E">
        <w:rPr>
          <w:rFonts w:ascii="Times New Roman" w:hAnsi="Times New Roman" w:cs="Times New Roman"/>
          <w:bCs/>
          <w:vertAlign w:val="superscript"/>
          <w:lang w:val="en-GB"/>
        </w:rPr>
        <w:t>9,10</w:t>
      </w:r>
      <w:r w:rsidRPr="00FA7E6E">
        <w:rPr>
          <w:rFonts w:ascii="Times New Roman" w:hAnsi="Times New Roman" w:cs="Times New Roman"/>
          <w:bCs/>
          <w:lang w:val="en-GB"/>
        </w:rPr>
        <w:t>, Tammaryn Lashley</w:t>
      </w:r>
      <w:r w:rsidRPr="00FA7E6E">
        <w:rPr>
          <w:rFonts w:ascii="Times New Roman" w:hAnsi="Times New Roman" w:cs="Times New Roman"/>
          <w:bCs/>
          <w:vertAlign w:val="superscript"/>
          <w:lang w:val="en-GB"/>
        </w:rPr>
        <w:t>9</w:t>
      </w:r>
      <w:r w:rsidRPr="00FA7E6E">
        <w:rPr>
          <w:rFonts w:ascii="Times New Roman" w:hAnsi="Times New Roman" w:cs="Times New Roman"/>
          <w:bCs/>
          <w:lang w:val="en-GB"/>
        </w:rPr>
        <w:t>, Henrik Zetterberg</w:t>
      </w:r>
      <w:r w:rsidRPr="00FA7E6E">
        <w:rPr>
          <w:rFonts w:ascii="Times New Roman" w:hAnsi="Times New Roman" w:cs="Times New Roman"/>
          <w:bCs/>
          <w:vertAlign w:val="superscript"/>
          <w:lang w:val="en-GB"/>
        </w:rPr>
        <w:t>1,2,9,10,11,12</w:t>
      </w:r>
      <w:r w:rsidRPr="00FA7E6E">
        <w:rPr>
          <w:rFonts w:ascii="Times New Roman" w:hAnsi="Times New Roman" w:cs="Times New Roman"/>
          <w:bCs/>
          <w:lang w:val="en-GB"/>
        </w:rPr>
        <w:t>, Kaj Blennow</w:t>
      </w:r>
      <w:r w:rsidRPr="00FA7E6E">
        <w:rPr>
          <w:rFonts w:ascii="Times New Roman" w:hAnsi="Times New Roman" w:cs="Times New Roman"/>
          <w:bCs/>
          <w:vertAlign w:val="superscript"/>
          <w:lang w:val="en-GB"/>
        </w:rPr>
        <w:t>1,2$</w:t>
      </w:r>
      <w:r w:rsidRPr="00FA7E6E">
        <w:rPr>
          <w:rFonts w:ascii="Times New Roman" w:hAnsi="Times New Roman" w:cs="Times New Roman"/>
          <w:bCs/>
          <w:lang w:val="en-GB"/>
        </w:rPr>
        <w:t>, Gunnar Brinkmalm</w:t>
      </w:r>
      <w:r w:rsidRPr="00FA7E6E">
        <w:rPr>
          <w:rFonts w:ascii="Times New Roman" w:hAnsi="Times New Roman" w:cs="Times New Roman"/>
          <w:bCs/>
          <w:vertAlign w:val="superscript"/>
          <w:lang w:val="en-GB"/>
        </w:rPr>
        <w:t>1,2$</w:t>
      </w:r>
    </w:p>
    <w:p w14:paraId="159E69FC" w14:textId="77777777" w:rsidR="00FA7E6E" w:rsidRPr="00FA7E6E" w:rsidRDefault="00FA7E6E" w:rsidP="00FA7E6E">
      <w:pPr>
        <w:rPr>
          <w:rFonts w:ascii="Times New Roman" w:hAnsi="Times New Roman" w:cs="Times New Roman"/>
          <w:bCs/>
          <w:lang w:val="en-GB"/>
        </w:rPr>
      </w:pPr>
    </w:p>
    <w:p w14:paraId="69B215F6"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1</w:t>
      </w:r>
      <w:r w:rsidRPr="00FA7E6E">
        <w:rPr>
          <w:rFonts w:ascii="Times New Roman" w:hAnsi="Times New Roman" w:cs="Times New Roman"/>
          <w:bCs/>
          <w:lang w:val="en-GB"/>
        </w:rPr>
        <w:t xml:space="preserve"> Dep</w:t>
      </w:r>
      <w:r w:rsidRPr="00FA7E6E">
        <w:rPr>
          <w:rFonts w:ascii="Times New Roman" w:hAnsi="Times New Roman" w:cs="Times New Roman"/>
          <w:bCs/>
          <w:lang w:val="en-US"/>
        </w:rPr>
        <w:t>artment</w:t>
      </w:r>
      <w:r w:rsidRPr="00FA7E6E">
        <w:rPr>
          <w:rFonts w:ascii="Times New Roman" w:hAnsi="Times New Roman" w:cs="Times New Roman"/>
          <w:bCs/>
          <w:lang w:val="en-GB"/>
        </w:rPr>
        <w:t xml:space="preserve"> of Psychiatry &amp; Neurochemistry, Institute of Neuroscience and Physiology, the Sahlgrenska Academy at the University of Gothenburg, Mölndal, Sweden</w:t>
      </w:r>
    </w:p>
    <w:p w14:paraId="700173B4"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 xml:space="preserve">2 </w:t>
      </w:r>
      <w:r w:rsidRPr="00FA7E6E">
        <w:rPr>
          <w:rFonts w:ascii="Times New Roman" w:hAnsi="Times New Roman" w:cs="Times New Roman"/>
          <w:bCs/>
          <w:lang w:val="en-GB"/>
        </w:rPr>
        <w:t>Clinical Neurochemistry Laboratory, Sahlgrenska University Hospital, Mölndal, Sweden</w:t>
      </w:r>
    </w:p>
    <w:p w14:paraId="02C0AB78" w14:textId="77777777" w:rsidR="00FA7E6E" w:rsidRPr="00FA7E6E" w:rsidRDefault="00FA7E6E" w:rsidP="00FA7E6E">
      <w:pPr>
        <w:rPr>
          <w:rFonts w:ascii="Times New Roman" w:hAnsi="Times New Roman" w:cs="Times New Roman"/>
          <w:lang w:val="en-GB"/>
        </w:rPr>
      </w:pPr>
      <w:r w:rsidRPr="00FA7E6E">
        <w:rPr>
          <w:rFonts w:ascii="Times New Roman" w:hAnsi="Times New Roman" w:cs="Times New Roman"/>
          <w:vertAlign w:val="superscript"/>
          <w:lang w:val="en-GB"/>
        </w:rPr>
        <w:t xml:space="preserve">3 </w:t>
      </w:r>
      <w:r w:rsidRPr="00FA7E6E">
        <w:rPr>
          <w:rFonts w:ascii="Times New Roman" w:hAnsi="Times New Roman" w:cs="Times New Roman"/>
          <w:lang w:val="en-GB"/>
        </w:rPr>
        <w:t>Department of Chemistry and Molecular Biology, University of Gothenburg, Gothenburg, Sweden</w:t>
      </w:r>
    </w:p>
    <w:p w14:paraId="347EBD70" w14:textId="77777777" w:rsidR="00FA7E6E" w:rsidRPr="00FA7E6E" w:rsidRDefault="00FA7E6E" w:rsidP="00FA7E6E">
      <w:pPr>
        <w:rPr>
          <w:rFonts w:ascii="Times New Roman" w:hAnsi="Times New Roman" w:cs="Times New Roman"/>
          <w:lang w:val="en-GB"/>
        </w:rPr>
      </w:pPr>
      <w:r w:rsidRPr="00FA7E6E">
        <w:rPr>
          <w:rFonts w:ascii="Times New Roman" w:hAnsi="Times New Roman" w:cs="Times New Roman"/>
          <w:vertAlign w:val="superscript"/>
          <w:lang w:val="en-GB"/>
        </w:rPr>
        <w:t xml:space="preserve">4 </w:t>
      </w:r>
      <w:r w:rsidRPr="00FA7E6E">
        <w:rPr>
          <w:rFonts w:ascii="Times New Roman" w:hAnsi="Times New Roman" w:cs="Times New Roman"/>
          <w:lang w:val="en-GB"/>
        </w:rPr>
        <w:t>Wallenberg Centre for Molecular and Translational Medicine, University of Gothenburg, Gothenburg, Sweden</w:t>
      </w:r>
    </w:p>
    <w:p w14:paraId="7D3636EC" w14:textId="77777777" w:rsidR="00FA7E6E" w:rsidRPr="00FA7E6E" w:rsidRDefault="00FA7E6E" w:rsidP="00FA7E6E">
      <w:pPr>
        <w:rPr>
          <w:rFonts w:ascii="Times New Roman" w:hAnsi="Times New Roman" w:cs="Times New Roman"/>
          <w:lang w:val="it-IT"/>
        </w:rPr>
      </w:pPr>
      <w:r w:rsidRPr="00FA7E6E">
        <w:rPr>
          <w:rFonts w:ascii="Times New Roman" w:hAnsi="Times New Roman" w:cs="Times New Roman"/>
          <w:vertAlign w:val="superscript"/>
          <w:lang w:val="it-IT"/>
        </w:rPr>
        <w:t xml:space="preserve">5 </w:t>
      </w:r>
      <w:r w:rsidRPr="00FA7E6E">
        <w:rPr>
          <w:rFonts w:ascii="Times New Roman" w:hAnsi="Times New Roman" w:cs="Times New Roman"/>
          <w:lang w:val="it-IT"/>
        </w:rPr>
        <w:t>AstraZeneca Neuroscience Innovative Medicines, MedImmune Ltd, Cambridge CB21 6GH, UK</w:t>
      </w:r>
    </w:p>
    <w:p w14:paraId="23E5E649"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 xml:space="preserve">6 </w:t>
      </w:r>
      <w:r w:rsidRPr="00FA7E6E">
        <w:rPr>
          <w:rFonts w:ascii="Times New Roman" w:hAnsi="Times New Roman" w:cs="Times New Roman"/>
          <w:bCs/>
          <w:lang w:val="en-GB"/>
        </w:rPr>
        <w:t>Centre for Age-Related Medicine, Stavanger University Hospital, Stavanger, Norway</w:t>
      </w:r>
    </w:p>
    <w:p w14:paraId="45C03D62"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 xml:space="preserve">7 </w:t>
      </w:r>
      <w:r w:rsidRPr="00FA7E6E">
        <w:rPr>
          <w:rFonts w:ascii="Times New Roman" w:hAnsi="Times New Roman" w:cs="Times New Roman"/>
          <w:bCs/>
          <w:lang w:val="en-GB"/>
        </w:rPr>
        <w:t>Department of Old Age Psychiatry, Maurice Wohl Clinical Neuroscience Institute, King’s College London, London, UK</w:t>
      </w:r>
    </w:p>
    <w:p w14:paraId="7AFFC1A6"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 xml:space="preserve">8 </w:t>
      </w:r>
      <w:r w:rsidRPr="00FA7E6E">
        <w:rPr>
          <w:rFonts w:ascii="Times New Roman" w:hAnsi="Times New Roman" w:cs="Times New Roman"/>
          <w:bCs/>
          <w:lang w:val="en-GB"/>
        </w:rPr>
        <w:t>NIHR Biomedical Research Centre for Mental Health &amp; Biomedical Research Unit for Dementia at South London &amp; Maudsley NHS Foundation, London, UK</w:t>
      </w:r>
    </w:p>
    <w:p w14:paraId="40B4F078"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 xml:space="preserve">9 </w:t>
      </w:r>
      <w:r w:rsidRPr="00FA7E6E">
        <w:rPr>
          <w:rFonts w:ascii="Times New Roman" w:hAnsi="Times New Roman" w:cs="Times New Roman"/>
          <w:bCs/>
          <w:lang w:val="en-GB"/>
        </w:rPr>
        <w:t>Department of Neurodegenerative Disease, Queen Square Institute of Neurology, University College London, London, UK</w:t>
      </w:r>
    </w:p>
    <w:p w14:paraId="787A0C79"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 xml:space="preserve">10 </w:t>
      </w:r>
      <w:r w:rsidRPr="00FA7E6E">
        <w:rPr>
          <w:rFonts w:ascii="Times New Roman" w:hAnsi="Times New Roman" w:cs="Times New Roman"/>
          <w:bCs/>
          <w:lang w:val="en-GB"/>
        </w:rPr>
        <w:t>UK Dementia Research Institute, University College London, London, UK</w:t>
      </w:r>
    </w:p>
    <w:p w14:paraId="7D3D78D6"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 xml:space="preserve">11 </w:t>
      </w:r>
      <w:r w:rsidRPr="00FA7E6E">
        <w:rPr>
          <w:rFonts w:ascii="Times New Roman" w:hAnsi="Times New Roman" w:cs="Times New Roman"/>
          <w:bCs/>
          <w:lang w:val="en-GB"/>
        </w:rPr>
        <w:t>Hong Kong Center for Neurodegenerative Diseases, Hong Kong, China</w:t>
      </w:r>
    </w:p>
    <w:p w14:paraId="3A51A5C0" w14:textId="77777777" w:rsidR="00FA7E6E" w:rsidRPr="00FA7E6E" w:rsidRDefault="00FA7E6E" w:rsidP="00FA7E6E">
      <w:pPr>
        <w:rPr>
          <w:rFonts w:ascii="Times New Roman" w:hAnsi="Times New Roman" w:cs="Times New Roman"/>
          <w:bCs/>
          <w:lang w:val="en-GB"/>
        </w:rPr>
      </w:pPr>
      <w:r w:rsidRPr="00FA7E6E">
        <w:rPr>
          <w:rFonts w:ascii="Times New Roman" w:hAnsi="Times New Roman" w:cs="Times New Roman"/>
          <w:bCs/>
          <w:vertAlign w:val="superscript"/>
          <w:lang w:val="en-GB"/>
        </w:rPr>
        <w:t xml:space="preserve">12 </w:t>
      </w:r>
      <w:r w:rsidRPr="00FA7E6E">
        <w:rPr>
          <w:rFonts w:ascii="Times New Roman" w:hAnsi="Times New Roman" w:cs="Times New Roman"/>
          <w:bCs/>
          <w:lang w:val="en-GB"/>
        </w:rPr>
        <w:t>Wisconsin Alzheimer’s Disease Research Center, University of Wisconsin School of Medicine and Public Health, University of Wisconsin-Madison, Madison, WI, USA</w:t>
      </w:r>
    </w:p>
    <w:p w14:paraId="5862898F" w14:textId="77777777" w:rsidR="005A3A89" w:rsidRPr="005A3A89" w:rsidRDefault="005A3A89" w:rsidP="005A3A89">
      <w:pPr>
        <w:spacing w:after="160"/>
        <w:jc w:val="both"/>
        <w:rPr>
          <w:rFonts w:ascii="Times New Roman" w:eastAsia="Calibri" w:hAnsi="Times New Roman" w:cs="Times New Roman"/>
          <w:b/>
          <w:bCs/>
          <w:sz w:val="22"/>
          <w:szCs w:val="22"/>
          <w:lang w:val="en-GB"/>
        </w:rPr>
      </w:pPr>
    </w:p>
    <w:p w14:paraId="57442AC2" w14:textId="77777777" w:rsidR="005A3A89" w:rsidRPr="005A3A89" w:rsidRDefault="005A3A89" w:rsidP="005A3A89">
      <w:pPr>
        <w:spacing w:after="160"/>
        <w:jc w:val="both"/>
        <w:rPr>
          <w:rFonts w:ascii="Times New Roman" w:eastAsia="Calibri" w:hAnsi="Times New Roman" w:cs="Times New Roman"/>
          <w:bCs/>
          <w:sz w:val="22"/>
          <w:szCs w:val="22"/>
          <w:lang w:val="en-GB"/>
        </w:rPr>
      </w:pPr>
      <w:r w:rsidRPr="005A3A89">
        <w:rPr>
          <w:rFonts w:ascii="Times New Roman" w:eastAsia="Calibri" w:hAnsi="Times New Roman" w:cs="Times New Roman"/>
          <w:bCs/>
          <w:sz w:val="22"/>
          <w:szCs w:val="22"/>
          <w:lang w:val="en-GB"/>
        </w:rPr>
        <w:t xml:space="preserve">*Contributed equally as first authors </w:t>
      </w:r>
    </w:p>
    <w:p w14:paraId="6D293F52" w14:textId="77777777" w:rsidR="005A3A89" w:rsidRDefault="005A3A89" w:rsidP="005A3A89">
      <w:pPr>
        <w:spacing w:after="160"/>
        <w:jc w:val="both"/>
        <w:rPr>
          <w:rFonts w:ascii="Times New Roman" w:eastAsia="Calibri" w:hAnsi="Times New Roman" w:cs="Times New Roman"/>
          <w:bCs/>
          <w:sz w:val="22"/>
          <w:szCs w:val="22"/>
          <w:lang w:val="en-GB"/>
        </w:rPr>
      </w:pPr>
      <w:r w:rsidRPr="005A3A89">
        <w:rPr>
          <w:rFonts w:ascii="Times New Roman" w:eastAsia="Calibri" w:hAnsi="Times New Roman" w:cs="Times New Roman"/>
          <w:bCs/>
          <w:sz w:val="22"/>
          <w:szCs w:val="22"/>
          <w:vertAlign w:val="superscript"/>
          <w:lang w:val="en-GB"/>
        </w:rPr>
        <w:t>$</w:t>
      </w:r>
      <w:r w:rsidRPr="005A3A89">
        <w:rPr>
          <w:rFonts w:ascii="Times New Roman" w:eastAsia="Calibri" w:hAnsi="Times New Roman" w:cs="Times New Roman"/>
          <w:bCs/>
          <w:sz w:val="22"/>
          <w:szCs w:val="22"/>
          <w:lang w:val="en-GB"/>
        </w:rPr>
        <w:t>Contributed equally as senior authors</w:t>
      </w:r>
    </w:p>
    <w:p w14:paraId="5CAFFD9B" w14:textId="77777777" w:rsidR="00FA7E6E" w:rsidRPr="005A3A89" w:rsidRDefault="00FA7E6E" w:rsidP="005A3A89">
      <w:pPr>
        <w:spacing w:after="160"/>
        <w:jc w:val="both"/>
        <w:rPr>
          <w:rFonts w:ascii="Times New Roman" w:eastAsia="Calibri" w:hAnsi="Times New Roman" w:cs="Times New Roman"/>
          <w:bCs/>
          <w:sz w:val="22"/>
          <w:szCs w:val="22"/>
          <w:lang w:val="en-GB"/>
        </w:rPr>
      </w:pPr>
    </w:p>
    <w:p w14:paraId="626F2DBD" w14:textId="77777777" w:rsidR="005A3A89" w:rsidRPr="005A3A89" w:rsidRDefault="005A3A89" w:rsidP="005A3A89">
      <w:pPr>
        <w:spacing w:after="160"/>
        <w:jc w:val="both"/>
        <w:rPr>
          <w:rFonts w:ascii="Times New Roman" w:eastAsia="Calibri" w:hAnsi="Times New Roman" w:cs="Times New Roman"/>
          <w:bCs/>
          <w:sz w:val="22"/>
          <w:szCs w:val="22"/>
          <w:lang w:val="en-GB"/>
        </w:rPr>
      </w:pPr>
      <w:r w:rsidRPr="005A3A89">
        <w:rPr>
          <w:rFonts w:ascii="Times New Roman" w:eastAsia="Calibri" w:hAnsi="Times New Roman" w:cs="Times New Roman"/>
          <w:bCs/>
          <w:sz w:val="22"/>
          <w:szCs w:val="22"/>
          <w:lang w:val="en-GB"/>
        </w:rPr>
        <w:t>Corresponding author: Gunnar Brinkmalm, PhD. Department of Psychiatry and Neurochemistry, Institute of Neuroscience and Physiology, The Sahlgrenska Academy, University of Gothenburg, Gothenburg, Sweden.</w:t>
      </w:r>
    </w:p>
    <w:p w14:paraId="5E3A9CBA" w14:textId="77777777" w:rsidR="005A3A89" w:rsidRPr="005A3A89" w:rsidRDefault="005A3A89" w:rsidP="005A3A89">
      <w:pPr>
        <w:spacing w:after="160"/>
        <w:jc w:val="both"/>
        <w:rPr>
          <w:rFonts w:ascii="Times New Roman" w:eastAsia="Calibri" w:hAnsi="Times New Roman" w:cs="Times New Roman"/>
          <w:bCs/>
          <w:sz w:val="22"/>
          <w:szCs w:val="22"/>
          <w:lang w:val="en-GB"/>
        </w:rPr>
      </w:pPr>
      <w:r w:rsidRPr="005A3A89">
        <w:rPr>
          <w:rFonts w:ascii="Times New Roman" w:eastAsia="Calibri" w:hAnsi="Times New Roman" w:cs="Times New Roman"/>
          <w:bCs/>
          <w:sz w:val="22"/>
          <w:szCs w:val="22"/>
          <w:lang w:val="en-GB"/>
        </w:rPr>
        <w:t>Email: gunnar.brinkmalm@neuro.gu.se</w:t>
      </w:r>
    </w:p>
    <w:p w14:paraId="290E12B1" w14:textId="77777777" w:rsidR="00FA7E6E" w:rsidRDefault="00FA7E6E">
      <w:pPr>
        <w:rPr>
          <w:rFonts w:ascii="Times New Roman" w:eastAsia="Calibri" w:hAnsi="Times New Roman" w:cs="Times New Roman"/>
          <w:bCs/>
          <w:sz w:val="22"/>
          <w:szCs w:val="22"/>
          <w:lang w:val="en-GB"/>
        </w:rPr>
      </w:pPr>
      <w:r>
        <w:rPr>
          <w:rFonts w:ascii="Times New Roman" w:eastAsia="Calibri" w:hAnsi="Times New Roman" w:cs="Times New Roman"/>
          <w:bCs/>
          <w:sz w:val="22"/>
          <w:szCs w:val="22"/>
          <w:lang w:val="en-GB"/>
        </w:rPr>
        <w:br w:type="page"/>
      </w:r>
    </w:p>
    <w:p w14:paraId="7588BBFF" w14:textId="0313C8E1" w:rsidR="00390DF9" w:rsidRDefault="00390DF9" w:rsidP="00940FDA">
      <w:pPr>
        <w:spacing w:after="160" w:line="360" w:lineRule="auto"/>
        <w:ind w:right="-6"/>
        <w:jc w:val="both"/>
        <w:rPr>
          <w:rFonts w:ascii="Times New Roman" w:eastAsia="Calibri" w:hAnsi="Times New Roman" w:cs="Times New Roman"/>
          <w:b/>
          <w:sz w:val="22"/>
          <w:szCs w:val="22"/>
          <w:lang w:val="en-GB"/>
        </w:rPr>
      </w:pPr>
      <w:r>
        <w:rPr>
          <w:rFonts w:ascii="Times New Roman" w:eastAsia="Calibri" w:hAnsi="Times New Roman" w:cs="Times New Roman"/>
          <w:b/>
          <w:sz w:val="22"/>
          <w:szCs w:val="22"/>
          <w:lang w:val="en-GB"/>
        </w:rPr>
        <w:lastRenderedPageBreak/>
        <w:t>Supplementary information</w:t>
      </w:r>
    </w:p>
    <w:p w14:paraId="2D99812B" w14:textId="0FAEE4DF" w:rsidR="0015512B" w:rsidRPr="00940FDA" w:rsidRDefault="00D4298C" w:rsidP="00DF3AF7">
      <w:pPr>
        <w:spacing w:line="360" w:lineRule="auto"/>
        <w:ind w:right="-6"/>
        <w:jc w:val="both"/>
        <w:rPr>
          <w:rFonts w:ascii="Times New Roman" w:eastAsia="Calibri" w:hAnsi="Times New Roman" w:cs="Times New Roman"/>
          <w:sz w:val="22"/>
          <w:szCs w:val="22"/>
          <w:lang w:val="en-GB"/>
        </w:rPr>
      </w:pPr>
      <w:r w:rsidRPr="00940FDA">
        <w:rPr>
          <w:rFonts w:ascii="Times New Roman" w:eastAsia="Calibri" w:hAnsi="Times New Roman" w:cs="Times New Roman"/>
          <w:b/>
          <w:sz w:val="22"/>
          <w:szCs w:val="22"/>
          <w:lang w:val="en-GB"/>
        </w:rPr>
        <w:t xml:space="preserve">1. </w:t>
      </w:r>
      <w:r w:rsidR="0015512B" w:rsidRPr="00940FDA">
        <w:rPr>
          <w:rFonts w:ascii="Times New Roman" w:eastAsia="Calibri" w:hAnsi="Times New Roman" w:cs="Times New Roman"/>
          <w:b/>
          <w:sz w:val="22"/>
          <w:szCs w:val="22"/>
          <w:lang w:val="en-GB"/>
        </w:rPr>
        <w:t>Protein constructs</w:t>
      </w:r>
    </w:p>
    <w:p w14:paraId="74FD168D" w14:textId="71723EB3" w:rsidR="0015512B" w:rsidRDefault="0015512B" w:rsidP="00940FDA">
      <w:pPr>
        <w:spacing w:after="160" w:line="360" w:lineRule="auto"/>
        <w:ind w:right="-6"/>
        <w:jc w:val="both"/>
        <w:rPr>
          <w:rFonts w:ascii="Times New Roman" w:eastAsia="Calibri" w:hAnsi="Times New Roman" w:cs="Times New Roman"/>
          <w:sz w:val="22"/>
          <w:szCs w:val="22"/>
          <w:lang w:val="en-GB"/>
        </w:rPr>
      </w:pPr>
      <w:r w:rsidRPr="00940FDA">
        <w:rPr>
          <w:rFonts w:ascii="Times New Roman" w:eastAsia="Calibri" w:hAnsi="Times New Roman" w:cs="Times New Roman"/>
          <w:sz w:val="22"/>
          <w:szCs w:val="22"/>
          <w:lang w:val="en-GB"/>
        </w:rPr>
        <w:t>Tau isoforms 0N3R, 1N4R and 2N4R cDNA were synthesized using GeneArt Custom DNA Fragment (</w:t>
      </w:r>
      <w:r w:rsidR="00C87E33" w:rsidRPr="00940FDA">
        <w:rPr>
          <w:rFonts w:ascii="Times New Roman" w:eastAsia="Calibri" w:hAnsi="Times New Roman" w:cs="Times New Roman"/>
          <w:sz w:val="22"/>
          <w:szCs w:val="22"/>
          <w:lang w:val="en-GB"/>
        </w:rPr>
        <w:t>Thermo Fisher</w:t>
      </w:r>
      <w:r w:rsidR="00864455">
        <w:rPr>
          <w:rFonts w:ascii="Times New Roman" w:eastAsia="Calibri" w:hAnsi="Times New Roman" w:cs="Times New Roman"/>
          <w:sz w:val="22"/>
          <w:szCs w:val="22"/>
          <w:lang w:val="en-GB"/>
        </w:rPr>
        <w:t xml:space="preserve"> Scientific</w:t>
      </w:r>
      <w:r w:rsidRPr="00940FDA">
        <w:rPr>
          <w:rFonts w:ascii="Times New Roman" w:eastAsia="Calibri" w:hAnsi="Times New Roman" w:cs="Times New Roman"/>
          <w:sz w:val="22"/>
          <w:szCs w:val="22"/>
          <w:lang w:val="en-GB"/>
        </w:rPr>
        <w:t xml:space="preserve">) and PCR amplified with primers representing </w:t>
      </w:r>
      <w:r w:rsidR="007F612E">
        <w:rPr>
          <w:rFonts w:ascii="Times New Roman" w:eastAsia="Calibri" w:hAnsi="Times New Roman" w:cs="Times New Roman"/>
          <w:sz w:val="22"/>
          <w:szCs w:val="22"/>
          <w:lang w:val="en-GB"/>
        </w:rPr>
        <w:t>t</w:t>
      </w:r>
      <w:r w:rsidRPr="00940FDA">
        <w:rPr>
          <w:rFonts w:ascii="Times New Roman" w:eastAsia="Calibri" w:hAnsi="Times New Roman" w:cs="Times New Roman"/>
          <w:sz w:val="22"/>
          <w:szCs w:val="22"/>
          <w:lang w:val="en-GB"/>
        </w:rPr>
        <w:t>au 5’ and 3’ sequence. PCR fragments were cloned directly into pET_SUMO, a plasmid for protein expression with N-terminal His-SUMO tag (</w:t>
      </w:r>
      <w:r w:rsidR="00C87E33" w:rsidRPr="00940FDA">
        <w:rPr>
          <w:rFonts w:ascii="Times New Roman" w:eastAsia="Calibri" w:hAnsi="Times New Roman" w:cs="Times New Roman"/>
          <w:sz w:val="22"/>
          <w:szCs w:val="22"/>
          <w:lang w:val="en-GB"/>
        </w:rPr>
        <w:t>Thermo Fisher</w:t>
      </w:r>
      <w:r w:rsidR="00864455">
        <w:rPr>
          <w:rFonts w:ascii="Times New Roman" w:eastAsia="Calibri" w:hAnsi="Times New Roman" w:cs="Times New Roman"/>
          <w:sz w:val="22"/>
          <w:szCs w:val="22"/>
          <w:lang w:val="en-GB"/>
        </w:rPr>
        <w:t xml:space="preserve"> Scientific</w:t>
      </w:r>
      <w:r w:rsidRPr="00940FDA">
        <w:rPr>
          <w:rFonts w:ascii="Times New Roman" w:eastAsia="Calibri" w:hAnsi="Times New Roman" w:cs="Times New Roman"/>
          <w:sz w:val="22"/>
          <w:szCs w:val="22"/>
          <w:lang w:val="en-GB"/>
        </w:rPr>
        <w:t xml:space="preserve">). Clones with </w:t>
      </w:r>
      <w:r w:rsidR="007F612E">
        <w:rPr>
          <w:rFonts w:ascii="Times New Roman" w:eastAsia="Calibri" w:hAnsi="Times New Roman" w:cs="Times New Roman"/>
          <w:sz w:val="22"/>
          <w:szCs w:val="22"/>
          <w:lang w:val="en-GB"/>
        </w:rPr>
        <w:t>t</w:t>
      </w:r>
      <w:r w:rsidRPr="00940FDA">
        <w:rPr>
          <w:rFonts w:ascii="Times New Roman" w:eastAsia="Calibri" w:hAnsi="Times New Roman" w:cs="Times New Roman"/>
          <w:sz w:val="22"/>
          <w:szCs w:val="22"/>
          <w:lang w:val="en-GB"/>
        </w:rPr>
        <w:t>au 0N3R or 1N4R insert were sequenced to verify the SUMO-</w:t>
      </w:r>
      <w:r w:rsidR="007F612E">
        <w:rPr>
          <w:rFonts w:ascii="Times New Roman" w:eastAsia="Calibri" w:hAnsi="Times New Roman" w:cs="Times New Roman"/>
          <w:sz w:val="22"/>
          <w:szCs w:val="22"/>
          <w:lang w:val="en-GB"/>
        </w:rPr>
        <w:t>t</w:t>
      </w:r>
      <w:r w:rsidRPr="00940FDA">
        <w:rPr>
          <w:rFonts w:ascii="Times New Roman" w:eastAsia="Calibri" w:hAnsi="Times New Roman" w:cs="Times New Roman"/>
          <w:sz w:val="22"/>
          <w:szCs w:val="22"/>
          <w:lang w:val="en-GB"/>
        </w:rPr>
        <w:t>au fusion protein.</w:t>
      </w:r>
    </w:p>
    <w:p w14:paraId="27782750" w14:textId="77777777" w:rsidR="00804D9C" w:rsidRPr="00940FDA" w:rsidRDefault="00804D9C" w:rsidP="00940FDA">
      <w:pPr>
        <w:spacing w:after="160" w:line="360" w:lineRule="auto"/>
        <w:ind w:right="-6"/>
        <w:jc w:val="both"/>
        <w:rPr>
          <w:rFonts w:ascii="Times New Roman" w:eastAsia="Calibri" w:hAnsi="Times New Roman" w:cs="Times New Roman"/>
          <w:sz w:val="22"/>
          <w:szCs w:val="22"/>
          <w:lang w:val="en-GB"/>
        </w:rPr>
      </w:pPr>
    </w:p>
    <w:p w14:paraId="4959ED37" w14:textId="1331AFDA" w:rsidR="00B5734A" w:rsidRPr="00940FDA" w:rsidRDefault="00D4298C" w:rsidP="00DF3AF7">
      <w:pPr>
        <w:spacing w:line="360" w:lineRule="auto"/>
        <w:ind w:right="-6"/>
        <w:jc w:val="both"/>
        <w:rPr>
          <w:rFonts w:ascii="Times New Roman" w:hAnsi="Times New Roman" w:cs="Times New Roman"/>
          <w:b/>
          <w:bCs/>
          <w:sz w:val="22"/>
          <w:szCs w:val="22"/>
          <w:lang w:val="en-US"/>
        </w:rPr>
      </w:pPr>
      <w:r w:rsidRPr="00940FDA">
        <w:rPr>
          <w:rFonts w:ascii="Times New Roman" w:hAnsi="Times New Roman" w:cs="Times New Roman"/>
          <w:b/>
          <w:bCs/>
          <w:sz w:val="22"/>
          <w:szCs w:val="22"/>
          <w:lang w:val="en-US"/>
        </w:rPr>
        <w:t xml:space="preserve">2. </w:t>
      </w:r>
      <w:r w:rsidR="00B5734A" w:rsidRPr="00940FDA">
        <w:rPr>
          <w:rFonts w:ascii="Times New Roman" w:hAnsi="Times New Roman" w:cs="Times New Roman"/>
          <w:b/>
          <w:bCs/>
          <w:sz w:val="22"/>
          <w:szCs w:val="22"/>
          <w:lang w:val="en-US"/>
        </w:rPr>
        <w:t>Protein expression and purification</w:t>
      </w:r>
    </w:p>
    <w:p w14:paraId="26C4C2ED" w14:textId="2CA70F5B" w:rsidR="00B5734A" w:rsidRDefault="00B5734A" w:rsidP="00940FDA">
      <w:pPr>
        <w:spacing w:after="240" w:line="360" w:lineRule="auto"/>
        <w:ind w:right="-6"/>
        <w:jc w:val="both"/>
        <w:rPr>
          <w:rFonts w:ascii="Times New Roman" w:hAnsi="Times New Roman" w:cs="Times New Roman"/>
          <w:sz w:val="22"/>
          <w:szCs w:val="22"/>
          <w:lang w:val="en-US"/>
        </w:rPr>
      </w:pPr>
      <w:r w:rsidRPr="00940FDA">
        <w:rPr>
          <w:rFonts w:ascii="Times New Roman" w:hAnsi="Times New Roman" w:cs="Times New Roman"/>
          <w:i/>
          <w:sz w:val="22"/>
          <w:szCs w:val="22"/>
          <w:lang w:val="en-US"/>
        </w:rPr>
        <w:t xml:space="preserve">E. coli </w:t>
      </w:r>
      <w:r w:rsidRPr="00940FDA">
        <w:rPr>
          <w:rFonts w:ascii="Times New Roman" w:hAnsi="Times New Roman" w:cs="Times New Roman"/>
          <w:sz w:val="22"/>
          <w:szCs w:val="22"/>
          <w:lang w:val="en-US"/>
        </w:rPr>
        <w:t>BL21(</w:t>
      </w:r>
      <w:r w:rsidRPr="00940FDA">
        <w:rPr>
          <w:rFonts w:ascii="Times New Roman" w:hAnsi="Times New Roman" w:cs="Times New Roman"/>
          <w:sz w:val="22"/>
          <w:szCs w:val="22"/>
          <w:lang w:val="en-US"/>
        </w:rPr>
        <w:sym w:font="Symbol" w:char="F020"/>
      </w:r>
      <w:r w:rsidRPr="00940FDA">
        <w:rPr>
          <w:rFonts w:ascii="Times New Roman" w:hAnsi="Times New Roman" w:cs="Times New Roman"/>
          <w:sz w:val="22"/>
          <w:szCs w:val="22"/>
          <w:lang w:val="en-US"/>
        </w:rPr>
        <w:sym w:font="Symbol" w:char="F06C"/>
      </w:r>
      <w:r w:rsidRPr="00940FDA">
        <w:rPr>
          <w:rFonts w:ascii="Times New Roman" w:hAnsi="Times New Roman" w:cs="Times New Roman"/>
          <w:sz w:val="22"/>
          <w:szCs w:val="22"/>
          <w:lang w:val="en-US"/>
        </w:rPr>
        <w:t>DE3) Star (Novagen) cells were transformed with a modified pET_Sumo plasmid</w:t>
      </w:r>
      <w:r w:rsidR="0070005E" w:rsidRPr="00940FDA">
        <w:rPr>
          <w:rFonts w:ascii="Times New Roman" w:hAnsi="Times New Roman" w:cs="Times New Roman"/>
          <w:sz w:val="22"/>
          <w:szCs w:val="22"/>
          <w:lang w:val="en-US"/>
        </w:rPr>
        <w:t xml:space="preserve"> (Invitrogen)</w:t>
      </w:r>
      <w:r w:rsidRPr="00940FDA">
        <w:rPr>
          <w:rFonts w:ascii="Times New Roman" w:hAnsi="Times New Roman" w:cs="Times New Roman"/>
          <w:sz w:val="22"/>
          <w:szCs w:val="22"/>
          <w:lang w:val="en-US"/>
        </w:rPr>
        <w:t xml:space="preserve"> harboring </w:t>
      </w:r>
      <w:r w:rsidR="000A659D" w:rsidRPr="00940FDA">
        <w:rPr>
          <w:rFonts w:ascii="Times New Roman" w:hAnsi="Times New Roman" w:cs="Times New Roman"/>
          <w:sz w:val="22"/>
          <w:szCs w:val="22"/>
          <w:lang w:val="en-US"/>
        </w:rPr>
        <w:t>2N4R, 1N4R,</w:t>
      </w:r>
      <w:r w:rsidR="0015512B" w:rsidRPr="00940FDA">
        <w:rPr>
          <w:rFonts w:ascii="Times New Roman" w:hAnsi="Times New Roman" w:cs="Times New Roman"/>
          <w:sz w:val="22"/>
          <w:szCs w:val="22"/>
          <w:lang w:val="en-US"/>
        </w:rPr>
        <w:t xml:space="preserve"> </w:t>
      </w:r>
      <w:r w:rsidR="006F7A6F">
        <w:rPr>
          <w:rFonts w:ascii="Times New Roman" w:hAnsi="Times New Roman" w:cs="Times New Roman"/>
          <w:sz w:val="22"/>
          <w:szCs w:val="22"/>
          <w:lang w:val="en-US"/>
        </w:rPr>
        <w:t>and 0N3R</w:t>
      </w:r>
      <w:r w:rsidRPr="00940FDA">
        <w:rPr>
          <w:rFonts w:ascii="Times New Roman" w:hAnsi="Times New Roman" w:cs="Times New Roman"/>
          <w:sz w:val="22"/>
          <w:szCs w:val="22"/>
          <w:lang w:val="en-US"/>
        </w:rPr>
        <w:t>. [</w:t>
      </w:r>
      <w:r w:rsidRPr="00940FDA">
        <w:rPr>
          <w:rFonts w:ascii="Times New Roman" w:hAnsi="Times New Roman" w:cs="Times New Roman"/>
          <w:i/>
          <w:iCs/>
          <w:sz w:val="22"/>
          <w:szCs w:val="22"/>
          <w:lang w:val="en-US"/>
        </w:rPr>
        <w:t>U</w:t>
      </w:r>
      <w:r w:rsidRPr="00940FDA">
        <w:rPr>
          <w:rFonts w:ascii="Times New Roman" w:hAnsi="Times New Roman" w:cs="Times New Roman"/>
          <w:sz w:val="22"/>
          <w:szCs w:val="22"/>
          <w:lang w:val="en-US"/>
        </w:rPr>
        <w:t>–</w:t>
      </w:r>
      <w:r w:rsidRPr="00940FDA">
        <w:rPr>
          <w:rFonts w:ascii="Times New Roman" w:hAnsi="Times New Roman" w:cs="Times New Roman"/>
          <w:sz w:val="22"/>
          <w:szCs w:val="22"/>
          <w:vertAlign w:val="superscript"/>
          <w:lang w:val="en-US"/>
        </w:rPr>
        <w:t>15</w:t>
      </w:r>
      <w:r w:rsidRPr="00940FDA">
        <w:rPr>
          <w:rFonts w:ascii="Times New Roman" w:hAnsi="Times New Roman" w:cs="Times New Roman"/>
          <w:sz w:val="22"/>
          <w:szCs w:val="22"/>
          <w:lang w:val="en-US"/>
        </w:rPr>
        <w:t>N] isotope enriched proteins were produced using 2</w:t>
      </w:r>
      <w:r w:rsidR="00864455">
        <w:rPr>
          <w:rFonts w:ascii="Times New Roman" w:hAnsi="Times New Roman" w:cs="Times New Roman"/>
          <w:sz w:val="22"/>
          <w:szCs w:val="22"/>
          <w:lang w:val="en-US"/>
        </w:rPr>
        <w:t>×</w:t>
      </w:r>
      <w:r w:rsidRPr="00940FDA">
        <w:rPr>
          <w:rFonts w:ascii="Times New Roman" w:hAnsi="Times New Roman" w:cs="Times New Roman"/>
          <w:sz w:val="22"/>
          <w:szCs w:val="22"/>
          <w:lang w:val="en-US"/>
        </w:rPr>
        <w:t>M9 minimal medium</w:t>
      </w:r>
      <w:r w:rsidR="00575034">
        <w:rPr>
          <w:rFonts w:ascii="Times New Roman" w:hAnsi="Times New Roman" w:cs="Times New Roman"/>
          <w:sz w:val="22"/>
          <w:szCs w:val="22"/>
          <w:lang w:val="en-US"/>
        </w:rPr>
        <w:t xml:space="preserve"> [1]</w:t>
      </w:r>
      <w:r w:rsidRPr="00940FDA">
        <w:rPr>
          <w:rFonts w:ascii="Times New Roman" w:hAnsi="Times New Roman" w:cs="Times New Roman"/>
          <w:sz w:val="22"/>
          <w:szCs w:val="22"/>
          <w:lang w:val="en-US"/>
        </w:rPr>
        <w:t xml:space="preserve"> supplemented with (</w:t>
      </w:r>
      <w:r w:rsidRPr="00940FDA">
        <w:rPr>
          <w:rFonts w:ascii="Times New Roman" w:hAnsi="Times New Roman" w:cs="Times New Roman"/>
          <w:sz w:val="22"/>
          <w:szCs w:val="22"/>
          <w:vertAlign w:val="superscript"/>
          <w:lang w:val="en-US"/>
        </w:rPr>
        <w:t>15</w:t>
      </w:r>
      <w:r w:rsidRPr="00940FDA">
        <w:rPr>
          <w:rFonts w:ascii="Times New Roman" w:hAnsi="Times New Roman" w:cs="Times New Roman"/>
          <w:sz w:val="22"/>
          <w:szCs w:val="22"/>
          <w:lang w:val="en-US"/>
        </w:rPr>
        <w:t>NH</w:t>
      </w:r>
      <w:r w:rsidRPr="00940FDA">
        <w:rPr>
          <w:rFonts w:ascii="Times New Roman" w:hAnsi="Times New Roman" w:cs="Times New Roman"/>
          <w:sz w:val="22"/>
          <w:szCs w:val="22"/>
          <w:vertAlign w:val="subscript"/>
          <w:lang w:val="en-US"/>
        </w:rPr>
        <w:t>4</w:t>
      </w:r>
      <w:r w:rsidRPr="00940FDA">
        <w:rPr>
          <w:rFonts w:ascii="Times New Roman" w:hAnsi="Times New Roman" w:cs="Times New Roman"/>
          <w:sz w:val="22"/>
          <w:szCs w:val="22"/>
          <w:lang w:val="en-US"/>
        </w:rPr>
        <w:t>)Cl</w:t>
      </w:r>
      <w:r w:rsidR="0084600E" w:rsidRPr="00940FDA">
        <w:rPr>
          <w:rFonts w:ascii="Times New Roman" w:hAnsi="Times New Roman" w:cs="Times New Roman"/>
          <w:sz w:val="22"/>
          <w:szCs w:val="22"/>
          <w:lang w:val="en-US"/>
        </w:rPr>
        <w:t xml:space="preserve"> (Merck)</w:t>
      </w:r>
      <w:r w:rsidRPr="00940FDA">
        <w:rPr>
          <w:rFonts w:ascii="Times New Roman" w:hAnsi="Times New Roman" w:cs="Times New Roman"/>
          <w:sz w:val="22"/>
          <w:szCs w:val="22"/>
          <w:lang w:val="en-US"/>
        </w:rPr>
        <w:t xml:space="preserve"> (1</w:t>
      </w:r>
      <w:r w:rsidR="00864455">
        <w:rPr>
          <w:rFonts w:ascii="Times New Roman" w:hAnsi="Times New Roman" w:cs="Times New Roman"/>
          <w:sz w:val="22"/>
          <w:szCs w:val="22"/>
          <w:lang w:val="en-US"/>
        </w:rPr>
        <w:t xml:space="preserve"> </w:t>
      </w:r>
      <w:r w:rsidRPr="00940FDA">
        <w:rPr>
          <w:rFonts w:ascii="Times New Roman" w:hAnsi="Times New Roman" w:cs="Times New Roman"/>
          <w:sz w:val="22"/>
          <w:szCs w:val="22"/>
          <w:lang w:val="en-US"/>
        </w:rPr>
        <w:t>g/</w:t>
      </w:r>
      <w:r w:rsidR="00864455">
        <w:rPr>
          <w:rFonts w:ascii="Times New Roman" w:hAnsi="Times New Roman" w:cs="Times New Roman"/>
          <w:sz w:val="22"/>
          <w:szCs w:val="22"/>
          <w:lang w:val="en-US"/>
        </w:rPr>
        <w:t>L</w:t>
      </w:r>
      <w:r w:rsidRPr="00940FDA">
        <w:rPr>
          <w:rFonts w:ascii="Times New Roman" w:hAnsi="Times New Roman" w:cs="Times New Roman"/>
          <w:sz w:val="22"/>
          <w:szCs w:val="22"/>
          <w:lang w:val="en-US"/>
        </w:rPr>
        <w:t xml:space="preserve">) and </w:t>
      </w:r>
      <w:r w:rsidRPr="00940FDA">
        <w:rPr>
          <w:rFonts w:ascii="Times New Roman" w:hAnsi="Times New Roman" w:cs="Times New Roman"/>
          <w:i/>
          <w:iCs/>
          <w:sz w:val="22"/>
          <w:szCs w:val="22"/>
          <w:lang w:val="en-US"/>
        </w:rPr>
        <w:t>D</w:t>
      </w:r>
      <w:r w:rsidRPr="00940FDA">
        <w:rPr>
          <w:rFonts w:ascii="Times New Roman" w:hAnsi="Times New Roman" w:cs="Times New Roman"/>
          <w:sz w:val="22"/>
          <w:szCs w:val="22"/>
          <w:lang w:val="en-US"/>
        </w:rPr>
        <w:t>-glucose (2</w:t>
      </w:r>
      <w:r w:rsidR="00864455">
        <w:rPr>
          <w:rFonts w:ascii="Times New Roman" w:hAnsi="Times New Roman" w:cs="Times New Roman"/>
          <w:sz w:val="22"/>
          <w:szCs w:val="22"/>
          <w:lang w:val="en-US"/>
        </w:rPr>
        <w:t xml:space="preserve"> </w:t>
      </w:r>
      <w:r w:rsidRPr="00940FDA">
        <w:rPr>
          <w:rFonts w:ascii="Times New Roman" w:hAnsi="Times New Roman" w:cs="Times New Roman"/>
          <w:sz w:val="22"/>
          <w:szCs w:val="22"/>
          <w:lang w:val="en-US"/>
        </w:rPr>
        <w:t>mg/</w:t>
      </w:r>
      <w:r w:rsidR="00864455">
        <w:rPr>
          <w:rFonts w:ascii="Times New Roman" w:hAnsi="Times New Roman" w:cs="Times New Roman"/>
          <w:sz w:val="22"/>
          <w:szCs w:val="22"/>
          <w:lang w:val="en-US"/>
        </w:rPr>
        <w:t>L</w:t>
      </w:r>
      <w:r w:rsidRPr="00940FDA">
        <w:rPr>
          <w:rFonts w:ascii="Times New Roman" w:hAnsi="Times New Roman" w:cs="Times New Roman"/>
          <w:sz w:val="22"/>
          <w:szCs w:val="22"/>
          <w:lang w:val="en-US"/>
        </w:rPr>
        <w:t>)</w:t>
      </w:r>
      <w:r w:rsidR="0070005E" w:rsidRPr="00940FDA">
        <w:rPr>
          <w:rFonts w:ascii="Times New Roman" w:hAnsi="Times New Roman" w:cs="Times New Roman"/>
          <w:sz w:val="22"/>
          <w:szCs w:val="22"/>
          <w:lang w:val="en-US"/>
        </w:rPr>
        <w:t xml:space="preserve"> (Merck) </w:t>
      </w:r>
      <w:r w:rsidRPr="00940FDA">
        <w:rPr>
          <w:rFonts w:ascii="Times New Roman" w:hAnsi="Times New Roman" w:cs="Times New Roman"/>
          <w:sz w:val="22"/>
          <w:szCs w:val="22"/>
          <w:lang w:val="en-US"/>
        </w:rPr>
        <w:t>as the sole nitrogen and carbon sources. The transformed cells were grown at 37</w:t>
      </w:r>
      <w:r w:rsidR="0015512B" w:rsidRPr="00940FDA">
        <w:rPr>
          <w:rFonts w:ascii="Times New Roman" w:hAnsi="Times New Roman" w:cs="Times New Roman"/>
          <w:sz w:val="22"/>
          <w:szCs w:val="22"/>
          <w:lang w:val="en-US"/>
        </w:rPr>
        <w:t xml:space="preserve"> </w:t>
      </w:r>
      <w:r w:rsidRPr="00940FDA">
        <w:rPr>
          <w:rFonts w:ascii="Times New Roman" w:hAnsi="Times New Roman" w:cs="Times New Roman"/>
          <w:sz w:val="22"/>
          <w:szCs w:val="22"/>
          <w:lang w:val="en-US"/>
        </w:rPr>
        <w:t>°C in medium supplemented with 50 µg/m</w:t>
      </w:r>
      <w:r w:rsidR="00864455">
        <w:rPr>
          <w:rFonts w:ascii="Times New Roman" w:hAnsi="Times New Roman" w:cs="Times New Roman"/>
          <w:sz w:val="22"/>
          <w:szCs w:val="22"/>
          <w:lang w:val="en-US"/>
        </w:rPr>
        <w:t>L</w:t>
      </w:r>
      <w:r w:rsidRPr="00940FDA">
        <w:rPr>
          <w:rFonts w:ascii="Times New Roman" w:hAnsi="Times New Roman" w:cs="Times New Roman"/>
          <w:sz w:val="22"/>
          <w:szCs w:val="22"/>
          <w:lang w:val="en-US"/>
        </w:rPr>
        <w:t xml:space="preserve"> kanamycin until an OD</w:t>
      </w:r>
      <w:r w:rsidRPr="00940FDA">
        <w:rPr>
          <w:rFonts w:ascii="Times New Roman" w:hAnsi="Times New Roman" w:cs="Times New Roman"/>
          <w:sz w:val="22"/>
          <w:szCs w:val="22"/>
          <w:vertAlign w:val="subscript"/>
          <w:lang w:val="en-US"/>
        </w:rPr>
        <w:t>600</w:t>
      </w:r>
      <w:r w:rsidRPr="00864455">
        <w:rPr>
          <w:rFonts w:ascii="Times New Roman" w:hAnsi="Times New Roman" w:cs="Times New Roman"/>
          <w:sz w:val="22"/>
          <w:szCs w:val="22"/>
          <w:lang w:val="en-US"/>
        </w:rPr>
        <w:t xml:space="preserve"> </w:t>
      </w:r>
      <w:r w:rsidRPr="00940FDA">
        <w:rPr>
          <w:rFonts w:ascii="Times New Roman" w:hAnsi="Times New Roman" w:cs="Times New Roman"/>
          <w:sz w:val="22"/>
          <w:szCs w:val="22"/>
          <w:lang w:val="en-US"/>
        </w:rPr>
        <w:t>≈ 0.8 was reached. Expression was induced by addition of 1 mM isopropyl</w:t>
      </w:r>
      <w:r w:rsidR="0010434E">
        <w:rPr>
          <w:rFonts w:ascii="Times New Roman" w:hAnsi="Times New Roman" w:cs="Times New Roman"/>
          <w:sz w:val="22"/>
          <w:szCs w:val="22"/>
          <w:lang w:val="en-US"/>
        </w:rPr>
        <w:t xml:space="preserve">-thiogalactoside (IPTG) (Thermo </w:t>
      </w:r>
      <w:r w:rsidR="00864455">
        <w:rPr>
          <w:rFonts w:ascii="Times New Roman" w:hAnsi="Times New Roman" w:cs="Times New Roman"/>
          <w:sz w:val="22"/>
          <w:szCs w:val="22"/>
          <w:lang w:val="en-US"/>
        </w:rPr>
        <w:t xml:space="preserve">Fisher </w:t>
      </w:r>
      <w:r w:rsidRPr="00940FDA">
        <w:rPr>
          <w:rFonts w:ascii="Times New Roman" w:hAnsi="Times New Roman" w:cs="Times New Roman"/>
          <w:sz w:val="22"/>
          <w:szCs w:val="22"/>
          <w:lang w:val="en-US"/>
        </w:rPr>
        <w:t>Scientific) for 16 h at 22</w:t>
      </w:r>
      <w:r w:rsidR="0015512B" w:rsidRPr="00940FDA">
        <w:rPr>
          <w:rFonts w:ascii="Times New Roman" w:hAnsi="Times New Roman" w:cs="Times New Roman"/>
          <w:sz w:val="22"/>
          <w:szCs w:val="22"/>
          <w:lang w:val="en-US"/>
        </w:rPr>
        <w:t xml:space="preserve"> </w:t>
      </w:r>
      <w:r w:rsidRPr="00940FDA">
        <w:rPr>
          <w:rFonts w:ascii="Times New Roman" w:hAnsi="Times New Roman" w:cs="Times New Roman"/>
          <w:sz w:val="22"/>
          <w:szCs w:val="22"/>
          <w:lang w:val="en-US"/>
        </w:rPr>
        <w:t>°C. Cells were harvested by centrifugation</w:t>
      </w:r>
      <w:r w:rsidR="000E373F" w:rsidRPr="00940FDA">
        <w:rPr>
          <w:rFonts w:ascii="Times New Roman" w:hAnsi="Times New Roman" w:cs="Times New Roman"/>
          <w:sz w:val="22"/>
          <w:szCs w:val="22"/>
          <w:lang w:val="en-US"/>
        </w:rPr>
        <w:t>, resuspended in a lysis buffer (20 mM NaPi, 500 mM NaCl, 10 mM MgCl</w:t>
      </w:r>
      <w:r w:rsidR="000E373F" w:rsidRPr="00940FDA">
        <w:rPr>
          <w:rFonts w:ascii="Times New Roman" w:hAnsi="Times New Roman" w:cs="Times New Roman"/>
          <w:sz w:val="22"/>
          <w:szCs w:val="22"/>
          <w:vertAlign w:val="subscript"/>
          <w:lang w:val="en-US"/>
        </w:rPr>
        <w:t>2</w:t>
      </w:r>
      <w:r w:rsidR="000E373F" w:rsidRPr="00940FDA">
        <w:rPr>
          <w:rFonts w:ascii="Times New Roman" w:hAnsi="Times New Roman" w:cs="Times New Roman"/>
          <w:sz w:val="22"/>
          <w:szCs w:val="22"/>
          <w:lang w:val="en-US"/>
        </w:rPr>
        <w:t>, pH</w:t>
      </w:r>
      <w:r w:rsidR="00B13A38">
        <w:rPr>
          <w:rFonts w:ascii="Times New Roman" w:hAnsi="Times New Roman" w:cs="Times New Roman"/>
          <w:sz w:val="22"/>
          <w:szCs w:val="22"/>
          <w:lang w:val="en-US"/>
        </w:rPr>
        <w:t>=</w:t>
      </w:r>
      <w:r w:rsidR="000E373F" w:rsidRPr="00940FDA">
        <w:rPr>
          <w:rFonts w:ascii="Times New Roman" w:hAnsi="Times New Roman" w:cs="Times New Roman"/>
          <w:sz w:val="22"/>
          <w:szCs w:val="22"/>
          <w:lang w:val="en-US"/>
        </w:rPr>
        <w:t>7.8), shock frozen in a liquid nitrogen and stored at -20</w:t>
      </w:r>
      <w:r w:rsidR="00864455">
        <w:rPr>
          <w:rFonts w:ascii="Times New Roman" w:hAnsi="Times New Roman" w:cs="Times New Roman"/>
          <w:sz w:val="22"/>
          <w:szCs w:val="22"/>
          <w:lang w:val="en-US"/>
        </w:rPr>
        <w:t xml:space="preserve"> </w:t>
      </w:r>
      <w:r w:rsidR="000E373F" w:rsidRPr="00940FDA">
        <w:rPr>
          <w:rFonts w:ascii="Times New Roman" w:hAnsi="Times New Roman" w:cs="Times New Roman"/>
          <w:sz w:val="22"/>
          <w:szCs w:val="22"/>
          <w:lang w:val="en-US"/>
        </w:rPr>
        <w:t>°C till usage. Protein purification</w:t>
      </w:r>
      <w:r w:rsidR="00AC6CDE" w:rsidRPr="00940FDA">
        <w:rPr>
          <w:rFonts w:ascii="Times New Roman" w:hAnsi="Times New Roman" w:cs="Times New Roman"/>
          <w:sz w:val="22"/>
          <w:szCs w:val="22"/>
          <w:lang w:val="en-US"/>
        </w:rPr>
        <w:t xml:space="preserve"> </w:t>
      </w:r>
      <w:r w:rsidR="006278F3" w:rsidRPr="00940FDA">
        <w:rPr>
          <w:rFonts w:ascii="Times New Roman" w:hAnsi="Times New Roman" w:cs="Times New Roman"/>
          <w:sz w:val="22"/>
          <w:szCs w:val="22"/>
          <w:lang w:val="en-US"/>
        </w:rPr>
        <w:t xml:space="preserve">was </w:t>
      </w:r>
      <w:r w:rsidR="000E373F" w:rsidRPr="00940FDA">
        <w:rPr>
          <w:rFonts w:ascii="Times New Roman" w:hAnsi="Times New Roman" w:cs="Times New Roman"/>
          <w:sz w:val="22"/>
          <w:szCs w:val="22"/>
          <w:lang w:val="en-US"/>
        </w:rPr>
        <w:t>performed</w:t>
      </w:r>
      <w:r w:rsidR="006278F3" w:rsidRPr="00940FDA">
        <w:rPr>
          <w:rFonts w:ascii="Times New Roman" w:hAnsi="Times New Roman" w:cs="Times New Roman"/>
          <w:sz w:val="22"/>
          <w:szCs w:val="22"/>
          <w:lang w:val="en-US"/>
        </w:rPr>
        <w:t xml:space="preserve"> as described </w:t>
      </w:r>
      <w:r w:rsidR="000E373F" w:rsidRPr="00940FDA">
        <w:rPr>
          <w:rFonts w:ascii="Times New Roman" w:hAnsi="Times New Roman" w:cs="Times New Roman"/>
          <w:sz w:val="22"/>
          <w:szCs w:val="22"/>
          <w:lang w:val="en-US"/>
        </w:rPr>
        <w:t>before</w:t>
      </w:r>
      <w:r w:rsidR="00575034">
        <w:rPr>
          <w:rFonts w:ascii="Times New Roman" w:hAnsi="Times New Roman" w:cs="Times New Roman"/>
          <w:sz w:val="22"/>
          <w:szCs w:val="22"/>
          <w:lang w:val="en-US"/>
        </w:rPr>
        <w:t xml:space="preserve"> [2]</w:t>
      </w:r>
      <w:r w:rsidR="00864455" w:rsidRPr="00940FDA">
        <w:rPr>
          <w:rFonts w:ascii="Times New Roman" w:hAnsi="Times New Roman" w:cs="Times New Roman"/>
          <w:sz w:val="22"/>
          <w:szCs w:val="22"/>
          <w:lang w:val="en-US"/>
        </w:rPr>
        <w:t>.</w:t>
      </w:r>
      <w:r w:rsidR="000E373F" w:rsidRPr="00940FDA">
        <w:rPr>
          <w:rFonts w:ascii="Times New Roman" w:hAnsi="Times New Roman" w:cs="Times New Roman"/>
          <w:sz w:val="22"/>
          <w:szCs w:val="22"/>
          <w:lang w:val="en-US"/>
        </w:rPr>
        <w:t xml:space="preserve"> Shortly, c</w:t>
      </w:r>
      <w:r w:rsidRPr="00940FDA">
        <w:rPr>
          <w:rFonts w:ascii="Times New Roman" w:hAnsi="Times New Roman" w:cs="Times New Roman"/>
          <w:sz w:val="22"/>
          <w:szCs w:val="22"/>
          <w:lang w:val="en-US"/>
        </w:rPr>
        <w:t>ells were lysed by four passes through an Emulsiflex C3 (Avestin) homogenizer and the cleared lysate were purified with HisTrap HP column (</w:t>
      </w:r>
      <w:r w:rsidR="00AC6CDE" w:rsidRPr="00940FDA">
        <w:rPr>
          <w:rFonts w:ascii="Times New Roman" w:hAnsi="Times New Roman" w:cs="Times New Roman"/>
          <w:sz w:val="22"/>
          <w:szCs w:val="22"/>
          <w:lang w:val="en-US"/>
        </w:rPr>
        <w:t>Cytivia</w:t>
      </w:r>
      <w:r w:rsidRPr="00940FDA">
        <w:rPr>
          <w:rFonts w:ascii="Times New Roman" w:hAnsi="Times New Roman" w:cs="Times New Roman"/>
          <w:sz w:val="22"/>
          <w:szCs w:val="22"/>
          <w:lang w:val="en-US"/>
        </w:rPr>
        <w:t xml:space="preserve">). Fractions containing </w:t>
      </w:r>
      <w:r w:rsidR="007F612E">
        <w:rPr>
          <w:rFonts w:ascii="Times New Roman" w:hAnsi="Times New Roman" w:cs="Times New Roman"/>
          <w:sz w:val="22"/>
          <w:szCs w:val="22"/>
          <w:lang w:val="en-US"/>
        </w:rPr>
        <w:t>t</w:t>
      </w:r>
      <w:r w:rsidR="00AC6CDE" w:rsidRPr="00940FDA">
        <w:rPr>
          <w:rFonts w:ascii="Times New Roman" w:hAnsi="Times New Roman" w:cs="Times New Roman"/>
          <w:sz w:val="22"/>
          <w:szCs w:val="22"/>
          <w:lang w:val="en-US"/>
        </w:rPr>
        <w:t>au proteins</w:t>
      </w:r>
      <w:r w:rsidRPr="00940FDA">
        <w:rPr>
          <w:rFonts w:ascii="Times New Roman" w:hAnsi="Times New Roman" w:cs="Times New Roman"/>
          <w:sz w:val="22"/>
          <w:szCs w:val="22"/>
          <w:lang w:val="en-US"/>
        </w:rPr>
        <w:t xml:space="preserve"> were pooled and dialyzed against human SenP1 cleavage buffer. </w:t>
      </w:r>
      <w:r w:rsidR="00AC6CDE" w:rsidRPr="00940FDA">
        <w:rPr>
          <w:rFonts w:ascii="Times New Roman" w:hAnsi="Times New Roman" w:cs="Times New Roman"/>
          <w:sz w:val="22"/>
          <w:szCs w:val="22"/>
          <w:lang w:val="en-US"/>
        </w:rPr>
        <w:t>Sumo-tag was cleaved with</w:t>
      </w:r>
      <w:r w:rsidRPr="00940FDA">
        <w:rPr>
          <w:rFonts w:ascii="Times New Roman" w:hAnsi="Times New Roman" w:cs="Times New Roman"/>
          <w:sz w:val="22"/>
          <w:szCs w:val="22"/>
          <w:lang w:val="en-US"/>
        </w:rPr>
        <w:t xml:space="preserve"> SenP1 protease (</w:t>
      </w:r>
      <w:r w:rsidRPr="00940FDA">
        <w:rPr>
          <w:rFonts w:ascii="Times New Roman" w:hAnsi="Times New Roman" w:cs="Times New Roman"/>
          <w:color w:val="000000" w:themeColor="text1"/>
          <w:sz w:val="22"/>
          <w:szCs w:val="22"/>
          <w:lang w:val="en-US"/>
        </w:rPr>
        <w:t>Addgene #16356</w:t>
      </w:r>
      <w:r w:rsidRPr="00940FDA">
        <w:rPr>
          <w:rFonts w:ascii="Times New Roman" w:hAnsi="Times New Roman" w:cs="Times New Roman"/>
          <w:sz w:val="22"/>
          <w:szCs w:val="22"/>
          <w:lang w:val="en-US"/>
        </w:rPr>
        <w:t>)</w:t>
      </w:r>
      <w:r w:rsidR="00575034">
        <w:rPr>
          <w:rFonts w:ascii="Times New Roman" w:hAnsi="Times New Roman" w:cs="Times New Roman"/>
          <w:sz w:val="22"/>
          <w:szCs w:val="22"/>
          <w:lang w:val="en-US"/>
        </w:rPr>
        <w:t xml:space="preserve"> [3]</w:t>
      </w:r>
      <w:r w:rsidRPr="00940FDA">
        <w:rPr>
          <w:rFonts w:ascii="Times New Roman" w:hAnsi="Times New Roman" w:cs="Times New Roman"/>
          <w:sz w:val="22"/>
          <w:szCs w:val="22"/>
          <w:lang w:val="en-US"/>
        </w:rPr>
        <w:t xml:space="preserve"> </w:t>
      </w:r>
      <w:r w:rsidR="00AC6CDE" w:rsidRPr="00940FDA">
        <w:rPr>
          <w:rFonts w:ascii="Times New Roman" w:hAnsi="Times New Roman" w:cs="Times New Roman"/>
          <w:sz w:val="22"/>
          <w:szCs w:val="22"/>
          <w:lang w:val="en-US"/>
        </w:rPr>
        <w:t>and further purification</w:t>
      </w:r>
      <w:r w:rsidRPr="00940FDA">
        <w:rPr>
          <w:rFonts w:ascii="Times New Roman" w:hAnsi="Times New Roman" w:cs="Times New Roman"/>
          <w:sz w:val="22"/>
          <w:szCs w:val="22"/>
          <w:lang w:val="en-US"/>
        </w:rPr>
        <w:t xml:space="preserve"> was done by a second HisTrap HP column step</w:t>
      </w:r>
      <w:r w:rsidR="00AC6CDE" w:rsidRPr="00940FDA">
        <w:rPr>
          <w:rFonts w:ascii="Times New Roman" w:hAnsi="Times New Roman" w:cs="Times New Roman"/>
          <w:sz w:val="22"/>
          <w:szCs w:val="22"/>
          <w:lang w:val="en-US"/>
        </w:rPr>
        <w:t xml:space="preserve">. Fractions </w:t>
      </w:r>
      <w:r w:rsidRPr="00940FDA">
        <w:rPr>
          <w:rFonts w:ascii="Times New Roman" w:hAnsi="Times New Roman" w:cs="Times New Roman"/>
          <w:sz w:val="22"/>
          <w:szCs w:val="22"/>
          <w:lang w:val="en-US"/>
        </w:rPr>
        <w:t>containing cleaved Tau</w:t>
      </w:r>
      <w:r w:rsidR="00AC6CDE" w:rsidRPr="00940FDA">
        <w:rPr>
          <w:rFonts w:ascii="Times New Roman" w:hAnsi="Times New Roman" w:cs="Times New Roman"/>
          <w:sz w:val="22"/>
          <w:szCs w:val="22"/>
          <w:lang w:val="en-US"/>
        </w:rPr>
        <w:t xml:space="preserve"> protein</w:t>
      </w:r>
      <w:r w:rsidRPr="00940FDA">
        <w:rPr>
          <w:rFonts w:ascii="Times New Roman" w:hAnsi="Times New Roman" w:cs="Times New Roman"/>
          <w:sz w:val="22"/>
          <w:szCs w:val="22"/>
          <w:lang w:val="en-US"/>
        </w:rPr>
        <w:t xml:space="preserve"> in the flow-through were collected, concentrated, and subsequently purified by gel filtration using a HiLoad </w:t>
      </w:r>
      <w:r w:rsidR="0015512B" w:rsidRPr="00940FDA">
        <w:rPr>
          <w:rFonts w:ascii="Times New Roman" w:hAnsi="Times New Roman" w:cs="Times New Roman"/>
          <w:sz w:val="22"/>
          <w:szCs w:val="22"/>
          <w:lang w:val="en-US"/>
        </w:rPr>
        <w:t xml:space="preserve">Superdex </w:t>
      </w:r>
      <w:r w:rsidRPr="00940FDA">
        <w:rPr>
          <w:rFonts w:ascii="Times New Roman" w:hAnsi="Times New Roman" w:cs="Times New Roman"/>
          <w:sz w:val="22"/>
          <w:szCs w:val="22"/>
          <w:lang w:val="en-US"/>
        </w:rPr>
        <w:t>10/60 200</w:t>
      </w:r>
      <w:r w:rsidR="00156D7B" w:rsidRPr="00940FDA">
        <w:rPr>
          <w:rFonts w:ascii="Times New Roman" w:hAnsi="Times New Roman" w:cs="Times New Roman"/>
          <w:sz w:val="22"/>
          <w:szCs w:val="22"/>
          <w:lang w:val="en-US"/>
        </w:rPr>
        <w:t xml:space="preserve"> </w:t>
      </w:r>
      <w:r w:rsidRPr="00940FDA">
        <w:rPr>
          <w:rFonts w:ascii="Times New Roman" w:hAnsi="Times New Roman" w:cs="Times New Roman"/>
          <w:sz w:val="22"/>
          <w:szCs w:val="22"/>
          <w:lang w:val="en-US"/>
        </w:rPr>
        <w:t xml:space="preserve">pg </w:t>
      </w:r>
      <w:r w:rsidR="0015512B" w:rsidRPr="00940FDA">
        <w:rPr>
          <w:rFonts w:ascii="Times New Roman" w:hAnsi="Times New Roman" w:cs="Times New Roman"/>
          <w:sz w:val="22"/>
          <w:szCs w:val="22"/>
          <w:lang w:val="en-US"/>
        </w:rPr>
        <w:t xml:space="preserve">preparative SEC columns </w:t>
      </w:r>
      <w:r w:rsidRPr="00940FDA">
        <w:rPr>
          <w:rFonts w:ascii="Times New Roman" w:hAnsi="Times New Roman" w:cs="Times New Roman"/>
          <w:sz w:val="22"/>
          <w:szCs w:val="22"/>
          <w:lang w:val="en-US"/>
        </w:rPr>
        <w:t>(</w:t>
      </w:r>
      <w:r w:rsidR="00AC6CDE" w:rsidRPr="00940FDA">
        <w:rPr>
          <w:rFonts w:ascii="Times New Roman" w:hAnsi="Times New Roman" w:cs="Times New Roman"/>
          <w:sz w:val="22"/>
          <w:szCs w:val="22"/>
          <w:lang w:val="en-US"/>
        </w:rPr>
        <w:t>Cytivia</w:t>
      </w:r>
      <w:r w:rsidRPr="00940FDA">
        <w:rPr>
          <w:rFonts w:ascii="Times New Roman" w:hAnsi="Times New Roman" w:cs="Times New Roman"/>
          <w:sz w:val="22"/>
          <w:szCs w:val="22"/>
          <w:lang w:val="en-US"/>
        </w:rPr>
        <w:t xml:space="preserve">) pre-equilibrated </w:t>
      </w:r>
      <w:r w:rsidR="00AC6CDE" w:rsidRPr="00940FDA">
        <w:rPr>
          <w:rFonts w:ascii="Times New Roman" w:hAnsi="Times New Roman" w:cs="Times New Roman"/>
          <w:sz w:val="22"/>
          <w:szCs w:val="22"/>
          <w:lang w:val="en-US"/>
        </w:rPr>
        <w:t>PBS buffer</w:t>
      </w:r>
      <w:r w:rsidRPr="00940FDA">
        <w:rPr>
          <w:rFonts w:ascii="Times New Roman" w:hAnsi="Times New Roman" w:cs="Times New Roman"/>
          <w:sz w:val="22"/>
          <w:szCs w:val="22"/>
          <w:lang w:val="en-US"/>
        </w:rPr>
        <w:t xml:space="preserve">. The pure </w:t>
      </w:r>
      <w:r w:rsidR="00905232" w:rsidRPr="00940FDA">
        <w:rPr>
          <w:rFonts w:ascii="Times New Roman" w:hAnsi="Times New Roman" w:cs="Times New Roman"/>
          <w:sz w:val="22"/>
          <w:szCs w:val="22"/>
          <w:lang w:val="en-US"/>
        </w:rPr>
        <w:t>[</w:t>
      </w:r>
      <w:r w:rsidR="00905232" w:rsidRPr="00940FDA">
        <w:rPr>
          <w:rFonts w:ascii="Times New Roman" w:hAnsi="Times New Roman" w:cs="Times New Roman"/>
          <w:i/>
          <w:iCs/>
          <w:sz w:val="22"/>
          <w:szCs w:val="22"/>
          <w:lang w:val="en-US"/>
        </w:rPr>
        <w:t>U</w:t>
      </w:r>
      <w:r w:rsidR="00905232" w:rsidRPr="00940FDA">
        <w:rPr>
          <w:rFonts w:ascii="Times New Roman" w:hAnsi="Times New Roman" w:cs="Times New Roman"/>
          <w:sz w:val="22"/>
          <w:szCs w:val="22"/>
          <w:lang w:val="en-US"/>
        </w:rPr>
        <w:t>–</w:t>
      </w:r>
      <w:r w:rsidR="00905232" w:rsidRPr="00940FDA">
        <w:rPr>
          <w:rFonts w:ascii="Times New Roman" w:hAnsi="Times New Roman" w:cs="Times New Roman"/>
          <w:sz w:val="22"/>
          <w:szCs w:val="22"/>
          <w:vertAlign w:val="superscript"/>
          <w:lang w:val="en-US"/>
        </w:rPr>
        <w:t>15</w:t>
      </w:r>
      <w:r w:rsidR="00905232" w:rsidRPr="00940FDA">
        <w:rPr>
          <w:rFonts w:ascii="Times New Roman" w:hAnsi="Times New Roman" w:cs="Times New Roman"/>
          <w:sz w:val="22"/>
          <w:szCs w:val="22"/>
          <w:lang w:val="en-US"/>
        </w:rPr>
        <w:t xml:space="preserve">N] </w:t>
      </w:r>
      <w:r w:rsidR="007F612E">
        <w:rPr>
          <w:rFonts w:ascii="Times New Roman" w:hAnsi="Times New Roman" w:cs="Times New Roman"/>
          <w:sz w:val="22"/>
          <w:szCs w:val="22"/>
          <w:lang w:val="en-US"/>
        </w:rPr>
        <w:t>t</w:t>
      </w:r>
      <w:r w:rsidR="00014302" w:rsidRPr="00940FDA">
        <w:rPr>
          <w:rFonts w:ascii="Times New Roman" w:hAnsi="Times New Roman" w:cs="Times New Roman"/>
          <w:sz w:val="22"/>
          <w:szCs w:val="22"/>
          <w:lang w:val="en-US"/>
        </w:rPr>
        <w:t>au</w:t>
      </w:r>
      <w:r w:rsidRPr="00940FDA">
        <w:rPr>
          <w:rFonts w:ascii="Times New Roman" w:hAnsi="Times New Roman" w:cs="Times New Roman"/>
          <w:sz w:val="22"/>
          <w:szCs w:val="22"/>
          <w:lang w:val="en-US"/>
        </w:rPr>
        <w:t xml:space="preserve"> fractions were concentrated to about </w:t>
      </w:r>
      <w:r w:rsidR="00905232" w:rsidRPr="00940FDA">
        <w:rPr>
          <w:rFonts w:ascii="Times New Roman" w:hAnsi="Times New Roman" w:cs="Times New Roman"/>
          <w:sz w:val="22"/>
          <w:szCs w:val="22"/>
          <w:lang w:val="en-US"/>
        </w:rPr>
        <w:t>1</w:t>
      </w:r>
      <w:r w:rsidR="00575034">
        <w:rPr>
          <w:rFonts w:ascii="Times New Roman" w:hAnsi="Times New Roman" w:cs="Times New Roman"/>
          <w:sz w:val="22"/>
          <w:szCs w:val="22"/>
          <w:lang w:val="en-US"/>
        </w:rPr>
        <w:t xml:space="preserve"> </w:t>
      </w:r>
      <w:r w:rsidR="00905232" w:rsidRPr="00940FDA">
        <w:rPr>
          <w:rFonts w:ascii="Times New Roman" w:hAnsi="Times New Roman" w:cs="Times New Roman"/>
          <w:sz w:val="22"/>
          <w:szCs w:val="22"/>
          <w:lang w:val="en-US"/>
        </w:rPr>
        <w:t>mg/m</w:t>
      </w:r>
      <w:r w:rsidR="00575034">
        <w:rPr>
          <w:rFonts w:ascii="Times New Roman" w:hAnsi="Times New Roman" w:cs="Times New Roman"/>
          <w:sz w:val="22"/>
          <w:szCs w:val="22"/>
          <w:lang w:val="en-US"/>
        </w:rPr>
        <w:t>L</w:t>
      </w:r>
      <w:r w:rsidRPr="00940FDA">
        <w:rPr>
          <w:rFonts w:ascii="Times New Roman" w:hAnsi="Times New Roman" w:cs="Times New Roman"/>
          <w:sz w:val="22"/>
          <w:szCs w:val="22"/>
          <w:lang w:val="en-US"/>
        </w:rPr>
        <w:t>, flash frozen in liquid nitrogen, and stored at -80</w:t>
      </w:r>
      <w:r w:rsidR="0015512B" w:rsidRPr="00940FDA">
        <w:rPr>
          <w:rFonts w:ascii="Times New Roman" w:hAnsi="Times New Roman" w:cs="Times New Roman"/>
          <w:sz w:val="22"/>
          <w:szCs w:val="22"/>
          <w:lang w:val="en-US"/>
        </w:rPr>
        <w:t xml:space="preserve"> </w:t>
      </w:r>
      <w:r w:rsidRPr="00940FDA">
        <w:rPr>
          <w:rFonts w:ascii="Times New Roman" w:hAnsi="Times New Roman" w:cs="Times New Roman"/>
          <w:sz w:val="22"/>
          <w:szCs w:val="22"/>
          <w:lang w:val="en-US"/>
        </w:rPr>
        <w:t>°C till usage.</w:t>
      </w:r>
    </w:p>
    <w:p w14:paraId="1FDB2729" w14:textId="77777777" w:rsidR="00804D9C" w:rsidRPr="00940FDA" w:rsidRDefault="00804D9C" w:rsidP="00940FDA">
      <w:pPr>
        <w:spacing w:after="240" w:line="360" w:lineRule="auto"/>
        <w:ind w:right="-6"/>
        <w:jc w:val="both"/>
        <w:rPr>
          <w:rFonts w:ascii="Times New Roman" w:hAnsi="Times New Roman" w:cs="Times New Roman"/>
          <w:sz w:val="22"/>
          <w:szCs w:val="22"/>
          <w:lang w:val="en-US"/>
        </w:rPr>
      </w:pPr>
    </w:p>
    <w:p w14:paraId="26A7892D" w14:textId="715328A5" w:rsidR="00675110" w:rsidRPr="00940FDA" w:rsidRDefault="0018571D" w:rsidP="00940FDA">
      <w:pPr>
        <w:spacing w:line="360" w:lineRule="auto"/>
        <w:ind w:right="-6"/>
        <w:jc w:val="both"/>
        <w:rPr>
          <w:rFonts w:ascii="Times New Roman" w:hAnsi="Times New Roman" w:cs="Times New Roman"/>
          <w:b/>
          <w:bCs/>
          <w:sz w:val="22"/>
          <w:szCs w:val="22"/>
          <w:lang w:val="en-GB"/>
        </w:rPr>
      </w:pPr>
      <w:r w:rsidRPr="00940FDA">
        <w:rPr>
          <w:rFonts w:ascii="Times New Roman" w:hAnsi="Times New Roman" w:cs="Times New Roman"/>
          <w:b/>
          <w:bCs/>
          <w:sz w:val="22"/>
          <w:szCs w:val="22"/>
          <w:lang w:val="en-US"/>
        </w:rPr>
        <w:t xml:space="preserve">3. </w:t>
      </w:r>
      <w:r w:rsidR="00656F0D" w:rsidRPr="00940FDA">
        <w:rPr>
          <w:rFonts w:ascii="Times New Roman" w:hAnsi="Times New Roman" w:cs="Times New Roman"/>
          <w:b/>
          <w:bCs/>
          <w:sz w:val="22"/>
          <w:szCs w:val="22"/>
          <w:lang w:val="en-GB"/>
        </w:rPr>
        <w:t>Titration of labelled protein standards</w:t>
      </w:r>
    </w:p>
    <w:p w14:paraId="3AA346F2" w14:textId="07A85344" w:rsidR="001648D8" w:rsidRPr="00940FDA" w:rsidRDefault="00156D7B" w:rsidP="00940FDA">
      <w:pPr>
        <w:spacing w:line="360" w:lineRule="auto"/>
        <w:ind w:right="-6"/>
        <w:jc w:val="both"/>
        <w:rPr>
          <w:rFonts w:ascii="Times New Roman" w:hAnsi="Times New Roman" w:cs="Times New Roman"/>
          <w:sz w:val="22"/>
          <w:szCs w:val="22"/>
          <w:lang w:val="en-GB"/>
        </w:rPr>
      </w:pPr>
      <w:r w:rsidRPr="00940FDA">
        <w:rPr>
          <w:rFonts w:ascii="Times New Roman" w:hAnsi="Times New Roman" w:cs="Times New Roman"/>
          <w:sz w:val="22"/>
          <w:szCs w:val="22"/>
          <w:lang w:val="en-US"/>
        </w:rPr>
        <w:t xml:space="preserve">Concentrated stock solutions (70-216 µM in ammonium acetate) of </w:t>
      </w:r>
      <w:r w:rsidR="00575034" w:rsidRPr="00940FDA">
        <w:rPr>
          <w:rFonts w:ascii="Times New Roman" w:hAnsi="Times New Roman" w:cs="Times New Roman"/>
          <w:sz w:val="22"/>
          <w:szCs w:val="22"/>
          <w:lang w:val="en-US"/>
        </w:rPr>
        <w:t>[</w:t>
      </w:r>
      <w:r w:rsidR="00575034" w:rsidRPr="00940FDA">
        <w:rPr>
          <w:rFonts w:ascii="Times New Roman" w:hAnsi="Times New Roman" w:cs="Times New Roman"/>
          <w:i/>
          <w:iCs/>
          <w:sz w:val="22"/>
          <w:szCs w:val="22"/>
          <w:lang w:val="en-US"/>
        </w:rPr>
        <w:t>U</w:t>
      </w:r>
      <w:r w:rsidR="00575034" w:rsidRPr="00940FDA">
        <w:rPr>
          <w:rFonts w:ascii="Times New Roman" w:hAnsi="Times New Roman" w:cs="Times New Roman"/>
          <w:sz w:val="22"/>
          <w:szCs w:val="22"/>
          <w:lang w:val="en-US"/>
        </w:rPr>
        <w:t>–</w:t>
      </w:r>
      <w:r w:rsidR="00575034" w:rsidRPr="00940FDA">
        <w:rPr>
          <w:rFonts w:ascii="Times New Roman" w:hAnsi="Times New Roman" w:cs="Times New Roman"/>
          <w:sz w:val="22"/>
          <w:szCs w:val="22"/>
          <w:vertAlign w:val="superscript"/>
          <w:lang w:val="en-US"/>
        </w:rPr>
        <w:t>15</w:t>
      </w:r>
      <w:r w:rsidR="00575034" w:rsidRPr="00940FDA">
        <w:rPr>
          <w:rFonts w:ascii="Times New Roman" w:hAnsi="Times New Roman" w:cs="Times New Roman"/>
          <w:sz w:val="22"/>
          <w:szCs w:val="22"/>
          <w:lang w:val="en-US"/>
        </w:rPr>
        <w:t>N]</w:t>
      </w:r>
      <w:r w:rsidRPr="00940FDA">
        <w:rPr>
          <w:rFonts w:ascii="Times New Roman" w:hAnsi="Times New Roman" w:cs="Times New Roman"/>
          <w:sz w:val="22"/>
          <w:szCs w:val="22"/>
          <w:lang w:val="en-US"/>
        </w:rPr>
        <w:t xml:space="preserve">-labelled recombinant tau protein isoforms were stepwise diluted in ammonium bicarbonate to 0.2 µM and stored at -80 °C until usage. </w:t>
      </w:r>
      <w:r w:rsidR="00656F0D" w:rsidRPr="00940FDA">
        <w:rPr>
          <w:rFonts w:ascii="Times New Roman" w:hAnsi="Times New Roman" w:cs="Times New Roman"/>
          <w:sz w:val="22"/>
          <w:szCs w:val="22"/>
          <w:lang w:val="en-US"/>
        </w:rPr>
        <w:t xml:space="preserve">The </w:t>
      </w:r>
      <w:r w:rsidR="00E0281C" w:rsidRPr="00940FDA">
        <w:rPr>
          <w:rFonts w:ascii="Times New Roman" w:hAnsi="Times New Roman" w:cs="Times New Roman"/>
          <w:sz w:val="22"/>
          <w:szCs w:val="22"/>
          <w:lang w:val="en-US"/>
        </w:rPr>
        <w:t>[</w:t>
      </w:r>
      <w:r w:rsidR="00E0281C" w:rsidRPr="00940FDA">
        <w:rPr>
          <w:rFonts w:ascii="Times New Roman" w:hAnsi="Times New Roman" w:cs="Times New Roman"/>
          <w:i/>
          <w:iCs/>
          <w:sz w:val="22"/>
          <w:szCs w:val="22"/>
          <w:lang w:val="en-US"/>
        </w:rPr>
        <w:t>U</w:t>
      </w:r>
      <w:r w:rsidR="00E0281C" w:rsidRPr="00940FDA">
        <w:rPr>
          <w:rFonts w:ascii="Times New Roman" w:hAnsi="Times New Roman" w:cs="Times New Roman"/>
          <w:sz w:val="22"/>
          <w:szCs w:val="22"/>
          <w:lang w:val="en-US"/>
        </w:rPr>
        <w:t>–</w:t>
      </w:r>
      <w:r w:rsidR="00E0281C" w:rsidRPr="00940FDA">
        <w:rPr>
          <w:rFonts w:ascii="Times New Roman" w:hAnsi="Times New Roman" w:cs="Times New Roman"/>
          <w:sz w:val="22"/>
          <w:szCs w:val="22"/>
          <w:vertAlign w:val="superscript"/>
          <w:lang w:val="en-US"/>
        </w:rPr>
        <w:t>15</w:t>
      </w:r>
      <w:r w:rsidR="00E0281C" w:rsidRPr="00940FDA">
        <w:rPr>
          <w:rFonts w:ascii="Times New Roman" w:hAnsi="Times New Roman" w:cs="Times New Roman"/>
          <w:sz w:val="22"/>
          <w:szCs w:val="22"/>
          <w:lang w:val="en-US"/>
        </w:rPr>
        <w:t>N]</w:t>
      </w:r>
      <w:r w:rsidR="00656F0D" w:rsidRPr="00940FDA">
        <w:rPr>
          <w:rFonts w:ascii="Times New Roman" w:hAnsi="Times New Roman" w:cs="Times New Roman"/>
          <w:sz w:val="22"/>
          <w:szCs w:val="22"/>
          <w:lang w:val="en-US"/>
        </w:rPr>
        <w:t xml:space="preserve">-labelled </w:t>
      </w:r>
      <w:r w:rsidRPr="00940FDA">
        <w:rPr>
          <w:rFonts w:ascii="Times New Roman" w:hAnsi="Times New Roman" w:cs="Times New Roman"/>
          <w:sz w:val="22"/>
          <w:szCs w:val="22"/>
          <w:lang w:val="en-US"/>
        </w:rPr>
        <w:t xml:space="preserve">tau </w:t>
      </w:r>
      <w:r w:rsidR="00656F0D" w:rsidRPr="00940FDA">
        <w:rPr>
          <w:rFonts w:ascii="Times New Roman" w:hAnsi="Times New Roman" w:cs="Times New Roman"/>
          <w:sz w:val="22"/>
          <w:szCs w:val="22"/>
          <w:lang w:val="en-US"/>
        </w:rPr>
        <w:t xml:space="preserve">isoforms </w:t>
      </w:r>
      <w:r w:rsidR="00656F0D" w:rsidRPr="00940FDA">
        <w:rPr>
          <w:rFonts w:ascii="Times New Roman" w:hAnsi="Times New Roman" w:cs="Times New Roman"/>
          <w:sz w:val="22"/>
          <w:szCs w:val="22"/>
          <w:lang w:val="en-GB"/>
        </w:rPr>
        <w:t>0N3R, 1N4R, and 2N4R were</w:t>
      </w:r>
      <w:r w:rsidRPr="00940FDA">
        <w:rPr>
          <w:rFonts w:ascii="Times New Roman" w:hAnsi="Times New Roman" w:cs="Times New Roman"/>
          <w:sz w:val="22"/>
          <w:szCs w:val="22"/>
          <w:lang w:val="en-GB"/>
        </w:rPr>
        <w:t xml:space="preserve"> then</w:t>
      </w:r>
      <w:r w:rsidR="00656F0D" w:rsidRPr="00940FDA">
        <w:rPr>
          <w:rFonts w:ascii="Times New Roman" w:hAnsi="Times New Roman" w:cs="Times New Roman"/>
          <w:sz w:val="22"/>
          <w:szCs w:val="22"/>
          <w:lang w:val="en-GB"/>
        </w:rPr>
        <w:t xml:space="preserve"> added at nominally equal amounts to separate</w:t>
      </w:r>
      <w:r w:rsidR="00C87E33" w:rsidRPr="00940FDA">
        <w:rPr>
          <w:rFonts w:ascii="Times New Roman" w:hAnsi="Times New Roman" w:cs="Times New Roman"/>
          <w:sz w:val="22"/>
          <w:szCs w:val="22"/>
          <w:lang w:val="en-GB"/>
        </w:rPr>
        <w:t xml:space="preserve"> aliquots of</w:t>
      </w:r>
      <w:r w:rsidR="00656F0D" w:rsidRPr="00940FDA">
        <w:rPr>
          <w:rFonts w:ascii="Times New Roman" w:hAnsi="Times New Roman" w:cs="Times New Roman"/>
          <w:sz w:val="22"/>
          <w:szCs w:val="22"/>
          <w:lang w:val="en-GB"/>
        </w:rPr>
        <w:t xml:space="preserve"> identical TBS pool samples, which were then IP’d using Tau12 antibody and subsequently digested using trypsin. </w:t>
      </w:r>
      <w:r w:rsidR="00C87E33" w:rsidRPr="00940FDA">
        <w:rPr>
          <w:rFonts w:ascii="Times New Roman" w:hAnsi="Times New Roman" w:cs="Times New Roman"/>
          <w:sz w:val="22"/>
          <w:szCs w:val="22"/>
          <w:lang w:val="en-GB"/>
        </w:rPr>
        <w:t xml:space="preserve">Each combination was </w:t>
      </w:r>
      <w:r w:rsidR="003169B7" w:rsidRPr="00940FDA">
        <w:rPr>
          <w:rFonts w:ascii="Times New Roman" w:hAnsi="Times New Roman" w:cs="Times New Roman"/>
          <w:sz w:val="22"/>
          <w:szCs w:val="22"/>
          <w:lang w:val="en-GB"/>
        </w:rPr>
        <w:t>analysed in triplicate. For seven tryptic peptides common to all isoforms the ratio</w:t>
      </w:r>
      <w:r w:rsidR="00E2194C" w:rsidRPr="00940FDA">
        <w:rPr>
          <w:rFonts w:ascii="Times New Roman" w:hAnsi="Times New Roman" w:cs="Times New Roman"/>
          <w:sz w:val="22"/>
          <w:szCs w:val="22"/>
          <w:lang w:val="en-GB"/>
        </w:rPr>
        <w:t xml:space="preserve">, </w:t>
      </w:r>
      <w:r w:rsidR="00E2194C" w:rsidRPr="00940FDA">
        <w:rPr>
          <w:rFonts w:ascii="Times New Roman" w:hAnsi="Times New Roman" w:cs="Times New Roman"/>
          <w:i/>
          <w:iCs/>
          <w:sz w:val="22"/>
          <w:szCs w:val="22"/>
          <w:lang w:val="en-GB"/>
        </w:rPr>
        <w:t>R</w:t>
      </w:r>
      <w:r w:rsidR="00E2194C" w:rsidRPr="00940FDA">
        <w:rPr>
          <w:rFonts w:ascii="Times New Roman" w:hAnsi="Times New Roman" w:cs="Times New Roman"/>
          <w:i/>
          <w:iCs/>
          <w:sz w:val="22"/>
          <w:szCs w:val="22"/>
          <w:vertAlign w:val="subscript"/>
          <w:lang w:val="en-GB"/>
        </w:rPr>
        <w:t>H/L</w:t>
      </w:r>
      <w:r w:rsidR="00E2194C" w:rsidRPr="00940FDA">
        <w:rPr>
          <w:rFonts w:ascii="Times New Roman" w:hAnsi="Times New Roman" w:cs="Times New Roman"/>
          <w:sz w:val="22"/>
          <w:szCs w:val="22"/>
          <w:lang w:val="en-GB"/>
        </w:rPr>
        <w:t>,</w:t>
      </w:r>
      <w:r w:rsidR="003169B7" w:rsidRPr="00940FDA">
        <w:rPr>
          <w:rFonts w:ascii="Times New Roman" w:hAnsi="Times New Roman" w:cs="Times New Roman"/>
          <w:sz w:val="22"/>
          <w:szCs w:val="22"/>
          <w:lang w:val="en-GB"/>
        </w:rPr>
        <w:t xml:space="preserve"> of the </w:t>
      </w:r>
      <w:r w:rsidR="00AF0565" w:rsidRPr="00940FDA">
        <w:rPr>
          <w:rFonts w:ascii="Times New Roman" w:hAnsi="Times New Roman" w:cs="Times New Roman"/>
          <w:sz w:val="22"/>
          <w:szCs w:val="22"/>
          <w:lang w:val="en-GB"/>
        </w:rPr>
        <w:t xml:space="preserve">peak area of the </w:t>
      </w:r>
      <w:r w:rsidR="003169B7" w:rsidRPr="00940FDA">
        <w:rPr>
          <w:rFonts w:ascii="Times New Roman" w:hAnsi="Times New Roman" w:cs="Times New Roman"/>
          <w:sz w:val="22"/>
          <w:szCs w:val="22"/>
          <w:lang w:val="en-GB"/>
        </w:rPr>
        <w:t>isotope-labelled peptide</w:t>
      </w:r>
      <w:r w:rsidR="00E2194C" w:rsidRPr="00940FDA">
        <w:rPr>
          <w:rFonts w:ascii="Times New Roman" w:hAnsi="Times New Roman" w:cs="Times New Roman"/>
          <w:sz w:val="22"/>
          <w:szCs w:val="22"/>
          <w:lang w:val="en-GB"/>
        </w:rPr>
        <w:t xml:space="preserve">, </w:t>
      </w:r>
      <w:r w:rsidR="00E2194C" w:rsidRPr="00940FDA">
        <w:rPr>
          <w:rFonts w:ascii="Times New Roman" w:hAnsi="Times New Roman" w:cs="Times New Roman"/>
          <w:i/>
          <w:iCs/>
          <w:sz w:val="22"/>
          <w:szCs w:val="22"/>
          <w:lang w:val="en-GB"/>
        </w:rPr>
        <w:t>A</w:t>
      </w:r>
      <w:r w:rsidR="00E2194C" w:rsidRPr="00940FDA">
        <w:rPr>
          <w:rFonts w:ascii="Times New Roman" w:hAnsi="Times New Roman" w:cs="Times New Roman"/>
          <w:i/>
          <w:iCs/>
          <w:sz w:val="22"/>
          <w:szCs w:val="22"/>
          <w:vertAlign w:val="subscript"/>
          <w:lang w:val="en-GB"/>
        </w:rPr>
        <w:t>H</w:t>
      </w:r>
      <w:r w:rsidR="00E2194C" w:rsidRPr="00940FDA">
        <w:rPr>
          <w:rFonts w:ascii="Times New Roman" w:hAnsi="Times New Roman" w:cs="Times New Roman"/>
          <w:sz w:val="22"/>
          <w:szCs w:val="22"/>
          <w:lang w:val="en-GB"/>
        </w:rPr>
        <w:t>,</w:t>
      </w:r>
      <w:r w:rsidR="003169B7" w:rsidRPr="00940FDA">
        <w:rPr>
          <w:rFonts w:ascii="Times New Roman" w:hAnsi="Times New Roman" w:cs="Times New Roman"/>
          <w:sz w:val="22"/>
          <w:szCs w:val="22"/>
          <w:lang w:val="en-GB"/>
        </w:rPr>
        <w:t xml:space="preserve"> to </w:t>
      </w:r>
      <w:r w:rsidR="00AF0565" w:rsidRPr="00940FDA">
        <w:rPr>
          <w:rFonts w:ascii="Times New Roman" w:hAnsi="Times New Roman" w:cs="Times New Roman"/>
          <w:sz w:val="22"/>
          <w:szCs w:val="22"/>
          <w:lang w:val="en-GB"/>
        </w:rPr>
        <w:lastRenderedPageBreak/>
        <w:t xml:space="preserve">that of </w:t>
      </w:r>
      <w:r w:rsidR="003169B7" w:rsidRPr="00940FDA">
        <w:rPr>
          <w:rFonts w:ascii="Times New Roman" w:hAnsi="Times New Roman" w:cs="Times New Roman"/>
          <w:sz w:val="22"/>
          <w:szCs w:val="22"/>
          <w:lang w:val="en-GB"/>
        </w:rPr>
        <w:t>th</w:t>
      </w:r>
      <w:r w:rsidR="00DA6328" w:rsidRPr="00940FDA">
        <w:rPr>
          <w:rFonts w:ascii="Times New Roman" w:hAnsi="Times New Roman" w:cs="Times New Roman"/>
          <w:sz w:val="22"/>
          <w:szCs w:val="22"/>
          <w:lang w:val="en-GB"/>
        </w:rPr>
        <w:t>e peptide from brain tau</w:t>
      </w:r>
      <w:r w:rsidR="00E2194C" w:rsidRPr="00940FDA">
        <w:rPr>
          <w:rFonts w:ascii="Times New Roman" w:hAnsi="Times New Roman" w:cs="Times New Roman"/>
          <w:sz w:val="22"/>
          <w:szCs w:val="22"/>
          <w:lang w:val="en-GB"/>
        </w:rPr>
        <w:t xml:space="preserve">, </w:t>
      </w:r>
      <w:r w:rsidR="00E2194C" w:rsidRPr="00940FDA">
        <w:rPr>
          <w:rFonts w:ascii="Times New Roman" w:hAnsi="Times New Roman" w:cs="Times New Roman"/>
          <w:i/>
          <w:iCs/>
          <w:sz w:val="22"/>
          <w:szCs w:val="22"/>
          <w:lang w:val="en-GB"/>
        </w:rPr>
        <w:t>A</w:t>
      </w:r>
      <w:r w:rsidR="00E2194C" w:rsidRPr="00940FDA">
        <w:rPr>
          <w:rFonts w:ascii="Times New Roman" w:hAnsi="Times New Roman" w:cs="Times New Roman"/>
          <w:i/>
          <w:iCs/>
          <w:sz w:val="22"/>
          <w:szCs w:val="22"/>
          <w:vertAlign w:val="subscript"/>
          <w:lang w:val="en-GB"/>
        </w:rPr>
        <w:t>L</w:t>
      </w:r>
      <w:r w:rsidR="00E2194C" w:rsidRPr="00940FDA">
        <w:rPr>
          <w:rFonts w:ascii="Times New Roman" w:hAnsi="Times New Roman" w:cs="Times New Roman"/>
          <w:sz w:val="22"/>
          <w:szCs w:val="22"/>
          <w:lang w:val="en-GB"/>
        </w:rPr>
        <w:t xml:space="preserve">, </w:t>
      </w:r>
      <w:r w:rsidR="00DA6328" w:rsidRPr="00940FDA">
        <w:rPr>
          <w:rFonts w:ascii="Times New Roman" w:hAnsi="Times New Roman" w:cs="Times New Roman"/>
          <w:sz w:val="22"/>
          <w:szCs w:val="22"/>
          <w:lang w:val="en-GB"/>
        </w:rPr>
        <w:t xml:space="preserve">was determined </w:t>
      </w:r>
      <w:r w:rsidR="00E2194C" w:rsidRPr="00940FDA">
        <w:rPr>
          <w:rFonts w:ascii="Times New Roman" w:hAnsi="Times New Roman" w:cs="Times New Roman"/>
          <w:sz w:val="22"/>
          <w:szCs w:val="22"/>
          <w:lang w:val="en-GB"/>
        </w:rPr>
        <w:t xml:space="preserve">for each isoform </w:t>
      </w:r>
      <w:r w:rsidR="00E23F58" w:rsidRPr="00940FDA">
        <w:rPr>
          <w:rFonts w:ascii="Times New Roman" w:hAnsi="Times New Roman" w:cs="Times New Roman"/>
          <w:sz w:val="22"/>
          <w:szCs w:val="22"/>
          <w:lang w:val="en-GB"/>
        </w:rPr>
        <w:t xml:space="preserve">(1a-c) </w:t>
      </w:r>
      <w:r w:rsidR="00DA6328" w:rsidRPr="00940FDA">
        <w:rPr>
          <w:rFonts w:ascii="Times New Roman" w:hAnsi="Times New Roman" w:cs="Times New Roman"/>
          <w:sz w:val="22"/>
          <w:szCs w:val="22"/>
          <w:lang w:val="en-GB"/>
        </w:rPr>
        <w:t>and mean values and CVs calculated</w:t>
      </w:r>
      <w:r w:rsidR="001648D8" w:rsidRPr="00940FDA">
        <w:rPr>
          <w:rFonts w:ascii="Times New Roman" w:hAnsi="Times New Roman" w:cs="Times New Roman"/>
          <w:sz w:val="22"/>
          <w:szCs w:val="22"/>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8"/>
        <w:gridCol w:w="3018"/>
      </w:tblGrid>
      <w:tr w:rsidR="0008047E" w:rsidRPr="00940FDA" w14:paraId="2B76529B" w14:textId="77777777" w:rsidTr="00E2194C">
        <w:tc>
          <w:tcPr>
            <w:tcW w:w="3018" w:type="dxa"/>
            <w:vAlign w:val="center"/>
          </w:tcPr>
          <w:p w14:paraId="5CA47E05" w14:textId="77777777" w:rsidR="0008047E" w:rsidRPr="00940FDA" w:rsidRDefault="0008047E" w:rsidP="00940FDA">
            <w:pPr>
              <w:spacing w:line="360" w:lineRule="auto"/>
              <w:ind w:right="-6"/>
              <w:jc w:val="center"/>
              <w:rPr>
                <w:rFonts w:ascii="Times New Roman" w:hAnsi="Times New Roman" w:cs="Times New Roman"/>
                <w:sz w:val="22"/>
                <w:szCs w:val="22"/>
                <w:lang w:val="en-GB"/>
              </w:rPr>
            </w:pPr>
          </w:p>
        </w:tc>
        <w:tc>
          <w:tcPr>
            <w:tcW w:w="3018" w:type="dxa"/>
            <w:vAlign w:val="center"/>
          </w:tcPr>
          <w:p w14:paraId="2D837922" w14:textId="266C6F3D" w:rsidR="0008047E" w:rsidRPr="00940FDA" w:rsidRDefault="00000000" w:rsidP="00940FDA">
            <w:pPr>
              <w:spacing w:line="360" w:lineRule="auto"/>
              <w:ind w:right="-6"/>
              <w:jc w:val="center"/>
              <w:rPr>
                <w:rFonts w:ascii="Times New Roman" w:hAnsi="Times New Roman" w:cs="Times New Roman"/>
                <w:sz w:val="22"/>
                <w:szCs w:val="22"/>
                <w:lang w:val="en-GB"/>
              </w:rPr>
            </w:pPr>
            <m:oMathPara>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w:rPr>
                        <w:rFonts w:ascii="Cambria Math" w:hAnsi="Cambria Math" w:cs="Times New Roman"/>
                        <w:sz w:val="22"/>
                        <w:szCs w:val="22"/>
                        <w:lang w:val="en-GB"/>
                      </w:rPr>
                      <m:t>H/L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0N3R</m:t>
                </m:r>
                <m:r>
                  <w:rPr>
                    <w:rFonts w:ascii="Cambria Math" w:hAnsi="Cambria Math" w:cs="Times New Roman"/>
                    <w:sz w:val="22"/>
                    <w:szCs w:val="22"/>
                    <w:lang w:val="en-GB"/>
                  </w:rPr>
                  <m:t>)=</m:t>
                </m:r>
                <m:f>
                  <m:fPr>
                    <m:ctrlPr>
                      <w:rPr>
                        <w:rFonts w:ascii="Cambria Math" w:hAnsi="Cambria Math" w:cs="Times New Roman"/>
                        <w:i/>
                        <w:sz w:val="22"/>
                        <w:szCs w:val="22"/>
                        <w:lang w:val="en-GB"/>
                      </w:rPr>
                    </m:ctrlPr>
                  </m:fPr>
                  <m:num>
                    <m:sSub>
                      <m:sSubPr>
                        <m:ctrlPr>
                          <w:rPr>
                            <w:rFonts w:ascii="Cambria Math" w:hAnsi="Cambria Math" w:cs="Times New Roman"/>
                            <w:i/>
                            <w:sz w:val="22"/>
                            <w:szCs w:val="22"/>
                            <w:lang w:val="en-GB"/>
                          </w:rPr>
                        </m:ctrlPr>
                      </m:sSubPr>
                      <m:e>
                        <m:r>
                          <w:rPr>
                            <w:rFonts w:ascii="Cambria Math" w:hAnsi="Cambria Math" w:cs="Times New Roman"/>
                            <w:sz w:val="22"/>
                            <w:szCs w:val="22"/>
                            <w:lang w:val="en-GB"/>
                          </w:rPr>
                          <m:t>A</m:t>
                        </m:r>
                      </m:e>
                      <m:sub>
                        <m:r>
                          <w:rPr>
                            <w:rFonts w:ascii="Cambria Math" w:hAnsi="Cambria Math" w:cs="Times New Roman"/>
                            <w:sz w:val="22"/>
                            <w:szCs w:val="22"/>
                            <w:lang w:val="en-GB"/>
                          </w:rPr>
                          <m:t>H</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0N3R</m:t>
                    </m:r>
                    <m:r>
                      <w:rPr>
                        <w:rFonts w:ascii="Cambria Math" w:hAnsi="Cambria Math" w:cs="Times New Roman"/>
                        <w:sz w:val="22"/>
                        <w:szCs w:val="22"/>
                        <w:lang w:val="en-GB"/>
                      </w:rPr>
                      <m:t>)</m:t>
                    </m:r>
                  </m:num>
                  <m:den>
                    <m:sSub>
                      <m:sSubPr>
                        <m:ctrlPr>
                          <w:rPr>
                            <w:rFonts w:ascii="Cambria Math" w:hAnsi="Cambria Math" w:cs="Times New Roman"/>
                            <w:i/>
                            <w:sz w:val="22"/>
                            <w:szCs w:val="22"/>
                            <w:lang w:val="en-GB"/>
                          </w:rPr>
                        </m:ctrlPr>
                      </m:sSubPr>
                      <m:e>
                        <m:r>
                          <w:rPr>
                            <w:rFonts w:ascii="Cambria Math" w:hAnsi="Cambria Math" w:cs="Times New Roman"/>
                            <w:sz w:val="22"/>
                            <w:szCs w:val="22"/>
                            <w:lang w:val="en-GB"/>
                          </w:rPr>
                          <m:t>A</m:t>
                        </m:r>
                      </m:e>
                      <m:sub>
                        <m:r>
                          <w:rPr>
                            <w:rFonts w:ascii="Cambria Math" w:hAnsi="Cambria Math" w:cs="Times New Roman"/>
                            <w:sz w:val="22"/>
                            <w:szCs w:val="22"/>
                            <w:lang w:val="en-GB"/>
                          </w:rPr>
                          <m:t>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0N3R</m:t>
                    </m:r>
                    <m:r>
                      <w:rPr>
                        <w:rFonts w:ascii="Cambria Math" w:hAnsi="Cambria Math" w:cs="Times New Roman"/>
                        <w:sz w:val="22"/>
                        <w:szCs w:val="22"/>
                        <w:lang w:val="en-GB"/>
                      </w:rPr>
                      <m:t>)</m:t>
                    </m:r>
                  </m:den>
                </m:f>
              </m:oMath>
            </m:oMathPara>
          </w:p>
        </w:tc>
        <w:tc>
          <w:tcPr>
            <w:tcW w:w="3018" w:type="dxa"/>
            <w:vAlign w:val="center"/>
          </w:tcPr>
          <w:p w14:paraId="27CAD5BC" w14:textId="246150E6" w:rsidR="0008047E" w:rsidRPr="00940FDA" w:rsidRDefault="0008047E" w:rsidP="00940FDA">
            <w:pPr>
              <w:spacing w:line="360" w:lineRule="auto"/>
              <w:ind w:right="-6"/>
              <w:jc w:val="right"/>
              <w:rPr>
                <w:rFonts w:ascii="Times New Roman" w:hAnsi="Times New Roman" w:cs="Times New Roman"/>
                <w:sz w:val="22"/>
                <w:szCs w:val="22"/>
                <w:lang w:val="en-GB"/>
              </w:rPr>
            </w:pPr>
            <w:r w:rsidRPr="00940FDA">
              <w:rPr>
                <w:rFonts w:ascii="Times New Roman" w:hAnsi="Times New Roman" w:cs="Times New Roman"/>
                <w:sz w:val="22"/>
                <w:szCs w:val="22"/>
                <w:lang w:val="en-GB"/>
              </w:rPr>
              <w:t>(1</w:t>
            </w:r>
            <w:r w:rsidR="00E2194C" w:rsidRPr="00940FDA">
              <w:rPr>
                <w:rFonts w:ascii="Times New Roman" w:hAnsi="Times New Roman" w:cs="Times New Roman"/>
                <w:sz w:val="22"/>
                <w:szCs w:val="22"/>
                <w:lang w:val="en-GB"/>
              </w:rPr>
              <w:t>a</w:t>
            </w:r>
            <w:r w:rsidRPr="00940FDA">
              <w:rPr>
                <w:rFonts w:ascii="Times New Roman" w:hAnsi="Times New Roman" w:cs="Times New Roman"/>
                <w:sz w:val="22"/>
                <w:szCs w:val="22"/>
                <w:lang w:val="en-GB"/>
              </w:rPr>
              <w:t>)</w:t>
            </w:r>
          </w:p>
        </w:tc>
      </w:tr>
      <w:tr w:rsidR="00B1539B" w:rsidRPr="00B1539B" w14:paraId="346D6A3D" w14:textId="77777777" w:rsidTr="00E23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8" w:type="dxa"/>
            <w:tcBorders>
              <w:top w:val="nil"/>
              <w:left w:val="nil"/>
              <w:bottom w:val="nil"/>
              <w:right w:val="nil"/>
            </w:tcBorders>
          </w:tcPr>
          <w:p w14:paraId="701A4071" w14:textId="77777777" w:rsidR="00E2194C" w:rsidRPr="00B1539B" w:rsidRDefault="00E2194C" w:rsidP="00940FDA">
            <w:pPr>
              <w:spacing w:line="360" w:lineRule="auto"/>
              <w:ind w:right="-6"/>
              <w:jc w:val="center"/>
              <w:rPr>
                <w:rFonts w:ascii="Times New Roman" w:hAnsi="Times New Roman" w:cs="Times New Roman"/>
                <w:sz w:val="22"/>
                <w:szCs w:val="22"/>
                <w:lang w:val="en-GB"/>
              </w:rPr>
            </w:pPr>
          </w:p>
        </w:tc>
        <w:tc>
          <w:tcPr>
            <w:tcW w:w="3018" w:type="dxa"/>
            <w:tcBorders>
              <w:top w:val="nil"/>
              <w:left w:val="nil"/>
              <w:bottom w:val="nil"/>
              <w:right w:val="nil"/>
            </w:tcBorders>
          </w:tcPr>
          <w:p w14:paraId="3A271D1F" w14:textId="77777777" w:rsidR="00E2194C" w:rsidRPr="00B1539B" w:rsidRDefault="00000000" w:rsidP="00940FDA">
            <w:pPr>
              <w:spacing w:line="360" w:lineRule="auto"/>
              <w:ind w:right="-6"/>
              <w:jc w:val="center"/>
              <w:rPr>
                <w:rFonts w:ascii="Times New Roman" w:hAnsi="Times New Roman" w:cs="Times New Roman"/>
                <w:sz w:val="22"/>
                <w:szCs w:val="22"/>
                <w:lang w:val="en-GB"/>
              </w:rPr>
            </w:pPr>
            <m:oMathPara>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w:rPr>
                        <w:rFonts w:ascii="Cambria Math" w:hAnsi="Cambria Math" w:cs="Times New Roman"/>
                        <w:sz w:val="22"/>
                        <w:szCs w:val="22"/>
                        <w:lang w:val="en-GB"/>
                      </w:rPr>
                      <m:t>H/L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1N4R</m:t>
                </m:r>
                <m:r>
                  <w:rPr>
                    <w:rFonts w:ascii="Cambria Math" w:hAnsi="Cambria Math" w:cs="Times New Roman"/>
                    <w:sz w:val="22"/>
                    <w:szCs w:val="22"/>
                    <w:lang w:val="en-GB"/>
                  </w:rPr>
                  <m:t>)=</m:t>
                </m:r>
                <m:f>
                  <m:fPr>
                    <m:ctrlPr>
                      <w:rPr>
                        <w:rFonts w:ascii="Cambria Math" w:hAnsi="Cambria Math" w:cs="Times New Roman"/>
                        <w:i/>
                        <w:sz w:val="22"/>
                        <w:szCs w:val="22"/>
                        <w:lang w:val="en-GB"/>
                      </w:rPr>
                    </m:ctrlPr>
                  </m:fPr>
                  <m:num>
                    <m:sSub>
                      <m:sSubPr>
                        <m:ctrlPr>
                          <w:rPr>
                            <w:rFonts w:ascii="Cambria Math" w:hAnsi="Cambria Math" w:cs="Times New Roman"/>
                            <w:i/>
                            <w:sz w:val="22"/>
                            <w:szCs w:val="22"/>
                            <w:lang w:val="en-GB"/>
                          </w:rPr>
                        </m:ctrlPr>
                      </m:sSubPr>
                      <m:e>
                        <m:r>
                          <w:rPr>
                            <w:rFonts w:ascii="Cambria Math" w:hAnsi="Cambria Math" w:cs="Times New Roman"/>
                            <w:sz w:val="22"/>
                            <w:szCs w:val="22"/>
                            <w:lang w:val="en-GB"/>
                          </w:rPr>
                          <m:t>A</m:t>
                        </m:r>
                      </m:e>
                      <m:sub>
                        <m:r>
                          <w:rPr>
                            <w:rFonts w:ascii="Cambria Math" w:hAnsi="Cambria Math" w:cs="Times New Roman"/>
                            <w:sz w:val="22"/>
                            <w:szCs w:val="22"/>
                            <w:lang w:val="en-GB"/>
                          </w:rPr>
                          <m:t>H</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1N4R</m:t>
                    </m:r>
                    <m:r>
                      <w:rPr>
                        <w:rFonts w:ascii="Cambria Math" w:hAnsi="Cambria Math" w:cs="Times New Roman"/>
                        <w:sz w:val="22"/>
                        <w:szCs w:val="22"/>
                        <w:lang w:val="en-GB"/>
                      </w:rPr>
                      <m:t>)</m:t>
                    </m:r>
                  </m:num>
                  <m:den>
                    <m:sSub>
                      <m:sSubPr>
                        <m:ctrlPr>
                          <w:rPr>
                            <w:rFonts w:ascii="Cambria Math" w:hAnsi="Cambria Math" w:cs="Times New Roman"/>
                            <w:i/>
                            <w:sz w:val="22"/>
                            <w:szCs w:val="22"/>
                            <w:lang w:val="en-GB"/>
                          </w:rPr>
                        </m:ctrlPr>
                      </m:sSubPr>
                      <m:e>
                        <m:r>
                          <w:rPr>
                            <w:rFonts w:ascii="Cambria Math" w:hAnsi="Cambria Math" w:cs="Times New Roman"/>
                            <w:sz w:val="22"/>
                            <w:szCs w:val="22"/>
                            <w:lang w:val="en-GB"/>
                          </w:rPr>
                          <m:t>A</m:t>
                        </m:r>
                      </m:e>
                      <m:sub>
                        <m:r>
                          <w:rPr>
                            <w:rFonts w:ascii="Cambria Math" w:hAnsi="Cambria Math" w:cs="Times New Roman"/>
                            <w:sz w:val="22"/>
                            <w:szCs w:val="22"/>
                            <w:lang w:val="en-GB"/>
                          </w:rPr>
                          <m:t>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1N4R</m:t>
                    </m:r>
                    <m:r>
                      <w:rPr>
                        <w:rFonts w:ascii="Cambria Math" w:hAnsi="Cambria Math" w:cs="Times New Roman"/>
                        <w:sz w:val="22"/>
                        <w:szCs w:val="22"/>
                        <w:lang w:val="en-GB"/>
                      </w:rPr>
                      <m:t>)</m:t>
                    </m:r>
                  </m:den>
                </m:f>
              </m:oMath>
            </m:oMathPara>
          </w:p>
        </w:tc>
        <w:tc>
          <w:tcPr>
            <w:tcW w:w="3018" w:type="dxa"/>
            <w:tcBorders>
              <w:top w:val="nil"/>
              <w:left w:val="nil"/>
              <w:bottom w:val="nil"/>
              <w:right w:val="nil"/>
            </w:tcBorders>
            <w:vAlign w:val="center"/>
          </w:tcPr>
          <w:p w14:paraId="099501A9" w14:textId="4F911504" w:rsidR="00E2194C" w:rsidRPr="00B1539B" w:rsidRDefault="00E2194C" w:rsidP="00940FDA">
            <w:pPr>
              <w:spacing w:line="360" w:lineRule="auto"/>
              <w:ind w:right="-6"/>
              <w:jc w:val="right"/>
              <w:rPr>
                <w:rFonts w:ascii="Times New Roman" w:hAnsi="Times New Roman" w:cs="Times New Roman"/>
                <w:sz w:val="22"/>
                <w:szCs w:val="22"/>
                <w:lang w:val="en-GB"/>
              </w:rPr>
            </w:pPr>
            <w:r w:rsidRPr="00B1539B">
              <w:rPr>
                <w:rFonts w:ascii="Times New Roman" w:hAnsi="Times New Roman" w:cs="Times New Roman"/>
                <w:sz w:val="22"/>
                <w:szCs w:val="22"/>
                <w:lang w:val="en-GB"/>
              </w:rPr>
              <w:t>(1b)</w:t>
            </w:r>
          </w:p>
        </w:tc>
      </w:tr>
      <w:tr w:rsidR="00B1539B" w:rsidRPr="00B1539B" w14:paraId="0F81B486" w14:textId="77777777" w:rsidTr="00E23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8" w:type="dxa"/>
            <w:tcBorders>
              <w:top w:val="nil"/>
              <w:left w:val="nil"/>
              <w:bottom w:val="nil"/>
              <w:right w:val="nil"/>
            </w:tcBorders>
          </w:tcPr>
          <w:p w14:paraId="2F7C69FC" w14:textId="77777777" w:rsidR="00E2194C" w:rsidRPr="00B1539B" w:rsidRDefault="00E2194C" w:rsidP="00940FDA">
            <w:pPr>
              <w:spacing w:line="360" w:lineRule="auto"/>
              <w:ind w:right="-6"/>
              <w:jc w:val="center"/>
              <w:rPr>
                <w:rFonts w:ascii="Times New Roman" w:hAnsi="Times New Roman" w:cs="Times New Roman"/>
                <w:sz w:val="22"/>
                <w:szCs w:val="22"/>
                <w:lang w:val="en-GB"/>
              </w:rPr>
            </w:pPr>
          </w:p>
        </w:tc>
        <w:tc>
          <w:tcPr>
            <w:tcW w:w="3018" w:type="dxa"/>
            <w:tcBorders>
              <w:top w:val="nil"/>
              <w:left w:val="nil"/>
              <w:bottom w:val="nil"/>
              <w:right w:val="nil"/>
            </w:tcBorders>
          </w:tcPr>
          <w:p w14:paraId="52FAB56C" w14:textId="6E7DE274" w:rsidR="00E2194C" w:rsidRPr="00B1539B" w:rsidRDefault="00000000" w:rsidP="00940FDA">
            <w:pPr>
              <w:spacing w:line="360" w:lineRule="auto"/>
              <w:ind w:right="-6"/>
              <w:jc w:val="center"/>
              <w:rPr>
                <w:rFonts w:ascii="Times New Roman" w:hAnsi="Times New Roman" w:cs="Times New Roman"/>
                <w:sz w:val="22"/>
                <w:szCs w:val="22"/>
                <w:lang w:val="en-GB"/>
              </w:rPr>
            </w:pPr>
            <m:oMathPara>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w:rPr>
                        <w:rFonts w:ascii="Cambria Math" w:hAnsi="Cambria Math" w:cs="Times New Roman"/>
                        <w:sz w:val="22"/>
                        <w:szCs w:val="22"/>
                        <w:lang w:val="en-GB"/>
                      </w:rPr>
                      <m:t>H/L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2N4R</m:t>
                </m:r>
                <m:r>
                  <w:rPr>
                    <w:rFonts w:ascii="Cambria Math" w:hAnsi="Cambria Math" w:cs="Times New Roman"/>
                    <w:sz w:val="22"/>
                    <w:szCs w:val="22"/>
                    <w:lang w:val="en-GB"/>
                  </w:rPr>
                  <m:t>)=</m:t>
                </m:r>
                <m:f>
                  <m:fPr>
                    <m:ctrlPr>
                      <w:rPr>
                        <w:rFonts w:ascii="Cambria Math" w:hAnsi="Cambria Math" w:cs="Times New Roman"/>
                        <w:i/>
                        <w:sz w:val="22"/>
                        <w:szCs w:val="22"/>
                        <w:lang w:val="en-GB"/>
                      </w:rPr>
                    </m:ctrlPr>
                  </m:fPr>
                  <m:num>
                    <m:sSub>
                      <m:sSubPr>
                        <m:ctrlPr>
                          <w:rPr>
                            <w:rFonts w:ascii="Cambria Math" w:hAnsi="Cambria Math" w:cs="Times New Roman"/>
                            <w:i/>
                            <w:sz w:val="22"/>
                            <w:szCs w:val="22"/>
                            <w:lang w:val="en-GB"/>
                          </w:rPr>
                        </m:ctrlPr>
                      </m:sSubPr>
                      <m:e>
                        <m:r>
                          <w:rPr>
                            <w:rFonts w:ascii="Cambria Math" w:hAnsi="Cambria Math" w:cs="Times New Roman"/>
                            <w:sz w:val="22"/>
                            <w:szCs w:val="22"/>
                            <w:lang w:val="en-GB"/>
                          </w:rPr>
                          <m:t>A</m:t>
                        </m:r>
                      </m:e>
                      <m:sub>
                        <m:r>
                          <w:rPr>
                            <w:rFonts w:ascii="Cambria Math" w:hAnsi="Cambria Math" w:cs="Times New Roman"/>
                            <w:sz w:val="22"/>
                            <w:szCs w:val="22"/>
                            <w:lang w:val="en-GB"/>
                          </w:rPr>
                          <m:t>H</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2N4R</m:t>
                    </m:r>
                    <m:r>
                      <w:rPr>
                        <w:rFonts w:ascii="Cambria Math" w:hAnsi="Cambria Math" w:cs="Times New Roman"/>
                        <w:sz w:val="22"/>
                        <w:szCs w:val="22"/>
                        <w:lang w:val="en-GB"/>
                      </w:rPr>
                      <m:t>)</m:t>
                    </m:r>
                  </m:num>
                  <m:den>
                    <m:sSub>
                      <m:sSubPr>
                        <m:ctrlPr>
                          <w:rPr>
                            <w:rFonts w:ascii="Cambria Math" w:hAnsi="Cambria Math" w:cs="Times New Roman"/>
                            <w:i/>
                            <w:sz w:val="22"/>
                            <w:szCs w:val="22"/>
                            <w:lang w:val="en-GB"/>
                          </w:rPr>
                        </m:ctrlPr>
                      </m:sSubPr>
                      <m:e>
                        <m:r>
                          <w:rPr>
                            <w:rFonts w:ascii="Cambria Math" w:hAnsi="Cambria Math" w:cs="Times New Roman"/>
                            <w:sz w:val="22"/>
                            <w:szCs w:val="22"/>
                            <w:lang w:val="en-GB"/>
                          </w:rPr>
                          <m:t>A</m:t>
                        </m:r>
                      </m:e>
                      <m:sub>
                        <m:r>
                          <w:rPr>
                            <w:rFonts w:ascii="Cambria Math" w:hAnsi="Cambria Math" w:cs="Times New Roman"/>
                            <w:sz w:val="22"/>
                            <w:szCs w:val="22"/>
                            <w:lang w:val="en-GB"/>
                          </w:rPr>
                          <m:t>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2N4R</m:t>
                    </m:r>
                    <m:r>
                      <w:rPr>
                        <w:rFonts w:ascii="Cambria Math" w:hAnsi="Cambria Math" w:cs="Times New Roman"/>
                        <w:sz w:val="22"/>
                        <w:szCs w:val="22"/>
                        <w:lang w:val="en-GB"/>
                      </w:rPr>
                      <m:t>)</m:t>
                    </m:r>
                  </m:den>
                </m:f>
              </m:oMath>
            </m:oMathPara>
          </w:p>
        </w:tc>
        <w:tc>
          <w:tcPr>
            <w:tcW w:w="3018" w:type="dxa"/>
            <w:tcBorders>
              <w:top w:val="nil"/>
              <w:left w:val="nil"/>
              <w:bottom w:val="nil"/>
              <w:right w:val="nil"/>
            </w:tcBorders>
            <w:vAlign w:val="center"/>
          </w:tcPr>
          <w:p w14:paraId="770ED802" w14:textId="5C7F79B5" w:rsidR="00E2194C" w:rsidRPr="00B1539B" w:rsidRDefault="00E2194C" w:rsidP="00940FDA">
            <w:pPr>
              <w:spacing w:line="360" w:lineRule="auto"/>
              <w:ind w:right="-6"/>
              <w:jc w:val="right"/>
              <w:rPr>
                <w:rFonts w:ascii="Times New Roman" w:hAnsi="Times New Roman" w:cs="Times New Roman"/>
                <w:sz w:val="22"/>
                <w:szCs w:val="22"/>
                <w:lang w:val="en-GB"/>
              </w:rPr>
            </w:pPr>
            <w:r w:rsidRPr="00B1539B">
              <w:rPr>
                <w:rFonts w:ascii="Times New Roman" w:hAnsi="Times New Roman" w:cs="Times New Roman"/>
                <w:sz w:val="22"/>
                <w:szCs w:val="22"/>
                <w:lang w:val="en-GB"/>
              </w:rPr>
              <w:t>(1c)</w:t>
            </w:r>
          </w:p>
        </w:tc>
      </w:tr>
    </w:tbl>
    <w:p w14:paraId="556AB1FF" w14:textId="29B26013" w:rsidR="00DF4240" w:rsidRPr="00940FDA" w:rsidRDefault="00DA6328" w:rsidP="00940FDA">
      <w:pPr>
        <w:tabs>
          <w:tab w:val="center" w:pos="4536"/>
          <w:tab w:val="right" w:pos="9070"/>
        </w:tabs>
        <w:spacing w:line="360" w:lineRule="auto"/>
        <w:ind w:right="-6"/>
        <w:jc w:val="both"/>
        <w:rPr>
          <w:rFonts w:ascii="Times New Roman" w:hAnsi="Times New Roman" w:cs="Times New Roman"/>
          <w:sz w:val="22"/>
          <w:szCs w:val="22"/>
          <w:lang w:val="en-GB"/>
        </w:rPr>
      </w:pPr>
      <w:r w:rsidRPr="00940FDA">
        <w:rPr>
          <w:rFonts w:ascii="Times New Roman" w:hAnsi="Times New Roman" w:cs="Times New Roman"/>
          <w:sz w:val="22"/>
          <w:szCs w:val="22"/>
          <w:lang w:val="en-GB"/>
        </w:rPr>
        <w:t>In the next step</w:t>
      </w:r>
      <w:r w:rsidR="00344820" w:rsidRPr="00940FDA">
        <w:rPr>
          <w:rFonts w:ascii="Times New Roman" w:hAnsi="Times New Roman" w:cs="Times New Roman"/>
          <w:sz w:val="22"/>
          <w:szCs w:val="22"/>
          <w:lang w:val="en-GB"/>
        </w:rPr>
        <w:t>,</w:t>
      </w:r>
      <w:r w:rsidRPr="00940FDA">
        <w:rPr>
          <w:rFonts w:ascii="Times New Roman" w:hAnsi="Times New Roman" w:cs="Times New Roman"/>
          <w:sz w:val="22"/>
          <w:szCs w:val="22"/>
          <w:lang w:val="en-GB"/>
        </w:rPr>
        <w:t xml:space="preserve"> the 1N4R standard was chosen as the reference and </w:t>
      </w:r>
      <w:r w:rsidR="00803F8D" w:rsidRPr="00940FDA">
        <w:rPr>
          <w:rFonts w:ascii="Times New Roman" w:hAnsi="Times New Roman" w:cs="Times New Roman"/>
          <w:sz w:val="22"/>
          <w:szCs w:val="22"/>
          <w:lang w:val="en-GB"/>
        </w:rPr>
        <w:t>second</w:t>
      </w:r>
      <w:r w:rsidR="00AF0565" w:rsidRPr="00940FDA">
        <w:rPr>
          <w:rFonts w:ascii="Times New Roman" w:hAnsi="Times New Roman" w:cs="Times New Roman"/>
          <w:sz w:val="22"/>
          <w:szCs w:val="22"/>
          <w:lang w:val="en-GB"/>
        </w:rPr>
        <w:t xml:space="preserve"> </w:t>
      </w:r>
      <w:r w:rsidRPr="00940FDA">
        <w:rPr>
          <w:rFonts w:ascii="Times New Roman" w:hAnsi="Times New Roman" w:cs="Times New Roman"/>
          <w:sz w:val="22"/>
          <w:szCs w:val="22"/>
          <w:lang w:val="en-GB"/>
        </w:rPr>
        <w:t>ratios of the seven peptide</w:t>
      </w:r>
      <w:r w:rsidR="00803F8D" w:rsidRPr="00940FDA">
        <w:rPr>
          <w:rFonts w:ascii="Times New Roman" w:hAnsi="Times New Roman" w:cs="Times New Roman"/>
          <w:sz w:val="22"/>
          <w:szCs w:val="22"/>
          <w:lang w:val="en-GB"/>
        </w:rPr>
        <w:t xml:space="preserve"> ratio</w:t>
      </w:r>
      <w:r w:rsidRPr="00940FDA">
        <w:rPr>
          <w:rFonts w:ascii="Times New Roman" w:hAnsi="Times New Roman" w:cs="Times New Roman"/>
          <w:sz w:val="22"/>
          <w:szCs w:val="22"/>
          <w:lang w:val="en-GB"/>
        </w:rPr>
        <w:t>s from the 0N3R and 2N4R standards to the 1N4R standard were determined</w:t>
      </w:r>
      <w:r w:rsidR="00E23F58" w:rsidRPr="00940FDA">
        <w:rPr>
          <w:rFonts w:ascii="Times New Roman" w:hAnsi="Times New Roman" w:cs="Times New Roman"/>
          <w:sz w:val="22"/>
          <w:szCs w:val="22"/>
          <w:lang w:val="en-GB"/>
        </w:rPr>
        <w:t xml:space="preserve"> (2</w:t>
      </w:r>
      <w:r w:rsidR="00E0281C">
        <w:rPr>
          <w:rFonts w:ascii="Times New Roman" w:hAnsi="Times New Roman" w:cs="Times New Roman"/>
          <w:sz w:val="22"/>
          <w:szCs w:val="22"/>
          <w:lang w:val="en-GB"/>
        </w:rPr>
        <w:t>a-b</w:t>
      </w:r>
      <w:r w:rsidR="00E23F58" w:rsidRPr="00940FDA">
        <w:rPr>
          <w:rFonts w:ascii="Times New Roman" w:hAnsi="Times New Roman" w:cs="Times New Roman"/>
          <w:sz w:val="22"/>
          <w:szCs w:val="22"/>
          <w:lang w:val="en-GB"/>
        </w:rPr>
        <w:t>)</w:t>
      </w:r>
      <w:r w:rsidR="00DF4240" w:rsidRPr="00940FDA">
        <w:rPr>
          <w:rFonts w:ascii="Times New Roman" w:hAnsi="Times New Roman" w:cs="Times New Roman"/>
          <w:sz w:val="22"/>
          <w:szCs w:val="22"/>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8"/>
        <w:gridCol w:w="3018"/>
      </w:tblGrid>
      <w:tr w:rsidR="0008047E" w:rsidRPr="00940FDA" w14:paraId="7B82E302" w14:textId="77777777" w:rsidTr="0008047E">
        <w:tc>
          <w:tcPr>
            <w:tcW w:w="3018" w:type="dxa"/>
            <w:vAlign w:val="center"/>
          </w:tcPr>
          <w:p w14:paraId="25394C51" w14:textId="77777777" w:rsidR="0008047E" w:rsidRPr="00940FDA" w:rsidRDefault="0008047E" w:rsidP="00940FDA">
            <w:pPr>
              <w:spacing w:line="360" w:lineRule="auto"/>
              <w:ind w:right="-6"/>
              <w:jc w:val="center"/>
              <w:rPr>
                <w:rFonts w:ascii="Times New Roman" w:hAnsi="Times New Roman" w:cs="Times New Roman"/>
                <w:sz w:val="22"/>
                <w:szCs w:val="22"/>
                <w:lang w:val="en-GB"/>
              </w:rPr>
            </w:pPr>
          </w:p>
        </w:tc>
        <w:tc>
          <w:tcPr>
            <w:tcW w:w="3018" w:type="dxa"/>
            <w:vAlign w:val="center"/>
          </w:tcPr>
          <w:p w14:paraId="2231772D" w14:textId="1FC3E68D" w:rsidR="0008047E" w:rsidRPr="00940FDA" w:rsidRDefault="00000000" w:rsidP="00940FDA">
            <w:pPr>
              <w:spacing w:line="360" w:lineRule="auto"/>
              <w:ind w:right="-6"/>
              <w:jc w:val="center"/>
              <w:rPr>
                <w:rFonts w:ascii="Times New Roman" w:hAnsi="Times New Roman" w:cs="Times New Roman"/>
                <w:sz w:val="22"/>
                <w:szCs w:val="22"/>
                <w:lang w:val="en-GB"/>
              </w:rPr>
            </w:pPr>
            <m:oMathPara>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m:rPr>
                        <m:sty m:val="p"/>
                      </m:rPr>
                      <w:rPr>
                        <w:rFonts w:ascii="Cambria Math" w:hAnsi="Cambria Math" w:cs="Times New Roman"/>
                        <w:sz w:val="22"/>
                        <w:szCs w:val="22"/>
                        <w:lang w:val="en-GB"/>
                      </w:rPr>
                      <m:t>0N3R/1N4R</m:t>
                    </m:r>
                  </m:sub>
                </m:sSub>
                <m:r>
                  <w:rPr>
                    <w:rFonts w:ascii="Cambria Math" w:hAnsi="Cambria Math" w:cs="Times New Roman"/>
                    <w:sz w:val="22"/>
                    <w:szCs w:val="22"/>
                    <w:lang w:val="en-GB"/>
                  </w:rPr>
                  <m:t>=</m:t>
                </m:r>
                <m:f>
                  <m:fPr>
                    <m:ctrlPr>
                      <w:rPr>
                        <w:rFonts w:ascii="Cambria Math" w:hAnsi="Cambria Math" w:cs="Times New Roman"/>
                        <w:i/>
                        <w:sz w:val="22"/>
                        <w:szCs w:val="22"/>
                        <w:lang w:val="en-GB"/>
                      </w:rPr>
                    </m:ctrlPr>
                  </m:fPr>
                  <m:num>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w:rPr>
                            <w:rFonts w:ascii="Cambria Math" w:hAnsi="Cambria Math" w:cs="Times New Roman"/>
                            <w:sz w:val="22"/>
                            <w:szCs w:val="22"/>
                            <w:lang w:val="en-GB"/>
                          </w:rPr>
                          <m:t>H/L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0N3R</m:t>
                    </m:r>
                    <m:r>
                      <w:rPr>
                        <w:rFonts w:ascii="Cambria Math" w:hAnsi="Cambria Math" w:cs="Times New Roman"/>
                        <w:sz w:val="22"/>
                        <w:szCs w:val="22"/>
                        <w:lang w:val="en-GB"/>
                      </w:rPr>
                      <m:t>)</m:t>
                    </m:r>
                  </m:num>
                  <m:den>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w:rPr>
                            <w:rFonts w:ascii="Cambria Math" w:hAnsi="Cambria Math" w:cs="Times New Roman"/>
                            <w:sz w:val="22"/>
                            <w:szCs w:val="22"/>
                            <w:lang w:val="en-GB"/>
                          </w:rPr>
                          <m:t>H/L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1N4R</m:t>
                    </m:r>
                    <m:r>
                      <w:rPr>
                        <w:rFonts w:ascii="Cambria Math" w:hAnsi="Cambria Math" w:cs="Times New Roman"/>
                        <w:sz w:val="22"/>
                        <w:szCs w:val="22"/>
                        <w:lang w:val="en-GB"/>
                      </w:rPr>
                      <m:t>)</m:t>
                    </m:r>
                  </m:den>
                </m:f>
              </m:oMath>
            </m:oMathPara>
          </w:p>
        </w:tc>
        <w:tc>
          <w:tcPr>
            <w:tcW w:w="3018" w:type="dxa"/>
            <w:vAlign w:val="center"/>
          </w:tcPr>
          <w:p w14:paraId="5EB5B237" w14:textId="6BB8B227" w:rsidR="0008047E" w:rsidRPr="00940FDA" w:rsidRDefault="0008047E" w:rsidP="00940FDA">
            <w:pPr>
              <w:spacing w:line="360" w:lineRule="auto"/>
              <w:ind w:right="-6"/>
              <w:jc w:val="right"/>
              <w:rPr>
                <w:rFonts w:ascii="Times New Roman" w:hAnsi="Times New Roman" w:cs="Times New Roman"/>
                <w:sz w:val="22"/>
                <w:szCs w:val="22"/>
                <w:lang w:val="en-GB"/>
              </w:rPr>
            </w:pPr>
            <w:r w:rsidRPr="00940FDA">
              <w:rPr>
                <w:rFonts w:ascii="Times New Roman" w:hAnsi="Times New Roman" w:cs="Times New Roman"/>
                <w:sz w:val="22"/>
                <w:szCs w:val="22"/>
                <w:lang w:val="en-GB"/>
              </w:rPr>
              <w:t>(2</w:t>
            </w:r>
            <w:r w:rsidR="00E23F58" w:rsidRPr="00940FDA">
              <w:rPr>
                <w:rFonts w:ascii="Times New Roman" w:hAnsi="Times New Roman" w:cs="Times New Roman"/>
                <w:sz w:val="22"/>
                <w:szCs w:val="22"/>
                <w:lang w:val="en-GB"/>
              </w:rPr>
              <w:t>a</w:t>
            </w:r>
            <w:r w:rsidRPr="00940FDA">
              <w:rPr>
                <w:rFonts w:ascii="Times New Roman" w:hAnsi="Times New Roman" w:cs="Times New Roman"/>
                <w:sz w:val="22"/>
                <w:szCs w:val="22"/>
                <w:lang w:val="en-GB"/>
              </w:rPr>
              <w:t>)</w:t>
            </w:r>
          </w:p>
        </w:tc>
      </w:tr>
      <w:tr w:rsidR="0008047E" w:rsidRPr="00940FDA" w14:paraId="038C5E9B" w14:textId="77777777" w:rsidTr="00E23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8" w:type="dxa"/>
            <w:tcBorders>
              <w:top w:val="nil"/>
              <w:left w:val="nil"/>
              <w:bottom w:val="nil"/>
              <w:right w:val="nil"/>
            </w:tcBorders>
          </w:tcPr>
          <w:p w14:paraId="3F03C3EE" w14:textId="77777777" w:rsidR="0008047E" w:rsidRPr="00940FDA" w:rsidRDefault="0008047E" w:rsidP="00940FDA">
            <w:pPr>
              <w:spacing w:line="360" w:lineRule="auto"/>
              <w:ind w:right="-6"/>
              <w:jc w:val="center"/>
              <w:rPr>
                <w:rFonts w:ascii="Times New Roman" w:hAnsi="Times New Roman" w:cs="Times New Roman"/>
                <w:sz w:val="22"/>
                <w:szCs w:val="22"/>
                <w:lang w:val="en-GB"/>
              </w:rPr>
            </w:pPr>
          </w:p>
        </w:tc>
        <w:tc>
          <w:tcPr>
            <w:tcW w:w="3018" w:type="dxa"/>
            <w:tcBorders>
              <w:top w:val="nil"/>
              <w:left w:val="nil"/>
              <w:bottom w:val="nil"/>
              <w:right w:val="nil"/>
            </w:tcBorders>
          </w:tcPr>
          <w:p w14:paraId="0E8066C4" w14:textId="59DBAEFD" w:rsidR="0008047E" w:rsidRPr="00940FDA" w:rsidRDefault="00000000" w:rsidP="00940FDA">
            <w:pPr>
              <w:spacing w:line="360" w:lineRule="auto"/>
              <w:ind w:right="-6"/>
              <w:jc w:val="center"/>
              <w:rPr>
                <w:rFonts w:ascii="Times New Roman" w:hAnsi="Times New Roman" w:cs="Times New Roman"/>
                <w:sz w:val="22"/>
                <w:szCs w:val="22"/>
                <w:lang w:val="en-GB"/>
              </w:rPr>
            </w:pPr>
            <m:oMathPara>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m:rPr>
                        <m:sty m:val="p"/>
                      </m:rPr>
                      <w:rPr>
                        <w:rFonts w:ascii="Cambria Math" w:hAnsi="Cambria Math" w:cs="Times New Roman"/>
                        <w:sz w:val="22"/>
                        <w:szCs w:val="22"/>
                        <w:lang w:val="en-GB"/>
                      </w:rPr>
                      <m:t>2N4R/1N4R</m:t>
                    </m:r>
                  </m:sub>
                </m:sSub>
                <m:r>
                  <w:rPr>
                    <w:rFonts w:ascii="Cambria Math" w:hAnsi="Cambria Math" w:cs="Times New Roman"/>
                    <w:sz w:val="22"/>
                    <w:szCs w:val="22"/>
                    <w:lang w:val="en-GB"/>
                  </w:rPr>
                  <m:t>=</m:t>
                </m:r>
                <m:f>
                  <m:fPr>
                    <m:ctrlPr>
                      <w:rPr>
                        <w:rFonts w:ascii="Cambria Math" w:hAnsi="Cambria Math" w:cs="Times New Roman"/>
                        <w:i/>
                        <w:sz w:val="22"/>
                        <w:szCs w:val="22"/>
                        <w:lang w:val="en-GB"/>
                      </w:rPr>
                    </m:ctrlPr>
                  </m:fPr>
                  <m:num>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w:rPr>
                            <w:rFonts w:ascii="Cambria Math" w:hAnsi="Cambria Math" w:cs="Times New Roman"/>
                            <w:sz w:val="22"/>
                            <w:szCs w:val="22"/>
                            <w:lang w:val="en-GB"/>
                          </w:rPr>
                          <m:t>H/L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2N4R</m:t>
                    </m:r>
                    <m:r>
                      <w:rPr>
                        <w:rFonts w:ascii="Cambria Math" w:hAnsi="Cambria Math" w:cs="Times New Roman"/>
                        <w:sz w:val="22"/>
                        <w:szCs w:val="22"/>
                        <w:lang w:val="en-GB"/>
                      </w:rPr>
                      <m:t>)</m:t>
                    </m:r>
                  </m:num>
                  <m:den>
                    <m:sSub>
                      <m:sSubPr>
                        <m:ctrlPr>
                          <w:rPr>
                            <w:rFonts w:ascii="Cambria Math" w:hAnsi="Cambria Math" w:cs="Times New Roman"/>
                            <w:i/>
                            <w:sz w:val="22"/>
                            <w:szCs w:val="22"/>
                            <w:lang w:val="en-GB"/>
                          </w:rPr>
                        </m:ctrlPr>
                      </m:sSubPr>
                      <m:e>
                        <m:r>
                          <w:rPr>
                            <w:rFonts w:ascii="Cambria Math" w:hAnsi="Cambria Math" w:cs="Times New Roman"/>
                            <w:sz w:val="22"/>
                            <w:szCs w:val="22"/>
                            <w:lang w:val="en-GB"/>
                          </w:rPr>
                          <m:t>R</m:t>
                        </m:r>
                      </m:e>
                      <m:sub>
                        <m:r>
                          <w:rPr>
                            <w:rFonts w:ascii="Cambria Math" w:hAnsi="Cambria Math" w:cs="Times New Roman"/>
                            <w:sz w:val="22"/>
                            <w:szCs w:val="22"/>
                            <w:lang w:val="en-GB"/>
                          </w:rPr>
                          <m:t>H/L</m:t>
                        </m:r>
                      </m:sub>
                    </m:sSub>
                    <m:r>
                      <w:rPr>
                        <w:rFonts w:ascii="Cambria Math" w:hAnsi="Cambria Math" w:cs="Times New Roman"/>
                        <w:sz w:val="22"/>
                        <w:szCs w:val="22"/>
                        <w:lang w:val="en-GB"/>
                      </w:rPr>
                      <m:t>(</m:t>
                    </m:r>
                    <m:r>
                      <m:rPr>
                        <m:sty m:val="p"/>
                      </m:rPr>
                      <w:rPr>
                        <w:rFonts w:ascii="Cambria Math" w:hAnsi="Cambria Math" w:cs="Times New Roman"/>
                        <w:sz w:val="22"/>
                        <w:szCs w:val="22"/>
                        <w:lang w:val="en-GB"/>
                      </w:rPr>
                      <m:t>1N4R</m:t>
                    </m:r>
                    <m:r>
                      <w:rPr>
                        <w:rFonts w:ascii="Cambria Math" w:hAnsi="Cambria Math" w:cs="Times New Roman"/>
                        <w:sz w:val="22"/>
                        <w:szCs w:val="22"/>
                        <w:lang w:val="en-GB"/>
                      </w:rPr>
                      <m:t>)</m:t>
                    </m:r>
                  </m:den>
                </m:f>
              </m:oMath>
            </m:oMathPara>
          </w:p>
        </w:tc>
        <w:tc>
          <w:tcPr>
            <w:tcW w:w="3018" w:type="dxa"/>
            <w:tcBorders>
              <w:top w:val="nil"/>
              <w:left w:val="nil"/>
              <w:bottom w:val="nil"/>
              <w:right w:val="nil"/>
            </w:tcBorders>
            <w:vAlign w:val="center"/>
          </w:tcPr>
          <w:p w14:paraId="6EF336DB" w14:textId="52C7E141" w:rsidR="0008047E" w:rsidRPr="00940FDA" w:rsidRDefault="0008047E" w:rsidP="00940FDA">
            <w:pPr>
              <w:spacing w:line="360" w:lineRule="auto"/>
              <w:ind w:right="-6"/>
              <w:jc w:val="right"/>
              <w:rPr>
                <w:rFonts w:ascii="Times New Roman" w:hAnsi="Times New Roman" w:cs="Times New Roman"/>
                <w:sz w:val="22"/>
                <w:szCs w:val="22"/>
                <w:lang w:val="en-GB"/>
              </w:rPr>
            </w:pPr>
            <w:r w:rsidRPr="00940FDA">
              <w:rPr>
                <w:rFonts w:ascii="Times New Roman" w:hAnsi="Times New Roman" w:cs="Times New Roman"/>
                <w:sz w:val="22"/>
                <w:szCs w:val="22"/>
                <w:lang w:val="en-GB"/>
              </w:rPr>
              <w:t>(</w:t>
            </w:r>
            <w:r w:rsidR="00E23F58" w:rsidRPr="00940FDA">
              <w:rPr>
                <w:rFonts w:ascii="Times New Roman" w:hAnsi="Times New Roman" w:cs="Times New Roman"/>
                <w:sz w:val="22"/>
                <w:szCs w:val="22"/>
                <w:lang w:val="en-GB"/>
              </w:rPr>
              <w:t>2b</w:t>
            </w:r>
            <w:r w:rsidRPr="00940FDA">
              <w:rPr>
                <w:rFonts w:ascii="Times New Roman" w:hAnsi="Times New Roman" w:cs="Times New Roman"/>
                <w:sz w:val="22"/>
                <w:szCs w:val="22"/>
                <w:lang w:val="en-GB"/>
              </w:rPr>
              <w:t>)</w:t>
            </w:r>
          </w:p>
        </w:tc>
      </w:tr>
    </w:tbl>
    <w:p w14:paraId="3821EEBC" w14:textId="2D5D762D" w:rsidR="007A55C0" w:rsidRPr="00940FDA" w:rsidRDefault="00803F8D" w:rsidP="00940FDA">
      <w:pPr>
        <w:spacing w:line="360" w:lineRule="auto"/>
        <w:ind w:right="-6"/>
        <w:jc w:val="both"/>
        <w:rPr>
          <w:rFonts w:ascii="Times New Roman" w:hAnsi="Times New Roman" w:cs="Times New Roman"/>
          <w:sz w:val="22"/>
          <w:szCs w:val="22"/>
          <w:lang w:val="en-GB"/>
        </w:rPr>
      </w:pPr>
      <w:r w:rsidRPr="00940FDA">
        <w:rPr>
          <w:rFonts w:ascii="Times New Roman" w:hAnsi="Times New Roman" w:cs="Times New Roman"/>
          <w:sz w:val="22"/>
          <w:szCs w:val="22"/>
          <w:lang w:val="en-GB"/>
        </w:rPr>
        <w:t xml:space="preserve">From these second ratios </w:t>
      </w:r>
      <w:r w:rsidR="0080603F" w:rsidRPr="00940FDA">
        <w:rPr>
          <w:rFonts w:ascii="Times New Roman" w:hAnsi="Times New Roman" w:cs="Times New Roman"/>
          <w:sz w:val="22"/>
          <w:szCs w:val="22"/>
          <w:lang w:val="en-GB"/>
        </w:rPr>
        <w:t xml:space="preserve">(which should </w:t>
      </w:r>
      <w:r w:rsidR="00F86028" w:rsidRPr="00940FDA">
        <w:rPr>
          <w:rFonts w:ascii="Times New Roman" w:hAnsi="Times New Roman" w:cs="Times New Roman"/>
          <w:sz w:val="22"/>
          <w:szCs w:val="22"/>
          <w:lang w:val="en-GB"/>
        </w:rPr>
        <w:t>theoretically</w:t>
      </w:r>
      <w:r w:rsidR="0080603F" w:rsidRPr="00940FDA">
        <w:rPr>
          <w:rFonts w:ascii="Times New Roman" w:hAnsi="Times New Roman" w:cs="Times New Roman"/>
          <w:sz w:val="22"/>
          <w:szCs w:val="22"/>
          <w:lang w:val="en-GB"/>
        </w:rPr>
        <w:t xml:space="preserve"> be the same for </w:t>
      </w:r>
      <w:r w:rsidR="003E5B4F" w:rsidRPr="00940FDA">
        <w:rPr>
          <w:rFonts w:ascii="Times New Roman" w:hAnsi="Times New Roman" w:cs="Times New Roman"/>
          <w:sz w:val="22"/>
          <w:szCs w:val="22"/>
          <w:lang w:val="en-GB"/>
        </w:rPr>
        <w:t>any</w:t>
      </w:r>
      <w:r w:rsidR="0080603F" w:rsidRPr="00940FDA">
        <w:rPr>
          <w:rFonts w:ascii="Times New Roman" w:hAnsi="Times New Roman" w:cs="Times New Roman"/>
          <w:sz w:val="22"/>
          <w:szCs w:val="22"/>
          <w:lang w:val="en-GB"/>
        </w:rPr>
        <w:t xml:space="preserve"> </w:t>
      </w:r>
      <w:r w:rsidR="003E5B4F" w:rsidRPr="00940FDA">
        <w:rPr>
          <w:rFonts w:ascii="Times New Roman" w:hAnsi="Times New Roman" w:cs="Times New Roman"/>
          <w:sz w:val="22"/>
          <w:szCs w:val="22"/>
          <w:lang w:val="en-GB"/>
        </w:rPr>
        <w:t xml:space="preserve">set of two </w:t>
      </w:r>
      <w:r w:rsidR="0080603F" w:rsidRPr="00940FDA">
        <w:rPr>
          <w:rFonts w:ascii="Times New Roman" w:hAnsi="Times New Roman" w:cs="Times New Roman"/>
          <w:sz w:val="22"/>
          <w:szCs w:val="22"/>
          <w:lang w:val="en-GB"/>
        </w:rPr>
        <w:t>standard</w:t>
      </w:r>
      <w:r w:rsidR="003E5B4F" w:rsidRPr="00940FDA">
        <w:rPr>
          <w:rFonts w:ascii="Times New Roman" w:hAnsi="Times New Roman" w:cs="Times New Roman"/>
          <w:sz w:val="22"/>
          <w:szCs w:val="22"/>
          <w:lang w:val="en-GB"/>
        </w:rPr>
        <w:t>s</w:t>
      </w:r>
      <w:r w:rsidR="0080603F" w:rsidRPr="00940FDA">
        <w:rPr>
          <w:rFonts w:ascii="Times New Roman" w:hAnsi="Times New Roman" w:cs="Times New Roman"/>
          <w:sz w:val="22"/>
          <w:szCs w:val="22"/>
          <w:lang w:val="en-GB"/>
        </w:rPr>
        <w:t xml:space="preserve">) mean values and CVs (&lt;15%) were determined. Mean value for </w:t>
      </w:r>
      <w:r w:rsidR="00E23F58" w:rsidRPr="00940FDA">
        <w:rPr>
          <w:rFonts w:ascii="Times New Roman" w:hAnsi="Times New Roman" w:cs="Times New Roman"/>
          <w:i/>
          <w:iCs/>
          <w:sz w:val="22"/>
          <w:szCs w:val="22"/>
          <w:lang w:val="en-GB"/>
        </w:rPr>
        <w:t>R</w:t>
      </w:r>
      <w:r w:rsidR="0080603F" w:rsidRPr="00940FDA">
        <w:rPr>
          <w:rFonts w:ascii="Times New Roman" w:hAnsi="Times New Roman" w:cs="Times New Roman"/>
          <w:sz w:val="22"/>
          <w:szCs w:val="22"/>
          <w:vertAlign w:val="subscript"/>
          <w:lang w:val="en-GB"/>
        </w:rPr>
        <w:t>0N3R</w:t>
      </w:r>
      <w:r w:rsidR="00E23F58" w:rsidRPr="00940FDA">
        <w:rPr>
          <w:rFonts w:ascii="Times New Roman" w:hAnsi="Times New Roman" w:cs="Times New Roman"/>
          <w:sz w:val="22"/>
          <w:szCs w:val="22"/>
          <w:vertAlign w:val="subscript"/>
          <w:lang w:val="en-GB"/>
        </w:rPr>
        <w:t>/</w:t>
      </w:r>
      <w:r w:rsidR="0080603F" w:rsidRPr="00940FDA">
        <w:rPr>
          <w:rFonts w:ascii="Times New Roman" w:hAnsi="Times New Roman" w:cs="Times New Roman"/>
          <w:sz w:val="22"/>
          <w:szCs w:val="22"/>
          <w:vertAlign w:val="subscript"/>
          <w:lang w:val="en-GB"/>
        </w:rPr>
        <w:t>1N4R</w:t>
      </w:r>
      <w:r w:rsidR="0080603F" w:rsidRPr="00940FDA">
        <w:rPr>
          <w:rFonts w:ascii="Times New Roman" w:hAnsi="Times New Roman" w:cs="Times New Roman"/>
          <w:sz w:val="22"/>
          <w:szCs w:val="22"/>
          <w:lang w:val="en-GB"/>
        </w:rPr>
        <w:t xml:space="preserve"> peptide ratios was 0.72 and for </w:t>
      </w:r>
      <w:r w:rsidR="00E23F58" w:rsidRPr="00940FDA">
        <w:rPr>
          <w:rFonts w:ascii="Times New Roman" w:hAnsi="Times New Roman" w:cs="Times New Roman"/>
          <w:i/>
          <w:iCs/>
          <w:sz w:val="22"/>
          <w:szCs w:val="22"/>
          <w:lang w:val="en-GB"/>
        </w:rPr>
        <w:t>R</w:t>
      </w:r>
      <w:r w:rsidR="0080603F" w:rsidRPr="00940FDA">
        <w:rPr>
          <w:rFonts w:ascii="Times New Roman" w:hAnsi="Times New Roman" w:cs="Times New Roman"/>
          <w:sz w:val="22"/>
          <w:szCs w:val="22"/>
          <w:vertAlign w:val="subscript"/>
          <w:lang w:val="en-GB"/>
        </w:rPr>
        <w:t>2N4R</w:t>
      </w:r>
      <w:r w:rsidR="00E23F58" w:rsidRPr="00940FDA">
        <w:rPr>
          <w:rFonts w:ascii="Times New Roman" w:hAnsi="Times New Roman" w:cs="Times New Roman"/>
          <w:sz w:val="22"/>
          <w:szCs w:val="22"/>
          <w:vertAlign w:val="subscript"/>
          <w:lang w:val="en-GB"/>
        </w:rPr>
        <w:t>/</w:t>
      </w:r>
      <w:r w:rsidR="0080603F" w:rsidRPr="00940FDA">
        <w:rPr>
          <w:rFonts w:ascii="Times New Roman" w:hAnsi="Times New Roman" w:cs="Times New Roman"/>
          <w:sz w:val="22"/>
          <w:szCs w:val="22"/>
          <w:vertAlign w:val="subscript"/>
          <w:lang w:val="en-GB"/>
        </w:rPr>
        <w:t>1N4R</w:t>
      </w:r>
      <w:r w:rsidR="0080603F" w:rsidRPr="00940FDA">
        <w:rPr>
          <w:rFonts w:ascii="Times New Roman" w:hAnsi="Times New Roman" w:cs="Times New Roman"/>
          <w:sz w:val="22"/>
          <w:szCs w:val="22"/>
          <w:lang w:val="en-GB"/>
        </w:rPr>
        <w:t xml:space="preserve"> 0.91. Thus</w:t>
      </w:r>
      <w:r w:rsidR="00F86028" w:rsidRPr="00940FDA">
        <w:rPr>
          <w:rFonts w:ascii="Times New Roman" w:hAnsi="Times New Roman" w:cs="Times New Roman"/>
          <w:sz w:val="22"/>
          <w:szCs w:val="22"/>
          <w:lang w:val="en-GB"/>
        </w:rPr>
        <w:t>,</w:t>
      </w:r>
      <w:r w:rsidR="0080603F" w:rsidRPr="00940FDA">
        <w:rPr>
          <w:rFonts w:ascii="Times New Roman" w:hAnsi="Times New Roman" w:cs="Times New Roman"/>
          <w:sz w:val="22"/>
          <w:szCs w:val="22"/>
          <w:lang w:val="en-GB"/>
        </w:rPr>
        <w:t xml:space="preserve"> the final </w:t>
      </w:r>
      <w:r w:rsidR="00E23F58" w:rsidRPr="00940FDA">
        <w:rPr>
          <w:rFonts w:ascii="Times New Roman" w:hAnsi="Times New Roman" w:cs="Times New Roman"/>
          <w:sz w:val="22"/>
          <w:szCs w:val="22"/>
          <w:lang w:val="en-GB"/>
        </w:rPr>
        <w:t xml:space="preserve">equimolar </w:t>
      </w:r>
      <w:r w:rsidR="0080603F" w:rsidRPr="00940FDA">
        <w:rPr>
          <w:rFonts w:ascii="Times New Roman" w:hAnsi="Times New Roman" w:cs="Times New Roman"/>
          <w:sz w:val="22"/>
          <w:szCs w:val="22"/>
          <w:lang w:val="en-GB"/>
        </w:rPr>
        <w:t xml:space="preserve">mixture of 0N3R/1N4R/2N4R was set to 1.4/1.0/1.1 </w:t>
      </w:r>
      <w:r w:rsidR="00A86C09" w:rsidRPr="00940FDA">
        <w:rPr>
          <w:rFonts w:ascii="Times New Roman" w:hAnsi="Times New Roman" w:cs="Times New Roman"/>
          <w:sz w:val="22"/>
          <w:szCs w:val="22"/>
          <w:lang w:val="en-GB"/>
        </w:rPr>
        <w:t xml:space="preserve">(v/v/v) </w:t>
      </w:r>
      <w:r w:rsidR="0080603F" w:rsidRPr="00940FDA">
        <w:rPr>
          <w:rFonts w:ascii="Times New Roman" w:hAnsi="Times New Roman" w:cs="Times New Roman"/>
          <w:sz w:val="22"/>
          <w:szCs w:val="22"/>
          <w:lang w:val="en-GB"/>
        </w:rPr>
        <w:t>and the respective isoform</w:t>
      </w:r>
      <w:r w:rsidR="006B5C0A" w:rsidRPr="00940FDA">
        <w:rPr>
          <w:rFonts w:ascii="Times New Roman" w:hAnsi="Times New Roman" w:cs="Times New Roman"/>
          <w:sz w:val="22"/>
          <w:szCs w:val="22"/>
          <w:lang w:val="en-GB"/>
        </w:rPr>
        <w:t>s</w:t>
      </w:r>
      <w:r w:rsidR="0080603F" w:rsidRPr="00940FDA">
        <w:rPr>
          <w:rFonts w:ascii="Times New Roman" w:hAnsi="Times New Roman" w:cs="Times New Roman"/>
          <w:sz w:val="22"/>
          <w:szCs w:val="22"/>
          <w:lang w:val="en-GB"/>
        </w:rPr>
        <w:t xml:space="preserve"> w</w:t>
      </w:r>
      <w:r w:rsidR="006B5C0A" w:rsidRPr="00940FDA">
        <w:rPr>
          <w:rFonts w:ascii="Times New Roman" w:hAnsi="Times New Roman" w:cs="Times New Roman"/>
          <w:sz w:val="22"/>
          <w:szCs w:val="22"/>
          <w:lang w:val="en-GB"/>
        </w:rPr>
        <w:t>ere</w:t>
      </w:r>
      <w:r w:rsidR="0080603F" w:rsidRPr="00940FDA">
        <w:rPr>
          <w:rFonts w:ascii="Times New Roman" w:hAnsi="Times New Roman" w:cs="Times New Roman"/>
          <w:sz w:val="22"/>
          <w:szCs w:val="22"/>
          <w:lang w:val="en-GB"/>
        </w:rPr>
        <w:t xml:space="preserve"> </w:t>
      </w:r>
      <w:r w:rsidR="006B5C0A" w:rsidRPr="00940FDA">
        <w:rPr>
          <w:rFonts w:ascii="Times New Roman" w:hAnsi="Times New Roman" w:cs="Times New Roman"/>
          <w:sz w:val="22"/>
          <w:szCs w:val="22"/>
          <w:lang w:val="en-GB"/>
        </w:rPr>
        <w:t xml:space="preserve">each </w:t>
      </w:r>
      <w:r w:rsidR="0080603F" w:rsidRPr="00940FDA">
        <w:rPr>
          <w:rFonts w:ascii="Times New Roman" w:hAnsi="Times New Roman" w:cs="Times New Roman"/>
          <w:sz w:val="22"/>
          <w:szCs w:val="22"/>
          <w:lang w:val="en-GB"/>
        </w:rPr>
        <w:t xml:space="preserve">added at a </w:t>
      </w:r>
      <w:r w:rsidR="0080603F" w:rsidRPr="00940FDA">
        <w:rPr>
          <w:rFonts w:ascii="Times New Roman" w:hAnsi="Times New Roman" w:cs="Times New Roman"/>
          <w:i/>
          <w:iCs/>
          <w:sz w:val="22"/>
          <w:szCs w:val="22"/>
          <w:lang w:val="en-GB"/>
        </w:rPr>
        <w:t>nominal</w:t>
      </w:r>
      <w:r w:rsidR="0080603F" w:rsidRPr="00940FDA">
        <w:rPr>
          <w:rFonts w:ascii="Times New Roman" w:hAnsi="Times New Roman" w:cs="Times New Roman"/>
          <w:sz w:val="22"/>
          <w:szCs w:val="22"/>
          <w:lang w:val="en-GB"/>
        </w:rPr>
        <w:t xml:space="preserve"> amount 133 fmol per sample</w:t>
      </w:r>
      <w:r w:rsidR="001648D8" w:rsidRPr="00940FDA">
        <w:rPr>
          <w:rFonts w:ascii="Times New Roman" w:hAnsi="Times New Roman" w:cs="Times New Roman"/>
          <w:sz w:val="22"/>
          <w:szCs w:val="22"/>
          <w:lang w:val="en-GB"/>
        </w:rPr>
        <w:t>.</w:t>
      </w:r>
      <w:r w:rsidR="00D404C7">
        <w:rPr>
          <w:rFonts w:ascii="Times New Roman" w:hAnsi="Times New Roman" w:cs="Times New Roman"/>
          <w:sz w:val="22"/>
          <w:szCs w:val="22"/>
          <w:lang w:val="en-GB"/>
        </w:rPr>
        <w:t xml:space="preserve"> </w:t>
      </w:r>
      <w:r w:rsidR="00E2180B" w:rsidRPr="00940FDA">
        <w:rPr>
          <w:rFonts w:ascii="Times New Roman" w:hAnsi="Times New Roman" w:cs="Times New Roman"/>
          <w:sz w:val="22"/>
          <w:szCs w:val="22"/>
          <w:lang w:val="en-GB"/>
        </w:rPr>
        <w:t xml:space="preserve">From the CVs the accuracy </w:t>
      </w:r>
      <w:r w:rsidR="00575034">
        <w:rPr>
          <w:rFonts w:ascii="Times New Roman" w:hAnsi="Times New Roman" w:cs="Times New Roman"/>
          <w:sz w:val="22"/>
          <w:szCs w:val="22"/>
          <w:lang w:val="en-GB"/>
        </w:rPr>
        <w:t>could</w:t>
      </w:r>
      <w:r w:rsidR="00E2180B" w:rsidRPr="00940FDA">
        <w:rPr>
          <w:rFonts w:ascii="Times New Roman" w:hAnsi="Times New Roman" w:cs="Times New Roman"/>
          <w:sz w:val="22"/>
          <w:szCs w:val="22"/>
          <w:lang w:val="en-GB"/>
        </w:rPr>
        <w:t xml:space="preserve"> be estimated to be of the order of 15-20%. </w:t>
      </w:r>
      <w:r w:rsidR="007A55C0" w:rsidRPr="00940FDA">
        <w:rPr>
          <w:rFonts w:ascii="Times New Roman" w:hAnsi="Times New Roman" w:cs="Times New Roman"/>
          <w:sz w:val="22"/>
          <w:szCs w:val="22"/>
          <w:lang w:val="en-GB"/>
        </w:rPr>
        <w:t xml:space="preserve">However, measured </w:t>
      </w:r>
      <w:r w:rsidR="007A55C0" w:rsidRPr="00940FDA">
        <w:rPr>
          <w:rFonts w:ascii="Times New Roman" w:hAnsi="Times New Roman" w:cs="Times New Roman"/>
          <w:i/>
          <w:iCs/>
          <w:sz w:val="22"/>
          <w:szCs w:val="22"/>
          <w:lang w:val="en-GB"/>
        </w:rPr>
        <w:t>differences</w:t>
      </w:r>
      <w:r w:rsidR="007A55C0" w:rsidRPr="00940FDA">
        <w:rPr>
          <w:rFonts w:ascii="Times New Roman" w:hAnsi="Times New Roman" w:cs="Times New Roman"/>
          <w:sz w:val="22"/>
          <w:szCs w:val="22"/>
          <w:lang w:val="en-GB"/>
        </w:rPr>
        <w:t xml:space="preserve"> within this study were more precise since the same mix was used in all experiments.</w:t>
      </w:r>
    </w:p>
    <w:p w14:paraId="5CACF55E" w14:textId="77777777" w:rsidR="00651E00" w:rsidRPr="00940FDA" w:rsidRDefault="00651E00" w:rsidP="00651E00">
      <w:pPr>
        <w:spacing w:line="360" w:lineRule="auto"/>
        <w:ind w:right="-6"/>
        <w:jc w:val="both"/>
        <w:rPr>
          <w:rFonts w:ascii="Times New Roman" w:hAnsi="Times New Roman" w:cs="Times New Roman"/>
          <w:sz w:val="22"/>
          <w:szCs w:val="22"/>
          <w:lang w:val="en-US"/>
        </w:rPr>
      </w:pPr>
    </w:p>
    <w:p w14:paraId="724DF914" w14:textId="56B72E2E" w:rsidR="00651E00" w:rsidRPr="00940FDA" w:rsidRDefault="00651E00" w:rsidP="00651E00">
      <w:pPr>
        <w:spacing w:line="360" w:lineRule="auto"/>
        <w:ind w:right="-6"/>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4</w:t>
      </w:r>
      <w:r w:rsidRPr="00940FDA">
        <w:rPr>
          <w:rFonts w:ascii="Times New Roman" w:hAnsi="Times New Roman" w:cs="Times New Roman"/>
          <w:b/>
          <w:bCs/>
          <w:sz w:val="22"/>
          <w:szCs w:val="22"/>
          <w:lang w:val="en-US"/>
        </w:rPr>
        <w:t>. Sample randomisation</w:t>
      </w:r>
    </w:p>
    <w:p w14:paraId="34595D9E" w14:textId="5659A5A6" w:rsidR="00651E00" w:rsidRPr="00940FDA" w:rsidRDefault="009807F0" w:rsidP="00651E00">
      <w:pPr>
        <w:spacing w:line="360" w:lineRule="auto"/>
        <w:ind w:right="-6"/>
        <w:jc w:val="both"/>
        <w:rPr>
          <w:rFonts w:ascii="Times New Roman" w:hAnsi="Times New Roman" w:cs="Times New Roman"/>
          <w:sz w:val="22"/>
          <w:szCs w:val="22"/>
          <w:lang w:val="en-US"/>
        </w:rPr>
      </w:pPr>
      <w:r w:rsidRPr="008D7F35">
        <w:rPr>
          <w:rFonts w:ascii="Times New Roman" w:hAnsi="Times New Roman" w:cs="Times New Roman"/>
          <w:sz w:val="22"/>
          <w:szCs w:val="22"/>
          <w:lang w:val="en-US"/>
        </w:rPr>
        <w:t xml:space="preserve">For Cohort 1, the </w:t>
      </w:r>
      <w:r w:rsidR="00651E00" w:rsidRPr="008D7F35">
        <w:rPr>
          <w:rFonts w:ascii="Times New Roman" w:hAnsi="Times New Roman" w:cs="Times New Roman"/>
          <w:sz w:val="22"/>
          <w:szCs w:val="22"/>
          <w:lang w:val="en-US"/>
        </w:rPr>
        <w:t>analysis order of all samples was randomised in a two-step way to get the different patient groups spread out evenly throughout each four-day acquisition occasion. First, all samples were randomised within the patient group. The first sample in each group was then sorted into another group – mixed group one. Then the second sample in each patient group was sorted into mixed group two, and so on. The eleventh PSP sample was then randomly added to one of the ten mixed groups. Second, each of these groups was then randomised once more to complete the two-step random process. The six QC samples and nine blank injections were then inserted to the analysis sequence so that they were evenly spread out.</w:t>
      </w:r>
      <w:r w:rsidRPr="008D7F35">
        <w:rPr>
          <w:rFonts w:ascii="Times New Roman" w:hAnsi="Times New Roman" w:cs="Times New Roman"/>
          <w:sz w:val="22"/>
          <w:szCs w:val="22"/>
          <w:lang w:val="en-US"/>
        </w:rPr>
        <w:t xml:space="preserve"> For Cohort 2 the same procedure was applied but adapted to the particular sample set.</w:t>
      </w:r>
    </w:p>
    <w:p w14:paraId="45DCE002" w14:textId="11E502BB" w:rsidR="007273BF" w:rsidRPr="00940FDA" w:rsidRDefault="007273BF" w:rsidP="00940FDA">
      <w:pPr>
        <w:spacing w:line="360" w:lineRule="auto"/>
        <w:ind w:right="-6"/>
        <w:jc w:val="both"/>
        <w:rPr>
          <w:rFonts w:ascii="Times New Roman" w:hAnsi="Times New Roman" w:cs="Times New Roman"/>
          <w:sz w:val="22"/>
          <w:szCs w:val="22"/>
          <w:lang w:val="en-US"/>
        </w:rPr>
      </w:pPr>
    </w:p>
    <w:p w14:paraId="1E7D343D" w14:textId="0730B588" w:rsidR="00E0001D" w:rsidRPr="00940FDA" w:rsidRDefault="00651E00" w:rsidP="00940FDA">
      <w:pPr>
        <w:spacing w:line="360" w:lineRule="auto"/>
        <w:ind w:right="-6"/>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5</w:t>
      </w:r>
      <w:r w:rsidR="00E0001D" w:rsidRPr="00940FDA">
        <w:rPr>
          <w:rFonts w:ascii="Times New Roman" w:hAnsi="Times New Roman" w:cs="Times New Roman"/>
          <w:b/>
          <w:bCs/>
          <w:sz w:val="22"/>
          <w:szCs w:val="22"/>
          <w:lang w:val="en-US"/>
        </w:rPr>
        <w:t>. Database search settings</w:t>
      </w:r>
    </w:p>
    <w:p w14:paraId="2D54AC8D" w14:textId="6EE923D0" w:rsidR="00841852" w:rsidRPr="00940FDA" w:rsidRDefault="00841852" w:rsidP="00940FDA">
      <w:pPr>
        <w:spacing w:line="360" w:lineRule="auto"/>
        <w:ind w:right="-6"/>
        <w:jc w:val="both"/>
        <w:rPr>
          <w:rFonts w:ascii="Times New Roman" w:eastAsia="ArialMT" w:hAnsi="Times New Roman" w:cs="Times New Roman"/>
          <w:sz w:val="22"/>
          <w:szCs w:val="22"/>
          <w:lang w:val="en-US"/>
        </w:rPr>
      </w:pPr>
      <w:r w:rsidRPr="00940FDA">
        <w:rPr>
          <w:rFonts w:ascii="Times New Roman" w:eastAsia="ArialMT" w:hAnsi="Times New Roman" w:cs="Times New Roman"/>
          <w:sz w:val="22"/>
          <w:szCs w:val="22"/>
          <w:lang w:val="en-US"/>
        </w:rPr>
        <w:t>Both Mascot (Matrix Science) and PEAKS Studio (Bioinformatics Solutions) were used for database searches. Mascot Daemon v2.6.1 was used to initiate the processing. C</w:t>
      </w:r>
      <w:r w:rsidR="00514B50" w:rsidRPr="00940FDA">
        <w:rPr>
          <w:rFonts w:ascii="Times New Roman" w:eastAsia="ArialMT" w:hAnsi="Times New Roman" w:cs="Times New Roman"/>
          <w:sz w:val="22"/>
          <w:szCs w:val="22"/>
          <w:lang w:val="en-US"/>
        </w:rPr>
        <w:t xml:space="preserve">harge and isotope </w:t>
      </w:r>
      <w:r w:rsidRPr="00940FDA">
        <w:rPr>
          <w:rFonts w:ascii="Times New Roman" w:eastAsia="ArialMT" w:hAnsi="Times New Roman" w:cs="Times New Roman"/>
          <w:sz w:val="22"/>
          <w:szCs w:val="22"/>
          <w:lang w:val="en-US"/>
        </w:rPr>
        <w:t xml:space="preserve">deconvolution of mass spectra was performed using Mascot Distiller v2.6.3 </w:t>
      </w:r>
      <w:r w:rsidR="00514B50" w:rsidRPr="00940FDA">
        <w:rPr>
          <w:rFonts w:ascii="Times New Roman" w:eastAsia="ArialMT" w:hAnsi="Times New Roman" w:cs="Times New Roman"/>
          <w:sz w:val="22"/>
          <w:szCs w:val="22"/>
          <w:lang w:val="en-US"/>
        </w:rPr>
        <w:t xml:space="preserve">before submitting searches </w:t>
      </w:r>
      <w:r w:rsidRPr="00940FDA">
        <w:rPr>
          <w:rFonts w:ascii="Times New Roman" w:eastAsia="ArialMT" w:hAnsi="Times New Roman" w:cs="Times New Roman"/>
          <w:sz w:val="22"/>
          <w:szCs w:val="22"/>
          <w:lang w:val="en-US"/>
        </w:rPr>
        <w:t xml:space="preserve">to Mascot database search software v2.6.1. Similarly </w:t>
      </w:r>
      <w:r w:rsidR="00514B50" w:rsidRPr="00940FDA">
        <w:rPr>
          <w:rFonts w:ascii="Times New Roman" w:eastAsia="ArialMT" w:hAnsi="Times New Roman" w:cs="Times New Roman"/>
          <w:sz w:val="22"/>
          <w:szCs w:val="22"/>
          <w:lang w:val="en-US"/>
        </w:rPr>
        <w:t>PEAKS Studio Xpro</w:t>
      </w:r>
      <w:r w:rsidRPr="00940FDA">
        <w:rPr>
          <w:rFonts w:ascii="Times New Roman" w:eastAsia="ArialMT" w:hAnsi="Times New Roman" w:cs="Times New Roman"/>
          <w:sz w:val="22"/>
          <w:szCs w:val="22"/>
          <w:lang w:val="en-US"/>
        </w:rPr>
        <w:t xml:space="preserve"> has a built-in charge and isotope deconvolution feature that was employed before performing the database search</w:t>
      </w:r>
      <w:r w:rsidR="00514B50" w:rsidRPr="00940FDA">
        <w:rPr>
          <w:rFonts w:ascii="Times New Roman" w:eastAsia="ArialMT" w:hAnsi="Times New Roman" w:cs="Times New Roman"/>
          <w:sz w:val="22"/>
          <w:szCs w:val="22"/>
          <w:lang w:val="en-US"/>
        </w:rPr>
        <w:t xml:space="preserve">. Searches were made </w:t>
      </w:r>
      <w:r w:rsidR="00514B50" w:rsidRPr="00940FDA">
        <w:rPr>
          <w:rFonts w:ascii="Times New Roman" w:eastAsia="ArialMT" w:hAnsi="Times New Roman" w:cs="Times New Roman"/>
          <w:sz w:val="22"/>
          <w:szCs w:val="22"/>
          <w:lang w:val="en-US"/>
        </w:rPr>
        <w:lastRenderedPageBreak/>
        <w:t xml:space="preserve">against both </w:t>
      </w:r>
      <w:r w:rsidR="00D65761" w:rsidRPr="00940FDA">
        <w:rPr>
          <w:rFonts w:ascii="Times New Roman" w:eastAsia="ArialMT" w:hAnsi="Times New Roman" w:cs="Times New Roman"/>
          <w:sz w:val="22"/>
          <w:szCs w:val="22"/>
          <w:lang w:val="en-US"/>
        </w:rPr>
        <w:t>SwissProt/</w:t>
      </w:r>
      <w:r w:rsidR="00514B50" w:rsidRPr="00940FDA">
        <w:rPr>
          <w:rFonts w:ascii="Times New Roman" w:eastAsia="ArialMT" w:hAnsi="Times New Roman" w:cs="Times New Roman"/>
          <w:sz w:val="22"/>
          <w:szCs w:val="22"/>
          <w:lang w:val="en-US"/>
        </w:rPr>
        <w:t>Uniprot</w:t>
      </w:r>
      <w:r w:rsidR="00D65761" w:rsidRPr="00940FDA">
        <w:rPr>
          <w:rFonts w:ascii="Times New Roman" w:eastAsia="ArialMT" w:hAnsi="Times New Roman" w:cs="Times New Roman"/>
          <w:sz w:val="22"/>
          <w:szCs w:val="22"/>
          <w:lang w:val="en-US"/>
        </w:rPr>
        <w:t xml:space="preserve"> isoforms</w:t>
      </w:r>
      <w:r w:rsidR="00514B50" w:rsidRPr="00940FDA">
        <w:rPr>
          <w:rFonts w:ascii="Times New Roman" w:eastAsia="ArialMT" w:hAnsi="Times New Roman" w:cs="Times New Roman"/>
          <w:sz w:val="22"/>
          <w:szCs w:val="22"/>
          <w:lang w:val="en-US"/>
        </w:rPr>
        <w:t xml:space="preserve"> and a custom made</w:t>
      </w:r>
      <w:r w:rsidR="00D46983" w:rsidRPr="00940FDA">
        <w:rPr>
          <w:rFonts w:ascii="Times New Roman" w:eastAsia="ArialMT" w:hAnsi="Times New Roman" w:cs="Times New Roman"/>
          <w:sz w:val="22"/>
          <w:szCs w:val="22"/>
          <w:lang w:val="en-US"/>
        </w:rPr>
        <w:t xml:space="preserve"> human</w:t>
      </w:r>
      <w:r w:rsidR="00514B50" w:rsidRPr="00940FDA">
        <w:rPr>
          <w:rFonts w:ascii="Times New Roman" w:eastAsia="ArialMT" w:hAnsi="Times New Roman" w:cs="Times New Roman"/>
          <w:sz w:val="22"/>
          <w:szCs w:val="22"/>
          <w:lang w:val="en-US"/>
        </w:rPr>
        <w:t xml:space="preserve"> tau-only database</w:t>
      </w:r>
      <w:r w:rsidR="0062211B" w:rsidRPr="00940FDA">
        <w:rPr>
          <w:rFonts w:ascii="Times New Roman" w:eastAsia="ArialMT" w:hAnsi="Times New Roman" w:cs="Times New Roman"/>
          <w:sz w:val="22"/>
          <w:szCs w:val="22"/>
          <w:lang w:val="en-US"/>
        </w:rPr>
        <w:t xml:space="preserve"> containing all </w:t>
      </w:r>
      <w:r w:rsidR="00D65761" w:rsidRPr="00940FDA">
        <w:rPr>
          <w:rFonts w:ascii="Times New Roman" w:eastAsia="ArialMT" w:hAnsi="Times New Roman" w:cs="Times New Roman"/>
          <w:sz w:val="22"/>
          <w:szCs w:val="22"/>
          <w:lang w:val="en-US"/>
        </w:rPr>
        <w:t xml:space="preserve">tau </w:t>
      </w:r>
      <w:r w:rsidR="0062211B" w:rsidRPr="00940FDA">
        <w:rPr>
          <w:rFonts w:ascii="Times New Roman" w:eastAsia="ArialMT" w:hAnsi="Times New Roman" w:cs="Times New Roman"/>
          <w:sz w:val="22"/>
          <w:szCs w:val="22"/>
          <w:lang w:val="en-US"/>
        </w:rPr>
        <w:t>isoforms</w:t>
      </w:r>
      <w:r w:rsidRPr="00940FDA">
        <w:rPr>
          <w:rFonts w:ascii="Times New Roman" w:eastAsia="ArialMT" w:hAnsi="Times New Roman" w:cs="Times New Roman"/>
          <w:sz w:val="22"/>
          <w:szCs w:val="22"/>
          <w:lang w:val="en-US"/>
        </w:rPr>
        <w:t>.</w:t>
      </w:r>
    </w:p>
    <w:p w14:paraId="4449C72D" w14:textId="270B9BC8" w:rsidR="00E0001D" w:rsidRPr="00940FDA" w:rsidRDefault="00841852" w:rsidP="00940FDA">
      <w:pPr>
        <w:spacing w:line="360" w:lineRule="auto"/>
        <w:ind w:right="-6"/>
        <w:jc w:val="both"/>
        <w:rPr>
          <w:rFonts w:ascii="Times New Roman" w:hAnsi="Times New Roman" w:cs="Times New Roman"/>
          <w:sz w:val="22"/>
          <w:szCs w:val="22"/>
          <w:lang w:val="en-US"/>
        </w:rPr>
      </w:pPr>
      <w:r w:rsidRPr="00940FDA">
        <w:rPr>
          <w:rFonts w:ascii="Times New Roman" w:eastAsia="ArialMT" w:hAnsi="Times New Roman" w:cs="Times New Roman"/>
          <w:sz w:val="22"/>
          <w:szCs w:val="22"/>
          <w:lang w:val="en-US"/>
        </w:rPr>
        <w:t xml:space="preserve">Mascot Distiller processing parameters </w:t>
      </w:r>
      <w:r w:rsidR="0062211B" w:rsidRPr="00940FDA">
        <w:rPr>
          <w:rFonts w:ascii="Times New Roman" w:eastAsia="ArialMT" w:hAnsi="Times New Roman" w:cs="Times New Roman"/>
          <w:sz w:val="22"/>
          <w:szCs w:val="22"/>
          <w:lang w:val="en-US"/>
        </w:rPr>
        <w:t xml:space="preserve">as well as the Mascot database search parameters </w:t>
      </w:r>
      <w:r w:rsidRPr="00940FDA">
        <w:rPr>
          <w:rFonts w:ascii="Times New Roman" w:eastAsia="ArialMT" w:hAnsi="Times New Roman" w:cs="Times New Roman"/>
          <w:sz w:val="22"/>
          <w:szCs w:val="22"/>
          <w:lang w:val="en-US"/>
        </w:rPr>
        <w:t xml:space="preserve">were the same as </w:t>
      </w:r>
      <w:r w:rsidR="00514B50" w:rsidRPr="00940FDA">
        <w:rPr>
          <w:rFonts w:ascii="Times New Roman" w:eastAsia="ArialMT" w:hAnsi="Times New Roman" w:cs="Times New Roman"/>
          <w:sz w:val="22"/>
          <w:szCs w:val="22"/>
          <w:lang w:val="en-US"/>
        </w:rPr>
        <w:t>described in [</w:t>
      </w:r>
      <w:r w:rsidR="00575034">
        <w:rPr>
          <w:rFonts w:ascii="Times New Roman" w:hAnsi="Times New Roman" w:cs="Times New Roman"/>
          <w:sz w:val="22"/>
          <w:szCs w:val="22"/>
          <w:lang w:val="en-GB"/>
        </w:rPr>
        <w:t>4</w:t>
      </w:r>
      <w:r w:rsidR="00514B50" w:rsidRPr="00940FDA">
        <w:rPr>
          <w:rFonts w:ascii="Times New Roman" w:eastAsia="ArialMT" w:hAnsi="Times New Roman" w:cs="Times New Roman"/>
          <w:sz w:val="22"/>
          <w:szCs w:val="22"/>
          <w:lang w:val="en-US"/>
        </w:rPr>
        <w:t>]</w:t>
      </w:r>
      <w:r w:rsidR="0062211B" w:rsidRPr="00940FDA">
        <w:rPr>
          <w:rFonts w:ascii="Times New Roman" w:eastAsia="ArialMT" w:hAnsi="Times New Roman" w:cs="Times New Roman"/>
          <w:sz w:val="22"/>
          <w:szCs w:val="22"/>
          <w:lang w:val="en-US"/>
        </w:rPr>
        <w:t xml:space="preserve">, </w:t>
      </w:r>
      <w:r w:rsidR="00127589" w:rsidRPr="00940FDA">
        <w:rPr>
          <w:rFonts w:ascii="Times New Roman" w:eastAsia="ArialMT" w:hAnsi="Times New Roman" w:cs="Times New Roman"/>
          <w:sz w:val="22"/>
          <w:szCs w:val="22"/>
          <w:lang w:val="en-US"/>
        </w:rPr>
        <w:t xml:space="preserve">except </w:t>
      </w:r>
      <w:r w:rsidR="0062211B" w:rsidRPr="00940FDA">
        <w:rPr>
          <w:rFonts w:ascii="Times New Roman" w:eastAsia="ArialMT" w:hAnsi="Times New Roman" w:cs="Times New Roman"/>
          <w:sz w:val="22"/>
          <w:szCs w:val="22"/>
          <w:lang w:val="en-US"/>
        </w:rPr>
        <w:t>only collision-induced dissociation (CID) type fragment spectra were searched</w:t>
      </w:r>
      <w:r w:rsidR="00127589" w:rsidRPr="00940FDA">
        <w:rPr>
          <w:rFonts w:ascii="Times New Roman" w:eastAsia="ArialMT" w:hAnsi="Times New Roman" w:cs="Times New Roman"/>
          <w:sz w:val="22"/>
          <w:szCs w:val="22"/>
          <w:lang w:val="en-US"/>
        </w:rPr>
        <w:t xml:space="preserve"> and that for the tau-only database search the variable PTMs were: Acetyl (Protein N-term), Oxidation (M), Phospho (ST), Label 13C(6) 15N(4) (R), Label 13C(6) 15N(2) (K), while for </w:t>
      </w:r>
      <w:r w:rsidR="00D65761" w:rsidRPr="00940FDA">
        <w:rPr>
          <w:rFonts w:ascii="Times New Roman" w:eastAsia="ArialMT" w:hAnsi="Times New Roman" w:cs="Times New Roman"/>
          <w:sz w:val="22"/>
          <w:szCs w:val="22"/>
          <w:lang w:val="en-US"/>
        </w:rPr>
        <w:t>SwissProt/</w:t>
      </w:r>
      <w:r w:rsidR="00127589" w:rsidRPr="00940FDA">
        <w:rPr>
          <w:rFonts w:ascii="Times New Roman" w:eastAsia="ArialMT" w:hAnsi="Times New Roman" w:cs="Times New Roman"/>
          <w:sz w:val="22"/>
          <w:szCs w:val="22"/>
          <w:lang w:val="en-US"/>
        </w:rPr>
        <w:t xml:space="preserve">Uniprot </w:t>
      </w:r>
      <w:r w:rsidR="00D65761" w:rsidRPr="00940FDA">
        <w:rPr>
          <w:rFonts w:ascii="Times New Roman" w:eastAsia="ArialMT" w:hAnsi="Times New Roman" w:cs="Times New Roman"/>
          <w:sz w:val="22"/>
          <w:szCs w:val="22"/>
          <w:lang w:val="en-US"/>
        </w:rPr>
        <w:t>isoforms variable PTMs were: Oxidation (M)</w:t>
      </w:r>
      <w:r w:rsidR="00127589" w:rsidRPr="00940FDA">
        <w:rPr>
          <w:rFonts w:ascii="Times New Roman" w:eastAsia="ArialMT" w:hAnsi="Times New Roman" w:cs="Times New Roman"/>
          <w:sz w:val="22"/>
          <w:szCs w:val="22"/>
          <w:lang w:val="en-US"/>
        </w:rPr>
        <w:t>.</w:t>
      </w:r>
      <w:r w:rsidR="0062211B" w:rsidRPr="00940FDA">
        <w:rPr>
          <w:rFonts w:ascii="Times New Roman" w:eastAsia="ArialMT" w:hAnsi="Times New Roman" w:cs="Times New Roman"/>
          <w:sz w:val="22"/>
          <w:szCs w:val="22"/>
          <w:lang w:val="en-US"/>
        </w:rPr>
        <w:t xml:space="preserve"> PEAKS Studio search parameters were: Create Project options: [Instrument type = Orbitrap (Orbi-Orbi); Fragment = HCD</w:t>
      </w:r>
      <w:r w:rsidR="00D46983" w:rsidRPr="00940FDA">
        <w:rPr>
          <w:rFonts w:ascii="Times New Roman" w:eastAsia="ArialMT" w:hAnsi="Times New Roman" w:cs="Times New Roman"/>
          <w:sz w:val="22"/>
          <w:szCs w:val="22"/>
          <w:lang w:val="en-US"/>
        </w:rPr>
        <w:t>; Acquisition = DDA</w:t>
      </w:r>
      <w:r w:rsidR="0062211B" w:rsidRPr="00940FDA">
        <w:rPr>
          <w:rFonts w:ascii="Times New Roman" w:eastAsia="ArialMT" w:hAnsi="Times New Roman" w:cs="Times New Roman"/>
          <w:sz w:val="22"/>
          <w:szCs w:val="22"/>
          <w:lang w:val="en-US"/>
        </w:rPr>
        <w:t>]. Data Refinement options: [Merge Scans = not enabled; Correct Precursor = enabled; Mass only (recommended) = enabled; Filter Scans = not enabled]</w:t>
      </w:r>
      <w:r w:rsidR="00D942BA">
        <w:rPr>
          <w:rFonts w:ascii="Times New Roman" w:eastAsia="ArialMT" w:hAnsi="Times New Roman" w:cs="Times New Roman"/>
          <w:sz w:val="22"/>
          <w:szCs w:val="22"/>
          <w:lang w:val="en-US"/>
        </w:rPr>
        <w:t>; Associate feature with chimera scan = not enabled; Filter Features = not enabled</w:t>
      </w:r>
      <w:r w:rsidR="0062211B" w:rsidRPr="00940FDA">
        <w:rPr>
          <w:rFonts w:ascii="Times New Roman" w:eastAsia="ArialMT" w:hAnsi="Times New Roman" w:cs="Times New Roman"/>
          <w:sz w:val="22"/>
          <w:szCs w:val="22"/>
          <w:lang w:val="en-US"/>
        </w:rPr>
        <w:t xml:space="preserve">. Identification options: [Error Tolerance: Precursor mass = 20 ppm using monoisotopic mass; Fragment ion = 0.05 Da; Enzyme = None; </w:t>
      </w:r>
      <w:r w:rsidR="00D46983" w:rsidRPr="00940FDA">
        <w:rPr>
          <w:rFonts w:ascii="Times New Roman" w:eastAsia="ArialMT" w:hAnsi="Times New Roman" w:cs="Times New Roman"/>
          <w:sz w:val="22"/>
          <w:szCs w:val="22"/>
          <w:lang w:val="en-US"/>
        </w:rPr>
        <w:t xml:space="preserve">Digest Mode = Unspecific; </w:t>
      </w:r>
      <w:r w:rsidR="0062211B" w:rsidRPr="00940FDA">
        <w:rPr>
          <w:rFonts w:ascii="Times New Roman" w:eastAsia="ArialMT" w:hAnsi="Times New Roman" w:cs="Times New Roman"/>
          <w:sz w:val="22"/>
          <w:szCs w:val="22"/>
          <w:lang w:val="en-US"/>
        </w:rPr>
        <w:t xml:space="preserve">Selected Fixed PTM = none; Selected Variable PTM = </w:t>
      </w:r>
      <w:r w:rsidR="00D46983" w:rsidRPr="00940FDA">
        <w:rPr>
          <w:rFonts w:ascii="Times New Roman" w:eastAsia="ArialMT" w:hAnsi="Times New Roman" w:cs="Times New Roman"/>
          <w:sz w:val="22"/>
          <w:szCs w:val="22"/>
          <w:lang w:val="en-US"/>
        </w:rPr>
        <w:t xml:space="preserve">Acetylation (Protein N-term), </w:t>
      </w:r>
      <w:r w:rsidR="0062211B" w:rsidRPr="00940FDA">
        <w:rPr>
          <w:rFonts w:ascii="Times New Roman" w:eastAsia="ArialMT" w:hAnsi="Times New Roman" w:cs="Times New Roman"/>
          <w:sz w:val="22"/>
          <w:szCs w:val="22"/>
          <w:lang w:val="en-US"/>
        </w:rPr>
        <w:t xml:space="preserve">Oxidation (M), </w:t>
      </w:r>
      <w:r w:rsidR="00D46983" w:rsidRPr="00940FDA">
        <w:rPr>
          <w:rFonts w:ascii="Times New Roman" w:eastAsia="ArialMT" w:hAnsi="Times New Roman" w:cs="Times New Roman"/>
          <w:sz w:val="22"/>
          <w:szCs w:val="22"/>
          <w:lang w:val="en-US"/>
        </w:rPr>
        <w:t>Phospho</w:t>
      </w:r>
      <w:r w:rsidR="0062211B" w:rsidRPr="00940FDA">
        <w:rPr>
          <w:rFonts w:ascii="Times New Roman" w:eastAsia="ArialMT" w:hAnsi="Times New Roman" w:cs="Times New Roman"/>
          <w:sz w:val="22"/>
          <w:szCs w:val="22"/>
          <w:lang w:val="en-US"/>
        </w:rPr>
        <w:t xml:space="preserve"> </w:t>
      </w:r>
      <w:r w:rsidR="00D46983" w:rsidRPr="00940FDA">
        <w:rPr>
          <w:rFonts w:ascii="Times New Roman" w:eastAsia="ArialMT" w:hAnsi="Times New Roman" w:cs="Times New Roman"/>
          <w:sz w:val="22"/>
          <w:szCs w:val="22"/>
          <w:lang w:val="en-US"/>
        </w:rPr>
        <w:t>(STY)</w:t>
      </w:r>
      <w:r w:rsidR="00673B83" w:rsidRPr="00940FDA">
        <w:rPr>
          <w:rFonts w:ascii="Times New Roman" w:eastAsia="ArialMT" w:hAnsi="Times New Roman" w:cs="Times New Roman"/>
          <w:sz w:val="22"/>
          <w:szCs w:val="22"/>
          <w:lang w:val="en-US"/>
        </w:rPr>
        <w:t>, 13C(6) 15N(4) Silac label, 13C(6) 15N(2) Silac label</w:t>
      </w:r>
      <w:r w:rsidR="0062211B" w:rsidRPr="00940FDA">
        <w:rPr>
          <w:rFonts w:ascii="Times New Roman" w:eastAsia="ArialMT" w:hAnsi="Times New Roman" w:cs="Times New Roman"/>
          <w:sz w:val="22"/>
          <w:szCs w:val="22"/>
          <w:lang w:val="en-US"/>
        </w:rPr>
        <w:t xml:space="preserve">; max variable PTM per peptide = 6; Database = custom made </w:t>
      </w:r>
      <w:r w:rsidR="00D46983" w:rsidRPr="00940FDA">
        <w:rPr>
          <w:rFonts w:ascii="Times New Roman" w:eastAsia="ArialMT" w:hAnsi="Times New Roman" w:cs="Times New Roman"/>
          <w:sz w:val="22"/>
          <w:szCs w:val="22"/>
          <w:lang w:val="en-US"/>
        </w:rPr>
        <w:t>tau_isoforms_human</w:t>
      </w:r>
      <w:r w:rsidR="00673B83" w:rsidRPr="00940FDA">
        <w:rPr>
          <w:rFonts w:ascii="Times New Roman" w:eastAsia="ArialMT" w:hAnsi="Times New Roman" w:cs="Times New Roman"/>
          <w:sz w:val="22"/>
          <w:szCs w:val="22"/>
          <w:lang w:val="en-US"/>
        </w:rPr>
        <w:t>,</w:t>
      </w:r>
      <w:r w:rsidR="0062211B" w:rsidRPr="00940FDA">
        <w:rPr>
          <w:rFonts w:ascii="Times New Roman" w:eastAsia="ArialMT" w:hAnsi="Times New Roman" w:cs="Times New Roman"/>
          <w:sz w:val="22"/>
          <w:szCs w:val="22"/>
          <w:lang w:val="en-US"/>
        </w:rPr>
        <w:t xml:space="preserve"> Uniprot_SwissProt</w:t>
      </w:r>
      <w:r w:rsidR="00D46983" w:rsidRPr="00940FDA">
        <w:rPr>
          <w:rFonts w:ascii="Times New Roman" w:eastAsia="ArialMT" w:hAnsi="Times New Roman" w:cs="Times New Roman"/>
          <w:sz w:val="22"/>
          <w:szCs w:val="22"/>
          <w:lang w:val="en-US"/>
        </w:rPr>
        <w:t>_isoforms</w:t>
      </w:r>
      <w:r w:rsidR="0062211B" w:rsidRPr="00940FDA">
        <w:rPr>
          <w:rFonts w:ascii="Times New Roman" w:eastAsia="ArialMT" w:hAnsi="Times New Roman" w:cs="Times New Roman"/>
          <w:sz w:val="22"/>
          <w:szCs w:val="22"/>
          <w:lang w:val="en-US"/>
        </w:rPr>
        <w:t>].</w:t>
      </w:r>
      <w:r w:rsidR="00673B83" w:rsidRPr="00940FDA">
        <w:rPr>
          <w:rFonts w:ascii="Times New Roman" w:eastAsia="ArialMT" w:hAnsi="Times New Roman" w:cs="Times New Roman"/>
          <w:sz w:val="22"/>
          <w:szCs w:val="22"/>
          <w:lang w:val="en-US"/>
        </w:rPr>
        <w:t xml:space="preserve"> In a separate search the </w:t>
      </w:r>
      <w:r w:rsidR="00D942BA" w:rsidRPr="00940FDA">
        <w:rPr>
          <w:rFonts w:ascii="Times New Roman" w:hAnsi="Times New Roman" w:cs="Times New Roman"/>
          <w:sz w:val="22"/>
          <w:szCs w:val="22"/>
          <w:lang w:val="en-US"/>
        </w:rPr>
        <w:t>[</w:t>
      </w:r>
      <w:r w:rsidR="00D942BA" w:rsidRPr="00940FDA">
        <w:rPr>
          <w:rFonts w:ascii="Times New Roman" w:hAnsi="Times New Roman" w:cs="Times New Roman"/>
          <w:i/>
          <w:iCs/>
          <w:sz w:val="22"/>
          <w:szCs w:val="22"/>
          <w:lang w:val="en-US"/>
        </w:rPr>
        <w:t>U</w:t>
      </w:r>
      <w:r w:rsidR="00D942BA" w:rsidRPr="00940FDA">
        <w:rPr>
          <w:rFonts w:ascii="Times New Roman" w:hAnsi="Times New Roman" w:cs="Times New Roman"/>
          <w:sz w:val="22"/>
          <w:szCs w:val="22"/>
          <w:lang w:val="en-US"/>
        </w:rPr>
        <w:t>–</w:t>
      </w:r>
      <w:r w:rsidR="00D942BA" w:rsidRPr="00940FDA">
        <w:rPr>
          <w:rFonts w:ascii="Times New Roman" w:hAnsi="Times New Roman" w:cs="Times New Roman"/>
          <w:sz w:val="22"/>
          <w:szCs w:val="22"/>
          <w:vertAlign w:val="superscript"/>
          <w:lang w:val="en-US"/>
        </w:rPr>
        <w:t>15</w:t>
      </w:r>
      <w:r w:rsidR="00D942BA" w:rsidRPr="00940FDA">
        <w:rPr>
          <w:rFonts w:ascii="Times New Roman" w:hAnsi="Times New Roman" w:cs="Times New Roman"/>
          <w:sz w:val="22"/>
          <w:szCs w:val="22"/>
          <w:lang w:val="en-US"/>
        </w:rPr>
        <w:t>N]</w:t>
      </w:r>
      <w:r w:rsidR="00E0281C">
        <w:rPr>
          <w:rFonts w:ascii="Times New Roman" w:eastAsia="ArialMT" w:hAnsi="Times New Roman" w:cs="Times New Roman"/>
          <w:sz w:val="22"/>
          <w:szCs w:val="22"/>
          <w:lang w:val="en-US"/>
        </w:rPr>
        <w:t>-</w:t>
      </w:r>
      <w:r w:rsidR="00673B83" w:rsidRPr="00940FDA">
        <w:rPr>
          <w:rFonts w:ascii="Times New Roman" w:eastAsia="ArialMT" w:hAnsi="Times New Roman" w:cs="Times New Roman"/>
          <w:sz w:val="22"/>
          <w:szCs w:val="22"/>
          <w:lang w:val="en-US"/>
        </w:rPr>
        <w:t>protein standards were addressed: Selected Fixed PTM = SILAS 15N(1), SILAS 15N(2), SILAS 15N(3), SILAC</w:t>
      </w:r>
      <w:r w:rsidR="00D942BA">
        <w:rPr>
          <w:rFonts w:ascii="Times New Roman" w:eastAsia="ArialMT" w:hAnsi="Times New Roman" w:cs="Times New Roman"/>
          <w:sz w:val="22"/>
          <w:szCs w:val="22"/>
          <w:lang w:val="en-US"/>
        </w:rPr>
        <w:t xml:space="preserve"> [sic!] </w:t>
      </w:r>
      <w:r w:rsidR="00673B83" w:rsidRPr="00940FDA">
        <w:rPr>
          <w:rFonts w:ascii="Times New Roman" w:eastAsia="ArialMT" w:hAnsi="Times New Roman" w:cs="Times New Roman"/>
          <w:sz w:val="22"/>
          <w:szCs w:val="22"/>
          <w:lang w:val="en-US"/>
        </w:rPr>
        <w:t>15N(4); Selected Variable PTM = Oxidation (M); max variable PTM per peptide = 3. Apart from the PTMs all other parameters were the same.</w:t>
      </w:r>
    </w:p>
    <w:p w14:paraId="4E051885" w14:textId="77777777" w:rsidR="00E0001D" w:rsidRPr="00940FDA" w:rsidRDefault="00E0001D" w:rsidP="00940FDA">
      <w:pPr>
        <w:spacing w:line="360" w:lineRule="auto"/>
        <w:ind w:right="-6"/>
        <w:jc w:val="both"/>
        <w:rPr>
          <w:rFonts w:ascii="Times New Roman" w:hAnsi="Times New Roman" w:cs="Times New Roman"/>
          <w:sz w:val="22"/>
          <w:szCs w:val="22"/>
          <w:lang w:val="en-US"/>
        </w:rPr>
      </w:pPr>
    </w:p>
    <w:p w14:paraId="19E0EDB2" w14:textId="069C7EAC" w:rsidR="006B5C0A" w:rsidRPr="00940FDA" w:rsidRDefault="00651E00" w:rsidP="00940FDA">
      <w:pPr>
        <w:spacing w:line="360" w:lineRule="auto"/>
        <w:ind w:right="-6"/>
        <w:jc w:val="both"/>
        <w:rPr>
          <w:rFonts w:ascii="Times New Roman" w:hAnsi="Times New Roman" w:cs="Times New Roman"/>
          <w:b/>
          <w:bCs/>
          <w:sz w:val="22"/>
          <w:szCs w:val="22"/>
          <w:lang w:val="en-GB"/>
        </w:rPr>
      </w:pPr>
      <w:r>
        <w:rPr>
          <w:rFonts w:ascii="Times New Roman" w:hAnsi="Times New Roman" w:cs="Times New Roman"/>
          <w:b/>
          <w:bCs/>
          <w:sz w:val="22"/>
          <w:szCs w:val="22"/>
          <w:lang w:val="en-GB"/>
        </w:rPr>
        <w:t>6</w:t>
      </w:r>
      <w:r w:rsidR="00F34E4D" w:rsidRPr="00940FDA">
        <w:rPr>
          <w:rFonts w:ascii="Times New Roman" w:hAnsi="Times New Roman" w:cs="Times New Roman"/>
          <w:b/>
          <w:bCs/>
          <w:sz w:val="22"/>
          <w:szCs w:val="22"/>
          <w:lang w:val="en-GB"/>
        </w:rPr>
        <w:t xml:space="preserve">. </w:t>
      </w:r>
      <w:r w:rsidR="006B5C0A" w:rsidRPr="00940FDA">
        <w:rPr>
          <w:rFonts w:ascii="Times New Roman" w:hAnsi="Times New Roman" w:cs="Times New Roman"/>
          <w:b/>
          <w:bCs/>
          <w:sz w:val="22"/>
          <w:szCs w:val="22"/>
          <w:lang w:val="en-GB"/>
        </w:rPr>
        <w:t>Calculation of peptide concentrations</w:t>
      </w:r>
    </w:p>
    <w:p w14:paraId="670FDD22" w14:textId="57450BEE" w:rsidR="006B5C0A" w:rsidRPr="00940FDA" w:rsidRDefault="006B5C0A" w:rsidP="00940FDA">
      <w:pPr>
        <w:spacing w:line="360" w:lineRule="auto"/>
        <w:ind w:right="-6"/>
        <w:jc w:val="both"/>
        <w:rPr>
          <w:rFonts w:ascii="Times New Roman" w:hAnsi="Times New Roman" w:cs="Times New Roman"/>
          <w:sz w:val="22"/>
          <w:szCs w:val="22"/>
          <w:lang w:val="en-GB"/>
        </w:rPr>
      </w:pPr>
      <w:r w:rsidRPr="00940FDA">
        <w:rPr>
          <w:rFonts w:ascii="Times New Roman" w:hAnsi="Times New Roman" w:cs="Times New Roman"/>
          <w:sz w:val="22"/>
          <w:szCs w:val="22"/>
          <w:lang w:val="en-GB"/>
        </w:rPr>
        <w:t>With the approach outline</w:t>
      </w:r>
      <w:r w:rsidR="001D2DCF" w:rsidRPr="00940FDA">
        <w:rPr>
          <w:rFonts w:ascii="Times New Roman" w:hAnsi="Times New Roman" w:cs="Times New Roman"/>
          <w:sz w:val="22"/>
          <w:szCs w:val="22"/>
          <w:lang w:val="en-GB"/>
        </w:rPr>
        <w:t>d</w:t>
      </w:r>
      <w:r w:rsidRPr="00940FDA">
        <w:rPr>
          <w:rFonts w:ascii="Times New Roman" w:hAnsi="Times New Roman" w:cs="Times New Roman"/>
          <w:sz w:val="22"/>
          <w:szCs w:val="22"/>
          <w:lang w:val="en-GB"/>
        </w:rPr>
        <w:t xml:space="preserve"> above for addition of isotope-labelled protein standards, the procedure to calculate brain peptide concentrations </w:t>
      </w:r>
      <w:r w:rsidR="00D27E3C" w:rsidRPr="00940FDA">
        <w:rPr>
          <w:rFonts w:ascii="Times New Roman" w:hAnsi="Times New Roman" w:cs="Times New Roman"/>
          <w:sz w:val="22"/>
          <w:szCs w:val="22"/>
          <w:lang w:val="en-GB"/>
        </w:rPr>
        <w:t>wa</w:t>
      </w:r>
      <w:r w:rsidRPr="00940FDA">
        <w:rPr>
          <w:rFonts w:ascii="Times New Roman" w:hAnsi="Times New Roman" w:cs="Times New Roman"/>
          <w:sz w:val="22"/>
          <w:szCs w:val="22"/>
          <w:lang w:val="en-GB"/>
        </w:rPr>
        <w:t xml:space="preserve">s as follows. Each of the three protein isoforms </w:t>
      </w:r>
      <w:r w:rsidR="00D27E3C" w:rsidRPr="00940FDA">
        <w:rPr>
          <w:rFonts w:ascii="Times New Roman" w:hAnsi="Times New Roman" w:cs="Times New Roman"/>
          <w:sz w:val="22"/>
          <w:szCs w:val="22"/>
          <w:lang w:val="en-GB"/>
        </w:rPr>
        <w:t>we</w:t>
      </w:r>
      <w:r w:rsidRPr="00940FDA">
        <w:rPr>
          <w:rFonts w:ascii="Times New Roman" w:hAnsi="Times New Roman" w:cs="Times New Roman"/>
          <w:sz w:val="22"/>
          <w:szCs w:val="22"/>
          <w:lang w:val="en-GB"/>
        </w:rPr>
        <w:t>re added at a nominal amount of 133 fmol per sample. This means that for all tryptic peptides common to all isoforms the added amount correspond</w:t>
      </w:r>
      <w:r w:rsidR="00D27E3C" w:rsidRPr="00940FDA">
        <w:rPr>
          <w:rFonts w:ascii="Times New Roman" w:hAnsi="Times New Roman" w:cs="Times New Roman"/>
          <w:sz w:val="22"/>
          <w:szCs w:val="22"/>
          <w:lang w:val="en-GB"/>
        </w:rPr>
        <w:t>ed</w:t>
      </w:r>
      <w:r w:rsidRPr="00940FDA">
        <w:rPr>
          <w:rFonts w:ascii="Times New Roman" w:hAnsi="Times New Roman" w:cs="Times New Roman"/>
          <w:sz w:val="22"/>
          <w:szCs w:val="22"/>
          <w:lang w:val="en-GB"/>
        </w:rPr>
        <w:t xml:space="preserve"> to 3×133 = 400 fmol</w:t>
      </w:r>
      <w:r w:rsidR="00FE7F16" w:rsidRPr="00940FDA">
        <w:rPr>
          <w:rFonts w:ascii="Times New Roman" w:hAnsi="Times New Roman" w:cs="Times New Roman"/>
          <w:sz w:val="22"/>
          <w:szCs w:val="22"/>
          <w:lang w:val="en-GB"/>
        </w:rPr>
        <w:t xml:space="preserve"> (since they ha</w:t>
      </w:r>
      <w:r w:rsidR="00D27E3C" w:rsidRPr="00940FDA">
        <w:rPr>
          <w:rFonts w:ascii="Times New Roman" w:hAnsi="Times New Roman" w:cs="Times New Roman"/>
          <w:sz w:val="22"/>
          <w:szCs w:val="22"/>
          <w:lang w:val="en-GB"/>
        </w:rPr>
        <w:t>d</w:t>
      </w:r>
      <w:r w:rsidR="00FE7F16" w:rsidRPr="00940FDA">
        <w:rPr>
          <w:rFonts w:ascii="Times New Roman" w:hAnsi="Times New Roman" w:cs="Times New Roman"/>
          <w:sz w:val="22"/>
          <w:szCs w:val="22"/>
          <w:lang w:val="en-GB"/>
        </w:rPr>
        <w:t xml:space="preserve"> all three protein isoforms as sources)</w:t>
      </w:r>
      <w:r w:rsidRPr="00940FDA">
        <w:rPr>
          <w:rFonts w:ascii="Times New Roman" w:hAnsi="Times New Roman" w:cs="Times New Roman"/>
          <w:sz w:val="22"/>
          <w:szCs w:val="22"/>
          <w:lang w:val="en-GB"/>
        </w:rPr>
        <w:t>. A light-to-heavy ratio of 1 then correspond</w:t>
      </w:r>
      <w:r w:rsidR="00D27E3C" w:rsidRPr="00940FDA">
        <w:rPr>
          <w:rFonts w:ascii="Times New Roman" w:hAnsi="Times New Roman" w:cs="Times New Roman"/>
          <w:sz w:val="22"/>
          <w:szCs w:val="22"/>
          <w:lang w:val="en-GB"/>
        </w:rPr>
        <w:t>ed</w:t>
      </w:r>
      <w:r w:rsidRPr="00940FDA">
        <w:rPr>
          <w:rFonts w:ascii="Times New Roman" w:hAnsi="Times New Roman" w:cs="Times New Roman"/>
          <w:sz w:val="22"/>
          <w:szCs w:val="22"/>
          <w:lang w:val="en-GB"/>
        </w:rPr>
        <w:t xml:space="preserve"> to 400 fmol </w:t>
      </w:r>
      <w:r w:rsidR="00372029" w:rsidRPr="00940FDA">
        <w:rPr>
          <w:rFonts w:ascii="Times New Roman" w:hAnsi="Times New Roman" w:cs="Times New Roman"/>
          <w:sz w:val="22"/>
          <w:szCs w:val="22"/>
          <w:lang w:val="en-GB"/>
        </w:rPr>
        <w:t xml:space="preserve">for common peptides </w:t>
      </w:r>
      <w:r w:rsidRPr="00940FDA">
        <w:rPr>
          <w:rFonts w:ascii="Times New Roman" w:hAnsi="Times New Roman" w:cs="Times New Roman"/>
          <w:sz w:val="22"/>
          <w:szCs w:val="22"/>
          <w:lang w:val="en-GB"/>
        </w:rPr>
        <w:t xml:space="preserve">in that sample. Isoform dependent isotope-labelled peptides </w:t>
      </w:r>
      <w:r w:rsidR="00D27E3C" w:rsidRPr="00940FDA">
        <w:rPr>
          <w:rFonts w:ascii="Times New Roman" w:hAnsi="Times New Roman" w:cs="Times New Roman"/>
          <w:sz w:val="22"/>
          <w:szCs w:val="22"/>
          <w:lang w:val="en-GB"/>
        </w:rPr>
        <w:t>were</w:t>
      </w:r>
      <w:r w:rsidRPr="00940FDA">
        <w:rPr>
          <w:rFonts w:ascii="Times New Roman" w:hAnsi="Times New Roman" w:cs="Times New Roman"/>
          <w:sz w:val="22"/>
          <w:szCs w:val="22"/>
          <w:lang w:val="en-GB"/>
        </w:rPr>
        <w:t xml:space="preserve"> instead present at 133 fmol for </w:t>
      </w:r>
      <w:r w:rsidR="00FE7F16" w:rsidRPr="00940FDA">
        <w:rPr>
          <w:rFonts w:ascii="Times New Roman" w:hAnsi="Times New Roman" w:cs="Times New Roman"/>
          <w:sz w:val="22"/>
          <w:szCs w:val="22"/>
          <w:lang w:val="en-GB"/>
        </w:rPr>
        <w:t xml:space="preserve">the 0N, 1N, 2N, and 3R specific peptides (which </w:t>
      </w:r>
      <w:r w:rsidR="00C86750" w:rsidRPr="00940FDA">
        <w:rPr>
          <w:rFonts w:ascii="Times New Roman" w:hAnsi="Times New Roman" w:cs="Times New Roman"/>
          <w:sz w:val="22"/>
          <w:szCs w:val="22"/>
          <w:lang w:val="en-GB"/>
        </w:rPr>
        <w:t xml:space="preserve">only had </w:t>
      </w:r>
      <w:r w:rsidR="00FE7F16" w:rsidRPr="00940FDA">
        <w:rPr>
          <w:rFonts w:ascii="Times New Roman" w:hAnsi="Times New Roman" w:cs="Times New Roman"/>
          <w:sz w:val="22"/>
          <w:szCs w:val="22"/>
          <w:lang w:val="en-GB"/>
        </w:rPr>
        <w:t>one source of protein standard) and at 267 fmol for the 4R specific peptide (which ha</w:t>
      </w:r>
      <w:r w:rsidR="00C86750" w:rsidRPr="00940FDA">
        <w:rPr>
          <w:rFonts w:ascii="Times New Roman" w:hAnsi="Times New Roman" w:cs="Times New Roman"/>
          <w:sz w:val="22"/>
          <w:szCs w:val="22"/>
          <w:lang w:val="en-GB"/>
        </w:rPr>
        <w:t>d</w:t>
      </w:r>
      <w:r w:rsidR="00FE7F16" w:rsidRPr="00940FDA">
        <w:rPr>
          <w:rFonts w:ascii="Times New Roman" w:hAnsi="Times New Roman" w:cs="Times New Roman"/>
          <w:sz w:val="22"/>
          <w:szCs w:val="22"/>
          <w:lang w:val="en-GB"/>
        </w:rPr>
        <w:t xml:space="preserve"> two sources of protein standards, 1N4R and 2N4R). Hence, </w:t>
      </w:r>
      <w:r w:rsidR="006A065F" w:rsidRPr="00940FDA">
        <w:rPr>
          <w:rFonts w:ascii="Times New Roman" w:hAnsi="Times New Roman" w:cs="Times New Roman"/>
          <w:sz w:val="22"/>
          <w:szCs w:val="22"/>
          <w:lang w:val="en-GB"/>
        </w:rPr>
        <w:t>for these isotope</w:t>
      </w:r>
      <w:r w:rsidR="00343FEC" w:rsidRPr="00940FDA">
        <w:rPr>
          <w:rFonts w:ascii="Times New Roman" w:hAnsi="Times New Roman" w:cs="Times New Roman"/>
          <w:sz w:val="22"/>
          <w:szCs w:val="22"/>
          <w:lang w:val="en-GB"/>
        </w:rPr>
        <w:t>-</w:t>
      </w:r>
      <w:r w:rsidR="006A065F" w:rsidRPr="00940FDA">
        <w:rPr>
          <w:rFonts w:ascii="Times New Roman" w:hAnsi="Times New Roman" w:cs="Times New Roman"/>
          <w:sz w:val="22"/>
          <w:szCs w:val="22"/>
          <w:lang w:val="en-GB"/>
        </w:rPr>
        <w:t xml:space="preserve">specific peptides, </w:t>
      </w:r>
      <w:r w:rsidR="00FE7F16" w:rsidRPr="00940FDA">
        <w:rPr>
          <w:rFonts w:ascii="Times New Roman" w:hAnsi="Times New Roman" w:cs="Times New Roman"/>
          <w:sz w:val="22"/>
          <w:szCs w:val="22"/>
          <w:lang w:val="en-GB"/>
        </w:rPr>
        <w:t>a light-to-heavy ratio of 1 correspond</w:t>
      </w:r>
      <w:r w:rsidR="00C86750" w:rsidRPr="00940FDA">
        <w:rPr>
          <w:rFonts w:ascii="Times New Roman" w:hAnsi="Times New Roman" w:cs="Times New Roman"/>
          <w:sz w:val="22"/>
          <w:szCs w:val="22"/>
          <w:lang w:val="en-GB"/>
        </w:rPr>
        <w:t>ed</w:t>
      </w:r>
      <w:r w:rsidR="00FE7F16" w:rsidRPr="00940FDA">
        <w:rPr>
          <w:rFonts w:ascii="Times New Roman" w:hAnsi="Times New Roman" w:cs="Times New Roman"/>
          <w:sz w:val="22"/>
          <w:szCs w:val="22"/>
          <w:lang w:val="en-GB"/>
        </w:rPr>
        <w:t xml:space="preserve"> to 133 fmol or 267 fmol, respectively.</w:t>
      </w:r>
    </w:p>
    <w:p w14:paraId="244CDCFC" w14:textId="219CAFDD" w:rsidR="006B5C0A" w:rsidRPr="00940FDA" w:rsidRDefault="00FE7F16" w:rsidP="00940FDA">
      <w:pPr>
        <w:spacing w:line="360" w:lineRule="auto"/>
        <w:ind w:right="-6"/>
        <w:jc w:val="both"/>
        <w:rPr>
          <w:rFonts w:ascii="Times New Roman" w:hAnsi="Times New Roman" w:cs="Times New Roman"/>
          <w:sz w:val="22"/>
          <w:szCs w:val="22"/>
          <w:lang w:val="en-US"/>
        </w:rPr>
      </w:pPr>
      <w:r w:rsidRPr="00940FDA">
        <w:rPr>
          <w:rFonts w:ascii="Times New Roman" w:hAnsi="Times New Roman" w:cs="Times New Roman"/>
          <w:sz w:val="22"/>
          <w:szCs w:val="22"/>
          <w:lang w:val="en-US"/>
        </w:rPr>
        <w:t xml:space="preserve">Phosphorylated </w:t>
      </w:r>
      <w:r w:rsidR="00101EA1" w:rsidRPr="00940FDA">
        <w:rPr>
          <w:rFonts w:ascii="Times New Roman" w:hAnsi="Times New Roman" w:cs="Times New Roman"/>
          <w:sz w:val="22"/>
          <w:szCs w:val="22"/>
          <w:lang w:val="en-US"/>
        </w:rPr>
        <w:t xml:space="preserve">isotope-labelled </w:t>
      </w:r>
      <w:r w:rsidRPr="00940FDA">
        <w:rPr>
          <w:rFonts w:ascii="Times New Roman" w:hAnsi="Times New Roman" w:cs="Times New Roman"/>
          <w:sz w:val="22"/>
          <w:szCs w:val="22"/>
          <w:lang w:val="en-US"/>
        </w:rPr>
        <w:t>peptides</w:t>
      </w:r>
      <w:r w:rsidR="00101EA1" w:rsidRPr="00940FDA">
        <w:rPr>
          <w:rFonts w:ascii="Times New Roman" w:hAnsi="Times New Roman" w:cs="Times New Roman"/>
          <w:sz w:val="22"/>
          <w:szCs w:val="22"/>
          <w:lang w:val="en-US"/>
        </w:rPr>
        <w:t xml:space="preserve"> were each added at a nominal (as stated by the provider) amount of 100 fmol per sample. </w:t>
      </w:r>
      <w:r w:rsidR="0094602A" w:rsidRPr="00940FDA">
        <w:rPr>
          <w:rFonts w:ascii="Times New Roman" w:hAnsi="Times New Roman" w:cs="Times New Roman"/>
          <w:sz w:val="22"/>
          <w:szCs w:val="22"/>
          <w:lang w:val="en-US"/>
        </w:rPr>
        <w:t xml:space="preserve">Since an </w:t>
      </w:r>
      <w:r w:rsidR="006061C9" w:rsidRPr="00940FDA">
        <w:rPr>
          <w:rFonts w:ascii="Times New Roman" w:hAnsi="Times New Roman" w:cs="Times New Roman"/>
          <w:sz w:val="22"/>
          <w:szCs w:val="22"/>
          <w:lang w:val="en-US"/>
        </w:rPr>
        <w:t xml:space="preserve">explorative </w:t>
      </w:r>
      <w:r w:rsidR="0094602A" w:rsidRPr="00940FDA">
        <w:rPr>
          <w:rFonts w:ascii="Times New Roman" w:hAnsi="Times New Roman" w:cs="Times New Roman"/>
          <w:sz w:val="22"/>
          <w:szCs w:val="22"/>
          <w:lang w:val="en-US"/>
        </w:rPr>
        <w:t>approach was used</w:t>
      </w:r>
      <w:r w:rsidR="006061C9" w:rsidRPr="00940FDA">
        <w:rPr>
          <w:rFonts w:ascii="Times New Roman" w:hAnsi="Times New Roman" w:cs="Times New Roman"/>
          <w:sz w:val="22"/>
          <w:szCs w:val="22"/>
          <w:lang w:val="en-US"/>
        </w:rPr>
        <w:t xml:space="preserve">, </w:t>
      </w:r>
      <w:r w:rsidR="00101EA1" w:rsidRPr="00940FDA">
        <w:rPr>
          <w:rFonts w:ascii="Times New Roman" w:hAnsi="Times New Roman" w:cs="Times New Roman"/>
          <w:sz w:val="22"/>
          <w:szCs w:val="22"/>
          <w:lang w:val="en-US"/>
        </w:rPr>
        <w:t>quantification was performed on the intact peptide</w:t>
      </w:r>
      <w:r w:rsidR="006061C9" w:rsidRPr="00940FDA">
        <w:rPr>
          <w:rFonts w:ascii="Times New Roman" w:hAnsi="Times New Roman" w:cs="Times New Roman"/>
          <w:sz w:val="22"/>
          <w:szCs w:val="22"/>
          <w:lang w:val="en-US"/>
        </w:rPr>
        <w:t>. Some peptides only differed by the position of the phosph</w:t>
      </w:r>
      <w:r w:rsidR="0094602A" w:rsidRPr="00940FDA">
        <w:rPr>
          <w:rFonts w:ascii="Times New Roman" w:hAnsi="Times New Roman" w:cs="Times New Roman"/>
          <w:sz w:val="22"/>
          <w:szCs w:val="22"/>
          <w:lang w:val="en-US"/>
        </w:rPr>
        <w:t>ate group</w:t>
      </w:r>
      <w:r w:rsidR="006061C9" w:rsidRPr="00940FDA">
        <w:rPr>
          <w:rFonts w:ascii="Times New Roman" w:hAnsi="Times New Roman" w:cs="Times New Roman"/>
          <w:sz w:val="22"/>
          <w:szCs w:val="22"/>
          <w:lang w:val="en-US"/>
        </w:rPr>
        <w:t>, which did not affect retention time</w:t>
      </w:r>
      <w:r w:rsidR="0094602A" w:rsidRPr="00940FDA">
        <w:rPr>
          <w:rFonts w:ascii="Times New Roman" w:hAnsi="Times New Roman" w:cs="Times New Roman"/>
          <w:sz w:val="22"/>
          <w:szCs w:val="22"/>
          <w:lang w:val="en-US"/>
        </w:rPr>
        <w:t xml:space="preserve"> notic</w:t>
      </w:r>
      <w:r w:rsidR="00343FEC" w:rsidRPr="00940FDA">
        <w:rPr>
          <w:rFonts w:ascii="Times New Roman" w:hAnsi="Times New Roman" w:cs="Times New Roman"/>
          <w:sz w:val="22"/>
          <w:szCs w:val="22"/>
          <w:lang w:val="en-US"/>
        </w:rPr>
        <w:t>ea</w:t>
      </w:r>
      <w:r w:rsidR="0094602A" w:rsidRPr="00940FDA">
        <w:rPr>
          <w:rFonts w:ascii="Times New Roman" w:hAnsi="Times New Roman" w:cs="Times New Roman"/>
          <w:sz w:val="22"/>
          <w:szCs w:val="22"/>
          <w:lang w:val="en-US"/>
        </w:rPr>
        <w:t>bly</w:t>
      </w:r>
      <w:r w:rsidR="006061C9" w:rsidRPr="00940FDA">
        <w:rPr>
          <w:rFonts w:ascii="Times New Roman" w:hAnsi="Times New Roman" w:cs="Times New Roman"/>
          <w:sz w:val="22"/>
          <w:szCs w:val="22"/>
          <w:lang w:val="en-US"/>
        </w:rPr>
        <w:t>. Therefore, for such phospho-peptides</w:t>
      </w:r>
      <w:r w:rsidR="00042FA6" w:rsidRPr="00940FDA">
        <w:rPr>
          <w:rFonts w:ascii="Times New Roman" w:hAnsi="Times New Roman" w:cs="Times New Roman"/>
          <w:sz w:val="22"/>
          <w:szCs w:val="22"/>
          <w:lang w:val="en-US"/>
        </w:rPr>
        <w:t>,</w:t>
      </w:r>
      <w:r w:rsidR="006061C9" w:rsidRPr="00940FDA">
        <w:rPr>
          <w:rFonts w:ascii="Times New Roman" w:hAnsi="Times New Roman" w:cs="Times New Roman"/>
          <w:sz w:val="22"/>
          <w:szCs w:val="22"/>
          <w:lang w:val="en-US"/>
        </w:rPr>
        <w:t xml:space="preserve"> separation of chromatographic peak areas was not </w:t>
      </w:r>
      <w:r w:rsidR="00042FA6" w:rsidRPr="00940FDA">
        <w:rPr>
          <w:rFonts w:ascii="Times New Roman" w:hAnsi="Times New Roman" w:cs="Times New Roman"/>
          <w:sz w:val="22"/>
          <w:szCs w:val="22"/>
          <w:lang w:val="en-US"/>
        </w:rPr>
        <w:t>possible</w:t>
      </w:r>
      <w:r w:rsidR="006061C9" w:rsidRPr="00940FDA">
        <w:rPr>
          <w:rFonts w:ascii="Times New Roman" w:hAnsi="Times New Roman" w:cs="Times New Roman"/>
          <w:sz w:val="22"/>
          <w:szCs w:val="22"/>
          <w:lang w:val="en-US"/>
        </w:rPr>
        <w:t xml:space="preserve"> and this had to be taken into account when calculating the concentration. </w:t>
      </w:r>
      <w:r w:rsidR="001A6325" w:rsidRPr="00940FDA">
        <w:rPr>
          <w:rFonts w:ascii="Times New Roman" w:hAnsi="Times New Roman" w:cs="Times New Roman"/>
          <w:sz w:val="22"/>
          <w:szCs w:val="22"/>
          <w:lang w:val="en-US"/>
        </w:rPr>
        <w:t>The involved peptides were 195-209-p1 (phosphorylation at S</w:t>
      </w:r>
      <w:r w:rsidR="00E0281C">
        <w:rPr>
          <w:rFonts w:ascii="Times New Roman" w:hAnsi="Times New Roman" w:cs="Times New Roman"/>
          <w:sz w:val="22"/>
          <w:szCs w:val="22"/>
          <w:lang w:val="en-US"/>
        </w:rPr>
        <w:t>er-</w:t>
      </w:r>
      <w:r w:rsidR="001A6325" w:rsidRPr="00940FDA">
        <w:rPr>
          <w:rFonts w:ascii="Times New Roman" w:hAnsi="Times New Roman" w:cs="Times New Roman"/>
          <w:sz w:val="22"/>
          <w:szCs w:val="22"/>
          <w:lang w:val="en-US"/>
        </w:rPr>
        <w:t>202 or T</w:t>
      </w:r>
      <w:r w:rsidR="00E0281C">
        <w:rPr>
          <w:rFonts w:ascii="Times New Roman" w:hAnsi="Times New Roman" w:cs="Times New Roman"/>
          <w:sz w:val="22"/>
          <w:szCs w:val="22"/>
          <w:lang w:val="en-US"/>
        </w:rPr>
        <w:t>hr-</w:t>
      </w:r>
      <w:r w:rsidR="001A6325" w:rsidRPr="00940FDA">
        <w:rPr>
          <w:rFonts w:ascii="Times New Roman" w:hAnsi="Times New Roman" w:cs="Times New Roman"/>
          <w:sz w:val="22"/>
          <w:szCs w:val="22"/>
          <w:lang w:val="en-US"/>
        </w:rPr>
        <w:t>205)</w:t>
      </w:r>
      <w:r w:rsidR="003E5B4F" w:rsidRPr="00940FDA">
        <w:rPr>
          <w:rFonts w:ascii="Times New Roman" w:hAnsi="Times New Roman" w:cs="Times New Roman"/>
          <w:sz w:val="22"/>
          <w:szCs w:val="22"/>
          <w:lang w:val="en-US"/>
        </w:rPr>
        <w:t xml:space="preserve"> and 386-406-p1 (phosphorylation at 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396 or 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404), which together were added at 200 fmol per sample, and 225-240-p2 (phosphorylation at T</w:t>
      </w:r>
      <w:r w:rsidR="00E0281C">
        <w:rPr>
          <w:rFonts w:ascii="Times New Roman" w:hAnsi="Times New Roman" w:cs="Times New Roman"/>
          <w:sz w:val="22"/>
          <w:szCs w:val="22"/>
          <w:lang w:val="en-US"/>
        </w:rPr>
        <w:t>hr-</w:t>
      </w:r>
      <w:r w:rsidR="003E5B4F" w:rsidRPr="00940FDA">
        <w:rPr>
          <w:rFonts w:ascii="Times New Roman" w:hAnsi="Times New Roman" w:cs="Times New Roman"/>
          <w:sz w:val="22"/>
          <w:szCs w:val="22"/>
          <w:lang w:val="en-US"/>
        </w:rPr>
        <w:t>231 and either of 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235, 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237, or 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 xml:space="preserve">238) and 225-240-p3 </w:t>
      </w:r>
      <w:r w:rsidR="003E5B4F" w:rsidRPr="00940FDA">
        <w:rPr>
          <w:rFonts w:ascii="Times New Roman" w:hAnsi="Times New Roman" w:cs="Times New Roman"/>
          <w:sz w:val="22"/>
          <w:szCs w:val="22"/>
          <w:lang w:val="en-US"/>
        </w:rPr>
        <w:lastRenderedPageBreak/>
        <w:t>(phosphorylation at T</w:t>
      </w:r>
      <w:r w:rsidR="00E0281C">
        <w:rPr>
          <w:rFonts w:ascii="Times New Roman" w:hAnsi="Times New Roman" w:cs="Times New Roman"/>
          <w:sz w:val="22"/>
          <w:szCs w:val="22"/>
          <w:lang w:val="en-US"/>
        </w:rPr>
        <w:t>hr-</w:t>
      </w:r>
      <w:r w:rsidR="003E5B4F" w:rsidRPr="00940FDA">
        <w:rPr>
          <w:rFonts w:ascii="Times New Roman" w:hAnsi="Times New Roman" w:cs="Times New Roman"/>
          <w:sz w:val="22"/>
          <w:szCs w:val="22"/>
          <w:lang w:val="en-US"/>
        </w:rPr>
        <w:t>231 and either pair of 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235+S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237, 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235+S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238, or 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237+S</w:t>
      </w:r>
      <w:r w:rsidR="00E0281C">
        <w:rPr>
          <w:rFonts w:ascii="Times New Roman" w:hAnsi="Times New Roman" w:cs="Times New Roman"/>
          <w:sz w:val="22"/>
          <w:szCs w:val="22"/>
          <w:lang w:val="en-US"/>
        </w:rPr>
        <w:t>er-</w:t>
      </w:r>
      <w:r w:rsidR="003E5B4F" w:rsidRPr="00940FDA">
        <w:rPr>
          <w:rFonts w:ascii="Times New Roman" w:hAnsi="Times New Roman" w:cs="Times New Roman"/>
          <w:sz w:val="22"/>
          <w:szCs w:val="22"/>
          <w:lang w:val="en-US"/>
        </w:rPr>
        <w:t>238), which together were added at 300 fmol per sample.</w:t>
      </w:r>
    </w:p>
    <w:p w14:paraId="12403E88" w14:textId="1B5C0C52" w:rsidR="00766FB0" w:rsidRPr="00940FDA" w:rsidRDefault="00515E0C" w:rsidP="00940FDA">
      <w:pPr>
        <w:spacing w:line="360" w:lineRule="auto"/>
        <w:ind w:right="-6"/>
        <w:jc w:val="both"/>
        <w:rPr>
          <w:rFonts w:ascii="Times New Roman" w:hAnsi="Times New Roman" w:cs="Times New Roman"/>
          <w:sz w:val="22"/>
          <w:szCs w:val="22"/>
          <w:lang w:val="en-US"/>
        </w:rPr>
      </w:pPr>
      <w:r w:rsidRPr="00940FDA">
        <w:rPr>
          <w:rFonts w:ascii="Times New Roman" w:hAnsi="Times New Roman" w:cs="Times New Roman"/>
          <w:sz w:val="22"/>
          <w:szCs w:val="22"/>
          <w:lang w:val="en-GB"/>
        </w:rPr>
        <w:t>Since the quantitative method was optimised using mainly TBS fraction material, some phosphorylated peptides later found in SI fraction were not observed and investigated until after spectra from all samples were acquired.</w:t>
      </w:r>
      <w:r w:rsidR="00766FB0" w:rsidRPr="00940FDA">
        <w:rPr>
          <w:rFonts w:ascii="Times New Roman" w:hAnsi="Times New Roman" w:cs="Times New Roman"/>
          <w:sz w:val="22"/>
          <w:szCs w:val="22"/>
          <w:lang w:val="en-US"/>
        </w:rPr>
        <w:t xml:space="preserve"> For these different surrogate standards</w:t>
      </w:r>
      <w:r w:rsidR="00042FA6" w:rsidRPr="00940FDA">
        <w:rPr>
          <w:rFonts w:ascii="Times New Roman" w:hAnsi="Times New Roman" w:cs="Times New Roman"/>
          <w:sz w:val="22"/>
          <w:szCs w:val="22"/>
          <w:lang w:val="en-US"/>
        </w:rPr>
        <w:t xml:space="preserve"> </w:t>
      </w:r>
      <w:r w:rsidR="00412D1B" w:rsidRPr="00940FDA">
        <w:rPr>
          <w:rFonts w:ascii="Times New Roman" w:hAnsi="Times New Roman" w:cs="Times New Roman"/>
          <w:sz w:val="22"/>
          <w:szCs w:val="22"/>
          <w:lang w:val="en-US"/>
        </w:rPr>
        <w:t xml:space="preserve">were used, </w:t>
      </w:r>
      <w:r w:rsidR="00743C10" w:rsidRPr="00940FDA">
        <w:rPr>
          <w:rFonts w:ascii="Times New Roman" w:hAnsi="Times New Roman" w:cs="Times New Roman"/>
          <w:sz w:val="22"/>
          <w:szCs w:val="22"/>
          <w:lang w:val="en-US"/>
        </w:rPr>
        <w:t>since</w:t>
      </w:r>
      <w:r w:rsidR="00042FA6" w:rsidRPr="00940FDA">
        <w:rPr>
          <w:rFonts w:ascii="Times New Roman" w:hAnsi="Times New Roman" w:cs="Times New Roman"/>
          <w:sz w:val="22"/>
          <w:szCs w:val="22"/>
          <w:lang w:val="en-US"/>
        </w:rPr>
        <w:t xml:space="preserve"> isotope</w:t>
      </w:r>
      <w:r w:rsidR="00743C10" w:rsidRPr="00940FDA">
        <w:rPr>
          <w:rFonts w:ascii="Times New Roman" w:hAnsi="Times New Roman" w:cs="Times New Roman"/>
          <w:sz w:val="22"/>
          <w:szCs w:val="22"/>
          <w:lang w:val="en-US"/>
        </w:rPr>
        <w:t>-</w:t>
      </w:r>
      <w:r w:rsidR="00042FA6" w:rsidRPr="00940FDA">
        <w:rPr>
          <w:rFonts w:ascii="Times New Roman" w:hAnsi="Times New Roman" w:cs="Times New Roman"/>
          <w:sz w:val="22"/>
          <w:szCs w:val="22"/>
          <w:lang w:val="en-US"/>
        </w:rPr>
        <w:t>labelled peptides were missing</w:t>
      </w:r>
      <w:r w:rsidR="00766FB0" w:rsidRPr="00940FDA">
        <w:rPr>
          <w:rFonts w:ascii="Times New Roman" w:hAnsi="Times New Roman" w:cs="Times New Roman"/>
          <w:sz w:val="22"/>
          <w:szCs w:val="22"/>
          <w:lang w:val="en-US"/>
        </w:rPr>
        <w:t>. For 210-224-p3 the labelled 210-224-p2</w:t>
      </w:r>
      <w:r w:rsidR="00806B6D" w:rsidRPr="00940FDA">
        <w:rPr>
          <w:rFonts w:ascii="Times New Roman" w:hAnsi="Times New Roman" w:cs="Times New Roman"/>
          <w:sz w:val="22"/>
          <w:szCs w:val="22"/>
          <w:lang w:val="en-US"/>
        </w:rPr>
        <w:t xml:space="preserve"> peak area</w:t>
      </w:r>
      <w:r w:rsidR="00766FB0" w:rsidRPr="00940FDA">
        <w:rPr>
          <w:rFonts w:ascii="Times New Roman" w:hAnsi="Times New Roman" w:cs="Times New Roman"/>
          <w:sz w:val="22"/>
          <w:szCs w:val="22"/>
          <w:lang w:val="en-US"/>
        </w:rPr>
        <w:t xml:space="preserve"> was used, for 386-40</w:t>
      </w:r>
      <w:r w:rsidR="000870C1" w:rsidRPr="00940FDA">
        <w:rPr>
          <w:rFonts w:ascii="Times New Roman" w:hAnsi="Times New Roman" w:cs="Times New Roman"/>
          <w:sz w:val="22"/>
          <w:szCs w:val="22"/>
          <w:lang w:val="en-US"/>
        </w:rPr>
        <w:t>6</w:t>
      </w:r>
      <w:r w:rsidR="00766FB0" w:rsidRPr="00940FDA">
        <w:rPr>
          <w:rFonts w:ascii="Times New Roman" w:hAnsi="Times New Roman" w:cs="Times New Roman"/>
          <w:sz w:val="22"/>
          <w:szCs w:val="22"/>
          <w:lang w:val="en-US"/>
        </w:rPr>
        <w:t>-p3 the labelled 386-40</w:t>
      </w:r>
      <w:r w:rsidR="000870C1" w:rsidRPr="00940FDA">
        <w:rPr>
          <w:rFonts w:ascii="Times New Roman" w:hAnsi="Times New Roman" w:cs="Times New Roman"/>
          <w:sz w:val="22"/>
          <w:szCs w:val="22"/>
          <w:lang w:val="en-US"/>
        </w:rPr>
        <w:t>6</w:t>
      </w:r>
      <w:r w:rsidR="00766FB0" w:rsidRPr="00940FDA">
        <w:rPr>
          <w:rFonts w:ascii="Times New Roman" w:hAnsi="Times New Roman" w:cs="Times New Roman"/>
          <w:sz w:val="22"/>
          <w:szCs w:val="22"/>
          <w:lang w:val="en-US"/>
        </w:rPr>
        <w:t xml:space="preserve">-p2 </w:t>
      </w:r>
      <w:r w:rsidR="00806B6D" w:rsidRPr="00940FDA">
        <w:rPr>
          <w:rFonts w:ascii="Times New Roman" w:hAnsi="Times New Roman" w:cs="Times New Roman"/>
          <w:sz w:val="22"/>
          <w:szCs w:val="22"/>
          <w:lang w:val="en-US"/>
        </w:rPr>
        <w:t xml:space="preserve">area </w:t>
      </w:r>
      <w:r w:rsidR="00766FB0" w:rsidRPr="00940FDA">
        <w:rPr>
          <w:rFonts w:ascii="Times New Roman" w:hAnsi="Times New Roman" w:cs="Times New Roman"/>
          <w:sz w:val="22"/>
          <w:szCs w:val="22"/>
          <w:lang w:val="en-US"/>
        </w:rPr>
        <w:t xml:space="preserve">was used, and for </w:t>
      </w:r>
      <w:r w:rsidR="00806B6D" w:rsidRPr="00940FDA">
        <w:rPr>
          <w:rFonts w:ascii="Times New Roman" w:hAnsi="Times New Roman" w:cs="Times New Roman"/>
          <w:sz w:val="22"/>
          <w:szCs w:val="22"/>
          <w:lang w:val="en-US"/>
        </w:rPr>
        <w:t xml:space="preserve">the three </w:t>
      </w:r>
      <w:r w:rsidR="00766FB0" w:rsidRPr="00940FDA">
        <w:rPr>
          <w:rFonts w:ascii="Times New Roman" w:hAnsi="Times New Roman" w:cs="Times New Roman"/>
          <w:sz w:val="22"/>
          <w:szCs w:val="22"/>
          <w:lang w:val="en-US"/>
        </w:rPr>
        <w:t>407-438-p1</w:t>
      </w:r>
      <w:r w:rsidR="00806B6D" w:rsidRPr="00940FDA">
        <w:rPr>
          <w:rFonts w:ascii="Times New Roman" w:hAnsi="Times New Roman" w:cs="Times New Roman"/>
          <w:sz w:val="22"/>
          <w:szCs w:val="22"/>
          <w:lang w:val="en-US"/>
        </w:rPr>
        <w:t>, -</w:t>
      </w:r>
      <w:r w:rsidR="00766FB0" w:rsidRPr="00940FDA">
        <w:rPr>
          <w:rFonts w:ascii="Times New Roman" w:hAnsi="Times New Roman" w:cs="Times New Roman"/>
          <w:sz w:val="22"/>
          <w:szCs w:val="22"/>
          <w:lang w:val="en-US"/>
        </w:rPr>
        <w:t>p2</w:t>
      </w:r>
      <w:r w:rsidR="00806B6D" w:rsidRPr="00940FDA">
        <w:rPr>
          <w:rFonts w:ascii="Times New Roman" w:hAnsi="Times New Roman" w:cs="Times New Roman"/>
          <w:sz w:val="22"/>
          <w:szCs w:val="22"/>
          <w:lang w:val="en-US"/>
        </w:rPr>
        <w:t>, -</w:t>
      </w:r>
      <w:r w:rsidR="00766FB0" w:rsidRPr="00940FDA">
        <w:rPr>
          <w:rFonts w:ascii="Times New Roman" w:hAnsi="Times New Roman" w:cs="Times New Roman"/>
          <w:sz w:val="22"/>
          <w:szCs w:val="22"/>
          <w:lang w:val="en-US"/>
        </w:rPr>
        <w:t xml:space="preserve">p3 the </w:t>
      </w:r>
      <w:r w:rsidR="00AE5B66" w:rsidRPr="00940FDA">
        <w:rPr>
          <w:rFonts w:ascii="Times New Roman" w:hAnsi="Times New Roman" w:cs="Times New Roman"/>
          <w:sz w:val="22"/>
          <w:szCs w:val="22"/>
          <w:lang w:val="en-US"/>
        </w:rPr>
        <w:t>[</w:t>
      </w:r>
      <w:r w:rsidR="00AE5B66" w:rsidRPr="00940FDA">
        <w:rPr>
          <w:rFonts w:ascii="Times New Roman" w:hAnsi="Times New Roman" w:cs="Times New Roman"/>
          <w:i/>
          <w:iCs/>
          <w:sz w:val="22"/>
          <w:szCs w:val="22"/>
          <w:lang w:val="en-US"/>
        </w:rPr>
        <w:t>U</w:t>
      </w:r>
      <w:r w:rsidR="00AE5B66" w:rsidRPr="00940FDA">
        <w:rPr>
          <w:rFonts w:ascii="Times New Roman" w:hAnsi="Times New Roman" w:cs="Times New Roman"/>
          <w:sz w:val="22"/>
          <w:szCs w:val="22"/>
          <w:lang w:val="en-US"/>
        </w:rPr>
        <w:t>–</w:t>
      </w:r>
      <w:r w:rsidR="00AE5B66" w:rsidRPr="00940FDA">
        <w:rPr>
          <w:rFonts w:ascii="Times New Roman" w:hAnsi="Times New Roman" w:cs="Times New Roman"/>
          <w:sz w:val="22"/>
          <w:szCs w:val="22"/>
          <w:vertAlign w:val="superscript"/>
          <w:lang w:val="en-US"/>
        </w:rPr>
        <w:t>15</w:t>
      </w:r>
      <w:r w:rsidR="00AE5B66" w:rsidRPr="00940FDA">
        <w:rPr>
          <w:rFonts w:ascii="Times New Roman" w:hAnsi="Times New Roman" w:cs="Times New Roman"/>
          <w:sz w:val="22"/>
          <w:szCs w:val="22"/>
          <w:lang w:val="en-US"/>
        </w:rPr>
        <w:t>N]-</w:t>
      </w:r>
      <w:r w:rsidR="00766FB0" w:rsidRPr="00940FDA">
        <w:rPr>
          <w:rFonts w:ascii="Times New Roman" w:hAnsi="Times New Roman" w:cs="Times New Roman"/>
          <w:sz w:val="22"/>
          <w:szCs w:val="22"/>
          <w:lang w:val="en-US"/>
        </w:rPr>
        <w:t xml:space="preserve">labelled </w:t>
      </w:r>
      <w:r w:rsidR="00806B6D" w:rsidRPr="00940FDA">
        <w:rPr>
          <w:rFonts w:ascii="Times New Roman" w:hAnsi="Times New Roman" w:cs="Times New Roman"/>
          <w:sz w:val="22"/>
          <w:szCs w:val="22"/>
          <w:lang w:val="en-US"/>
        </w:rPr>
        <w:t xml:space="preserve">non-phosphorylated </w:t>
      </w:r>
      <w:r w:rsidR="00766FB0" w:rsidRPr="00940FDA">
        <w:rPr>
          <w:rFonts w:ascii="Times New Roman" w:hAnsi="Times New Roman" w:cs="Times New Roman"/>
          <w:sz w:val="22"/>
          <w:szCs w:val="22"/>
          <w:lang w:val="en-US"/>
        </w:rPr>
        <w:t xml:space="preserve">407-438 </w:t>
      </w:r>
      <w:r w:rsidR="00806B6D" w:rsidRPr="00940FDA">
        <w:rPr>
          <w:rFonts w:ascii="Times New Roman" w:hAnsi="Times New Roman" w:cs="Times New Roman"/>
          <w:sz w:val="22"/>
          <w:szCs w:val="22"/>
          <w:lang w:val="en-US"/>
        </w:rPr>
        <w:t xml:space="preserve">area </w:t>
      </w:r>
      <w:r w:rsidR="00766FB0" w:rsidRPr="00940FDA">
        <w:rPr>
          <w:rFonts w:ascii="Times New Roman" w:hAnsi="Times New Roman" w:cs="Times New Roman"/>
          <w:sz w:val="22"/>
          <w:szCs w:val="22"/>
          <w:lang w:val="en-US"/>
        </w:rPr>
        <w:t>was used.</w:t>
      </w:r>
    </w:p>
    <w:p w14:paraId="427C5A4C" w14:textId="304F5A60" w:rsidR="00002122" w:rsidRPr="00940FDA" w:rsidRDefault="00495473" w:rsidP="00940FDA">
      <w:pPr>
        <w:spacing w:line="360" w:lineRule="auto"/>
        <w:ind w:right="-6"/>
        <w:jc w:val="both"/>
        <w:rPr>
          <w:rFonts w:ascii="Times New Roman" w:hAnsi="Times New Roman" w:cs="Times New Roman"/>
          <w:sz w:val="22"/>
          <w:szCs w:val="22"/>
          <w:lang w:val="en-GB"/>
        </w:rPr>
      </w:pPr>
      <w:r w:rsidRPr="00940FDA">
        <w:rPr>
          <w:rFonts w:ascii="Times New Roman" w:hAnsi="Times New Roman" w:cs="Times New Roman"/>
          <w:sz w:val="22"/>
          <w:szCs w:val="22"/>
          <w:lang w:val="en-US"/>
        </w:rPr>
        <w:t xml:space="preserve">Since the actual peptide amount may vary substantially from the amount stated by the manufacturer it is typically not possible to compare the amounts </w:t>
      </w:r>
      <w:r w:rsidR="00743C10" w:rsidRPr="00940FDA">
        <w:rPr>
          <w:rFonts w:ascii="Times New Roman" w:hAnsi="Times New Roman" w:cs="Times New Roman"/>
          <w:sz w:val="22"/>
          <w:szCs w:val="22"/>
          <w:lang w:val="en-US"/>
        </w:rPr>
        <w:t xml:space="preserve">between </w:t>
      </w:r>
      <w:r w:rsidRPr="00940FDA">
        <w:rPr>
          <w:rFonts w:ascii="Times New Roman" w:hAnsi="Times New Roman" w:cs="Times New Roman"/>
          <w:sz w:val="22"/>
          <w:szCs w:val="22"/>
          <w:lang w:val="en-US"/>
        </w:rPr>
        <w:t>different peptides. To do this</w:t>
      </w:r>
      <w:r w:rsidR="00712EA2" w:rsidRPr="00940FDA">
        <w:rPr>
          <w:rFonts w:ascii="Times New Roman" w:hAnsi="Times New Roman" w:cs="Times New Roman"/>
          <w:sz w:val="22"/>
          <w:szCs w:val="22"/>
          <w:lang w:val="en-US"/>
        </w:rPr>
        <w:t>,</w:t>
      </w:r>
      <w:r w:rsidRPr="00940FDA">
        <w:rPr>
          <w:rFonts w:ascii="Times New Roman" w:hAnsi="Times New Roman" w:cs="Times New Roman"/>
          <w:sz w:val="22"/>
          <w:szCs w:val="22"/>
          <w:lang w:val="en-US"/>
        </w:rPr>
        <w:t xml:space="preserve"> protein standards are </w:t>
      </w:r>
      <w:r w:rsidR="00766FB0" w:rsidRPr="00940FDA">
        <w:rPr>
          <w:rFonts w:ascii="Times New Roman" w:hAnsi="Times New Roman" w:cs="Times New Roman"/>
          <w:sz w:val="22"/>
          <w:szCs w:val="22"/>
          <w:lang w:val="en-US"/>
        </w:rPr>
        <w:t xml:space="preserve">required. </w:t>
      </w:r>
      <w:r w:rsidR="00B6176C" w:rsidRPr="00940FDA">
        <w:rPr>
          <w:rFonts w:ascii="Times New Roman" w:hAnsi="Times New Roman" w:cs="Times New Roman"/>
          <w:sz w:val="22"/>
          <w:szCs w:val="22"/>
          <w:lang w:val="en-US"/>
        </w:rPr>
        <w:t>Thus,</w:t>
      </w:r>
      <w:r w:rsidR="00743C10" w:rsidRPr="00940FDA">
        <w:rPr>
          <w:rFonts w:ascii="Times New Roman" w:hAnsi="Times New Roman" w:cs="Times New Roman"/>
          <w:sz w:val="22"/>
          <w:szCs w:val="22"/>
          <w:lang w:val="en-US"/>
        </w:rPr>
        <w:t xml:space="preserve"> </w:t>
      </w:r>
      <w:r w:rsidR="00766FB0" w:rsidRPr="00940FDA">
        <w:rPr>
          <w:rFonts w:ascii="Times New Roman" w:hAnsi="Times New Roman" w:cs="Times New Roman"/>
          <w:sz w:val="22"/>
          <w:szCs w:val="22"/>
          <w:lang w:val="en-US"/>
        </w:rPr>
        <w:t xml:space="preserve">to assess the amount of phosphorylated peptides along the protein chain, the mean area of several tryptic peptides from the </w:t>
      </w:r>
      <w:r w:rsidR="00E0281C" w:rsidRPr="00940FDA">
        <w:rPr>
          <w:rFonts w:ascii="Times New Roman" w:hAnsi="Times New Roman" w:cs="Times New Roman"/>
          <w:sz w:val="22"/>
          <w:szCs w:val="22"/>
          <w:lang w:val="en-US"/>
        </w:rPr>
        <w:t>[</w:t>
      </w:r>
      <w:r w:rsidR="00E0281C" w:rsidRPr="00940FDA">
        <w:rPr>
          <w:rFonts w:ascii="Times New Roman" w:hAnsi="Times New Roman" w:cs="Times New Roman"/>
          <w:i/>
          <w:iCs/>
          <w:sz w:val="22"/>
          <w:szCs w:val="22"/>
          <w:lang w:val="en-US"/>
        </w:rPr>
        <w:t>U</w:t>
      </w:r>
      <w:r w:rsidR="00E0281C" w:rsidRPr="00940FDA">
        <w:rPr>
          <w:rFonts w:ascii="Times New Roman" w:hAnsi="Times New Roman" w:cs="Times New Roman"/>
          <w:sz w:val="22"/>
          <w:szCs w:val="22"/>
          <w:lang w:val="en-US"/>
        </w:rPr>
        <w:t>–</w:t>
      </w:r>
      <w:r w:rsidR="00E0281C" w:rsidRPr="00940FDA">
        <w:rPr>
          <w:rFonts w:ascii="Times New Roman" w:hAnsi="Times New Roman" w:cs="Times New Roman"/>
          <w:sz w:val="22"/>
          <w:szCs w:val="22"/>
          <w:vertAlign w:val="superscript"/>
          <w:lang w:val="en-US"/>
        </w:rPr>
        <w:t>15</w:t>
      </w:r>
      <w:r w:rsidR="00E0281C" w:rsidRPr="00940FDA">
        <w:rPr>
          <w:rFonts w:ascii="Times New Roman" w:hAnsi="Times New Roman" w:cs="Times New Roman"/>
          <w:sz w:val="22"/>
          <w:szCs w:val="22"/>
          <w:lang w:val="en-US"/>
        </w:rPr>
        <w:t>N]</w:t>
      </w:r>
      <w:r w:rsidR="00766FB0" w:rsidRPr="00940FDA">
        <w:rPr>
          <w:rFonts w:ascii="Times New Roman" w:hAnsi="Times New Roman" w:cs="Times New Roman"/>
          <w:sz w:val="22"/>
          <w:szCs w:val="22"/>
          <w:lang w:val="en-US"/>
        </w:rPr>
        <w:t xml:space="preserve">-protein standards </w:t>
      </w:r>
      <w:r w:rsidR="00B6176C" w:rsidRPr="00940FDA">
        <w:rPr>
          <w:rFonts w:ascii="Times New Roman" w:hAnsi="Times New Roman" w:cs="Times New Roman"/>
          <w:sz w:val="22"/>
          <w:szCs w:val="22"/>
          <w:lang w:val="en-US"/>
        </w:rPr>
        <w:t xml:space="preserve">were used </w:t>
      </w:r>
      <w:r w:rsidR="00766FB0" w:rsidRPr="00940FDA">
        <w:rPr>
          <w:rFonts w:ascii="Times New Roman" w:hAnsi="Times New Roman" w:cs="Times New Roman"/>
          <w:sz w:val="22"/>
          <w:szCs w:val="22"/>
          <w:lang w:val="en-US"/>
        </w:rPr>
        <w:t>as surrogate.</w:t>
      </w:r>
      <w:r w:rsidR="00D124DC" w:rsidRPr="00940FDA">
        <w:rPr>
          <w:rFonts w:ascii="Times New Roman" w:hAnsi="Times New Roman" w:cs="Times New Roman"/>
          <w:sz w:val="22"/>
          <w:szCs w:val="22"/>
          <w:lang w:val="en-GB"/>
        </w:rPr>
        <w:t xml:space="preserve"> This approach introduces other variations due to, for example, ionisation efficiency of the brain derived peptides or time dependent spray variation since the elution time is no longer the same. However, since we particularly wanted to compare the same peptides with different degree of phosphorylation, this approach was deemed to be more favourable than using standards less well defined.</w:t>
      </w:r>
      <w:r w:rsidR="00F40B86" w:rsidRPr="00940FDA">
        <w:rPr>
          <w:rFonts w:ascii="Times New Roman" w:hAnsi="Times New Roman" w:cs="Times New Roman"/>
          <w:sz w:val="22"/>
          <w:szCs w:val="22"/>
          <w:lang w:val="en-GB"/>
        </w:rPr>
        <w:t xml:space="preserve"> Naïvely one might assume that the number of phosphate groups would negatively affect the ionisation efficiency. This is, however, not the case; the effect of phosphate on ionization efficiency is more complicated and no </w:t>
      </w:r>
      <w:r w:rsidR="00B65907" w:rsidRPr="00940FDA">
        <w:rPr>
          <w:rFonts w:ascii="Times New Roman" w:hAnsi="Times New Roman" w:cs="Times New Roman"/>
          <w:sz w:val="22"/>
          <w:szCs w:val="22"/>
          <w:lang w:val="en-GB"/>
        </w:rPr>
        <w:t>general assumption can be made</w:t>
      </w:r>
      <w:r w:rsidR="00575034">
        <w:rPr>
          <w:rFonts w:ascii="Times New Roman" w:hAnsi="Times New Roman" w:cs="Times New Roman"/>
          <w:sz w:val="22"/>
          <w:szCs w:val="22"/>
          <w:lang w:val="en-GB"/>
        </w:rPr>
        <w:t xml:space="preserve"> [5, 6]</w:t>
      </w:r>
      <w:r w:rsidR="00F40B86" w:rsidRPr="00940FDA">
        <w:rPr>
          <w:rFonts w:ascii="Times New Roman" w:hAnsi="Times New Roman" w:cs="Times New Roman"/>
          <w:sz w:val="22"/>
          <w:szCs w:val="22"/>
          <w:lang w:val="en-GB"/>
        </w:rPr>
        <w:t xml:space="preserve">. In summary, quantitative comparisons of different peptides </w:t>
      </w:r>
      <w:r w:rsidR="002C7585" w:rsidRPr="00940FDA">
        <w:rPr>
          <w:rFonts w:ascii="Times New Roman" w:hAnsi="Times New Roman" w:cs="Times New Roman"/>
          <w:sz w:val="22"/>
          <w:szCs w:val="22"/>
          <w:lang w:val="en-GB"/>
        </w:rPr>
        <w:t xml:space="preserve">performed in this way </w:t>
      </w:r>
      <w:r w:rsidR="00F40B86" w:rsidRPr="00940FDA">
        <w:rPr>
          <w:rFonts w:ascii="Times New Roman" w:hAnsi="Times New Roman" w:cs="Times New Roman"/>
          <w:sz w:val="22"/>
          <w:szCs w:val="22"/>
          <w:lang w:val="en-GB"/>
        </w:rPr>
        <w:t xml:space="preserve">should be </w:t>
      </w:r>
      <w:r w:rsidR="002C7585" w:rsidRPr="00940FDA">
        <w:rPr>
          <w:rFonts w:ascii="Times New Roman" w:hAnsi="Times New Roman" w:cs="Times New Roman"/>
          <w:sz w:val="22"/>
          <w:szCs w:val="22"/>
          <w:lang w:val="en-GB"/>
        </w:rPr>
        <w:t>interpreted with caution.</w:t>
      </w:r>
    </w:p>
    <w:p w14:paraId="508A6B01" w14:textId="77777777" w:rsidR="00D124DC" w:rsidRPr="00940FDA" w:rsidRDefault="00D124DC" w:rsidP="00940FDA">
      <w:pPr>
        <w:spacing w:line="360" w:lineRule="auto"/>
        <w:ind w:right="-6"/>
        <w:jc w:val="both"/>
        <w:rPr>
          <w:rFonts w:ascii="Times New Roman" w:hAnsi="Times New Roman" w:cs="Times New Roman"/>
          <w:sz w:val="22"/>
          <w:szCs w:val="22"/>
          <w:lang w:val="en-US"/>
        </w:rPr>
      </w:pPr>
    </w:p>
    <w:p w14:paraId="627A9488" w14:textId="69C19524" w:rsidR="00F34E4D" w:rsidRPr="00940FDA" w:rsidRDefault="00651E00" w:rsidP="00940FDA">
      <w:pPr>
        <w:spacing w:line="360" w:lineRule="auto"/>
        <w:ind w:right="-6"/>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7</w:t>
      </w:r>
      <w:r w:rsidR="00F34E4D" w:rsidRPr="00940FDA">
        <w:rPr>
          <w:rFonts w:ascii="Times New Roman" w:hAnsi="Times New Roman" w:cs="Times New Roman"/>
          <w:b/>
          <w:bCs/>
          <w:sz w:val="22"/>
          <w:szCs w:val="22"/>
          <w:lang w:val="en-US"/>
        </w:rPr>
        <w:t>. Harmonisation of data acquisitions</w:t>
      </w:r>
    </w:p>
    <w:p w14:paraId="13A1198C" w14:textId="1E86AC7D" w:rsidR="00F34E4D" w:rsidRPr="008D7F35" w:rsidRDefault="00E36ECA" w:rsidP="00940FDA">
      <w:pPr>
        <w:spacing w:line="360" w:lineRule="auto"/>
        <w:ind w:right="-6"/>
        <w:jc w:val="both"/>
        <w:rPr>
          <w:rFonts w:ascii="Times New Roman" w:hAnsi="Times New Roman" w:cs="Times New Roman"/>
          <w:sz w:val="22"/>
          <w:szCs w:val="22"/>
          <w:lang w:val="en-US"/>
        </w:rPr>
      </w:pPr>
      <w:r w:rsidRPr="008D7F35">
        <w:rPr>
          <w:rFonts w:ascii="Times New Roman" w:hAnsi="Times New Roman" w:cs="Times New Roman"/>
          <w:sz w:val="22"/>
          <w:szCs w:val="22"/>
          <w:lang w:val="en-US"/>
        </w:rPr>
        <w:t xml:space="preserve">For Cohort 1, data </w:t>
      </w:r>
      <w:r w:rsidR="00F34E4D" w:rsidRPr="008D7F35">
        <w:rPr>
          <w:rFonts w:ascii="Times New Roman" w:hAnsi="Times New Roman" w:cs="Times New Roman"/>
          <w:sz w:val="22"/>
          <w:szCs w:val="22"/>
          <w:lang w:val="en-US"/>
        </w:rPr>
        <w:t xml:space="preserve">was collected at seven </w:t>
      </w:r>
      <w:r w:rsidR="001C4E5D" w:rsidRPr="008D7F35">
        <w:rPr>
          <w:rFonts w:ascii="Times New Roman" w:hAnsi="Times New Roman" w:cs="Times New Roman"/>
          <w:sz w:val="22"/>
          <w:szCs w:val="22"/>
          <w:lang w:val="en-US"/>
        </w:rPr>
        <w:t>occasions</w:t>
      </w:r>
      <w:r w:rsidR="00F34E4D" w:rsidRPr="008D7F35">
        <w:rPr>
          <w:rFonts w:ascii="Times New Roman" w:hAnsi="Times New Roman" w:cs="Times New Roman"/>
          <w:sz w:val="22"/>
          <w:szCs w:val="22"/>
          <w:lang w:val="en-US"/>
        </w:rPr>
        <w:t xml:space="preserve"> spread out during several months</w:t>
      </w:r>
      <w:r w:rsidR="001C4E5D" w:rsidRPr="008D7F35">
        <w:rPr>
          <w:rFonts w:ascii="Times New Roman" w:hAnsi="Times New Roman" w:cs="Times New Roman"/>
          <w:sz w:val="22"/>
          <w:szCs w:val="22"/>
          <w:lang w:val="en-US"/>
        </w:rPr>
        <w:t>. Therefore,</w:t>
      </w:r>
      <w:r w:rsidR="00F34E4D" w:rsidRPr="008D7F35">
        <w:rPr>
          <w:rFonts w:ascii="Times New Roman" w:hAnsi="Times New Roman" w:cs="Times New Roman"/>
          <w:sz w:val="22"/>
          <w:szCs w:val="22"/>
          <w:lang w:val="en-US"/>
        </w:rPr>
        <w:t xml:space="preserve"> </w:t>
      </w:r>
      <w:r w:rsidR="001C4E5D" w:rsidRPr="008D7F35">
        <w:rPr>
          <w:rFonts w:ascii="Times New Roman" w:hAnsi="Times New Roman" w:cs="Times New Roman"/>
          <w:sz w:val="22"/>
          <w:szCs w:val="22"/>
          <w:lang w:val="en-US"/>
        </w:rPr>
        <w:t>QC samples were used to adjust for variations that could occur</w:t>
      </w:r>
      <w:r w:rsidR="00743C10" w:rsidRPr="008D7F35">
        <w:rPr>
          <w:rFonts w:ascii="Times New Roman" w:hAnsi="Times New Roman" w:cs="Times New Roman"/>
          <w:sz w:val="22"/>
          <w:szCs w:val="22"/>
          <w:lang w:val="en-US"/>
        </w:rPr>
        <w:t>,</w:t>
      </w:r>
      <w:r w:rsidR="001C4E5D" w:rsidRPr="008D7F35">
        <w:rPr>
          <w:rFonts w:ascii="Times New Roman" w:hAnsi="Times New Roman" w:cs="Times New Roman"/>
          <w:sz w:val="22"/>
          <w:szCs w:val="22"/>
          <w:lang w:val="en-US"/>
        </w:rPr>
        <w:t xml:space="preserve"> for example</w:t>
      </w:r>
      <w:r w:rsidR="008E6C87" w:rsidRPr="008D7F35">
        <w:rPr>
          <w:rFonts w:ascii="Times New Roman" w:hAnsi="Times New Roman" w:cs="Times New Roman"/>
          <w:sz w:val="22"/>
          <w:szCs w:val="22"/>
          <w:lang w:val="en-US"/>
        </w:rPr>
        <w:t>,</w:t>
      </w:r>
      <w:r w:rsidR="001C4E5D" w:rsidRPr="008D7F35">
        <w:rPr>
          <w:rFonts w:ascii="Times New Roman" w:hAnsi="Times New Roman" w:cs="Times New Roman"/>
          <w:sz w:val="22"/>
          <w:szCs w:val="22"/>
          <w:lang w:val="en-US"/>
        </w:rPr>
        <w:t xml:space="preserve"> potential time dependent drifts during the four-day acquisition of one fraction-antibody combination</w:t>
      </w:r>
      <w:r w:rsidR="008E6C87" w:rsidRPr="008D7F35">
        <w:rPr>
          <w:rFonts w:ascii="Times New Roman" w:hAnsi="Times New Roman" w:cs="Times New Roman"/>
          <w:sz w:val="22"/>
          <w:szCs w:val="22"/>
          <w:lang w:val="en-US"/>
        </w:rPr>
        <w:t xml:space="preserve"> or between acquisition occasions</w:t>
      </w:r>
      <w:r w:rsidR="001C4E5D" w:rsidRPr="008D7F35">
        <w:rPr>
          <w:rFonts w:ascii="Times New Roman" w:hAnsi="Times New Roman" w:cs="Times New Roman"/>
          <w:sz w:val="22"/>
          <w:szCs w:val="22"/>
          <w:lang w:val="en-US"/>
        </w:rPr>
        <w:t xml:space="preserve">. </w:t>
      </w:r>
      <w:r w:rsidR="00394CE1" w:rsidRPr="008D7F35">
        <w:rPr>
          <w:rFonts w:ascii="Times New Roman" w:hAnsi="Times New Roman" w:cs="Times New Roman"/>
          <w:sz w:val="22"/>
          <w:szCs w:val="22"/>
          <w:lang w:val="en-US"/>
        </w:rPr>
        <w:t>QC samples were represented by</w:t>
      </w:r>
      <w:r w:rsidR="00F34E4D" w:rsidRPr="008D7F35">
        <w:rPr>
          <w:rFonts w:ascii="Times New Roman" w:hAnsi="Times New Roman" w:cs="Times New Roman"/>
          <w:sz w:val="22"/>
          <w:szCs w:val="22"/>
          <w:lang w:val="en-US"/>
        </w:rPr>
        <w:t xml:space="preserve"> the same TBS pool and were at each occasion IP’d with Tau12 antibody to produce nominally identical data throughout the whole study. </w:t>
      </w:r>
      <w:r w:rsidR="008E6C87" w:rsidRPr="008D7F35">
        <w:rPr>
          <w:rFonts w:ascii="Times New Roman" w:hAnsi="Times New Roman" w:cs="Times New Roman"/>
          <w:sz w:val="22"/>
          <w:szCs w:val="22"/>
          <w:lang w:val="en-US"/>
        </w:rPr>
        <w:t xml:space="preserve">Within an acquisition occasion there was no drift observed; however, between occasions there were noticeable differences. </w:t>
      </w:r>
      <w:r w:rsidR="00F34E4D" w:rsidRPr="008D7F35">
        <w:rPr>
          <w:rFonts w:ascii="Times New Roman" w:hAnsi="Times New Roman" w:cs="Times New Roman"/>
          <w:sz w:val="22"/>
          <w:szCs w:val="22"/>
          <w:lang w:val="en-US"/>
        </w:rPr>
        <w:t xml:space="preserve">The median ratios for the non-phosphorylated peptides that had </w:t>
      </w:r>
      <w:r w:rsidR="00E0281C" w:rsidRPr="008D7F35">
        <w:rPr>
          <w:rFonts w:ascii="Times New Roman" w:hAnsi="Times New Roman" w:cs="Times New Roman"/>
          <w:sz w:val="22"/>
          <w:szCs w:val="22"/>
          <w:lang w:val="en-US"/>
        </w:rPr>
        <w:t>[</w:t>
      </w:r>
      <w:r w:rsidR="00E0281C" w:rsidRPr="008D7F35">
        <w:rPr>
          <w:rFonts w:ascii="Times New Roman" w:hAnsi="Times New Roman" w:cs="Times New Roman"/>
          <w:i/>
          <w:iCs/>
          <w:sz w:val="22"/>
          <w:szCs w:val="22"/>
          <w:lang w:val="en-US"/>
        </w:rPr>
        <w:t>U</w:t>
      </w:r>
      <w:r w:rsidR="00E0281C" w:rsidRPr="008D7F35">
        <w:rPr>
          <w:rFonts w:ascii="Times New Roman" w:hAnsi="Times New Roman" w:cs="Times New Roman"/>
          <w:sz w:val="22"/>
          <w:szCs w:val="22"/>
          <w:lang w:val="en-US"/>
        </w:rPr>
        <w:t>–</w:t>
      </w:r>
      <w:r w:rsidR="00E0281C" w:rsidRPr="008D7F35">
        <w:rPr>
          <w:rFonts w:ascii="Times New Roman" w:hAnsi="Times New Roman" w:cs="Times New Roman"/>
          <w:sz w:val="22"/>
          <w:szCs w:val="22"/>
          <w:vertAlign w:val="superscript"/>
          <w:lang w:val="en-US"/>
        </w:rPr>
        <w:t>15</w:t>
      </w:r>
      <w:r w:rsidR="00E0281C" w:rsidRPr="008D7F35">
        <w:rPr>
          <w:rFonts w:ascii="Times New Roman" w:hAnsi="Times New Roman" w:cs="Times New Roman"/>
          <w:sz w:val="22"/>
          <w:szCs w:val="22"/>
          <w:lang w:val="en-US"/>
        </w:rPr>
        <w:t>N]</w:t>
      </w:r>
      <w:r w:rsidR="00F34E4D" w:rsidRPr="008D7F35">
        <w:rPr>
          <w:rFonts w:ascii="Times New Roman" w:hAnsi="Times New Roman" w:cs="Times New Roman"/>
          <w:sz w:val="22"/>
          <w:szCs w:val="22"/>
          <w:lang w:val="en-US"/>
        </w:rPr>
        <w:t xml:space="preserve">-protein standards varied between 0.8 and 1.6 compared with the first </w:t>
      </w:r>
      <w:r w:rsidR="001C4E5D" w:rsidRPr="008D7F35">
        <w:rPr>
          <w:rFonts w:ascii="Times New Roman" w:hAnsi="Times New Roman" w:cs="Times New Roman"/>
          <w:sz w:val="22"/>
          <w:szCs w:val="22"/>
          <w:lang w:val="en-US"/>
        </w:rPr>
        <w:t>occasion</w:t>
      </w:r>
      <w:r w:rsidR="00F34E4D" w:rsidRPr="008D7F35">
        <w:rPr>
          <w:rFonts w:ascii="Times New Roman" w:hAnsi="Times New Roman" w:cs="Times New Roman"/>
          <w:sz w:val="22"/>
          <w:szCs w:val="22"/>
          <w:lang w:val="en-US"/>
        </w:rPr>
        <w:t>, and for the phosphorylated peptides the ratios varied between 0.8 and 2.1. The reason for this is unclear, but several parameters (</w:t>
      </w:r>
      <w:r w:rsidR="00F34E4D" w:rsidRPr="008D7F35">
        <w:rPr>
          <w:rFonts w:ascii="Times New Roman" w:hAnsi="Times New Roman" w:cs="Times New Roman"/>
          <w:i/>
          <w:iCs/>
          <w:sz w:val="22"/>
          <w:szCs w:val="22"/>
          <w:lang w:val="en-US"/>
        </w:rPr>
        <w:t>e.g.</w:t>
      </w:r>
      <w:r w:rsidR="00F34E4D" w:rsidRPr="008D7F35">
        <w:rPr>
          <w:rFonts w:ascii="Times New Roman" w:hAnsi="Times New Roman" w:cs="Times New Roman"/>
          <w:sz w:val="22"/>
          <w:szCs w:val="22"/>
          <w:lang w:val="en-US"/>
        </w:rPr>
        <w:t>, storage time, general sample handling, IP efficiency, digestion, instrument condition) can contribute to the total variation.</w:t>
      </w:r>
    </w:p>
    <w:p w14:paraId="793AA7F5" w14:textId="787A2A56" w:rsidR="00F34E4D" w:rsidRPr="008D7F35" w:rsidRDefault="00F34E4D" w:rsidP="00940FDA">
      <w:pPr>
        <w:spacing w:line="360" w:lineRule="auto"/>
        <w:ind w:right="-6"/>
        <w:jc w:val="both"/>
        <w:rPr>
          <w:rFonts w:ascii="Times New Roman" w:hAnsi="Times New Roman" w:cs="Times New Roman"/>
          <w:sz w:val="22"/>
          <w:szCs w:val="22"/>
          <w:lang w:val="en-US"/>
        </w:rPr>
      </w:pPr>
      <w:r w:rsidRPr="008D7F35">
        <w:rPr>
          <w:rFonts w:ascii="Times New Roman" w:hAnsi="Times New Roman" w:cs="Times New Roman"/>
          <w:sz w:val="22"/>
          <w:szCs w:val="22"/>
          <w:lang w:val="en-US"/>
        </w:rPr>
        <w:t xml:space="preserve">Harmonisation between the </w:t>
      </w:r>
      <w:r w:rsidR="001C4E5D" w:rsidRPr="008D7F35">
        <w:rPr>
          <w:rFonts w:ascii="Times New Roman" w:hAnsi="Times New Roman" w:cs="Times New Roman"/>
          <w:sz w:val="22"/>
          <w:szCs w:val="22"/>
          <w:lang w:val="en-US"/>
        </w:rPr>
        <w:t>occasions</w:t>
      </w:r>
      <w:r w:rsidRPr="008D7F35">
        <w:rPr>
          <w:rFonts w:ascii="Times New Roman" w:hAnsi="Times New Roman" w:cs="Times New Roman"/>
          <w:sz w:val="22"/>
          <w:szCs w:val="22"/>
          <w:lang w:val="en-US"/>
        </w:rPr>
        <w:t xml:space="preserve"> was performed on an individual peptide level. The median ratio for the six QC samples analysed at a particular occasion was calculated for each peptide analysed. The initial </w:t>
      </w:r>
      <w:r w:rsidR="001C4E5D" w:rsidRPr="008D7F35">
        <w:rPr>
          <w:rFonts w:ascii="Times New Roman" w:hAnsi="Times New Roman" w:cs="Times New Roman"/>
          <w:sz w:val="22"/>
          <w:szCs w:val="22"/>
          <w:lang w:val="en-US"/>
        </w:rPr>
        <w:t>occasion</w:t>
      </w:r>
      <w:r w:rsidRPr="008D7F35">
        <w:rPr>
          <w:rFonts w:ascii="Times New Roman" w:hAnsi="Times New Roman" w:cs="Times New Roman"/>
          <w:sz w:val="22"/>
          <w:szCs w:val="22"/>
          <w:lang w:val="en-US"/>
        </w:rPr>
        <w:t xml:space="preserve"> Tau12/TBS was set as reference. For each subsequent </w:t>
      </w:r>
      <w:r w:rsidR="001C4E5D" w:rsidRPr="008D7F35">
        <w:rPr>
          <w:rFonts w:ascii="Times New Roman" w:hAnsi="Times New Roman" w:cs="Times New Roman"/>
          <w:sz w:val="22"/>
          <w:szCs w:val="22"/>
          <w:lang w:val="en-US"/>
        </w:rPr>
        <w:t>occasion</w:t>
      </w:r>
      <w:r w:rsidRPr="008D7F35">
        <w:rPr>
          <w:rFonts w:ascii="Times New Roman" w:hAnsi="Times New Roman" w:cs="Times New Roman"/>
          <w:sz w:val="22"/>
          <w:szCs w:val="22"/>
          <w:lang w:val="en-US"/>
        </w:rPr>
        <w:t xml:space="preserve"> and peptide, the value obtained was divided by that of the initial occasion and a harmonisation ratio was obtained. All peptide ratios obtained from the study samples were then divided by the corresponding harmonisation ratio.</w:t>
      </w:r>
    </w:p>
    <w:p w14:paraId="5ED9B06A" w14:textId="61ABD3CF" w:rsidR="00E36ECA" w:rsidRPr="00940FDA" w:rsidRDefault="00E36ECA" w:rsidP="00940FDA">
      <w:pPr>
        <w:spacing w:line="360" w:lineRule="auto"/>
        <w:ind w:right="-6"/>
        <w:jc w:val="both"/>
        <w:rPr>
          <w:rFonts w:ascii="Times New Roman" w:hAnsi="Times New Roman" w:cs="Times New Roman"/>
          <w:sz w:val="22"/>
          <w:szCs w:val="22"/>
          <w:lang w:val="en-US"/>
        </w:rPr>
      </w:pPr>
      <w:r w:rsidRPr="008D7F35">
        <w:rPr>
          <w:rFonts w:ascii="Times New Roman" w:hAnsi="Times New Roman" w:cs="Times New Roman"/>
          <w:sz w:val="22"/>
          <w:szCs w:val="22"/>
          <w:lang w:val="en-US"/>
        </w:rPr>
        <w:lastRenderedPageBreak/>
        <w:t xml:space="preserve">For Cohort 2, </w:t>
      </w:r>
      <w:r w:rsidR="00371050" w:rsidRPr="008D7F35">
        <w:rPr>
          <w:rFonts w:ascii="Times New Roman" w:hAnsi="Times New Roman" w:cs="Times New Roman"/>
          <w:sz w:val="22"/>
          <w:szCs w:val="22"/>
          <w:lang w:val="en-US"/>
        </w:rPr>
        <w:t xml:space="preserve">the </w:t>
      </w:r>
      <w:r w:rsidRPr="008D7F35">
        <w:rPr>
          <w:rFonts w:ascii="Times New Roman" w:hAnsi="Times New Roman" w:cs="Times New Roman"/>
          <w:sz w:val="22"/>
          <w:szCs w:val="22"/>
          <w:lang w:val="en-US"/>
        </w:rPr>
        <w:t>HT7 antibody was used also for the 11 QCs; otherwise harmonisation was implemented as described above.</w:t>
      </w:r>
    </w:p>
    <w:p w14:paraId="01B72CF1" w14:textId="77777777" w:rsidR="00CE6A54" w:rsidRPr="00940FDA" w:rsidRDefault="00CE6A54" w:rsidP="00940FDA">
      <w:pPr>
        <w:spacing w:line="360" w:lineRule="auto"/>
        <w:ind w:right="-6"/>
        <w:jc w:val="both"/>
        <w:rPr>
          <w:rFonts w:ascii="Times New Roman" w:hAnsi="Times New Roman" w:cs="Times New Roman"/>
          <w:sz w:val="22"/>
          <w:szCs w:val="22"/>
          <w:lang w:val="en-US"/>
        </w:rPr>
      </w:pPr>
    </w:p>
    <w:p w14:paraId="778423A7" w14:textId="6BAF41D4" w:rsidR="00D003DD" w:rsidRPr="00864F3A" w:rsidRDefault="009807F0" w:rsidP="00940FDA">
      <w:pPr>
        <w:spacing w:line="360" w:lineRule="auto"/>
        <w:ind w:right="-6"/>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8</w:t>
      </w:r>
      <w:r w:rsidR="00864F3A" w:rsidRPr="00940FDA">
        <w:rPr>
          <w:rFonts w:ascii="Times New Roman" w:hAnsi="Times New Roman" w:cs="Times New Roman"/>
          <w:b/>
          <w:bCs/>
          <w:sz w:val="22"/>
          <w:szCs w:val="22"/>
          <w:lang w:val="en-US"/>
        </w:rPr>
        <w:t xml:space="preserve">. </w:t>
      </w:r>
      <w:r w:rsidR="00864F3A">
        <w:rPr>
          <w:rFonts w:ascii="Times New Roman" w:hAnsi="Times New Roman" w:cs="Times New Roman"/>
          <w:b/>
          <w:bCs/>
          <w:sz w:val="22"/>
          <w:szCs w:val="22"/>
          <w:lang w:val="en-US"/>
        </w:rPr>
        <w:t>References</w:t>
      </w:r>
    </w:p>
    <w:p w14:paraId="65D7AF45" w14:textId="77777777" w:rsidR="00575034" w:rsidRPr="00575034" w:rsidRDefault="00575034" w:rsidP="00B1539B">
      <w:pPr>
        <w:spacing w:line="360" w:lineRule="auto"/>
        <w:ind w:left="567" w:right="-6" w:hanging="567"/>
        <w:jc w:val="both"/>
        <w:rPr>
          <w:rFonts w:ascii="Times New Roman" w:hAnsi="Times New Roman" w:cs="Times New Roman"/>
          <w:sz w:val="22"/>
          <w:szCs w:val="22"/>
          <w:lang w:val="en-US"/>
        </w:rPr>
      </w:pPr>
      <w:r w:rsidRPr="00575034">
        <w:rPr>
          <w:rFonts w:ascii="Times New Roman" w:hAnsi="Times New Roman" w:cs="Times New Roman"/>
          <w:sz w:val="22"/>
          <w:szCs w:val="22"/>
          <w:lang w:val="en-US"/>
        </w:rPr>
        <w:t>1.</w:t>
      </w:r>
      <w:r w:rsidRPr="00575034">
        <w:rPr>
          <w:rFonts w:ascii="Times New Roman" w:hAnsi="Times New Roman" w:cs="Times New Roman"/>
          <w:sz w:val="22"/>
          <w:szCs w:val="22"/>
          <w:lang w:val="en-US"/>
        </w:rPr>
        <w:tab/>
        <w:t xml:space="preserve">Azatian, S.B., N. Kaur, and M.P. Latham, </w:t>
      </w:r>
      <w:r w:rsidRPr="00AB7F8F">
        <w:rPr>
          <w:rFonts w:ascii="Times New Roman" w:hAnsi="Times New Roman" w:cs="Times New Roman"/>
          <w:i/>
          <w:iCs/>
          <w:sz w:val="22"/>
          <w:szCs w:val="22"/>
          <w:lang w:val="en-US"/>
        </w:rPr>
        <w:t>Increasing the buffering capacity of minimal media leads to higher protein yield.</w:t>
      </w:r>
      <w:r w:rsidRPr="00575034">
        <w:rPr>
          <w:rFonts w:ascii="Times New Roman" w:hAnsi="Times New Roman" w:cs="Times New Roman"/>
          <w:sz w:val="22"/>
          <w:szCs w:val="22"/>
          <w:lang w:val="en-US"/>
        </w:rPr>
        <w:t xml:space="preserve"> J Biomol NMR, 2019. </w:t>
      </w:r>
      <w:r w:rsidRPr="00AB7F8F">
        <w:rPr>
          <w:rFonts w:ascii="Times New Roman" w:hAnsi="Times New Roman" w:cs="Times New Roman"/>
          <w:b/>
          <w:bCs/>
          <w:sz w:val="22"/>
          <w:szCs w:val="22"/>
          <w:lang w:val="en-US"/>
        </w:rPr>
        <w:t>73</w:t>
      </w:r>
      <w:r w:rsidRPr="00575034">
        <w:rPr>
          <w:rFonts w:ascii="Times New Roman" w:hAnsi="Times New Roman" w:cs="Times New Roman"/>
          <w:sz w:val="22"/>
          <w:szCs w:val="22"/>
          <w:lang w:val="en-US"/>
        </w:rPr>
        <w:t>(1-2): p. 11–17.</w:t>
      </w:r>
    </w:p>
    <w:p w14:paraId="1E6BD897" w14:textId="77777777" w:rsidR="00575034" w:rsidRPr="00575034" w:rsidRDefault="00575034" w:rsidP="00B1539B">
      <w:pPr>
        <w:spacing w:line="360" w:lineRule="auto"/>
        <w:ind w:left="567" w:right="-6" w:hanging="567"/>
        <w:jc w:val="both"/>
        <w:rPr>
          <w:rFonts w:ascii="Times New Roman" w:hAnsi="Times New Roman" w:cs="Times New Roman"/>
          <w:sz w:val="22"/>
          <w:szCs w:val="22"/>
          <w:lang w:val="en-US"/>
        </w:rPr>
      </w:pPr>
      <w:r w:rsidRPr="00575034">
        <w:rPr>
          <w:rFonts w:ascii="Times New Roman" w:hAnsi="Times New Roman" w:cs="Times New Roman"/>
          <w:sz w:val="22"/>
          <w:szCs w:val="22"/>
          <w:lang w:val="en-US"/>
        </w:rPr>
        <w:t>2.</w:t>
      </w:r>
      <w:r w:rsidRPr="00575034">
        <w:rPr>
          <w:rFonts w:ascii="Times New Roman" w:hAnsi="Times New Roman" w:cs="Times New Roman"/>
          <w:sz w:val="22"/>
          <w:szCs w:val="22"/>
          <w:lang w:val="en-US"/>
        </w:rPr>
        <w:tab/>
        <w:t xml:space="preserve">Lesovoy, D.M., et al., </w:t>
      </w:r>
      <w:r w:rsidRPr="00AB7F8F">
        <w:rPr>
          <w:rFonts w:ascii="Times New Roman" w:hAnsi="Times New Roman" w:cs="Times New Roman"/>
          <w:i/>
          <w:iCs/>
          <w:sz w:val="22"/>
          <w:szCs w:val="22"/>
          <w:lang w:val="en-US"/>
        </w:rPr>
        <w:t>Unambiguous Tracking of Protein Phosphorylation by Fast High-Resolution FOSY NMR*.</w:t>
      </w:r>
      <w:r w:rsidRPr="00575034">
        <w:rPr>
          <w:rFonts w:ascii="Times New Roman" w:hAnsi="Times New Roman" w:cs="Times New Roman"/>
          <w:sz w:val="22"/>
          <w:szCs w:val="22"/>
          <w:lang w:val="en-US"/>
        </w:rPr>
        <w:t xml:space="preserve"> Angew Chem Int Ed Engl, 2021.</w:t>
      </w:r>
    </w:p>
    <w:p w14:paraId="2A60C943" w14:textId="48EED4F7" w:rsidR="00575034" w:rsidRDefault="00575034" w:rsidP="00B1539B">
      <w:pPr>
        <w:spacing w:line="360" w:lineRule="auto"/>
        <w:ind w:left="567" w:right="-6" w:hanging="567"/>
        <w:jc w:val="both"/>
        <w:rPr>
          <w:rFonts w:ascii="Times New Roman" w:hAnsi="Times New Roman" w:cs="Times New Roman"/>
          <w:sz w:val="22"/>
          <w:szCs w:val="22"/>
          <w:lang w:val="en-US"/>
        </w:rPr>
      </w:pPr>
      <w:r w:rsidRPr="00575034">
        <w:rPr>
          <w:rFonts w:ascii="Times New Roman" w:hAnsi="Times New Roman" w:cs="Times New Roman"/>
          <w:sz w:val="22"/>
          <w:szCs w:val="22"/>
          <w:lang w:val="en-US"/>
        </w:rPr>
        <w:t>3.</w:t>
      </w:r>
      <w:r w:rsidRPr="00575034">
        <w:rPr>
          <w:rFonts w:ascii="Times New Roman" w:hAnsi="Times New Roman" w:cs="Times New Roman"/>
          <w:sz w:val="22"/>
          <w:szCs w:val="22"/>
          <w:lang w:val="en-US"/>
        </w:rPr>
        <w:tab/>
        <w:t xml:space="preserve">Mikolajczyk, J., et al., </w:t>
      </w:r>
      <w:r w:rsidRPr="00AB7F8F">
        <w:rPr>
          <w:rFonts w:ascii="Times New Roman" w:hAnsi="Times New Roman" w:cs="Times New Roman"/>
          <w:i/>
          <w:iCs/>
          <w:sz w:val="22"/>
          <w:szCs w:val="22"/>
          <w:lang w:val="en-US"/>
        </w:rPr>
        <w:t>Small ubiquitin-related modifier (SUMO)-specific proteases: profiling the specificities and activities of human SENPs.</w:t>
      </w:r>
      <w:r w:rsidRPr="00575034">
        <w:rPr>
          <w:rFonts w:ascii="Times New Roman" w:hAnsi="Times New Roman" w:cs="Times New Roman"/>
          <w:sz w:val="22"/>
          <w:szCs w:val="22"/>
          <w:lang w:val="en-US"/>
        </w:rPr>
        <w:t xml:space="preserve"> J Biol Chem, 2007. </w:t>
      </w:r>
      <w:r w:rsidRPr="00AB7F8F">
        <w:rPr>
          <w:rFonts w:ascii="Times New Roman" w:hAnsi="Times New Roman" w:cs="Times New Roman"/>
          <w:b/>
          <w:bCs/>
          <w:sz w:val="22"/>
          <w:szCs w:val="22"/>
          <w:lang w:val="en-US"/>
        </w:rPr>
        <w:t>282</w:t>
      </w:r>
      <w:r w:rsidRPr="00575034">
        <w:rPr>
          <w:rFonts w:ascii="Times New Roman" w:hAnsi="Times New Roman" w:cs="Times New Roman"/>
          <w:sz w:val="22"/>
          <w:szCs w:val="22"/>
          <w:lang w:val="en-US"/>
        </w:rPr>
        <w:t>(36): p. 26217–24.</w:t>
      </w:r>
    </w:p>
    <w:p w14:paraId="0EE7D2D7" w14:textId="50CBF958" w:rsidR="00575034" w:rsidRPr="00575034" w:rsidRDefault="00575034" w:rsidP="00B1539B">
      <w:pPr>
        <w:spacing w:line="360" w:lineRule="auto"/>
        <w:ind w:left="567" w:right="-6" w:hanging="567"/>
        <w:jc w:val="both"/>
        <w:rPr>
          <w:rFonts w:ascii="Times New Roman" w:hAnsi="Times New Roman" w:cs="Times New Roman"/>
          <w:sz w:val="22"/>
          <w:szCs w:val="22"/>
          <w:lang w:val="en-US"/>
        </w:rPr>
      </w:pPr>
      <w:r w:rsidRPr="00575034">
        <w:rPr>
          <w:rFonts w:ascii="Times New Roman" w:hAnsi="Times New Roman" w:cs="Times New Roman"/>
          <w:sz w:val="22"/>
          <w:szCs w:val="22"/>
          <w:lang w:val="en-US"/>
        </w:rPr>
        <w:t>4.</w:t>
      </w:r>
      <w:r w:rsidRPr="00575034">
        <w:rPr>
          <w:rFonts w:ascii="Times New Roman" w:hAnsi="Times New Roman" w:cs="Times New Roman"/>
          <w:sz w:val="22"/>
          <w:szCs w:val="22"/>
          <w:lang w:val="en-US"/>
        </w:rPr>
        <w:tab/>
      </w:r>
      <w:r w:rsidR="00AB7F8F" w:rsidRPr="00AB7F8F">
        <w:rPr>
          <w:rFonts w:ascii="Times New Roman" w:hAnsi="Times New Roman" w:cs="Times New Roman"/>
          <w:sz w:val="22"/>
          <w:szCs w:val="22"/>
          <w:lang w:val="en-US"/>
        </w:rPr>
        <w:t xml:space="preserve">Brinkmalm, G., et al., </w:t>
      </w:r>
      <w:r w:rsidR="00AB7F8F" w:rsidRPr="00AB7F8F">
        <w:rPr>
          <w:rFonts w:ascii="Times New Roman" w:hAnsi="Times New Roman" w:cs="Times New Roman"/>
          <w:i/>
          <w:iCs/>
          <w:sz w:val="22"/>
          <w:szCs w:val="22"/>
          <w:lang w:val="en-US"/>
        </w:rPr>
        <w:t>An online nano-LC-ESI-FTICR-MS method for comprehensive characterization of endogenous fragments from amyloid beta and amyloid precursor protein in human and cat cerebrospinal fluid.</w:t>
      </w:r>
      <w:r w:rsidR="00AB7F8F" w:rsidRPr="00AB7F8F">
        <w:rPr>
          <w:rFonts w:ascii="Times New Roman" w:hAnsi="Times New Roman" w:cs="Times New Roman"/>
          <w:sz w:val="22"/>
          <w:szCs w:val="22"/>
          <w:lang w:val="en-US"/>
        </w:rPr>
        <w:t xml:space="preserve"> J Mass Spectrom, 2012. </w:t>
      </w:r>
      <w:r w:rsidR="00AB7F8F" w:rsidRPr="00AB7F8F">
        <w:rPr>
          <w:rFonts w:ascii="Times New Roman" w:hAnsi="Times New Roman" w:cs="Times New Roman"/>
          <w:b/>
          <w:bCs/>
          <w:sz w:val="22"/>
          <w:szCs w:val="22"/>
          <w:lang w:val="en-US"/>
        </w:rPr>
        <w:t>47</w:t>
      </w:r>
      <w:r w:rsidR="00AB7F8F" w:rsidRPr="00AB7F8F">
        <w:rPr>
          <w:rFonts w:ascii="Times New Roman" w:hAnsi="Times New Roman" w:cs="Times New Roman"/>
          <w:sz w:val="22"/>
          <w:szCs w:val="22"/>
          <w:lang w:val="en-US"/>
        </w:rPr>
        <w:t>(5): p. 591-603</w:t>
      </w:r>
    </w:p>
    <w:p w14:paraId="5E15CFDA" w14:textId="3007E869" w:rsidR="00575034" w:rsidRPr="00575034" w:rsidRDefault="00575034" w:rsidP="00B1539B">
      <w:pPr>
        <w:spacing w:line="360" w:lineRule="auto"/>
        <w:ind w:left="567" w:right="-6" w:hanging="567"/>
        <w:jc w:val="both"/>
        <w:rPr>
          <w:rFonts w:ascii="Times New Roman" w:hAnsi="Times New Roman" w:cs="Times New Roman"/>
          <w:sz w:val="22"/>
          <w:szCs w:val="22"/>
          <w:lang w:val="en-US"/>
        </w:rPr>
      </w:pPr>
      <w:r>
        <w:rPr>
          <w:rFonts w:ascii="Times New Roman" w:hAnsi="Times New Roman" w:cs="Times New Roman"/>
          <w:sz w:val="22"/>
          <w:szCs w:val="22"/>
          <w:lang w:val="en-US"/>
        </w:rPr>
        <w:t>5</w:t>
      </w:r>
      <w:r w:rsidRPr="00575034">
        <w:rPr>
          <w:rFonts w:ascii="Times New Roman" w:hAnsi="Times New Roman" w:cs="Times New Roman"/>
          <w:sz w:val="22"/>
          <w:szCs w:val="22"/>
          <w:lang w:val="en-US"/>
        </w:rPr>
        <w:t>.</w:t>
      </w:r>
      <w:r w:rsidRPr="00575034">
        <w:rPr>
          <w:rFonts w:ascii="Times New Roman" w:hAnsi="Times New Roman" w:cs="Times New Roman"/>
          <w:sz w:val="22"/>
          <w:szCs w:val="22"/>
          <w:lang w:val="en-US"/>
        </w:rPr>
        <w:tab/>
        <w:t xml:space="preserve">Gao, Y. and Y. Wang, </w:t>
      </w:r>
      <w:r w:rsidRPr="00AB7F8F">
        <w:rPr>
          <w:rFonts w:ascii="Times New Roman" w:hAnsi="Times New Roman" w:cs="Times New Roman"/>
          <w:i/>
          <w:iCs/>
          <w:sz w:val="22"/>
          <w:szCs w:val="22"/>
          <w:lang w:val="en-US"/>
        </w:rPr>
        <w:t>A method to determine the ionization efficiency change of peptides caused by phosphorylation.</w:t>
      </w:r>
      <w:r w:rsidRPr="00575034">
        <w:rPr>
          <w:rFonts w:ascii="Times New Roman" w:hAnsi="Times New Roman" w:cs="Times New Roman"/>
          <w:sz w:val="22"/>
          <w:szCs w:val="22"/>
          <w:lang w:val="en-US"/>
        </w:rPr>
        <w:t xml:space="preserve"> J Am Soc Mass Spectrom, 2007. </w:t>
      </w:r>
      <w:r w:rsidRPr="00AB7F8F">
        <w:rPr>
          <w:rFonts w:ascii="Times New Roman" w:hAnsi="Times New Roman" w:cs="Times New Roman"/>
          <w:b/>
          <w:bCs/>
          <w:sz w:val="22"/>
          <w:szCs w:val="22"/>
          <w:lang w:val="en-US"/>
        </w:rPr>
        <w:t>18</w:t>
      </w:r>
      <w:r w:rsidRPr="00575034">
        <w:rPr>
          <w:rFonts w:ascii="Times New Roman" w:hAnsi="Times New Roman" w:cs="Times New Roman"/>
          <w:sz w:val="22"/>
          <w:szCs w:val="22"/>
          <w:lang w:val="en-US"/>
        </w:rPr>
        <w:t>(11): p. 1973-6.</w:t>
      </w:r>
    </w:p>
    <w:p w14:paraId="05D3C719" w14:textId="55BA2F08" w:rsidR="00575034" w:rsidRPr="00575034" w:rsidRDefault="00575034" w:rsidP="00B1539B">
      <w:pPr>
        <w:spacing w:line="360" w:lineRule="auto"/>
        <w:ind w:left="567" w:right="-6" w:hanging="567"/>
        <w:jc w:val="both"/>
        <w:rPr>
          <w:rFonts w:ascii="Times New Roman" w:hAnsi="Times New Roman" w:cs="Times New Roman"/>
          <w:sz w:val="22"/>
          <w:szCs w:val="22"/>
          <w:lang w:val="en-US"/>
        </w:rPr>
      </w:pPr>
      <w:r>
        <w:rPr>
          <w:rFonts w:ascii="Times New Roman" w:hAnsi="Times New Roman" w:cs="Times New Roman"/>
          <w:sz w:val="22"/>
          <w:szCs w:val="22"/>
          <w:lang w:val="en-US"/>
        </w:rPr>
        <w:t>6</w:t>
      </w:r>
      <w:r w:rsidRPr="00575034">
        <w:rPr>
          <w:rFonts w:ascii="Times New Roman" w:hAnsi="Times New Roman" w:cs="Times New Roman"/>
          <w:sz w:val="22"/>
          <w:szCs w:val="22"/>
          <w:lang w:val="en-US"/>
        </w:rPr>
        <w:t>.</w:t>
      </w:r>
      <w:r w:rsidRPr="00575034">
        <w:rPr>
          <w:rFonts w:ascii="Times New Roman" w:hAnsi="Times New Roman" w:cs="Times New Roman"/>
          <w:sz w:val="22"/>
          <w:szCs w:val="22"/>
          <w:lang w:val="en-US"/>
        </w:rPr>
        <w:tab/>
        <w:t xml:space="preserve">Steen, H., et al., </w:t>
      </w:r>
      <w:r w:rsidRPr="00AB7F8F">
        <w:rPr>
          <w:rFonts w:ascii="Times New Roman" w:hAnsi="Times New Roman" w:cs="Times New Roman"/>
          <w:i/>
          <w:iCs/>
          <w:sz w:val="22"/>
          <w:szCs w:val="22"/>
          <w:lang w:val="en-US"/>
        </w:rPr>
        <w:t>Phosphorylation analysis by mass spectrometry: myths, facts, and the consequences for qualitative and quantitative measurements.</w:t>
      </w:r>
      <w:r w:rsidRPr="00575034">
        <w:rPr>
          <w:rFonts w:ascii="Times New Roman" w:hAnsi="Times New Roman" w:cs="Times New Roman"/>
          <w:sz w:val="22"/>
          <w:szCs w:val="22"/>
          <w:lang w:val="en-US"/>
        </w:rPr>
        <w:t xml:space="preserve"> Mol Cell Proteomics, 2006. </w:t>
      </w:r>
      <w:r w:rsidRPr="00AB7F8F">
        <w:rPr>
          <w:rFonts w:ascii="Times New Roman" w:hAnsi="Times New Roman" w:cs="Times New Roman"/>
          <w:b/>
          <w:bCs/>
          <w:sz w:val="22"/>
          <w:szCs w:val="22"/>
          <w:lang w:val="en-US"/>
        </w:rPr>
        <w:t>5</w:t>
      </w:r>
      <w:r w:rsidRPr="00575034">
        <w:rPr>
          <w:rFonts w:ascii="Times New Roman" w:hAnsi="Times New Roman" w:cs="Times New Roman"/>
          <w:sz w:val="22"/>
          <w:szCs w:val="22"/>
          <w:lang w:val="en-US"/>
        </w:rPr>
        <w:t>(1): p. 172-81.</w:t>
      </w:r>
    </w:p>
    <w:p w14:paraId="6ED18A23" w14:textId="4485080F" w:rsidR="00E0001D" w:rsidRPr="00940FDA" w:rsidRDefault="00575034" w:rsidP="00575034">
      <w:pPr>
        <w:rPr>
          <w:rFonts w:ascii="Times New Roman" w:hAnsi="Times New Roman" w:cs="Times New Roman"/>
          <w:sz w:val="22"/>
          <w:szCs w:val="22"/>
          <w:lang w:val="en-US"/>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EN.REFLIST </w:instrText>
      </w:r>
      <w:r>
        <w:rPr>
          <w:rFonts w:ascii="Times New Roman" w:hAnsi="Times New Roman" w:cs="Times New Roman"/>
          <w:sz w:val="22"/>
          <w:szCs w:val="22"/>
        </w:rPr>
        <w:fldChar w:fldCharType="end"/>
      </w:r>
    </w:p>
    <w:sectPr w:rsidR="00E0001D" w:rsidRPr="00940FDA" w:rsidSect="00203FCB">
      <w:pgSz w:w="11900"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0578F" w14:textId="77777777" w:rsidR="007E2CE6" w:rsidRDefault="007E2CE6" w:rsidP="00974B1A">
      <w:r>
        <w:separator/>
      </w:r>
    </w:p>
  </w:endnote>
  <w:endnote w:type="continuationSeparator" w:id="0">
    <w:p w14:paraId="7AB8AF54" w14:textId="77777777" w:rsidR="007E2CE6" w:rsidRDefault="007E2CE6" w:rsidP="0097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68C09" w14:textId="77777777" w:rsidR="007E2CE6" w:rsidRDefault="007E2CE6" w:rsidP="00974B1A">
      <w:r>
        <w:separator/>
      </w:r>
    </w:p>
  </w:footnote>
  <w:footnote w:type="continuationSeparator" w:id="0">
    <w:p w14:paraId="723100AB" w14:textId="77777777" w:rsidR="007E2CE6" w:rsidRDefault="007E2CE6" w:rsidP="00974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E4F8A"/>
    <w:rsid w:val="000003D2"/>
    <w:rsid w:val="00002122"/>
    <w:rsid w:val="00014302"/>
    <w:rsid w:val="0002216F"/>
    <w:rsid w:val="00023CEF"/>
    <w:rsid w:val="00042FA6"/>
    <w:rsid w:val="0005058A"/>
    <w:rsid w:val="00074355"/>
    <w:rsid w:val="0007517B"/>
    <w:rsid w:val="0008047E"/>
    <w:rsid w:val="000870C1"/>
    <w:rsid w:val="00095657"/>
    <w:rsid w:val="000956A5"/>
    <w:rsid w:val="000A659D"/>
    <w:rsid w:val="000B00B8"/>
    <w:rsid w:val="000B5AB7"/>
    <w:rsid w:val="000C574E"/>
    <w:rsid w:val="000C67A0"/>
    <w:rsid w:val="000E373F"/>
    <w:rsid w:val="000F2E6A"/>
    <w:rsid w:val="00100BAD"/>
    <w:rsid w:val="00101EA1"/>
    <w:rsid w:val="0010434E"/>
    <w:rsid w:val="001147F3"/>
    <w:rsid w:val="00115E92"/>
    <w:rsid w:val="00117CC6"/>
    <w:rsid w:val="00121271"/>
    <w:rsid w:val="00127589"/>
    <w:rsid w:val="00130DA1"/>
    <w:rsid w:val="001473A0"/>
    <w:rsid w:val="0015512B"/>
    <w:rsid w:val="00156D7B"/>
    <w:rsid w:val="00157585"/>
    <w:rsid w:val="001648D8"/>
    <w:rsid w:val="0017347E"/>
    <w:rsid w:val="00174D91"/>
    <w:rsid w:val="0018443D"/>
    <w:rsid w:val="0018571D"/>
    <w:rsid w:val="001A6325"/>
    <w:rsid w:val="001C4E5D"/>
    <w:rsid w:val="001D0A9B"/>
    <w:rsid w:val="001D2DCF"/>
    <w:rsid w:val="001E3801"/>
    <w:rsid w:val="001F3B09"/>
    <w:rsid w:val="00203FCB"/>
    <w:rsid w:val="002256FD"/>
    <w:rsid w:val="002401B9"/>
    <w:rsid w:val="00240551"/>
    <w:rsid w:val="00260303"/>
    <w:rsid w:val="0026179B"/>
    <w:rsid w:val="00271691"/>
    <w:rsid w:val="002724F4"/>
    <w:rsid w:val="00282B96"/>
    <w:rsid w:val="00294AA9"/>
    <w:rsid w:val="00297CFB"/>
    <w:rsid w:val="002A3B11"/>
    <w:rsid w:val="002C2FFB"/>
    <w:rsid w:val="002C7585"/>
    <w:rsid w:val="002E6ADA"/>
    <w:rsid w:val="002E7C67"/>
    <w:rsid w:val="002F0E7F"/>
    <w:rsid w:val="00302140"/>
    <w:rsid w:val="003141E8"/>
    <w:rsid w:val="003169B7"/>
    <w:rsid w:val="0032095E"/>
    <w:rsid w:val="00321573"/>
    <w:rsid w:val="003222D3"/>
    <w:rsid w:val="00323280"/>
    <w:rsid w:val="0032527D"/>
    <w:rsid w:val="00343FEC"/>
    <w:rsid w:val="00344436"/>
    <w:rsid w:val="00344820"/>
    <w:rsid w:val="0035081D"/>
    <w:rsid w:val="00352B30"/>
    <w:rsid w:val="00371050"/>
    <w:rsid w:val="00372029"/>
    <w:rsid w:val="0038299C"/>
    <w:rsid w:val="00390DF9"/>
    <w:rsid w:val="00394CE1"/>
    <w:rsid w:val="003B5D01"/>
    <w:rsid w:val="003C2D9A"/>
    <w:rsid w:val="003C3281"/>
    <w:rsid w:val="003E0B7A"/>
    <w:rsid w:val="003E5B4F"/>
    <w:rsid w:val="003F0DC5"/>
    <w:rsid w:val="003F169D"/>
    <w:rsid w:val="003F64A0"/>
    <w:rsid w:val="003F6D45"/>
    <w:rsid w:val="00401A70"/>
    <w:rsid w:val="00405077"/>
    <w:rsid w:val="004119A9"/>
    <w:rsid w:val="00412D1B"/>
    <w:rsid w:val="0042485E"/>
    <w:rsid w:val="00441CE6"/>
    <w:rsid w:val="0044261C"/>
    <w:rsid w:val="00480CBA"/>
    <w:rsid w:val="00481640"/>
    <w:rsid w:val="00486F3E"/>
    <w:rsid w:val="00495473"/>
    <w:rsid w:val="00496824"/>
    <w:rsid w:val="004A1307"/>
    <w:rsid w:val="004A716F"/>
    <w:rsid w:val="004C51B2"/>
    <w:rsid w:val="004C694B"/>
    <w:rsid w:val="004D098E"/>
    <w:rsid w:val="004D26D7"/>
    <w:rsid w:val="004E774F"/>
    <w:rsid w:val="004F2EC2"/>
    <w:rsid w:val="00501530"/>
    <w:rsid w:val="00512EB1"/>
    <w:rsid w:val="00513395"/>
    <w:rsid w:val="00514B50"/>
    <w:rsid w:val="00515E0C"/>
    <w:rsid w:val="00522DFA"/>
    <w:rsid w:val="005378FF"/>
    <w:rsid w:val="00537D76"/>
    <w:rsid w:val="0054673E"/>
    <w:rsid w:val="005569D0"/>
    <w:rsid w:val="00571330"/>
    <w:rsid w:val="00575034"/>
    <w:rsid w:val="00582C1A"/>
    <w:rsid w:val="0058543A"/>
    <w:rsid w:val="00593812"/>
    <w:rsid w:val="005A3A89"/>
    <w:rsid w:val="005A3E05"/>
    <w:rsid w:val="005A45F8"/>
    <w:rsid w:val="005A5928"/>
    <w:rsid w:val="005B4CE6"/>
    <w:rsid w:val="005B7B41"/>
    <w:rsid w:val="005D4120"/>
    <w:rsid w:val="005E04DB"/>
    <w:rsid w:val="005E12D4"/>
    <w:rsid w:val="005E33D5"/>
    <w:rsid w:val="005E3BFF"/>
    <w:rsid w:val="00600479"/>
    <w:rsid w:val="006061C9"/>
    <w:rsid w:val="00621392"/>
    <w:rsid w:val="0062211B"/>
    <w:rsid w:val="006238B2"/>
    <w:rsid w:val="00626D43"/>
    <w:rsid w:val="006278F3"/>
    <w:rsid w:val="006306DB"/>
    <w:rsid w:val="00644CA6"/>
    <w:rsid w:val="00651E00"/>
    <w:rsid w:val="006563B1"/>
    <w:rsid w:val="00656F0D"/>
    <w:rsid w:val="0067278B"/>
    <w:rsid w:val="00673B83"/>
    <w:rsid w:val="00675110"/>
    <w:rsid w:val="00681612"/>
    <w:rsid w:val="00681A7D"/>
    <w:rsid w:val="00693F95"/>
    <w:rsid w:val="006A065F"/>
    <w:rsid w:val="006A4823"/>
    <w:rsid w:val="006B5C0A"/>
    <w:rsid w:val="006C2BD7"/>
    <w:rsid w:val="006C3FD6"/>
    <w:rsid w:val="006D49FF"/>
    <w:rsid w:val="006D4D10"/>
    <w:rsid w:val="006E12F7"/>
    <w:rsid w:val="006F7A6F"/>
    <w:rsid w:val="0070005E"/>
    <w:rsid w:val="0070373E"/>
    <w:rsid w:val="00703A3F"/>
    <w:rsid w:val="00712EA2"/>
    <w:rsid w:val="007273BF"/>
    <w:rsid w:val="00742DEC"/>
    <w:rsid w:val="00743C10"/>
    <w:rsid w:val="0074488B"/>
    <w:rsid w:val="0075629C"/>
    <w:rsid w:val="00766FB0"/>
    <w:rsid w:val="0077699B"/>
    <w:rsid w:val="00790B87"/>
    <w:rsid w:val="00790F38"/>
    <w:rsid w:val="007963AC"/>
    <w:rsid w:val="007A1EA0"/>
    <w:rsid w:val="007A55C0"/>
    <w:rsid w:val="007B6AF6"/>
    <w:rsid w:val="007C18AF"/>
    <w:rsid w:val="007D68E4"/>
    <w:rsid w:val="007E26A4"/>
    <w:rsid w:val="007E2CE6"/>
    <w:rsid w:val="007F612E"/>
    <w:rsid w:val="00803F8D"/>
    <w:rsid w:val="00804453"/>
    <w:rsid w:val="00804D9C"/>
    <w:rsid w:val="0080603F"/>
    <w:rsid w:val="00806B6D"/>
    <w:rsid w:val="00830C38"/>
    <w:rsid w:val="00841852"/>
    <w:rsid w:val="0084600E"/>
    <w:rsid w:val="0085706C"/>
    <w:rsid w:val="00862960"/>
    <w:rsid w:val="00864455"/>
    <w:rsid w:val="00864F3A"/>
    <w:rsid w:val="008721B7"/>
    <w:rsid w:val="00873F85"/>
    <w:rsid w:val="00880CB4"/>
    <w:rsid w:val="00885F04"/>
    <w:rsid w:val="008A2F7E"/>
    <w:rsid w:val="008B295C"/>
    <w:rsid w:val="008B412D"/>
    <w:rsid w:val="008B52F7"/>
    <w:rsid w:val="008B6505"/>
    <w:rsid w:val="008C66D1"/>
    <w:rsid w:val="008D3D8E"/>
    <w:rsid w:val="008D7F35"/>
    <w:rsid w:val="008E6C87"/>
    <w:rsid w:val="008E70C9"/>
    <w:rsid w:val="00905232"/>
    <w:rsid w:val="00913B4F"/>
    <w:rsid w:val="00921003"/>
    <w:rsid w:val="00937C32"/>
    <w:rsid w:val="00940FDA"/>
    <w:rsid w:val="0094602A"/>
    <w:rsid w:val="00962836"/>
    <w:rsid w:val="00974B1A"/>
    <w:rsid w:val="00974CA3"/>
    <w:rsid w:val="00977DBC"/>
    <w:rsid w:val="009807F0"/>
    <w:rsid w:val="0098189D"/>
    <w:rsid w:val="00992C7B"/>
    <w:rsid w:val="00995BEE"/>
    <w:rsid w:val="009961C4"/>
    <w:rsid w:val="009A07F8"/>
    <w:rsid w:val="009A4369"/>
    <w:rsid w:val="009A4B79"/>
    <w:rsid w:val="009A7306"/>
    <w:rsid w:val="009B3BA7"/>
    <w:rsid w:val="009C280F"/>
    <w:rsid w:val="009C7E57"/>
    <w:rsid w:val="009E16E5"/>
    <w:rsid w:val="009F67E3"/>
    <w:rsid w:val="00A0231A"/>
    <w:rsid w:val="00A0304D"/>
    <w:rsid w:val="00A05A2B"/>
    <w:rsid w:val="00A276EC"/>
    <w:rsid w:val="00A30CD2"/>
    <w:rsid w:val="00A36850"/>
    <w:rsid w:val="00A446CD"/>
    <w:rsid w:val="00A44863"/>
    <w:rsid w:val="00A4651B"/>
    <w:rsid w:val="00A51160"/>
    <w:rsid w:val="00A51CB5"/>
    <w:rsid w:val="00A6358C"/>
    <w:rsid w:val="00A75B78"/>
    <w:rsid w:val="00A835AE"/>
    <w:rsid w:val="00A86C09"/>
    <w:rsid w:val="00A92603"/>
    <w:rsid w:val="00A92BD6"/>
    <w:rsid w:val="00AB3DE7"/>
    <w:rsid w:val="00AB7F8F"/>
    <w:rsid w:val="00AC6CDE"/>
    <w:rsid w:val="00AD164D"/>
    <w:rsid w:val="00AD2223"/>
    <w:rsid w:val="00AD4C3F"/>
    <w:rsid w:val="00AD5FED"/>
    <w:rsid w:val="00AE5B66"/>
    <w:rsid w:val="00AE5C5A"/>
    <w:rsid w:val="00AF0565"/>
    <w:rsid w:val="00B02A27"/>
    <w:rsid w:val="00B1043F"/>
    <w:rsid w:val="00B12966"/>
    <w:rsid w:val="00B13A38"/>
    <w:rsid w:val="00B1539B"/>
    <w:rsid w:val="00B24751"/>
    <w:rsid w:val="00B30A49"/>
    <w:rsid w:val="00B3469C"/>
    <w:rsid w:val="00B378C1"/>
    <w:rsid w:val="00B46DD8"/>
    <w:rsid w:val="00B5734A"/>
    <w:rsid w:val="00B6176C"/>
    <w:rsid w:val="00B64DBA"/>
    <w:rsid w:val="00B65907"/>
    <w:rsid w:val="00B661B2"/>
    <w:rsid w:val="00B70CCB"/>
    <w:rsid w:val="00B713D5"/>
    <w:rsid w:val="00B86B58"/>
    <w:rsid w:val="00B879B0"/>
    <w:rsid w:val="00B949F2"/>
    <w:rsid w:val="00BD01B0"/>
    <w:rsid w:val="00BE4E37"/>
    <w:rsid w:val="00BE4F8A"/>
    <w:rsid w:val="00BE7964"/>
    <w:rsid w:val="00BF0267"/>
    <w:rsid w:val="00BF542F"/>
    <w:rsid w:val="00C07431"/>
    <w:rsid w:val="00C10A6B"/>
    <w:rsid w:val="00C13D4A"/>
    <w:rsid w:val="00C72E26"/>
    <w:rsid w:val="00C86750"/>
    <w:rsid w:val="00C87E33"/>
    <w:rsid w:val="00C87F71"/>
    <w:rsid w:val="00CA0142"/>
    <w:rsid w:val="00CA2BBB"/>
    <w:rsid w:val="00CA75CF"/>
    <w:rsid w:val="00CC5FA2"/>
    <w:rsid w:val="00CD1065"/>
    <w:rsid w:val="00CD21DF"/>
    <w:rsid w:val="00CD2F8D"/>
    <w:rsid w:val="00CE6A54"/>
    <w:rsid w:val="00CF5662"/>
    <w:rsid w:val="00D003DD"/>
    <w:rsid w:val="00D06355"/>
    <w:rsid w:val="00D10C02"/>
    <w:rsid w:val="00D124DC"/>
    <w:rsid w:val="00D23DCA"/>
    <w:rsid w:val="00D27E3C"/>
    <w:rsid w:val="00D305F0"/>
    <w:rsid w:val="00D339D3"/>
    <w:rsid w:val="00D37230"/>
    <w:rsid w:val="00D404C7"/>
    <w:rsid w:val="00D4298C"/>
    <w:rsid w:val="00D44C96"/>
    <w:rsid w:val="00D46983"/>
    <w:rsid w:val="00D5446E"/>
    <w:rsid w:val="00D55C71"/>
    <w:rsid w:val="00D65761"/>
    <w:rsid w:val="00D672C5"/>
    <w:rsid w:val="00D758BB"/>
    <w:rsid w:val="00D86E9F"/>
    <w:rsid w:val="00D86F19"/>
    <w:rsid w:val="00D942BA"/>
    <w:rsid w:val="00D95292"/>
    <w:rsid w:val="00DA6328"/>
    <w:rsid w:val="00DB3BEE"/>
    <w:rsid w:val="00DB497D"/>
    <w:rsid w:val="00DC1CD7"/>
    <w:rsid w:val="00DC2793"/>
    <w:rsid w:val="00DD677E"/>
    <w:rsid w:val="00DD6D58"/>
    <w:rsid w:val="00DE0706"/>
    <w:rsid w:val="00DF3AF7"/>
    <w:rsid w:val="00DF4240"/>
    <w:rsid w:val="00E0001D"/>
    <w:rsid w:val="00E01CB9"/>
    <w:rsid w:val="00E0281C"/>
    <w:rsid w:val="00E06263"/>
    <w:rsid w:val="00E10A9D"/>
    <w:rsid w:val="00E2180B"/>
    <w:rsid w:val="00E2194C"/>
    <w:rsid w:val="00E23F58"/>
    <w:rsid w:val="00E304B4"/>
    <w:rsid w:val="00E36ECA"/>
    <w:rsid w:val="00E450FA"/>
    <w:rsid w:val="00E554A1"/>
    <w:rsid w:val="00E60DE1"/>
    <w:rsid w:val="00E65B94"/>
    <w:rsid w:val="00E710D0"/>
    <w:rsid w:val="00E858B0"/>
    <w:rsid w:val="00E941F7"/>
    <w:rsid w:val="00EC2867"/>
    <w:rsid w:val="00EC5DB4"/>
    <w:rsid w:val="00ED0F16"/>
    <w:rsid w:val="00ED47EF"/>
    <w:rsid w:val="00F04F1F"/>
    <w:rsid w:val="00F057F4"/>
    <w:rsid w:val="00F15C15"/>
    <w:rsid w:val="00F24D54"/>
    <w:rsid w:val="00F31BD1"/>
    <w:rsid w:val="00F31E86"/>
    <w:rsid w:val="00F34E4D"/>
    <w:rsid w:val="00F35ABF"/>
    <w:rsid w:val="00F40B86"/>
    <w:rsid w:val="00F73188"/>
    <w:rsid w:val="00F73AA5"/>
    <w:rsid w:val="00F80B23"/>
    <w:rsid w:val="00F811D1"/>
    <w:rsid w:val="00F850F2"/>
    <w:rsid w:val="00F86028"/>
    <w:rsid w:val="00FA7E6E"/>
    <w:rsid w:val="00FB1A89"/>
    <w:rsid w:val="00FB4F00"/>
    <w:rsid w:val="00FE7F16"/>
    <w:rsid w:val="00FF376A"/>
  </w:rsids>
  <m:mathPr>
    <m:mathFont m:val="Cambria Math"/>
    <m:brkBin m:val="before"/>
    <m:brkBinSub m:val="--"/>
    <m:smallFrac m:val="0"/>
    <m:dispDef/>
    <m:lMargin m:val="0"/>
    <m:rMargin m:val="0"/>
    <m:defJc m:val="center"/>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ABE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4A"/>
  </w:style>
  <w:style w:type="paragraph" w:styleId="Heading1">
    <w:name w:val="heading 1"/>
    <w:basedOn w:val="Normal"/>
    <w:link w:val="Heading1Char"/>
    <w:uiPriority w:val="9"/>
    <w:qFormat/>
    <w:rsid w:val="0015512B"/>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5734A"/>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B5734A"/>
    <w:rPr>
      <w:rFonts w:ascii="Calibri" w:hAnsi="Calibri" w:cs="Calibri"/>
      <w:lang w:val="en-US"/>
    </w:rPr>
  </w:style>
  <w:style w:type="paragraph" w:customStyle="1" w:styleId="EndNoteBibliography">
    <w:name w:val="EndNote Bibliography"/>
    <w:basedOn w:val="Normal"/>
    <w:link w:val="EndNoteBibliographyChar"/>
    <w:rsid w:val="00B5734A"/>
    <w:rPr>
      <w:rFonts w:ascii="Calibri" w:hAnsi="Calibri" w:cs="Calibri"/>
      <w:lang w:val="en-US"/>
    </w:rPr>
  </w:style>
  <w:style w:type="character" w:customStyle="1" w:styleId="EndNoteBibliographyChar">
    <w:name w:val="EndNote Bibliography Char"/>
    <w:basedOn w:val="DefaultParagraphFont"/>
    <w:link w:val="EndNoteBibliography"/>
    <w:rsid w:val="00B5734A"/>
    <w:rPr>
      <w:rFonts w:ascii="Calibri" w:hAnsi="Calibri" w:cs="Calibri"/>
      <w:lang w:val="en-US"/>
    </w:rPr>
  </w:style>
  <w:style w:type="character" w:styleId="Hyperlink">
    <w:name w:val="Hyperlink"/>
    <w:basedOn w:val="DefaultParagraphFont"/>
    <w:uiPriority w:val="99"/>
    <w:unhideWhenUsed/>
    <w:rsid w:val="00B5734A"/>
    <w:rPr>
      <w:color w:val="0563C1" w:themeColor="hyperlink"/>
      <w:u w:val="single"/>
    </w:rPr>
  </w:style>
  <w:style w:type="character" w:customStyle="1" w:styleId="UnresolvedMention1">
    <w:name w:val="Unresolved Mention1"/>
    <w:basedOn w:val="DefaultParagraphFont"/>
    <w:uiPriority w:val="99"/>
    <w:semiHidden/>
    <w:unhideWhenUsed/>
    <w:rsid w:val="00B5734A"/>
    <w:rPr>
      <w:color w:val="605E5C"/>
      <w:shd w:val="clear" w:color="auto" w:fill="E1DFDD"/>
    </w:rPr>
  </w:style>
  <w:style w:type="character" w:styleId="CommentReference">
    <w:name w:val="annotation reference"/>
    <w:basedOn w:val="DefaultParagraphFont"/>
    <w:uiPriority w:val="99"/>
    <w:semiHidden/>
    <w:unhideWhenUsed/>
    <w:rsid w:val="0015512B"/>
    <w:rPr>
      <w:sz w:val="16"/>
      <w:szCs w:val="16"/>
    </w:rPr>
  </w:style>
  <w:style w:type="paragraph" w:styleId="CommentText">
    <w:name w:val="annotation text"/>
    <w:basedOn w:val="Normal"/>
    <w:link w:val="CommentTextChar"/>
    <w:uiPriority w:val="99"/>
    <w:unhideWhenUsed/>
    <w:rsid w:val="0015512B"/>
    <w:rPr>
      <w:sz w:val="20"/>
      <w:szCs w:val="20"/>
    </w:rPr>
  </w:style>
  <w:style w:type="character" w:customStyle="1" w:styleId="CommentTextChar">
    <w:name w:val="Comment Text Char"/>
    <w:basedOn w:val="DefaultParagraphFont"/>
    <w:link w:val="CommentText"/>
    <w:uiPriority w:val="99"/>
    <w:rsid w:val="0015512B"/>
    <w:rPr>
      <w:sz w:val="20"/>
      <w:szCs w:val="20"/>
    </w:rPr>
  </w:style>
  <w:style w:type="paragraph" w:styleId="CommentSubject">
    <w:name w:val="annotation subject"/>
    <w:basedOn w:val="CommentText"/>
    <w:next w:val="CommentText"/>
    <w:link w:val="CommentSubjectChar"/>
    <w:uiPriority w:val="99"/>
    <w:semiHidden/>
    <w:unhideWhenUsed/>
    <w:rsid w:val="0015512B"/>
    <w:rPr>
      <w:b/>
      <w:bCs/>
    </w:rPr>
  </w:style>
  <w:style w:type="character" w:customStyle="1" w:styleId="CommentSubjectChar">
    <w:name w:val="Comment Subject Char"/>
    <w:basedOn w:val="CommentTextChar"/>
    <w:link w:val="CommentSubject"/>
    <w:uiPriority w:val="99"/>
    <w:semiHidden/>
    <w:rsid w:val="0015512B"/>
    <w:rPr>
      <w:b/>
      <w:bCs/>
      <w:sz w:val="20"/>
      <w:szCs w:val="20"/>
    </w:rPr>
  </w:style>
  <w:style w:type="paragraph" w:styleId="BalloonText">
    <w:name w:val="Balloon Text"/>
    <w:basedOn w:val="Normal"/>
    <w:link w:val="BalloonTextChar"/>
    <w:uiPriority w:val="99"/>
    <w:semiHidden/>
    <w:unhideWhenUsed/>
    <w:rsid w:val="00155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2B"/>
    <w:rPr>
      <w:rFonts w:ascii="Segoe UI" w:hAnsi="Segoe UI" w:cs="Segoe UI"/>
      <w:sz w:val="18"/>
      <w:szCs w:val="18"/>
    </w:rPr>
  </w:style>
  <w:style w:type="character" w:customStyle="1" w:styleId="Heading1Char">
    <w:name w:val="Heading 1 Char"/>
    <w:basedOn w:val="DefaultParagraphFont"/>
    <w:link w:val="Heading1"/>
    <w:uiPriority w:val="9"/>
    <w:rsid w:val="0015512B"/>
    <w:rPr>
      <w:rFonts w:ascii="Times New Roman" w:eastAsia="Times New Roman" w:hAnsi="Times New Roman" w:cs="Times New Roman"/>
      <w:b/>
      <w:bCs/>
      <w:kern w:val="36"/>
      <w:sz w:val="48"/>
      <w:szCs w:val="48"/>
      <w:lang w:val="sv-SE" w:eastAsia="sv-SE"/>
    </w:rPr>
  </w:style>
  <w:style w:type="paragraph" w:styleId="Revision">
    <w:name w:val="Revision"/>
    <w:hidden/>
    <w:uiPriority w:val="99"/>
    <w:semiHidden/>
    <w:rsid w:val="00C87E33"/>
  </w:style>
  <w:style w:type="character" w:styleId="PlaceholderText">
    <w:name w:val="Placeholder Text"/>
    <w:basedOn w:val="DefaultParagraphFont"/>
    <w:uiPriority w:val="99"/>
    <w:semiHidden/>
    <w:rsid w:val="001648D8"/>
    <w:rPr>
      <w:color w:val="808080"/>
    </w:rPr>
  </w:style>
  <w:style w:type="table" w:styleId="TableGrid">
    <w:name w:val="Table Grid"/>
    <w:basedOn w:val="TableNormal"/>
    <w:uiPriority w:val="39"/>
    <w:rsid w:val="0008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40B86"/>
    <w:rPr>
      <w:color w:val="605E5C"/>
      <w:shd w:val="clear" w:color="auto" w:fill="E1DFDD"/>
    </w:rPr>
  </w:style>
  <w:style w:type="paragraph" w:styleId="Header">
    <w:name w:val="header"/>
    <w:basedOn w:val="Normal"/>
    <w:link w:val="HeaderChar"/>
    <w:uiPriority w:val="99"/>
    <w:unhideWhenUsed/>
    <w:rsid w:val="00974B1A"/>
    <w:pPr>
      <w:tabs>
        <w:tab w:val="center" w:pos="4536"/>
        <w:tab w:val="right" w:pos="9072"/>
      </w:tabs>
    </w:pPr>
  </w:style>
  <w:style w:type="character" w:customStyle="1" w:styleId="HeaderChar">
    <w:name w:val="Header Char"/>
    <w:basedOn w:val="DefaultParagraphFont"/>
    <w:link w:val="Header"/>
    <w:uiPriority w:val="99"/>
    <w:rsid w:val="00974B1A"/>
  </w:style>
  <w:style w:type="paragraph" w:styleId="Footer">
    <w:name w:val="footer"/>
    <w:basedOn w:val="Normal"/>
    <w:link w:val="FooterChar"/>
    <w:uiPriority w:val="99"/>
    <w:unhideWhenUsed/>
    <w:rsid w:val="00974B1A"/>
    <w:pPr>
      <w:tabs>
        <w:tab w:val="center" w:pos="4536"/>
        <w:tab w:val="right" w:pos="9072"/>
      </w:tabs>
    </w:pPr>
  </w:style>
  <w:style w:type="character" w:customStyle="1" w:styleId="FooterChar">
    <w:name w:val="Footer Char"/>
    <w:basedOn w:val="DefaultParagraphFont"/>
    <w:link w:val="Footer"/>
    <w:uiPriority w:val="99"/>
    <w:rsid w:val="0097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295442">
      <w:bodyDiv w:val="1"/>
      <w:marLeft w:val="0"/>
      <w:marRight w:val="0"/>
      <w:marTop w:val="0"/>
      <w:marBottom w:val="0"/>
      <w:divBdr>
        <w:top w:val="none" w:sz="0" w:space="0" w:color="auto"/>
        <w:left w:val="none" w:sz="0" w:space="0" w:color="auto"/>
        <w:bottom w:val="none" w:sz="0" w:space="0" w:color="auto"/>
        <w:right w:val="none" w:sz="0" w:space="0" w:color="auto"/>
      </w:divBdr>
      <w:divsChild>
        <w:div w:id="1159612303">
          <w:marLeft w:val="225"/>
          <w:marRight w:val="0"/>
          <w:marTop w:val="0"/>
          <w:marBottom w:val="0"/>
          <w:divBdr>
            <w:top w:val="none" w:sz="0" w:space="0" w:color="auto"/>
            <w:left w:val="none" w:sz="0" w:space="0" w:color="auto"/>
            <w:bottom w:val="none" w:sz="0" w:space="0" w:color="auto"/>
            <w:right w:val="none" w:sz="0" w:space="0" w:color="auto"/>
          </w:divBdr>
        </w:div>
      </w:divsChild>
    </w:div>
    <w:div w:id="1442922065">
      <w:bodyDiv w:val="1"/>
      <w:marLeft w:val="0"/>
      <w:marRight w:val="0"/>
      <w:marTop w:val="0"/>
      <w:marBottom w:val="0"/>
      <w:divBdr>
        <w:top w:val="none" w:sz="0" w:space="0" w:color="auto"/>
        <w:left w:val="none" w:sz="0" w:space="0" w:color="auto"/>
        <w:bottom w:val="none" w:sz="0" w:space="0" w:color="auto"/>
        <w:right w:val="none" w:sz="0" w:space="0" w:color="auto"/>
      </w:divBdr>
      <w:divsChild>
        <w:div w:id="1566841406">
          <w:marLeft w:val="225"/>
          <w:marRight w:val="0"/>
          <w:marTop w:val="0"/>
          <w:marBottom w:val="0"/>
          <w:divBdr>
            <w:top w:val="none" w:sz="0" w:space="0" w:color="auto"/>
            <w:left w:val="none" w:sz="0" w:space="0" w:color="auto"/>
            <w:bottom w:val="none" w:sz="0" w:space="0" w:color="auto"/>
            <w:right w:val="none" w:sz="0" w:space="0" w:color="auto"/>
          </w:divBdr>
        </w:div>
      </w:divsChild>
    </w:div>
    <w:div w:id="15230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2432</Words>
  <Characters>12894</Characters>
  <Application>Microsoft Office Word</Application>
  <DocSecurity>0</DocSecurity>
  <Lines>107</Lines>
  <Paragraphs>30</Paragraphs>
  <ScaleCrop>false</ScaleCrop>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2024-05-28T11:59:00Z</dcterms:created>
  <dcterms:modified xsi:type="dcterms:W3CDTF">2024-05-28T11:59:00Z</dcterms:modified>
</cp:coreProperties>
</file>