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C708E" w14:textId="35417613" w:rsidR="00000EE4" w:rsidRPr="00BB4F96" w:rsidRDefault="00000EE4" w:rsidP="00000EE4">
      <w:pPr>
        <w:jc w:val="center"/>
        <w:rPr>
          <w:rFonts w:ascii="Arial" w:hAnsi="Arial" w:cs="Arial"/>
          <w:b/>
          <w:sz w:val="28"/>
          <w:szCs w:val="28"/>
        </w:rPr>
      </w:pPr>
      <w:r w:rsidRPr="00BB4F96">
        <w:rPr>
          <w:rFonts w:ascii="Arial" w:hAnsi="Arial" w:cs="Arial"/>
          <w:b/>
          <w:sz w:val="28"/>
          <w:szCs w:val="28"/>
        </w:rPr>
        <w:t>Supplementary M</w:t>
      </w:r>
      <w:r w:rsidR="00585B20">
        <w:rPr>
          <w:rFonts w:ascii="Arial" w:hAnsi="Arial" w:cs="Arial"/>
          <w:b/>
          <w:sz w:val="28"/>
          <w:szCs w:val="28"/>
        </w:rPr>
        <w:t>ethod</w:t>
      </w:r>
      <w:r w:rsidRPr="00BB4F96">
        <w:rPr>
          <w:rFonts w:ascii="Arial" w:hAnsi="Arial" w:cs="Arial"/>
          <w:b/>
          <w:sz w:val="28"/>
          <w:szCs w:val="28"/>
        </w:rPr>
        <w:t>s for</w:t>
      </w:r>
    </w:p>
    <w:p w14:paraId="3AD6B806" w14:textId="77777777" w:rsidR="00000EE4" w:rsidRDefault="00000EE4" w:rsidP="00000EE4"/>
    <w:p w14:paraId="5A5EA01C" w14:textId="77777777" w:rsidR="00000EE4" w:rsidRPr="00BB4F96" w:rsidRDefault="00000EE4" w:rsidP="00000EE4">
      <w:pPr>
        <w:pStyle w:val="ListParagraph"/>
        <w:autoSpaceDE w:val="0"/>
        <w:autoSpaceDN w:val="0"/>
        <w:adjustRightInd w:val="0"/>
        <w:spacing w:line="480" w:lineRule="auto"/>
        <w:jc w:val="center"/>
        <w:rPr>
          <w:rFonts w:ascii="Arial" w:hAnsi="Arial" w:cs="Arial"/>
          <w:b/>
          <w:bCs/>
          <w:szCs w:val="24"/>
        </w:rPr>
      </w:pPr>
      <w:r w:rsidRPr="00BB4F96">
        <w:rPr>
          <w:rFonts w:ascii="Arial" w:hAnsi="Arial" w:cs="Arial"/>
          <w:b/>
          <w:bCs/>
          <w:szCs w:val="24"/>
        </w:rPr>
        <w:t>Cannabinoids modulate the microbiota-gut-brain axis in HIV/SIV infection through reducing neuroinflammation and dysbiosis while concurrently elevating endocannabinoid and indole-3-propionate levels</w:t>
      </w:r>
    </w:p>
    <w:p w14:paraId="7B313B85" w14:textId="77777777" w:rsidR="00000EE4" w:rsidRPr="007108F5" w:rsidRDefault="00000EE4" w:rsidP="00000EE4">
      <w:pPr>
        <w:jc w:val="center"/>
        <w:rPr>
          <w:sz w:val="28"/>
          <w:szCs w:val="28"/>
        </w:rPr>
      </w:pPr>
    </w:p>
    <w:p w14:paraId="2AC545FE" w14:textId="3106DDEF" w:rsidR="00000EE4" w:rsidRPr="002E36AC" w:rsidRDefault="00000EE4" w:rsidP="00000EE4">
      <w:pPr>
        <w:autoSpaceDE w:val="0"/>
        <w:autoSpaceDN w:val="0"/>
        <w:adjustRightInd w:val="0"/>
        <w:spacing w:line="480" w:lineRule="auto"/>
        <w:jc w:val="both"/>
        <w:rPr>
          <w:rFonts w:ascii="Arial" w:hAnsi="Arial" w:cs="Arial"/>
          <w:color w:val="000000"/>
          <w:sz w:val="22"/>
          <w:szCs w:val="22"/>
        </w:rPr>
      </w:pPr>
      <w:r w:rsidRPr="002E36AC">
        <w:rPr>
          <w:rFonts w:ascii="Arial" w:hAnsi="Arial" w:cs="Arial"/>
          <w:color w:val="000000"/>
          <w:sz w:val="22"/>
          <w:szCs w:val="22"/>
        </w:rPr>
        <w:t>Marina</w:t>
      </w:r>
      <w:r w:rsidR="008C4D7F">
        <w:rPr>
          <w:rFonts w:ascii="Arial" w:hAnsi="Arial" w:cs="Arial"/>
          <w:color w:val="000000"/>
          <w:sz w:val="22"/>
          <w:szCs w:val="22"/>
        </w:rPr>
        <w:t xml:space="preserve"> </w:t>
      </w:r>
      <w:r w:rsidRPr="002E36AC">
        <w:rPr>
          <w:rFonts w:ascii="Arial" w:hAnsi="Arial" w:cs="Arial"/>
          <w:color w:val="000000"/>
          <w:sz w:val="22"/>
          <w:szCs w:val="22"/>
        </w:rPr>
        <w:t>McDew</w:t>
      </w:r>
      <w:r w:rsidR="008C4D7F">
        <w:rPr>
          <w:rFonts w:ascii="Arial" w:hAnsi="Arial" w:cs="Arial"/>
          <w:color w:val="000000"/>
          <w:sz w:val="22"/>
          <w:szCs w:val="22"/>
        </w:rPr>
        <w:t>-</w:t>
      </w:r>
      <w:r w:rsidRPr="002E36AC">
        <w:rPr>
          <w:rFonts w:ascii="Arial" w:hAnsi="Arial" w:cs="Arial"/>
          <w:color w:val="000000"/>
          <w:sz w:val="22"/>
          <w:szCs w:val="22"/>
        </w:rPr>
        <w:t xml:space="preserve">White, Eunhee Lee, Lakmini </w:t>
      </w:r>
      <w:r w:rsidR="008C4D7F">
        <w:rPr>
          <w:rFonts w:ascii="Arial" w:hAnsi="Arial" w:cs="Arial"/>
          <w:color w:val="000000"/>
          <w:sz w:val="22"/>
          <w:szCs w:val="22"/>
        </w:rPr>
        <w:t xml:space="preserve">S. </w:t>
      </w:r>
      <w:r w:rsidRPr="002E36AC">
        <w:rPr>
          <w:rFonts w:ascii="Arial" w:hAnsi="Arial" w:cs="Arial"/>
          <w:color w:val="000000"/>
          <w:sz w:val="22"/>
          <w:szCs w:val="22"/>
        </w:rPr>
        <w:t>Premadas</w:t>
      </w:r>
      <w:r>
        <w:rPr>
          <w:rFonts w:ascii="Arial" w:hAnsi="Arial" w:cs="Arial"/>
          <w:color w:val="000000"/>
          <w:sz w:val="22"/>
          <w:szCs w:val="22"/>
        </w:rPr>
        <w:t>a</w:t>
      </w:r>
      <w:r w:rsidRPr="002E36AC">
        <w:rPr>
          <w:rFonts w:ascii="Arial" w:hAnsi="Arial" w:cs="Arial"/>
          <w:color w:val="000000"/>
          <w:sz w:val="22"/>
          <w:szCs w:val="22"/>
        </w:rPr>
        <w:t xml:space="preserve">, Xavier Alvarez, </w:t>
      </w:r>
      <w:r w:rsidR="00222F7A">
        <w:rPr>
          <w:rFonts w:ascii="Arial" w:hAnsi="Arial" w:cs="Arial"/>
          <w:color w:val="000000"/>
          <w:sz w:val="22"/>
          <w:szCs w:val="22"/>
        </w:rPr>
        <w:t>Chioma M</w:t>
      </w:r>
      <w:r w:rsidR="008C4D7F">
        <w:rPr>
          <w:rFonts w:ascii="Arial" w:hAnsi="Arial" w:cs="Arial"/>
          <w:color w:val="000000"/>
          <w:sz w:val="22"/>
          <w:szCs w:val="22"/>
        </w:rPr>
        <w:t>.</w:t>
      </w:r>
      <w:bookmarkStart w:id="0" w:name="_GoBack"/>
      <w:bookmarkEnd w:id="0"/>
      <w:r w:rsidR="00222F7A">
        <w:rPr>
          <w:rFonts w:ascii="Arial" w:hAnsi="Arial" w:cs="Arial"/>
          <w:color w:val="000000"/>
          <w:sz w:val="22"/>
          <w:szCs w:val="22"/>
        </w:rPr>
        <w:t xml:space="preserve"> Okeoma, </w:t>
      </w:r>
      <w:r w:rsidRPr="002E36AC">
        <w:rPr>
          <w:rFonts w:ascii="Arial" w:hAnsi="Arial" w:cs="Arial"/>
          <w:color w:val="000000"/>
          <w:sz w:val="22"/>
          <w:szCs w:val="22"/>
        </w:rPr>
        <w:t xml:space="preserve">Mahesh Mohan </w:t>
      </w:r>
    </w:p>
    <w:p w14:paraId="6D1AF1AB" w14:textId="77777777" w:rsidR="00000EE4" w:rsidRPr="0041260C" w:rsidRDefault="00000EE4" w:rsidP="00000EE4">
      <w:pPr>
        <w:jc w:val="center"/>
        <w:rPr>
          <w:rFonts w:ascii="Arial" w:hAnsi="Arial" w:cs="Arial"/>
          <w:sz w:val="22"/>
          <w:szCs w:val="22"/>
        </w:rPr>
      </w:pPr>
    </w:p>
    <w:p w14:paraId="3DB62981" w14:textId="77777777" w:rsidR="00000EE4" w:rsidRPr="0041260C" w:rsidRDefault="00000EE4" w:rsidP="00000EE4">
      <w:pPr>
        <w:jc w:val="center"/>
        <w:rPr>
          <w:rFonts w:ascii="Arial" w:hAnsi="Arial" w:cs="Arial"/>
          <w:sz w:val="22"/>
          <w:szCs w:val="22"/>
        </w:rPr>
      </w:pPr>
      <w:r w:rsidRPr="0041260C">
        <w:rPr>
          <w:rFonts w:ascii="Arial" w:hAnsi="Arial" w:cs="Arial"/>
          <w:sz w:val="22"/>
          <w:szCs w:val="22"/>
        </w:rPr>
        <w:t xml:space="preserve">*Corresponding author. Email: </w:t>
      </w:r>
      <w:hyperlink r:id="rId7" w:history="1">
        <w:r w:rsidRPr="0041260C">
          <w:rPr>
            <w:rStyle w:val="Hyperlink"/>
            <w:rFonts w:ascii="Arial" w:hAnsi="Arial" w:cs="Arial"/>
            <w:sz w:val="22"/>
            <w:szCs w:val="22"/>
          </w:rPr>
          <w:t>mmohan@txbiomed.org</w:t>
        </w:r>
      </w:hyperlink>
    </w:p>
    <w:p w14:paraId="1063016C" w14:textId="77777777" w:rsidR="00000EE4" w:rsidRDefault="00000EE4" w:rsidP="00000EE4">
      <w:pPr>
        <w:pStyle w:val="PubInfo"/>
      </w:pPr>
    </w:p>
    <w:p w14:paraId="413A519E" w14:textId="77777777" w:rsidR="00000EE4" w:rsidRPr="00EE59BE" w:rsidRDefault="00000EE4" w:rsidP="00000EE4">
      <w:pPr>
        <w:jc w:val="center"/>
      </w:pPr>
    </w:p>
    <w:p w14:paraId="7559FBE1" w14:textId="77777777" w:rsidR="00000EE4" w:rsidRDefault="00000EE4" w:rsidP="00000EE4">
      <w:pPr>
        <w:jc w:val="center"/>
        <w:rPr>
          <w:szCs w:val="24"/>
        </w:rPr>
      </w:pPr>
    </w:p>
    <w:p w14:paraId="1820CCA5" w14:textId="77777777" w:rsidR="00000EE4" w:rsidRDefault="00000EE4" w:rsidP="00000EE4"/>
    <w:p w14:paraId="3D578A9E" w14:textId="77777777" w:rsidR="00000EE4" w:rsidRDefault="00000EE4" w:rsidP="00000EE4">
      <w:pPr>
        <w:rPr>
          <w:b/>
        </w:rPr>
      </w:pPr>
    </w:p>
    <w:p w14:paraId="626D9D79" w14:textId="77777777" w:rsidR="00000EE4" w:rsidRPr="005854B6" w:rsidRDefault="00000EE4" w:rsidP="00000EE4">
      <w:pPr>
        <w:rPr>
          <w:rFonts w:ascii="Arial" w:hAnsi="Arial" w:cs="Arial"/>
          <w:b/>
        </w:rPr>
      </w:pPr>
      <w:r w:rsidRPr="005854B6">
        <w:rPr>
          <w:rFonts w:ascii="Arial" w:hAnsi="Arial" w:cs="Arial"/>
          <w:b/>
        </w:rPr>
        <w:t>This PDF file includes:</w:t>
      </w:r>
    </w:p>
    <w:p w14:paraId="223F0F23" w14:textId="77777777" w:rsidR="00000EE4" w:rsidRPr="005854B6" w:rsidRDefault="00000EE4" w:rsidP="00000EE4">
      <w:pPr>
        <w:rPr>
          <w:rFonts w:ascii="Arial" w:hAnsi="Arial" w:cs="Arial"/>
        </w:rPr>
      </w:pPr>
    </w:p>
    <w:p w14:paraId="683485EF" w14:textId="77777777" w:rsidR="00000EE4" w:rsidRPr="005854B6" w:rsidRDefault="00000EE4" w:rsidP="00000EE4">
      <w:pPr>
        <w:ind w:left="720"/>
        <w:rPr>
          <w:rFonts w:ascii="Arial" w:hAnsi="Arial" w:cs="Arial"/>
        </w:rPr>
      </w:pPr>
      <w:r w:rsidRPr="005854B6">
        <w:rPr>
          <w:rFonts w:ascii="Arial" w:hAnsi="Arial" w:cs="Arial"/>
        </w:rPr>
        <w:t>Supplementary Text- Methods</w:t>
      </w:r>
    </w:p>
    <w:p w14:paraId="22E9662B" w14:textId="77777777" w:rsidR="00000EE4" w:rsidRDefault="00000EE4" w:rsidP="00000EE4">
      <w:pPr>
        <w:ind w:left="720"/>
      </w:pPr>
      <w:r>
        <w:br/>
      </w:r>
    </w:p>
    <w:p w14:paraId="6F0146F3" w14:textId="77777777" w:rsidR="00000EE4" w:rsidRDefault="00000EE4" w:rsidP="00000EE4">
      <w:pPr>
        <w:pStyle w:val="SMHeading"/>
      </w:pPr>
      <w:r>
        <w:br w:type="page"/>
      </w:r>
      <w:bookmarkStart w:id="1" w:name="Tables"/>
      <w:bookmarkStart w:id="2" w:name="MaterialsMethods"/>
      <w:bookmarkEnd w:id="1"/>
      <w:bookmarkEnd w:id="2"/>
    </w:p>
    <w:p w14:paraId="1F0BD57C" w14:textId="77777777" w:rsidR="00000EE4" w:rsidRPr="0041260C" w:rsidRDefault="00000EE4" w:rsidP="00000EE4">
      <w:pPr>
        <w:pStyle w:val="SMHeading"/>
        <w:rPr>
          <w:rFonts w:ascii="Arial" w:hAnsi="Arial" w:cs="Arial"/>
        </w:rPr>
      </w:pPr>
      <w:r w:rsidRPr="0041260C">
        <w:rPr>
          <w:rFonts w:ascii="Arial" w:hAnsi="Arial" w:cs="Arial"/>
        </w:rPr>
        <w:lastRenderedPageBreak/>
        <w:t>Supplementary Text</w:t>
      </w:r>
    </w:p>
    <w:p w14:paraId="2409BD9B" w14:textId="77777777" w:rsidR="00000EE4" w:rsidRDefault="00000EE4" w:rsidP="00000EE4">
      <w:pPr>
        <w:pStyle w:val="SMSubheading"/>
      </w:pPr>
    </w:p>
    <w:p w14:paraId="24BBA8B2" w14:textId="77777777" w:rsidR="00000EE4" w:rsidRDefault="00000EE4" w:rsidP="00000EE4">
      <w:pPr>
        <w:pStyle w:val="MDPI22heading2"/>
        <w:spacing w:before="0" w:after="0" w:line="480" w:lineRule="auto"/>
        <w:rPr>
          <w:rFonts w:ascii="Arial" w:hAnsi="Arial" w:cs="Arial"/>
          <w:b/>
          <w:i w:val="0"/>
          <w:sz w:val="22"/>
        </w:rPr>
      </w:pPr>
      <w:bookmarkStart w:id="3" w:name="_Hlk105361952"/>
    </w:p>
    <w:p w14:paraId="4E436FC8" w14:textId="77777777" w:rsidR="00000EE4" w:rsidRPr="00C30ECC" w:rsidRDefault="00000EE4" w:rsidP="00445EE2">
      <w:pPr>
        <w:pStyle w:val="MDPI22heading2"/>
        <w:spacing w:before="0" w:after="0" w:line="480" w:lineRule="auto"/>
        <w:jc w:val="both"/>
        <w:rPr>
          <w:rFonts w:ascii="Arial" w:hAnsi="Arial" w:cs="Arial"/>
          <w:b/>
          <w:i w:val="0"/>
          <w:sz w:val="22"/>
        </w:rPr>
      </w:pPr>
      <w:r>
        <w:rPr>
          <w:rFonts w:ascii="Arial" w:hAnsi="Arial" w:cs="Arial"/>
          <w:b/>
          <w:i w:val="0"/>
          <w:sz w:val="22"/>
        </w:rPr>
        <w:t>Additional explanatory text for</w:t>
      </w:r>
      <w:r w:rsidRPr="00C30ECC">
        <w:rPr>
          <w:rFonts w:ascii="Arial" w:hAnsi="Arial" w:cs="Arial"/>
          <w:b/>
          <w:i w:val="0"/>
          <w:sz w:val="22"/>
        </w:rPr>
        <w:t xml:space="preserve"> Methods</w:t>
      </w:r>
    </w:p>
    <w:p w14:paraId="0C243190" w14:textId="77777777" w:rsidR="00000EE4" w:rsidRPr="0041260C" w:rsidRDefault="00000EE4" w:rsidP="00445EE2">
      <w:pPr>
        <w:pStyle w:val="MDPI22heading2"/>
        <w:spacing w:before="0" w:after="0" w:line="480" w:lineRule="auto"/>
        <w:jc w:val="both"/>
        <w:rPr>
          <w:rFonts w:ascii="Arial" w:hAnsi="Arial" w:cs="Arial"/>
          <w:i w:val="0"/>
          <w:sz w:val="22"/>
        </w:rPr>
      </w:pPr>
    </w:p>
    <w:p w14:paraId="638E15FC" w14:textId="77777777" w:rsidR="00000EE4" w:rsidRPr="0041260C" w:rsidRDefault="00000EE4" w:rsidP="00445EE2">
      <w:pPr>
        <w:pStyle w:val="MDPI22heading2"/>
        <w:spacing w:before="0" w:after="0" w:line="480" w:lineRule="auto"/>
        <w:jc w:val="both"/>
        <w:rPr>
          <w:rFonts w:ascii="Arial" w:hAnsi="Arial" w:cs="Arial"/>
          <w:sz w:val="22"/>
        </w:rPr>
      </w:pPr>
      <w:r w:rsidRPr="0041260C">
        <w:rPr>
          <w:rFonts w:ascii="Arial" w:hAnsi="Arial" w:cs="Arial"/>
          <w:sz w:val="22"/>
        </w:rPr>
        <w:t>RNA-seq library construction, clustering and sequencing</w:t>
      </w:r>
    </w:p>
    <w:p w14:paraId="5CEE58FC" w14:textId="77777777" w:rsidR="00000EE4" w:rsidRPr="0041260C" w:rsidRDefault="00000EE4" w:rsidP="00445EE2">
      <w:pPr>
        <w:pStyle w:val="MDPI22heading2"/>
        <w:spacing w:before="0" w:after="0" w:line="480" w:lineRule="auto"/>
        <w:jc w:val="both"/>
        <w:rPr>
          <w:rFonts w:ascii="Arial" w:hAnsi="Arial" w:cs="Arial"/>
          <w:sz w:val="22"/>
        </w:rPr>
      </w:pPr>
    </w:p>
    <w:p w14:paraId="3ED89FBA" w14:textId="77777777" w:rsidR="00000EE4" w:rsidRPr="0041260C" w:rsidRDefault="00000EE4" w:rsidP="00445EE2">
      <w:pPr>
        <w:pStyle w:val="MDPI31text"/>
        <w:spacing w:line="480" w:lineRule="auto"/>
        <w:ind w:firstLine="0"/>
        <w:rPr>
          <w:rFonts w:ascii="Arial" w:hAnsi="Arial" w:cs="Arial"/>
          <w:sz w:val="22"/>
        </w:rPr>
      </w:pPr>
      <w:r w:rsidRPr="0041260C">
        <w:rPr>
          <w:rFonts w:ascii="Arial" w:hAnsi="Arial" w:cs="Arial"/>
          <w:sz w:val="22"/>
        </w:rPr>
        <w:t xml:space="preserve">Transcriptome profiling by RNA-seq and data analysis </w:t>
      </w:r>
      <w:r w:rsidRPr="0041260C">
        <w:rPr>
          <w:rFonts w:ascii="Arial" w:hAnsi="Arial" w:cs="Arial"/>
          <w:noProof/>
          <w:sz w:val="22"/>
        </w:rPr>
        <w:t>were</w:t>
      </w:r>
      <w:r w:rsidRPr="0041260C">
        <w:rPr>
          <w:rFonts w:ascii="Arial" w:hAnsi="Arial" w:cs="Arial"/>
          <w:sz w:val="22"/>
        </w:rPr>
        <w:t xml:space="preserve"> performed by Novogene (Sacramento, CA). cDNA library construction and sequencing were performed by Novogene Co. Ltd, Beijing, CA (http://www.novogene.cn/). For library construction, ~3 </w:t>
      </w:r>
      <w:proofErr w:type="spellStart"/>
      <w:r w:rsidRPr="0041260C">
        <w:rPr>
          <w:rFonts w:ascii="Arial" w:hAnsi="Arial" w:cs="Arial"/>
          <w:sz w:val="22"/>
        </w:rPr>
        <w:t>μg</w:t>
      </w:r>
      <w:proofErr w:type="spellEnd"/>
      <w:r w:rsidRPr="0041260C">
        <w:rPr>
          <w:rFonts w:ascii="Arial" w:hAnsi="Arial" w:cs="Arial"/>
          <w:sz w:val="22"/>
        </w:rPr>
        <w:t xml:space="preserve"> of total RNA from each sample was used to enrich mRNA with the poly-T oligo-attached magnetic beads. The purified mRNA was then randomly cleaved into small fragments using NEBNEXT RNA fragmentation buffer (NEB, MA) following the manufacturer’s instructions. First-strand cDNA was synthesized using random hexamers and M-</w:t>
      </w:r>
      <w:proofErr w:type="spellStart"/>
      <w:r w:rsidRPr="0041260C">
        <w:rPr>
          <w:rFonts w:ascii="Arial" w:hAnsi="Arial" w:cs="Arial"/>
          <w:sz w:val="22"/>
        </w:rPr>
        <w:t>MuLV</w:t>
      </w:r>
      <w:proofErr w:type="spellEnd"/>
      <w:r w:rsidRPr="0041260C">
        <w:rPr>
          <w:rFonts w:ascii="Arial" w:hAnsi="Arial" w:cs="Arial"/>
          <w:sz w:val="22"/>
        </w:rPr>
        <w:t xml:space="preserve"> Reverse Transcriptase (RNase H-). Second-strand cDNA synthesis by nick translation was subsequently performed using </w:t>
      </w:r>
      <w:r w:rsidRPr="0041260C">
        <w:rPr>
          <w:rFonts w:ascii="Arial" w:eastAsia="TimesNewRomanPSMT" w:hAnsi="Arial" w:cs="Arial"/>
          <w:i/>
          <w:iCs/>
          <w:sz w:val="22"/>
        </w:rPr>
        <w:t>E coli</w:t>
      </w:r>
      <w:r w:rsidRPr="0041260C">
        <w:rPr>
          <w:rFonts w:ascii="Arial" w:eastAsia="TimesNewRomanPSMT" w:hAnsi="Arial" w:cs="Arial"/>
          <w:sz w:val="22"/>
        </w:rPr>
        <w:t xml:space="preserve"> </w:t>
      </w:r>
      <w:r w:rsidRPr="0041260C">
        <w:rPr>
          <w:rFonts w:ascii="Arial" w:hAnsi="Arial" w:cs="Arial"/>
          <w:sz w:val="22"/>
        </w:rPr>
        <w:t xml:space="preserve">DNA polymerase I and RNase H. Remaining overhangs were converted into blunt ends via exonuclease/polymerase activities. </w:t>
      </w:r>
      <w:r w:rsidRPr="0041260C">
        <w:rPr>
          <w:rFonts w:ascii="Arial" w:eastAsia="TimesNewRomanPSMT" w:hAnsi="Arial" w:cs="Arial"/>
          <w:sz w:val="22"/>
        </w:rPr>
        <w:t xml:space="preserve">The final cDNA library was prepared after a round of purification, terminal repair, A-tailing, ligation of sequencing adapters, size selection and PCR enrichment. </w:t>
      </w:r>
      <w:r w:rsidRPr="0041260C">
        <w:rPr>
          <w:rFonts w:ascii="Arial" w:hAnsi="Arial" w:cs="Arial"/>
          <w:sz w:val="22"/>
        </w:rPr>
        <w:t xml:space="preserve">The cDNA fragments of preferentially 250−300 bp in length were selected using with </w:t>
      </w:r>
      <w:proofErr w:type="spellStart"/>
      <w:r w:rsidRPr="0041260C">
        <w:rPr>
          <w:rFonts w:ascii="Arial" w:hAnsi="Arial" w:cs="Arial"/>
          <w:sz w:val="22"/>
        </w:rPr>
        <w:t>AMPure</w:t>
      </w:r>
      <w:proofErr w:type="spellEnd"/>
      <w:r w:rsidRPr="0041260C">
        <w:rPr>
          <w:rFonts w:ascii="Arial" w:hAnsi="Arial" w:cs="Arial"/>
          <w:sz w:val="22"/>
        </w:rPr>
        <w:t xml:space="preserve"> XP system (Beckman Coulter, Beverly, U.S.A.) and PCR amplified using Phusion High-Fidelity DNA polymerase (NEB, Beijing, China), Universal PCR primers and Index (X) Primer. PCR products were then purified using </w:t>
      </w:r>
      <w:proofErr w:type="spellStart"/>
      <w:r w:rsidRPr="0041260C">
        <w:rPr>
          <w:rFonts w:ascii="Arial" w:hAnsi="Arial" w:cs="Arial"/>
          <w:sz w:val="22"/>
        </w:rPr>
        <w:t>AMPure</w:t>
      </w:r>
      <w:proofErr w:type="spellEnd"/>
      <w:r w:rsidRPr="0041260C">
        <w:rPr>
          <w:rFonts w:ascii="Arial" w:hAnsi="Arial" w:cs="Arial"/>
          <w:sz w:val="22"/>
        </w:rPr>
        <w:t xml:space="preserve"> XP system (Beckman Coulter, U.S.A.), and library quality was assessed on the Agilent Bioanalyzer 2100 system (Agilent Technologies, U.S.A.). The clustering of the index-coded samples was performed on a </w:t>
      </w:r>
      <w:proofErr w:type="spellStart"/>
      <w:r w:rsidRPr="0041260C">
        <w:rPr>
          <w:rFonts w:ascii="Arial" w:hAnsi="Arial" w:cs="Arial"/>
          <w:sz w:val="22"/>
        </w:rPr>
        <w:t>cBot</w:t>
      </w:r>
      <w:proofErr w:type="spellEnd"/>
      <w:r w:rsidRPr="0041260C">
        <w:rPr>
          <w:rFonts w:ascii="Arial" w:hAnsi="Arial" w:cs="Arial"/>
          <w:sz w:val="22"/>
        </w:rPr>
        <w:t xml:space="preserve"> Cluster Generation System, using </w:t>
      </w:r>
      <w:proofErr w:type="spellStart"/>
      <w:r w:rsidRPr="0041260C">
        <w:rPr>
          <w:rFonts w:ascii="Arial" w:hAnsi="Arial" w:cs="Arial"/>
          <w:sz w:val="22"/>
        </w:rPr>
        <w:t>TruSeq</w:t>
      </w:r>
      <w:proofErr w:type="spellEnd"/>
      <w:r w:rsidRPr="0041260C">
        <w:rPr>
          <w:rFonts w:ascii="Arial" w:hAnsi="Arial" w:cs="Arial"/>
          <w:sz w:val="22"/>
        </w:rPr>
        <w:t xml:space="preserve"> SR Cluster Kit v3-cBot-HS (Illumina), according to the manufacturer</w:t>
      </w:r>
      <w:r w:rsidRPr="0041260C">
        <w:rPr>
          <w:rFonts w:ascii="Arial" w:eastAsia="AdvTT6120e2aa+20" w:hAnsi="Arial" w:cs="Arial"/>
          <w:sz w:val="22"/>
        </w:rPr>
        <w:t>’</w:t>
      </w:r>
      <w:r w:rsidRPr="0041260C">
        <w:rPr>
          <w:rFonts w:ascii="Arial" w:hAnsi="Arial" w:cs="Arial"/>
          <w:sz w:val="22"/>
        </w:rPr>
        <w:t xml:space="preserve">s instructions. After cluster generation, </w:t>
      </w:r>
      <w:r w:rsidRPr="0041260C">
        <w:rPr>
          <w:rFonts w:ascii="Arial" w:hAnsi="Arial" w:cs="Arial"/>
          <w:sz w:val="22"/>
        </w:rPr>
        <w:lastRenderedPageBreak/>
        <w:t xml:space="preserve">the library preparations were sequenced on an Illumina </w:t>
      </w:r>
      <w:proofErr w:type="spellStart"/>
      <w:r w:rsidRPr="0041260C">
        <w:rPr>
          <w:rFonts w:ascii="Arial" w:hAnsi="Arial" w:cs="Arial"/>
          <w:sz w:val="22"/>
        </w:rPr>
        <w:t>Novaseq</w:t>
      </w:r>
      <w:proofErr w:type="spellEnd"/>
      <w:r w:rsidRPr="0041260C">
        <w:rPr>
          <w:rFonts w:ascii="Arial" w:hAnsi="Arial" w:cs="Arial"/>
          <w:sz w:val="22"/>
        </w:rPr>
        <w:t xml:space="preserve"> 6000 platform and 150 bp paired end reads were generated.</w:t>
      </w:r>
    </w:p>
    <w:p w14:paraId="177476CB" w14:textId="77777777" w:rsidR="00000EE4" w:rsidRPr="0041260C" w:rsidRDefault="00000EE4" w:rsidP="00445EE2">
      <w:pPr>
        <w:pStyle w:val="MDPI22heading2"/>
        <w:spacing w:before="0" w:after="0" w:line="480" w:lineRule="auto"/>
        <w:jc w:val="both"/>
        <w:rPr>
          <w:rFonts w:ascii="Arial" w:hAnsi="Arial" w:cs="Arial"/>
          <w:sz w:val="22"/>
        </w:rPr>
      </w:pPr>
    </w:p>
    <w:p w14:paraId="69FE0383" w14:textId="77777777" w:rsidR="00000EE4" w:rsidRPr="0041260C" w:rsidRDefault="00000EE4" w:rsidP="00445EE2">
      <w:pPr>
        <w:spacing w:line="480" w:lineRule="auto"/>
        <w:jc w:val="both"/>
        <w:rPr>
          <w:rFonts w:ascii="Arial" w:hAnsi="Arial" w:cs="Arial"/>
          <w:i/>
          <w:sz w:val="22"/>
          <w:szCs w:val="22"/>
        </w:rPr>
      </w:pPr>
      <w:bookmarkStart w:id="4" w:name="_Hlk512458618"/>
      <w:r w:rsidRPr="0041260C">
        <w:rPr>
          <w:rFonts w:ascii="Arial" w:hAnsi="Arial" w:cs="Arial"/>
          <w:i/>
          <w:sz w:val="22"/>
          <w:szCs w:val="22"/>
        </w:rPr>
        <w:t xml:space="preserve">Global micro-RNA and gene expression profiling </w:t>
      </w:r>
    </w:p>
    <w:bookmarkEnd w:id="4"/>
    <w:p w14:paraId="50D9BA84" w14:textId="77777777" w:rsidR="00000EE4" w:rsidRPr="0041260C" w:rsidRDefault="00000EE4" w:rsidP="00445EE2">
      <w:pPr>
        <w:spacing w:line="480" w:lineRule="auto"/>
        <w:ind w:firstLine="720"/>
        <w:jc w:val="both"/>
        <w:rPr>
          <w:rFonts w:ascii="Arial" w:hAnsi="Arial" w:cs="Arial"/>
          <w:sz w:val="22"/>
          <w:szCs w:val="22"/>
        </w:rPr>
      </w:pPr>
    </w:p>
    <w:p w14:paraId="4BD53271" w14:textId="77777777" w:rsidR="00000EE4" w:rsidRPr="0041260C" w:rsidRDefault="00000EE4" w:rsidP="00445EE2">
      <w:pPr>
        <w:autoSpaceDE w:val="0"/>
        <w:autoSpaceDN w:val="0"/>
        <w:adjustRightInd w:val="0"/>
        <w:spacing w:line="480" w:lineRule="auto"/>
        <w:jc w:val="both"/>
        <w:rPr>
          <w:rFonts w:ascii="Arial" w:hAnsi="Arial" w:cs="Arial"/>
          <w:sz w:val="22"/>
          <w:szCs w:val="22"/>
        </w:rPr>
      </w:pPr>
      <w:r w:rsidRPr="0041260C">
        <w:rPr>
          <w:rFonts w:ascii="Arial" w:hAnsi="Arial" w:cs="Arial"/>
          <w:noProof/>
          <w:sz w:val="22"/>
          <w:szCs w:val="22"/>
        </w:rPr>
        <w:t>Micro-RNA</w:t>
      </w:r>
      <w:r w:rsidRPr="0041260C">
        <w:rPr>
          <w:rFonts w:ascii="Arial" w:hAnsi="Arial" w:cs="Arial"/>
          <w:sz w:val="22"/>
          <w:szCs w:val="22"/>
        </w:rPr>
        <w:t xml:space="preserve"> and mRNA expression profiling </w:t>
      </w:r>
      <w:r w:rsidRPr="0041260C">
        <w:rPr>
          <w:rFonts w:ascii="Arial" w:hAnsi="Arial" w:cs="Arial"/>
          <w:noProof/>
          <w:sz w:val="22"/>
          <w:szCs w:val="22"/>
        </w:rPr>
        <w:t>were</w:t>
      </w:r>
      <w:r w:rsidRPr="0041260C">
        <w:rPr>
          <w:rFonts w:ascii="Arial" w:hAnsi="Arial" w:cs="Arial"/>
          <w:sz w:val="22"/>
          <w:szCs w:val="22"/>
        </w:rPr>
        <w:t xml:space="preserve"> performed using TaqMan </w:t>
      </w:r>
      <w:proofErr w:type="spellStart"/>
      <w:r w:rsidRPr="0041260C">
        <w:rPr>
          <w:rFonts w:ascii="Arial" w:hAnsi="Arial" w:cs="Arial"/>
          <w:sz w:val="22"/>
          <w:szCs w:val="22"/>
        </w:rPr>
        <w:t>OpenArray</w:t>
      </w:r>
      <w:proofErr w:type="spellEnd"/>
      <w:r w:rsidRPr="0041260C">
        <w:rPr>
          <w:rFonts w:ascii="Arial" w:hAnsi="Arial" w:cs="Arial"/>
          <w:sz w:val="22"/>
          <w:szCs w:val="22"/>
        </w:rPr>
        <w:t xml:space="preserve"> Human Micro-RNA panels (Thermo Fisher Scientific) and RNA-seq (Novogene Inc), respectively. Briefly, total RNA from OPM tissue was isolated using the </w:t>
      </w:r>
      <w:proofErr w:type="spellStart"/>
      <w:r w:rsidRPr="0041260C">
        <w:rPr>
          <w:rFonts w:ascii="Arial" w:hAnsi="Arial" w:cs="Arial"/>
          <w:sz w:val="22"/>
          <w:szCs w:val="22"/>
        </w:rPr>
        <w:t>miRNeasy</w:t>
      </w:r>
      <w:proofErr w:type="spellEnd"/>
      <w:r w:rsidRPr="0041260C">
        <w:rPr>
          <w:rFonts w:ascii="Arial" w:hAnsi="Arial" w:cs="Arial"/>
          <w:sz w:val="22"/>
          <w:szCs w:val="22"/>
        </w:rPr>
        <w:t xml:space="preserve"> total RNA isolation kit (Qiagen Inc, CA) following the manufacturer’s protocol. Approximately 100 ng total RNA was first reverse transcribed using the micro-RNA reverse transcription reaction kit (Life Technologies, Grand Island, NY).  </w:t>
      </w:r>
    </w:p>
    <w:p w14:paraId="4CFD06BF" w14:textId="77777777" w:rsidR="00000EE4" w:rsidRPr="0041260C" w:rsidRDefault="00000EE4" w:rsidP="00445EE2">
      <w:pPr>
        <w:spacing w:line="480" w:lineRule="auto"/>
        <w:ind w:firstLine="720"/>
        <w:jc w:val="both"/>
        <w:rPr>
          <w:rFonts w:ascii="Arial" w:hAnsi="Arial" w:cs="Arial"/>
          <w:sz w:val="22"/>
          <w:szCs w:val="22"/>
        </w:rPr>
      </w:pPr>
      <w:r w:rsidRPr="0041260C">
        <w:rPr>
          <w:rFonts w:ascii="Arial" w:hAnsi="Arial" w:cs="Arial"/>
          <w:sz w:val="22"/>
          <w:szCs w:val="22"/>
        </w:rPr>
        <w:t xml:space="preserve">Briefly, two master mixes representing either </w:t>
      </w:r>
      <w:proofErr w:type="spellStart"/>
      <w:r w:rsidRPr="0041260C">
        <w:rPr>
          <w:rFonts w:ascii="Arial" w:hAnsi="Arial" w:cs="Arial"/>
          <w:noProof/>
          <w:sz w:val="22"/>
          <w:szCs w:val="22"/>
        </w:rPr>
        <w:t>OpenA</w:t>
      </w:r>
      <w:r w:rsidRPr="0041260C">
        <w:rPr>
          <w:rFonts w:ascii="Arial" w:hAnsi="Arial" w:cs="Arial"/>
          <w:sz w:val="22"/>
          <w:szCs w:val="22"/>
        </w:rPr>
        <w:t>rray</w:t>
      </w:r>
      <w:proofErr w:type="spellEnd"/>
      <w:r w:rsidRPr="0041260C">
        <w:rPr>
          <w:rFonts w:ascii="Arial" w:hAnsi="Arial" w:cs="Arial"/>
          <w:sz w:val="22"/>
          <w:szCs w:val="22"/>
        </w:rPr>
        <w:t xml:space="preserve"> panel (panel A and panel B) were prepared for each RNA sample, which consisted of the following reaction components:  0.75 </w:t>
      </w:r>
      <w:proofErr w:type="spellStart"/>
      <w:r w:rsidRPr="0041260C">
        <w:rPr>
          <w:rFonts w:ascii="Arial" w:hAnsi="Arial" w:cs="Arial"/>
          <w:sz w:val="22"/>
          <w:szCs w:val="22"/>
        </w:rPr>
        <w:t>μL</w:t>
      </w:r>
      <w:proofErr w:type="spellEnd"/>
      <w:r w:rsidRPr="0041260C">
        <w:rPr>
          <w:rFonts w:ascii="Arial" w:hAnsi="Arial" w:cs="Arial"/>
          <w:sz w:val="22"/>
          <w:szCs w:val="22"/>
        </w:rPr>
        <w:t xml:space="preserve"> </w:t>
      </w:r>
      <w:proofErr w:type="spellStart"/>
      <w:r w:rsidRPr="0041260C">
        <w:rPr>
          <w:rFonts w:ascii="Arial" w:hAnsi="Arial" w:cs="Arial"/>
          <w:sz w:val="22"/>
          <w:szCs w:val="22"/>
        </w:rPr>
        <w:t>MegaPlex</w:t>
      </w:r>
      <w:proofErr w:type="spellEnd"/>
      <w:r w:rsidRPr="0041260C">
        <w:rPr>
          <w:rFonts w:ascii="Arial" w:hAnsi="Arial" w:cs="Arial"/>
          <w:sz w:val="22"/>
          <w:szCs w:val="22"/>
        </w:rPr>
        <w:t xml:space="preserve"> RT primers (10x), 0.15 </w:t>
      </w:r>
      <w:proofErr w:type="spellStart"/>
      <w:r w:rsidRPr="0041260C">
        <w:rPr>
          <w:rFonts w:ascii="Arial" w:hAnsi="Arial" w:cs="Arial"/>
          <w:sz w:val="22"/>
          <w:szCs w:val="22"/>
        </w:rPr>
        <w:t>μL</w:t>
      </w:r>
      <w:proofErr w:type="spellEnd"/>
      <w:r w:rsidRPr="0041260C">
        <w:rPr>
          <w:rFonts w:ascii="Arial" w:hAnsi="Arial" w:cs="Arial"/>
          <w:sz w:val="22"/>
          <w:szCs w:val="22"/>
        </w:rPr>
        <w:t xml:space="preserve"> dNTPs with dTTP (100 mM), 1.50 </w:t>
      </w:r>
      <w:proofErr w:type="spellStart"/>
      <w:r w:rsidRPr="0041260C">
        <w:rPr>
          <w:rFonts w:ascii="Arial" w:hAnsi="Arial" w:cs="Arial"/>
          <w:sz w:val="22"/>
          <w:szCs w:val="22"/>
        </w:rPr>
        <w:t>μL</w:t>
      </w:r>
      <w:proofErr w:type="spellEnd"/>
      <w:r w:rsidRPr="0041260C">
        <w:rPr>
          <w:rFonts w:ascii="Arial" w:hAnsi="Arial" w:cs="Arial"/>
          <w:sz w:val="22"/>
          <w:szCs w:val="22"/>
        </w:rPr>
        <w:t xml:space="preserve"> </w:t>
      </w:r>
      <w:proofErr w:type="spellStart"/>
      <w:r w:rsidRPr="0041260C">
        <w:rPr>
          <w:rFonts w:ascii="Arial" w:hAnsi="Arial" w:cs="Arial"/>
          <w:sz w:val="22"/>
          <w:szCs w:val="22"/>
        </w:rPr>
        <w:t>MultiScribe</w:t>
      </w:r>
      <w:proofErr w:type="spellEnd"/>
      <w:r w:rsidRPr="0041260C">
        <w:rPr>
          <w:rFonts w:ascii="Arial" w:hAnsi="Arial" w:cs="Arial"/>
          <w:sz w:val="22"/>
          <w:szCs w:val="22"/>
        </w:rPr>
        <w:t>™ Reverse Transcriptase (50 U/</w:t>
      </w:r>
      <w:proofErr w:type="spellStart"/>
      <w:r w:rsidRPr="0041260C">
        <w:rPr>
          <w:rFonts w:ascii="Arial" w:hAnsi="Arial" w:cs="Arial"/>
          <w:sz w:val="22"/>
          <w:szCs w:val="22"/>
        </w:rPr>
        <w:t>μL</w:t>
      </w:r>
      <w:proofErr w:type="spellEnd"/>
      <w:r w:rsidRPr="0041260C">
        <w:rPr>
          <w:rFonts w:ascii="Arial" w:hAnsi="Arial" w:cs="Arial"/>
          <w:sz w:val="22"/>
          <w:szCs w:val="22"/>
        </w:rPr>
        <w:t xml:space="preserve">), 0.75 </w:t>
      </w:r>
      <w:proofErr w:type="spellStart"/>
      <w:r w:rsidRPr="0041260C">
        <w:rPr>
          <w:rFonts w:ascii="Arial" w:hAnsi="Arial" w:cs="Arial"/>
          <w:sz w:val="22"/>
          <w:szCs w:val="22"/>
        </w:rPr>
        <w:t>μL</w:t>
      </w:r>
      <w:proofErr w:type="spellEnd"/>
      <w:r w:rsidRPr="0041260C">
        <w:rPr>
          <w:rFonts w:ascii="Arial" w:hAnsi="Arial" w:cs="Arial"/>
          <w:sz w:val="22"/>
          <w:szCs w:val="22"/>
        </w:rPr>
        <w:t xml:space="preserve"> 10x RT Buffer, 0.90 </w:t>
      </w:r>
      <w:proofErr w:type="spellStart"/>
      <w:r w:rsidRPr="0041260C">
        <w:rPr>
          <w:rFonts w:ascii="Arial" w:hAnsi="Arial" w:cs="Arial"/>
          <w:sz w:val="22"/>
          <w:szCs w:val="22"/>
        </w:rPr>
        <w:t>μL</w:t>
      </w:r>
      <w:proofErr w:type="spellEnd"/>
      <w:r w:rsidRPr="0041260C">
        <w:rPr>
          <w:rFonts w:ascii="Arial" w:hAnsi="Arial" w:cs="Arial"/>
          <w:sz w:val="22"/>
          <w:szCs w:val="22"/>
        </w:rPr>
        <w:t xml:space="preserve"> MgCl</w:t>
      </w:r>
      <w:r w:rsidRPr="0041260C">
        <w:rPr>
          <w:rFonts w:ascii="Arial" w:hAnsi="Arial" w:cs="Arial"/>
          <w:sz w:val="22"/>
          <w:szCs w:val="22"/>
          <w:vertAlign w:val="subscript"/>
        </w:rPr>
        <w:t>2</w:t>
      </w:r>
      <w:r w:rsidRPr="0041260C">
        <w:rPr>
          <w:rFonts w:ascii="Arial" w:hAnsi="Arial" w:cs="Arial"/>
          <w:sz w:val="22"/>
          <w:szCs w:val="22"/>
        </w:rPr>
        <w:t xml:space="preserve"> (25 mM), 0.09 </w:t>
      </w:r>
      <w:proofErr w:type="spellStart"/>
      <w:r w:rsidRPr="0041260C">
        <w:rPr>
          <w:rFonts w:ascii="Arial" w:hAnsi="Arial" w:cs="Arial"/>
          <w:sz w:val="22"/>
          <w:szCs w:val="22"/>
        </w:rPr>
        <w:t>μL</w:t>
      </w:r>
      <w:proofErr w:type="spellEnd"/>
      <w:r w:rsidRPr="0041260C">
        <w:rPr>
          <w:rFonts w:ascii="Arial" w:hAnsi="Arial" w:cs="Arial"/>
          <w:sz w:val="22"/>
          <w:szCs w:val="22"/>
        </w:rPr>
        <w:t xml:space="preserve"> RNase Inhibitor, 0.35 </w:t>
      </w:r>
      <w:proofErr w:type="spellStart"/>
      <w:r w:rsidRPr="0041260C">
        <w:rPr>
          <w:rFonts w:ascii="Arial" w:hAnsi="Arial" w:cs="Arial"/>
          <w:sz w:val="22"/>
          <w:szCs w:val="22"/>
        </w:rPr>
        <w:t>μL</w:t>
      </w:r>
      <w:proofErr w:type="spellEnd"/>
      <w:r w:rsidRPr="0041260C">
        <w:rPr>
          <w:rFonts w:ascii="Arial" w:hAnsi="Arial" w:cs="Arial"/>
          <w:sz w:val="22"/>
          <w:szCs w:val="22"/>
        </w:rPr>
        <w:t xml:space="preserve"> nuclease-free water (20 U/</w:t>
      </w:r>
      <w:proofErr w:type="spellStart"/>
      <w:r w:rsidRPr="0041260C">
        <w:rPr>
          <w:rFonts w:ascii="Arial" w:hAnsi="Arial" w:cs="Arial"/>
          <w:sz w:val="22"/>
          <w:szCs w:val="22"/>
        </w:rPr>
        <w:t>μL</w:t>
      </w:r>
      <w:proofErr w:type="spellEnd"/>
      <w:r w:rsidRPr="0041260C">
        <w:rPr>
          <w:rFonts w:ascii="Arial" w:hAnsi="Arial" w:cs="Arial"/>
          <w:sz w:val="22"/>
          <w:szCs w:val="22"/>
        </w:rPr>
        <w:t xml:space="preserve">). Three microliters of total RNA (100 ng) were loaded into appropriate wells of a 96-well plate together with 4.5 </w:t>
      </w:r>
      <w:proofErr w:type="spellStart"/>
      <w:r w:rsidRPr="0041260C">
        <w:rPr>
          <w:rFonts w:ascii="Arial" w:hAnsi="Arial" w:cs="Arial"/>
          <w:sz w:val="22"/>
          <w:szCs w:val="22"/>
        </w:rPr>
        <w:t>μL</w:t>
      </w:r>
      <w:proofErr w:type="spellEnd"/>
      <w:r w:rsidRPr="0041260C">
        <w:rPr>
          <w:rFonts w:ascii="Arial" w:hAnsi="Arial" w:cs="Arial"/>
          <w:sz w:val="22"/>
          <w:szCs w:val="22"/>
        </w:rPr>
        <w:t xml:space="preserve"> of the RT reaction master mix. After a brief spin and 5 min of incubation on ice, samples in the 96-well plate were subjected to the following thermal cycling conditions on the ABI 7900 HT Fast PCR system: standard or max ramp speed, 16 °C for 2 min, 42 °C for 1 min, 50 °C 1 sec (40 cycles), 85 °C 5 min (hold), 23 °C (hold). Immediately after thermal cycling, the 96-well plate containing cDNA was stored at -80 °C.</w:t>
      </w:r>
    </w:p>
    <w:p w14:paraId="21F8A43B" w14:textId="77777777" w:rsidR="00000EE4" w:rsidRPr="0041260C" w:rsidRDefault="00000EE4" w:rsidP="00445EE2">
      <w:pPr>
        <w:pStyle w:val="MDPI22heading2"/>
        <w:spacing w:before="0" w:after="0" w:line="480" w:lineRule="auto"/>
        <w:jc w:val="both"/>
        <w:rPr>
          <w:rFonts w:ascii="Arial" w:hAnsi="Arial" w:cs="Arial"/>
          <w:i w:val="0"/>
          <w:sz w:val="22"/>
        </w:rPr>
      </w:pPr>
      <w:r w:rsidRPr="0041260C">
        <w:rPr>
          <w:rFonts w:ascii="Arial" w:hAnsi="Arial" w:cs="Arial"/>
          <w:i w:val="0"/>
          <w:sz w:val="22"/>
        </w:rPr>
        <w:t xml:space="preserve">For pre-amplification, 2.5 μL of the cDNA from each sample was mixed with a total of 22.5 μL of pre-amplification reaction master mix consisting of 12.5 μL TaqMan® PreAmp Master Mix (2x), 2.5 μL Megaplex™ PreAmp Primers (10x) and 7.5 μL nuclease-free water in a 96-well plate.  After a brief vortex and spin, samples in the 96-well plate were subjected to the following thermal cycling conditions on the ABI 7900 HT Fast PCR system: standard or max ramp speed, hold 95 °C 10 </w:t>
      </w:r>
      <w:r w:rsidRPr="0041260C">
        <w:rPr>
          <w:rFonts w:ascii="Arial" w:hAnsi="Arial" w:cs="Arial"/>
          <w:i w:val="0"/>
          <w:sz w:val="22"/>
        </w:rPr>
        <w:lastRenderedPageBreak/>
        <w:t>min; hold 55 °C 2 min; hold 72 °C 2 min; 12 cycles at 95 °C 15 sec and 60 °C 4 min; hold 4 °C. The preamplified product was diluted 40 times by mixing 4 μL of the preamplified product with 156 μL of 0.1x TE pH 8.0 and loaded onto TaqMan® OpenArray® human micro-RNA plates for processing using the QuanStudio™ 12K Flex Real-Time PCR system (Life Technologies).</w:t>
      </w:r>
    </w:p>
    <w:p w14:paraId="3F65C955" w14:textId="77777777" w:rsidR="008D2409" w:rsidRDefault="008D2409" w:rsidP="00445EE2">
      <w:pPr>
        <w:spacing w:line="480" w:lineRule="auto"/>
        <w:jc w:val="both"/>
        <w:rPr>
          <w:rFonts w:ascii="Arial" w:hAnsi="Arial" w:cs="Arial"/>
          <w:i/>
          <w:sz w:val="22"/>
          <w:szCs w:val="22"/>
        </w:rPr>
      </w:pPr>
    </w:p>
    <w:p w14:paraId="5AC132EA" w14:textId="39244487" w:rsidR="00000EE4" w:rsidRPr="0041260C" w:rsidRDefault="00000EE4" w:rsidP="00445EE2">
      <w:pPr>
        <w:spacing w:line="480" w:lineRule="auto"/>
        <w:jc w:val="both"/>
        <w:rPr>
          <w:rFonts w:ascii="Arial" w:hAnsi="Arial" w:cs="Arial"/>
          <w:i/>
          <w:sz w:val="22"/>
          <w:szCs w:val="22"/>
        </w:rPr>
      </w:pPr>
      <w:r w:rsidRPr="0041260C">
        <w:rPr>
          <w:rFonts w:ascii="Arial" w:hAnsi="Arial" w:cs="Arial"/>
          <w:i/>
          <w:sz w:val="22"/>
          <w:szCs w:val="22"/>
        </w:rPr>
        <w:t xml:space="preserve">Quantitative Real-Time TaqMan and SYBR Green RT-qPCR assay for </w:t>
      </w:r>
      <w:proofErr w:type="spellStart"/>
      <w:r w:rsidRPr="0041260C">
        <w:rPr>
          <w:rFonts w:ascii="Arial" w:hAnsi="Arial" w:cs="Arial"/>
          <w:i/>
          <w:sz w:val="22"/>
          <w:szCs w:val="22"/>
        </w:rPr>
        <w:t>OpenArray</w:t>
      </w:r>
      <w:proofErr w:type="spellEnd"/>
      <w:r w:rsidRPr="0041260C">
        <w:rPr>
          <w:rFonts w:ascii="Arial" w:hAnsi="Arial" w:cs="Arial"/>
          <w:i/>
          <w:sz w:val="22"/>
          <w:szCs w:val="22"/>
        </w:rPr>
        <w:t>® validation</w:t>
      </w:r>
    </w:p>
    <w:p w14:paraId="40CB1FC9" w14:textId="77777777" w:rsidR="00000EE4" w:rsidRPr="0041260C" w:rsidRDefault="00000EE4" w:rsidP="00445EE2">
      <w:pPr>
        <w:spacing w:line="480" w:lineRule="auto"/>
        <w:jc w:val="both"/>
        <w:rPr>
          <w:rFonts w:ascii="Arial" w:hAnsi="Arial" w:cs="Arial"/>
          <w:b/>
          <w:sz w:val="22"/>
          <w:szCs w:val="22"/>
        </w:rPr>
      </w:pPr>
    </w:p>
    <w:p w14:paraId="4B8F479F" w14:textId="77777777" w:rsidR="00000EE4" w:rsidRPr="0041260C" w:rsidRDefault="00000EE4" w:rsidP="00445EE2">
      <w:pPr>
        <w:pStyle w:val="BodyText"/>
        <w:spacing w:line="480" w:lineRule="auto"/>
        <w:jc w:val="both"/>
        <w:rPr>
          <w:rFonts w:ascii="Arial" w:hAnsi="Arial" w:cs="Arial"/>
          <w:b/>
          <w:sz w:val="22"/>
          <w:szCs w:val="22"/>
        </w:rPr>
      </w:pPr>
      <w:r w:rsidRPr="0041260C">
        <w:rPr>
          <w:rFonts w:ascii="Arial" w:hAnsi="Arial" w:cs="Arial"/>
          <w:sz w:val="22"/>
          <w:szCs w:val="22"/>
        </w:rPr>
        <w:t xml:space="preserve">Expression of miR-142-3p was quantified in BG tissue using the TaqMan micro-RNA predesigned and preoptimized assays (Thermo Scientific). </w:t>
      </w:r>
      <w:r w:rsidRPr="0041260C">
        <w:rPr>
          <w:rFonts w:ascii="Arial" w:hAnsi="Arial" w:cs="Arial"/>
          <w:iCs/>
          <w:sz w:val="22"/>
          <w:szCs w:val="22"/>
        </w:rPr>
        <w:t xml:space="preserve">Approximately </w:t>
      </w:r>
      <w:r w:rsidRPr="0041260C">
        <w:rPr>
          <w:rFonts w:ascii="Arial" w:hAnsi="Arial" w:cs="Arial"/>
          <w:sz w:val="22"/>
          <w:szCs w:val="22"/>
        </w:rPr>
        <w:t xml:space="preserve">200 ng of total RNA was reverse transcribed using the </w:t>
      </w:r>
      <w:r w:rsidRPr="0041260C">
        <w:rPr>
          <w:rFonts w:ascii="Arial" w:hAnsi="Arial" w:cs="Arial"/>
          <w:noProof/>
          <w:sz w:val="22"/>
          <w:szCs w:val="22"/>
        </w:rPr>
        <w:t>stem-loop</w:t>
      </w:r>
      <w:r w:rsidRPr="0041260C">
        <w:rPr>
          <w:rFonts w:ascii="Arial" w:hAnsi="Arial" w:cs="Arial"/>
          <w:sz w:val="22"/>
          <w:szCs w:val="22"/>
        </w:rPr>
        <w:t xml:space="preserve"> primers provided in the predesigned kit in a total volume of 20 </w:t>
      </w:r>
      <w:r w:rsidRPr="0041260C">
        <w:rPr>
          <w:rFonts w:ascii="Arial" w:hAnsi="Arial" w:cs="Arial"/>
          <w:sz w:val="22"/>
          <w:szCs w:val="22"/>
        </w:rPr>
        <w:sym w:font="Symbol" w:char="F06D"/>
      </w:r>
      <w:r w:rsidRPr="0041260C">
        <w:rPr>
          <w:rFonts w:ascii="Arial" w:hAnsi="Arial" w:cs="Arial"/>
          <w:sz w:val="22"/>
          <w:szCs w:val="22"/>
        </w:rPr>
        <w:t xml:space="preserve">L. ~4 </w:t>
      </w:r>
      <w:r w:rsidRPr="0041260C">
        <w:rPr>
          <w:rFonts w:ascii="Arial" w:hAnsi="Arial" w:cs="Arial"/>
          <w:sz w:val="22"/>
          <w:szCs w:val="22"/>
        </w:rPr>
        <w:sym w:font="Symbol" w:char="F06D"/>
      </w:r>
      <w:r w:rsidRPr="0041260C">
        <w:rPr>
          <w:rFonts w:ascii="Arial" w:hAnsi="Arial" w:cs="Arial"/>
          <w:sz w:val="22"/>
          <w:szCs w:val="22"/>
        </w:rPr>
        <w:t>L of cDNA was then subjected to 40 cycles of PCR on the ABI 7900 HT Fast PCR System (Thermo Fisher Scientific, Waltham, MA) using the following thermal cycling conditions: 95</w:t>
      </w:r>
      <w:r w:rsidRPr="0041260C">
        <w:rPr>
          <w:rFonts w:ascii="Arial" w:hAnsi="Arial" w:cs="Arial"/>
          <w:sz w:val="22"/>
          <w:szCs w:val="22"/>
        </w:rPr>
        <w:sym w:font="Symbol" w:char="F0B0"/>
      </w:r>
      <w:r w:rsidRPr="0041260C">
        <w:rPr>
          <w:rFonts w:ascii="Arial" w:hAnsi="Arial" w:cs="Arial"/>
          <w:sz w:val="22"/>
          <w:szCs w:val="22"/>
        </w:rPr>
        <w:t>C for 10 minutes followed by 40 repetitive cycles of 95</w:t>
      </w:r>
      <w:r w:rsidRPr="0041260C">
        <w:rPr>
          <w:rFonts w:ascii="Arial" w:hAnsi="Arial" w:cs="Arial"/>
          <w:sz w:val="22"/>
          <w:szCs w:val="22"/>
        </w:rPr>
        <w:sym w:font="Symbol" w:char="F0B0"/>
      </w:r>
      <w:r w:rsidRPr="0041260C">
        <w:rPr>
          <w:rFonts w:ascii="Arial" w:hAnsi="Arial" w:cs="Arial"/>
          <w:sz w:val="22"/>
          <w:szCs w:val="22"/>
        </w:rPr>
        <w:t>C for 15 sec and 60</w:t>
      </w:r>
      <w:r w:rsidRPr="0041260C">
        <w:rPr>
          <w:rFonts w:ascii="Arial" w:hAnsi="Arial" w:cs="Arial"/>
          <w:sz w:val="22"/>
          <w:szCs w:val="22"/>
        </w:rPr>
        <w:sym w:font="Symbol" w:char="F0B0"/>
      </w:r>
      <w:r w:rsidRPr="0041260C">
        <w:rPr>
          <w:rFonts w:ascii="Arial" w:hAnsi="Arial" w:cs="Arial"/>
          <w:sz w:val="22"/>
          <w:szCs w:val="22"/>
        </w:rPr>
        <w:t xml:space="preserve">C for 1 min. As a normalization control for RNA loading, parallel reactions in triplicate wells to amplify RNU48 were run in the same multi-well plate. Comparative real-time PCR was performed in duplicate wells including </w:t>
      </w:r>
      <w:r w:rsidRPr="0041260C">
        <w:rPr>
          <w:rFonts w:ascii="Arial" w:hAnsi="Arial" w:cs="Arial"/>
          <w:noProof/>
          <w:sz w:val="22"/>
          <w:szCs w:val="22"/>
        </w:rPr>
        <w:t>no-template</w:t>
      </w:r>
      <w:r w:rsidRPr="0041260C">
        <w:rPr>
          <w:rFonts w:ascii="Arial" w:hAnsi="Arial" w:cs="Arial"/>
          <w:sz w:val="22"/>
          <w:szCs w:val="22"/>
        </w:rPr>
        <w:t xml:space="preserve"> controls and relative change in gene expression was calculated using the comparative C</w:t>
      </w:r>
      <w:r w:rsidRPr="0041260C">
        <w:rPr>
          <w:rFonts w:ascii="Arial" w:hAnsi="Arial" w:cs="Arial"/>
          <w:sz w:val="22"/>
          <w:szCs w:val="22"/>
          <w:vertAlign w:val="subscript"/>
        </w:rPr>
        <w:t>T</w:t>
      </w:r>
      <w:r w:rsidRPr="0041260C">
        <w:rPr>
          <w:rFonts w:ascii="Arial" w:hAnsi="Arial" w:cs="Arial"/>
          <w:sz w:val="22"/>
          <w:szCs w:val="22"/>
        </w:rPr>
        <w:t xml:space="preserve"> method. </w:t>
      </w:r>
    </w:p>
    <w:p w14:paraId="52BB844A" w14:textId="77777777" w:rsidR="00000EE4" w:rsidRPr="0041260C" w:rsidRDefault="00000EE4" w:rsidP="00445EE2">
      <w:pPr>
        <w:spacing w:line="480" w:lineRule="auto"/>
        <w:ind w:firstLine="720"/>
        <w:jc w:val="both"/>
        <w:rPr>
          <w:rFonts w:ascii="Arial" w:hAnsi="Arial" w:cs="Arial"/>
          <w:b/>
          <w:sz w:val="22"/>
          <w:szCs w:val="22"/>
        </w:rPr>
      </w:pPr>
      <w:r w:rsidRPr="0041260C">
        <w:rPr>
          <w:rFonts w:ascii="Arial" w:hAnsi="Arial" w:cs="Arial"/>
          <w:iCs/>
          <w:sz w:val="22"/>
          <w:szCs w:val="22"/>
        </w:rPr>
        <w:t xml:space="preserve">mRNA expression of </w:t>
      </w:r>
      <w:r w:rsidRPr="0041260C">
        <w:rPr>
          <w:rFonts w:ascii="Arial" w:hAnsi="Arial" w:cs="Arial"/>
          <w:sz w:val="22"/>
          <w:szCs w:val="22"/>
        </w:rPr>
        <w:t xml:space="preserve">WFS-1 </w:t>
      </w:r>
      <w:r w:rsidRPr="0041260C">
        <w:rPr>
          <w:rFonts w:ascii="Arial" w:hAnsi="Arial" w:cs="Arial"/>
          <w:iCs/>
          <w:sz w:val="22"/>
          <w:szCs w:val="22"/>
        </w:rPr>
        <w:t xml:space="preserve">in BG was quantified by </w:t>
      </w:r>
      <w:r w:rsidRPr="0041260C">
        <w:rPr>
          <w:rFonts w:ascii="Arial" w:hAnsi="Arial" w:cs="Arial"/>
          <w:color w:val="231F20"/>
          <w:sz w:val="22"/>
          <w:szCs w:val="22"/>
        </w:rPr>
        <w:t>RT-qPCR using the Power SYBR Green RNA to C</w:t>
      </w:r>
      <w:r w:rsidRPr="0041260C">
        <w:rPr>
          <w:rFonts w:ascii="Arial" w:hAnsi="Arial" w:cs="Arial"/>
          <w:color w:val="231F20"/>
          <w:sz w:val="22"/>
          <w:szCs w:val="22"/>
          <w:vertAlign w:val="subscript"/>
        </w:rPr>
        <w:t>T</w:t>
      </w:r>
      <w:r w:rsidRPr="0041260C">
        <w:rPr>
          <w:rFonts w:ascii="Arial" w:hAnsi="Arial" w:cs="Arial"/>
          <w:color w:val="231F20"/>
          <w:sz w:val="22"/>
          <w:szCs w:val="22"/>
        </w:rPr>
        <w:t xml:space="preserve"> kit. </w:t>
      </w:r>
      <w:r w:rsidRPr="0041260C">
        <w:rPr>
          <w:rFonts w:ascii="Arial" w:hAnsi="Arial" w:cs="Arial"/>
          <w:iCs/>
          <w:sz w:val="22"/>
          <w:szCs w:val="22"/>
        </w:rPr>
        <w:t xml:space="preserve"> (</w:t>
      </w:r>
      <w:r w:rsidRPr="0041260C">
        <w:rPr>
          <w:rFonts w:ascii="Arial" w:hAnsi="Arial" w:cs="Arial"/>
          <w:sz w:val="22"/>
          <w:szCs w:val="22"/>
        </w:rPr>
        <w:t>Thermo Fisher</w:t>
      </w:r>
      <w:r w:rsidRPr="0041260C">
        <w:rPr>
          <w:rFonts w:ascii="Arial" w:hAnsi="Arial" w:cs="Arial"/>
          <w:iCs/>
          <w:sz w:val="22"/>
          <w:szCs w:val="22"/>
        </w:rPr>
        <w:t xml:space="preserve">). </w:t>
      </w:r>
      <w:r w:rsidRPr="0041260C">
        <w:rPr>
          <w:rFonts w:ascii="Arial" w:hAnsi="Arial" w:cs="Arial"/>
          <w:sz w:val="22"/>
          <w:szCs w:val="22"/>
        </w:rPr>
        <w:t xml:space="preserve">Each RT-qPCR reaction (20 </w:t>
      </w:r>
      <w:r w:rsidRPr="0041260C">
        <w:rPr>
          <w:rFonts w:ascii="Arial" w:hAnsi="Arial" w:cs="Arial"/>
          <w:sz w:val="22"/>
          <w:szCs w:val="22"/>
        </w:rPr>
        <w:sym w:font="Symbol" w:char="F06D"/>
      </w:r>
      <w:r w:rsidRPr="0041260C">
        <w:rPr>
          <w:rFonts w:ascii="Arial" w:hAnsi="Arial" w:cs="Arial"/>
          <w:sz w:val="22"/>
          <w:szCs w:val="22"/>
        </w:rPr>
        <w:t xml:space="preserve">l) contained the following: 2X Power SYBR Green Master Mix without uracil-N-glycosylase (12.5 </w:t>
      </w:r>
      <w:r w:rsidRPr="0041260C">
        <w:rPr>
          <w:rFonts w:ascii="Arial" w:hAnsi="Arial" w:cs="Arial"/>
          <w:sz w:val="22"/>
          <w:szCs w:val="22"/>
        </w:rPr>
        <w:sym w:font="Symbol" w:char="F06D"/>
      </w:r>
      <w:r w:rsidRPr="0041260C">
        <w:rPr>
          <w:rFonts w:ascii="Arial" w:hAnsi="Arial" w:cs="Arial"/>
          <w:sz w:val="22"/>
          <w:szCs w:val="22"/>
        </w:rPr>
        <w:t>l), forward and reverse primer [</w:t>
      </w:r>
      <w:r w:rsidRPr="0041260C">
        <w:rPr>
          <w:rFonts w:ascii="Arial" w:hAnsi="Arial" w:cs="Arial"/>
          <w:color w:val="231F20"/>
          <w:sz w:val="22"/>
          <w:szCs w:val="22"/>
        </w:rPr>
        <w:t>WFS1 (For-5’-</w:t>
      </w:r>
      <w:r w:rsidRPr="0041260C">
        <w:rPr>
          <w:rFonts w:ascii="Arial" w:hAnsi="Arial" w:cs="Arial"/>
          <w:sz w:val="22"/>
          <w:szCs w:val="22"/>
        </w:rPr>
        <w:t xml:space="preserve">CAAGTGGCCTGTCTTCGAG </w:t>
      </w:r>
      <w:r w:rsidRPr="0041260C">
        <w:rPr>
          <w:rFonts w:ascii="Arial" w:hAnsi="Arial" w:cs="Arial"/>
          <w:color w:val="231F20"/>
          <w:sz w:val="22"/>
          <w:szCs w:val="22"/>
        </w:rPr>
        <w:t>-3’, Rev-5’</w:t>
      </w:r>
      <w:r w:rsidRPr="0041260C">
        <w:rPr>
          <w:rFonts w:ascii="Arial" w:hAnsi="Arial" w:cs="Arial"/>
          <w:sz w:val="22"/>
          <w:szCs w:val="22"/>
        </w:rPr>
        <w:t>- GTCGTGCTCGATCTTCACAT</w:t>
      </w:r>
      <w:r w:rsidRPr="0041260C">
        <w:rPr>
          <w:rFonts w:ascii="Arial" w:hAnsi="Arial" w:cs="Arial"/>
          <w:color w:val="231F20"/>
          <w:sz w:val="22"/>
          <w:szCs w:val="22"/>
        </w:rPr>
        <w:t xml:space="preserve"> -3’)</w:t>
      </w:r>
      <w:r w:rsidRPr="0041260C">
        <w:rPr>
          <w:rFonts w:ascii="Arial" w:hAnsi="Arial" w:cs="Arial"/>
          <w:iCs/>
          <w:sz w:val="22"/>
          <w:szCs w:val="22"/>
        </w:rPr>
        <w:t>, GAPDH (</w:t>
      </w:r>
      <w:r w:rsidRPr="0041260C">
        <w:rPr>
          <w:rFonts w:ascii="Arial" w:hAnsi="Arial" w:cs="Arial"/>
          <w:sz w:val="22"/>
          <w:szCs w:val="22"/>
        </w:rPr>
        <w:t>For-5’-CAAGAGAGGCATTCTCACCCTGAA-3’, Rev-5’-TGGTGCCAGATCTTCTCCATGTC-3’</w:t>
      </w:r>
      <w:r w:rsidRPr="0041260C">
        <w:rPr>
          <w:rFonts w:ascii="Arial" w:hAnsi="Arial" w:cs="Arial"/>
          <w:iCs/>
          <w:sz w:val="22"/>
          <w:szCs w:val="22"/>
        </w:rPr>
        <w:t xml:space="preserve">) </w:t>
      </w:r>
      <w:r w:rsidRPr="0041260C">
        <w:rPr>
          <w:rFonts w:ascii="Arial" w:hAnsi="Arial" w:cs="Arial"/>
          <w:sz w:val="22"/>
          <w:szCs w:val="22"/>
        </w:rPr>
        <w:t>and Beta-actin</w:t>
      </w:r>
      <w:r w:rsidRPr="0041260C">
        <w:rPr>
          <w:rFonts w:ascii="Arial" w:hAnsi="Arial" w:cs="Arial"/>
          <w:iCs/>
          <w:sz w:val="22"/>
          <w:szCs w:val="22"/>
        </w:rPr>
        <w:t xml:space="preserve"> (</w:t>
      </w:r>
      <w:r w:rsidRPr="0041260C">
        <w:rPr>
          <w:rFonts w:ascii="Arial" w:hAnsi="Arial" w:cs="Arial"/>
          <w:sz w:val="22"/>
          <w:szCs w:val="22"/>
        </w:rPr>
        <w:t>For-5’-CAACAGCCTCAAGATCGTCAGCAA-3’, Rev-5’-GAGTCCTTCCACGATACCAAAGTTGTC-3’</w:t>
      </w:r>
      <w:r w:rsidRPr="0041260C">
        <w:rPr>
          <w:rFonts w:ascii="Arial" w:hAnsi="Arial" w:cs="Arial"/>
          <w:iCs/>
          <w:sz w:val="22"/>
          <w:szCs w:val="22"/>
        </w:rPr>
        <w:t>)</w:t>
      </w:r>
      <w:r w:rsidRPr="0041260C">
        <w:rPr>
          <w:rFonts w:ascii="Arial" w:hAnsi="Arial" w:cs="Arial"/>
          <w:sz w:val="22"/>
          <w:szCs w:val="22"/>
        </w:rPr>
        <w:t xml:space="preserve"> (200 </w:t>
      </w:r>
      <w:proofErr w:type="spellStart"/>
      <w:r w:rsidRPr="0041260C">
        <w:rPr>
          <w:rFonts w:ascii="Arial" w:hAnsi="Arial" w:cs="Arial"/>
          <w:sz w:val="22"/>
          <w:szCs w:val="22"/>
        </w:rPr>
        <w:t>nM</w:t>
      </w:r>
      <w:proofErr w:type="spellEnd"/>
      <w:r w:rsidRPr="0041260C">
        <w:rPr>
          <w:rFonts w:ascii="Arial" w:hAnsi="Arial" w:cs="Arial"/>
          <w:sz w:val="22"/>
          <w:szCs w:val="22"/>
        </w:rPr>
        <w:t xml:space="preserve">) and ~200 ng of total RNA (4 </w:t>
      </w:r>
      <w:r w:rsidRPr="0041260C">
        <w:rPr>
          <w:rFonts w:ascii="Arial" w:hAnsi="Arial" w:cs="Arial"/>
          <w:sz w:val="22"/>
          <w:szCs w:val="22"/>
        </w:rPr>
        <w:sym w:font="Symbol" w:char="F06D"/>
      </w:r>
      <w:r w:rsidRPr="0041260C">
        <w:rPr>
          <w:rFonts w:ascii="Arial" w:hAnsi="Arial" w:cs="Arial"/>
          <w:sz w:val="22"/>
          <w:szCs w:val="22"/>
        </w:rPr>
        <w:t xml:space="preserve">l). The PCR amplification was carried out in the ABI 7900 </w:t>
      </w:r>
      <w:r w:rsidRPr="0041260C">
        <w:rPr>
          <w:rFonts w:ascii="Arial" w:hAnsi="Arial" w:cs="Arial"/>
          <w:sz w:val="22"/>
          <w:szCs w:val="22"/>
        </w:rPr>
        <w:lastRenderedPageBreak/>
        <w:t xml:space="preserve">HT sequence detection System (Thermo Fisher) using the default thermal cycling conditions for SYBR Green assays. As a normalization control for RNA loading, parallel reactions in the same multi-well plate were performed using GAPDH and </w:t>
      </w:r>
      <w:r w:rsidRPr="0041260C">
        <w:rPr>
          <w:rFonts w:ascii="Arial" w:hAnsi="Arial" w:cs="Arial"/>
          <w:iCs/>
          <w:sz w:val="22"/>
          <w:szCs w:val="22"/>
        </w:rPr>
        <w:t>β-Actin</w:t>
      </w:r>
      <w:r w:rsidRPr="0041260C">
        <w:rPr>
          <w:rFonts w:ascii="Arial" w:hAnsi="Arial" w:cs="Arial"/>
          <w:sz w:val="22"/>
          <w:szCs w:val="22"/>
        </w:rPr>
        <w:t xml:space="preserve">. Relative changes in gene expression were calculated using the </w:t>
      </w:r>
      <w:r w:rsidRPr="0041260C">
        <w:rPr>
          <w:rFonts w:ascii="Arial" w:hAnsi="Arial" w:cs="Arial"/>
          <w:sz w:val="22"/>
          <w:szCs w:val="22"/>
        </w:rPr>
        <w:sym w:font="Symbol" w:char="F044"/>
      </w:r>
      <w:r w:rsidRPr="0041260C">
        <w:rPr>
          <w:rFonts w:ascii="Arial" w:hAnsi="Arial" w:cs="Arial"/>
          <w:sz w:val="22"/>
          <w:szCs w:val="22"/>
        </w:rPr>
        <w:sym w:font="Symbol" w:char="F044"/>
      </w:r>
      <w:r w:rsidRPr="0041260C">
        <w:rPr>
          <w:rFonts w:ascii="Arial" w:hAnsi="Arial" w:cs="Arial"/>
          <w:sz w:val="22"/>
          <w:szCs w:val="22"/>
        </w:rPr>
        <w:t>C</w:t>
      </w:r>
      <w:r w:rsidRPr="0041260C">
        <w:rPr>
          <w:rFonts w:ascii="Arial" w:hAnsi="Arial" w:cs="Arial"/>
          <w:sz w:val="22"/>
          <w:szCs w:val="22"/>
          <w:vertAlign w:val="subscript"/>
        </w:rPr>
        <w:t xml:space="preserve">T </w:t>
      </w:r>
      <w:r w:rsidRPr="0041260C">
        <w:rPr>
          <w:rFonts w:ascii="Arial" w:hAnsi="Arial" w:cs="Arial"/>
          <w:sz w:val="22"/>
          <w:szCs w:val="22"/>
        </w:rPr>
        <w:t xml:space="preserve">method. PCR efficiency analysis was performed using serial 10-fold RNA dilution (500, 50, 5 and 0.5 ng of total RNA). The amplification curves for all assays were linear and based on slope values (-3.15 to -3.24) all assays had 100-102% efficiency. </w:t>
      </w:r>
    </w:p>
    <w:p w14:paraId="7ECEE970" w14:textId="77777777" w:rsidR="00000EE4" w:rsidRPr="0041260C" w:rsidRDefault="00000EE4" w:rsidP="00445EE2">
      <w:pPr>
        <w:autoSpaceDE w:val="0"/>
        <w:autoSpaceDN w:val="0"/>
        <w:adjustRightInd w:val="0"/>
        <w:spacing w:line="480" w:lineRule="auto"/>
        <w:jc w:val="both"/>
        <w:rPr>
          <w:rFonts w:ascii="Arial" w:eastAsia="Calibri" w:hAnsi="Arial" w:cs="Arial"/>
          <w:b/>
          <w:i/>
          <w:color w:val="231F20"/>
          <w:sz w:val="22"/>
          <w:szCs w:val="22"/>
        </w:rPr>
      </w:pPr>
    </w:p>
    <w:p w14:paraId="62DE76BB" w14:textId="77777777" w:rsidR="00000EE4" w:rsidRPr="0041260C" w:rsidRDefault="00000EE4" w:rsidP="00445EE2">
      <w:pPr>
        <w:autoSpaceDE w:val="0"/>
        <w:autoSpaceDN w:val="0"/>
        <w:adjustRightInd w:val="0"/>
        <w:spacing w:line="480" w:lineRule="auto"/>
        <w:jc w:val="both"/>
        <w:rPr>
          <w:rFonts w:ascii="Arial" w:eastAsia="Calibri" w:hAnsi="Arial" w:cs="Arial"/>
          <w:i/>
          <w:color w:val="231F20"/>
          <w:sz w:val="22"/>
          <w:szCs w:val="22"/>
        </w:rPr>
      </w:pPr>
      <w:r w:rsidRPr="0041260C">
        <w:rPr>
          <w:rFonts w:ascii="Arial" w:eastAsia="Calibri" w:hAnsi="Arial" w:cs="Arial"/>
          <w:i/>
          <w:color w:val="231F20"/>
          <w:sz w:val="22"/>
          <w:szCs w:val="22"/>
        </w:rPr>
        <w:t>Cloning of 3’-UTR of WFS1 mRNA and Dual-Glo luciferase reporter gene assay</w:t>
      </w:r>
    </w:p>
    <w:p w14:paraId="0B7DC651" w14:textId="77777777" w:rsidR="00000EE4" w:rsidRPr="0041260C" w:rsidRDefault="00000EE4" w:rsidP="00445EE2">
      <w:pPr>
        <w:pStyle w:val="HTMLPreformatted"/>
        <w:spacing w:line="480" w:lineRule="auto"/>
        <w:jc w:val="both"/>
        <w:rPr>
          <w:rFonts w:ascii="Arial" w:eastAsia="Calibri" w:hAnsi="Arial" w:cs="Arial"/>
          <w:color w:val="231F20"/>
          <w:sz w:val="22"/>
          <w:szCs w:val="22"/>
        </w:rPr>
      </w:pPr>
    </w:p>
    <w:p w14:paraId="732DD7DB" w14:textId="3EE996FF" w:rsidR="00000EE4" w:rsidRPr="0041260C" w:rsidRDefault="00000EE4" w:rsidP="00445EE2">
      <w:pPr>
        <w:pStyle w:val="HTMLPreformatted"/>
        <w:spacing w:line="480" w:lineRule="auto"/>
        <w:jc w:val="both"/>
        <w:rPr>
          <w:rFonts w:ascii="Arial" w:hAnsi="Arial" w:cs="Arial"/>
          <w:sz w:val="22"/>
          <w:szCs w:val="22"/>
        </w:rPr>
      </w:pPr>
      <w:r w:rsidRPr="0041260C">
        <w:rPr>
          <w:rFonts w:ascii="Arial" w:eastAsia="Calibri" w:hAnsi="Arial" w:cs="Arial"/>
          <w:color w:val="231F20"/>
          <w:sz w:val="22"/>
          <w:szCs w:val="22"/>
        </w:rPr>
        <w:t>The 3’ UTR of the rhesus macaque WFS1 mRNA contains a single predicted miR-142-3p binding site (</w:t>
      </w:r>
      <w:proofErr w:type="spellStart"/>
      <w:r w:rsidRPr="0041260C">
        <w:rPr>
          <w:rFonts w:ascii="Arial" w:eastAsia="Calibri" w:hAnsi="Arial" w:cs="Arial"/>
          <w:color w:val="231F20"/>
          <w:sz w:val="22"/>
          <w:szCs w:val="22"/>
        </w:rPr>
        <w:t>TargetScan</w:t>
      </w:r>
      <w:proofErr w:type="spellEnd"/>
      <w:r w:rsidRPr="0041260C">
        <w:rPr>
          <w:rFonts w:ascii="Arial" w:eastAsia="Calibri" w:hAnsi="Arial" w:cs="Arial"/>
          <w:color w:val="231F20"/>
          <w:sz w:val="22"/>
          <w:szCs w:val="22"/>
        </w:rPr>
        <w:t xml:space="preserve"> 7.2). Accordingly, a short 54 nucleotide sequence representing the 3' UTR containing the predicted miR-142-3p site (5’-</w:t>
      </w:r>
      <w:r w:rsidRPr="0041260C">
        <w:rPr>
          <w:rFonts w:ascii="Arial" w:hAnsi="Arial" w:cs="Arial"/>
          <w:sz w:val="22"/>
          <w:szCs w:val="22"/>
        </w:rPr>
        <w:t xml:space="preserve"> AGGCGGCGCACUGGCAGUGUGUCACACUGAGCACAG</w:t>
      </w:r>
      <w:r w:rsidRPr="0041260C">
        <w:rPr>
          <w:rFonts w:ascii="Arial" w:hAnsi="Arial" w:cs="Arial"/>
          <w:b/>
          <w:color w:val="000000" w:themeColor="text1"/>
          <w:sz w:val="22"/>
          <w:szCs w:val="22"/>
          <w:u w:val="single"/>
        </w:rPr>
        <w:t>CACUACA</w:t>
      </w:r>
      <w:r w:rsidRPr="0041260C">
        <w:rPr>
          <w:rFonts w:ascii="Arial" w:hAnsi="Arial" w:cs="Arial"/>
          <w:sz w:val="22"/>
          <w:szCs w:val="22"/>
        </w:rPr>
        <w:t>GGCUGCCUCAU-</w:t>
      </w:r>
      <w:r w:rsidRPr="0041260C">
        <w:rPr>
          <w:rFonts w:ascii="Arial" w:eastAsia="Calibri" w:hAnsi="Arial" w:cs="Arial"/>
          <w:color w:val="231F20"/>
          <w:sz w:val="22"/>
          <w:szCs w:val="22"/>
        </w:rPr>
        <w:t xml:space="preserve">3’) was synthesized (IDTDNA Technologies Inc., IA) for cloning into the </w:t>
      </w:r>
      <w:proofErr w:type="spellStart"/>
      <w:r w:rsidRPr="0041260C">
        <w:rPr>
          <w:rFonts w:ascii="Arial" w:eastAsia="Calibri" w:hAnsi="Arial" w:cs="Arial"/>
          <w:color w:val="231F20"/>
          <w:sz w:val="22"/>
          <w:szCs w:val="22"/>
        </w:rPr>
        <w:t>pmirGLO</w:t>
      </w:r>
      <w:proofErr w:type="spellEnd"/>
      <w:r w:rsidRPr="0041260C">
        <w:rPr>
          <w:rFonts w:ascii="Arial" w:eastAsia="Calibri" w:hAnsi="Arial" w:cs="Arial"/>
          <w:color w:val="231F20"/>
          <w:sz w:val="22"/>
          <w:szCs w:val="22"/>
        </w:rPr>
        <w:t xml:space="preserve"> </w:t>
      </w:r>
      <w:r w:rsidRPr="0041260C">
        <w:rPr>
          <w:rFonts w:ascii="Arial" w:eastAsia="Calibri" w:hAnsi="Arial" w:cs="Arial"/>
          <w:noProof/>
          <w:color w:val="231F20"/>
          <w:sz w:val="22"/>
          <w:szCs w:val="22"/>
        </w:rPr>
        <w:t>Dual-Luciferase</w:t>
      </w:r>
      <w:r w:rsidRPr="0041260C">
        <w:rPr>
          <w:rFonts w:ascii="Arial" w:eastAsia="Calibri" w:hAnsi="Arial" w:cs="Arial"/>
          <w:color w:val="231F20"/>
          <w:sz w:val="22"/>
          <w:szCs w:val="22"/>
        </w:rPr>
        <w:t xml:space="preserve"> vector (Promega Corp, Madison, WI). A second oligonucleotide with the miRNA binding site deleted (n=7 nucleotides) (5’-</w:t>
      </w:r>
      <w:r w:rsidRPr="0041260C">
        <w:rPr>
          <w:rFonts w:ascii="Arial" w:hAnsi="Arial" w:cs="Arial"/>
          <w:sz w:val="22"/>
          <w:szCs w:val="22"/>
        </w:rPr>
        <w:t xml:space="preserve"> AGGCGGCGCACUGGCAGUGUGUCACACUGAGCACAGGGCUGCCUCAU -</w:t>
      </w:r>
      <w:r w:rsidRPr="0041260C">
        <w:rPr>
          <w:rFonts w:ascii="Arial" w:eastAsia="Calibri" w:hAnsi="Arial" w:cs="Arial"/>
          <w:color w:val="231F20"/>
          <w:sz w:val="22"/>
          <w:szCs w:val="22"/>
        </w:rPr>
        <w:t xml:space="preserve">3’) was also synthesized to serve as a negative control. Both wild type and deleted WFS1 oligonucleotide sequences were synthesized with a </w:t>
      </w:r>
      <w:r w:rsidRPr="0041260C">
        <w:rPr>
          <w:rFonts w:ascii="Arial" w:eastAsia="Calibri" w:hAnsi="Arial" w:cs="Arial"/>
          <w:i/>
          <w:color w:val="231F20"/>
          <w:sz w:val="22"/>
          <w:szCs w:val="22"/>
        </w:rPr>
        <w:t>Pme1</w:t>
      </w:r>
      <w:r w:rsidRPr="0041260C">
        <w:rPr>
          <w:rFonts w:ascii="Arial" w:eastAsia="Calibri" w:hAnsi="Arial" w:cs="Arial"/>
          <w:color w:val="231F20"/>
          <w:sz w:val="22"/>
          <w:szCs w:val="22"/>
        </w:rPr>
        <w:t xml:space="preserve"> site on the 5’ and </w:t>
      </w:r>
      <w:r w:rsidRPr="0041260C">
        <w:rPr>
          <w:rFonts w:ascii="Arial" w:eastAsia="Calibri" w:hAnsi="Arial" w:cs="Arial"/>
          <w:i/>
          <w:color w:val="231F20"/>
          <w:sz w:val="22"/>
          <w:szCs w:val="22"/>
        </w:rPr>
        <w:t>Xba1</w:t>
      </w:r>
      <w:r w:rsidRPr="0041260C">
        <w:rPr>
          <w:rFonts w:ascii="Arial" w:eastAsia="Calibri" w:hAnsi="Arial" w:cs="Arial"/>
          <w:color w:val="231F20"/>
          <w:sz w:val="22"/>
          <w:szCs w:val="22"/>
        </w:rPr>
        <w:t xml:space="preserve"> site on the 3’ end for directional cloning. The </w:t>
      </w:r>
      <w:proofErr w:type="spellStart"/>
      <w:r w:rsidRPr="0041260C">
        <w:rPr>
          <w:rFonts w:ascii="Arial" w:eastAsia="Calibri" w:hAnsi="Arial" w:cs="Arial"/>
          <w:color w:val="231F20"/>
          <w:sz w:val="22"/>
          <w:szCs w:val="22"/>
        </w:rPr>
        <w:t>pmirGLO</w:t>
      </w:r>
      <w:proofErr w:type="spellEnd"/>
      <w:r w:rsidRPr="0041260C">
        <w:rPr>
          <w:rFonts w:ascii="Arial" w:eastAsia="Calibri" w:hAnsi="Arial" w:cs="Arial"/>
          <w:color w:val="231F20"/>
          <w:sz w:val="22"/>
          <w:szCs w:val="22"/>
        </w:rPr>
        <w:t xml:space="preserve"> vector was first cut with </w:t>
      </w:r>
      <w:r w:rsidRPr="0041260C">
        <w:rPr>
          <w:rFonts w:ascii="Arial" w:eastAsia="Calibri" w:hAnsi="Arial" w:cs="Arial"/>
          <w:i/>
          <w:color w:val="231F20"/>
          <w:sz w:val="22"/>
          <w:szCs w:val="22"/>
        </w:rPr>
        <w:t>Pme1</w:t>
      </w:r>
      <w:r w:rsidRPr="0041260C">
        <w:rPr>
          <w:rFonts w:ascii="Arial" w:eastAsia="Calibri" w:hAnsi="Arial" w:cs="Arial"/>
          <w:color w:val="231F20"/>
          <w:sz w:val="22"/>
          <w:szCs w:val="22"/>
        </w:rPr>
        <w:t xml:space="preserve"> and </w:t>
      </w:r>
      <w:r w:rsidRPr="0041260C">
        <w:rPr>
          <w:rFonts w:ascii="Arial" w:eastAsia="Calibri" w:hAnsi="Arial" w:cs="Arial"/>
          <w:i/>
          <w:color w:val="231F20"/>
          <w:sz w:val="22"/>
          <w:szCs w:val="22"/>
        </w:rPr>
        <w:t>Xba1</w:t>
      </w:r>
      <w:r w:rsidRPr="0041260C">
        <w:rPr>
          <w:rFonts w:ascii="Arial" w:eastAsia="Calibri" w:hAnsi="Arial" w:cs="Arial"/>
          <w:color w:val="231F20"/>
          <w:sz w:val="22"/>
          <w:szCs w:val="22"/>
        </w:rPr>
        <w:t xml:space="preserve"> restriction enzymes, gel purified and ligated with either </w:t>
      </w:r>
      <w:r w:rsidRPr="0041260C">
        <w:rPr>
          <w:rFonts w:ascii="Arial" w:eastAsia="Calibri" w:hAnsi="Arial" w:cs="Arial"/>
          <w:noProof/>
          <w:color w:val="231F20"/>
          <w:sz w:val="22"/>
          <w:szCs w:val="22"/>
        </w:rPr>
        <w:t>wild-type</w:t>
      </w:r>
      <w:r w:rsidRPr="0041260C">
        <w:rPr>
          <w:rFonts w:ascii="Arial" w:eastAsia="Calibri" w:hAnsi="Arial" w:cs="Arial"/>
          <w:color w:val="231F20"/>
          <w:sz w:val="22"/>
          <w:szCs w:val="22"/>
        </w:rPr>
        <w:t xml:space="preserve"> sequence containing the miR-142-3p binding site (WFS1-wtUTR) or deleted sequence (WFS1-delUTR). As stated previously, </w:t>
      </w:r>
      <w:r w:rsidRPr="0041260C">
        <w:rPr>
          <w:rFonts w:ascii="Arial" w:hAnsi="Arial" w:cs="Arial"/>
          <w:color w:val="000000"/>
          <w:sz w:val="22"/>
          <w:szCs w:val="22"/>
        </w:rPr>
        <w:t xml:space="preserve">HEK293 cells were used for the </w:t>
      </w:r>
      <w:r w:rsidRPr="0041260C">
        <w:rPr>
          <w:rFonts w:ascii="Arial" w:hAnsi="Arial" w:cs="Arial"/>
          <w:noProof/>
          <w:color w:val="000000"/>
          <w:sz w:val="22"/>
          <w:szCs w:val="22"/>
        </w:rPr>
        <w:t>reporter</w:t>
      </w:r>
      <w:r w:rsidRPr="0041260C">
        <w:rPr>
          <w:rFonts w:ascii="Arial" w:hAnsi="Arial" w:cs="Arial"/>
          <w:color w:val="000000"/>
          <w:sz w:val="22"/>
          <w:szCs w:val="22"/>
        </w:rPr>
        <w:t xml:space="preserve"> assay as these cells abundantly express MMP8 and &gt;95-98% of these cells can be successfully transfected with exogenous nucleic acids using </w:t>
      </w:r>
      <w:proofErr w:type="spellStart"/>
      <w:r w:rsidRPr="0041260C">
        <w:rPr>
          <w:rFonts w:ascii="Arial" w:hAnsi="Arial" w:cs="Arial"/>
          <w:color w:val="000000"/>
          <w:sz w:val="22"/>
          <w:szCs w:val="22"/>
        </w:rPr>
        <w:t>Lipojet</w:t>
      </w:r>
      <w:proofErr w:type="spellEnd"/>
      <w:r w:rsidRPr="0041260C">
        <w:rPr>
          <w:rFonts w:ascii="Arial" w:hAnsi="Arial" w:cs="Arial"/>
          <w:color w:val="000000"/>
          <w:sz w:val="22"/>
          <w:szCs w:val="22"/>
        </w:rPr>
        <w:t>® transfection reagent (</w:t>
      </w:r>
      <w:proofErr w:type="spellStart"/>
      <w:r w:rsidRPr="0041260C">
        <w:rPr>
          <w:rFonts w:ascii="Arial" w:hAnsi="Arial" w:cs="Arial"/>
          <w:noProof/>
          <w:color w:val="000000"/>
          <w:sz w:val="22"/>
          <w:szCs w:val="22"/>
        </w:rPr>
        <w:t>Signagen</w:t>
      </w:r>
      <w:proofErr w:type="spellEnd"/>
      <w:r w:rsidRPr="0041260C">
        <w:rPr>
          <w:rFonts w:ascii="Arial" w:hAnsi="Arial" w:cs="Arial"/>
          <w:color w:val="000000"/>
          <w:sz w:val="22"/>
          <w:szCs w:val="22"/>
        </w:rPr>
        <w:t xml:space="preserve">). </w:t>
      </w:r>
      <w:r w:rsidRPr="0041260C">
        <w:rPr>
          <w:rFonts w:ascii="Arial" w:eastAsia="Calibri" w:hAnsi="Arial" w:cs="Arial"/>
          <w:color w:val="231F20"/>
          <w:sz w:val="22"/>
          <w:szCs w:val="22"/>
        </w:rPr>
        <w:t>HEK293 cells were plated at a density of 2x10</w:t>
      </w:r>
      <w:r w:rsidRPr="0041260C">
        <w:rPr>
          <w:rFonts w:ascii="Arial" w:eastAsia="Calibri" w:hAnsi="Arial" w:cs="Arial"/>
          <w:color w:val="231F20"/>
          <w:sz w:val="22"/>
          <w:szCs w:val="22"/>
          <w:vertAlign w:val="superscript"/>
        </w:rPr>
        <w:t>4</w:t>
      </w:r>
      <w:r w:rsidRPr="0041260C">
        <w:rPr>
          <w:rFonts w:ascii="Arial" w:eastAsia="Calibri" w:hAnsi="Arial" w:cs="Arial"/>
          <w:color w:val="231F20"/>
          <w:sz w:val="22"/>
          <w:szCs w:val="22"/>
        </w:rPr>
        <w:t xml:space="preserve"> cells per well of a 96 well plate. At 60-70% confluence cells were co-transfected with ~100 ng WFS1-wtUTR or WFS1-delUTR </w:t>
      </w:r>
      <w:r w:rsidRPr="0041260C">
        <w:rPr>
          <w:rFonts w:ascii="Arial" w:eastAsia="Calibri" w:hAnsi="Arial" w:cs="Arial"/>
          <w:color w:val="231F20"/>
          <w:sz w:val="22"/>
          <w:szCs w:val="22"/>
        </w:rPr>
        <w:lastRenderedPageBreak/>
        <w:t xml:space="preserve">luciferase reporter vector and 20 and 40 </w:t>
      </w:r>
      <w:proofErr w:type="spellStart"/>
      <w:r w:rsidRPr="0041260C">
        <w:rPr>
          <w:rFonts w:ascii="Arial" w:eastAsia="Calibri" w:hAnsi="Arial" w:cs="Arial"/>
          <w:color w:val="231F20"/>
          <w:sz w:val="22"/>
          <w:szCs w:val="22"/>
        </w:rPr>
        <w:t>nM</w:t>
      </w:r>
      <w:proofErr w:type="spellEnd"/>
      <w:r w:rsidRPr="0041260C">
        <w:rPr>
          <w:rFonts w:ascii="Arial" w:eastAsia="Calibri" w:hAnsi="Arial" w:cs="Arial"/>
          <w:color w:val="231F20"/>
          <w:sz w:val="22"/>
          <w:szCs w:val="22"/>
        </w:rPr>
        <w:t xml:space="preserve"> FAM-miR-142-3p or negative control (</w:t>
      </w:r>
      <w:r w:rsidRPr="0041260C">
        <w:rPr>
          <w:rFonts w:ascii="Arial" w:eastAsia="Calibri" w:hAnsi="Arial" w:cs="Arial"/>
          <w:noProof/>
          <w:color w:val="231F20"/>
          <w:sz w:val="22"/>
          <w:szCs w:val="22"/>
        </w:rPr>
        <w:t>cel</w:t>
      </w:r>
      <w:r w:rsidRPr="0041260C">
        <w:rPr>
          <w:rFonts w:ascii="Arial" w:eastAsia="Calibri" w:hAnsi="Arial" w:cs="Arial"/>
          <w:color w:val="231F20"/>
          <w:sz w:val="22"/>
          <w:szCs w:val="22"/>
        </w:rPr>
        <w:t xml:space="preserve">-miR-67-3p) mimic using the </w:t>
      </w:r>
      <w:proofErr w:type="spellStart"/>
      <w:r w:rsidRPr="0041260C">
        <w:rPr>
          <w:rFonts w:ascii="Arial" w:eastAsia="Calibri" w:hAnsi="Arial" w:cs="Arial"/>
          <w:color w:val="231F20"/>
          <w:sz w:val="22"/>
          <w:szCs w:val="22"/>
        </w:rPr>
        <w:t>Lipojet</w:t>
      </w:r>
      <w:proofErr w:type="spellEnd"/>
      <w:r w:rsidRPr="0041260C">
        <w:rPr>
          <w:rFonts w:ascii="Arial" w:eastAsia="Calibri" w:hAnsi="Arial" w:cs="Arial"/>
          <w:color w:val="231F20"/>
          <w:sz w:val="22"/>
          <w:szCs w:val="22"/>
        </w:rPr>
        <w:t>® transfection reagent (</w:t>
      </w:r>
      <w:proofErr w:type="spellStart"/>
      <w:r w:rsidRPr="0041260C">
        <w:rPr>
          <w:rFonts w:ascii="Arial" w:eastAsia="Calibri" w:hAnsi="Arial" w:cs="Arial"/>
          <w:noProof/>
          <w:color w:val="231F20"/>
          <w:sz w:val="22"/>
          <w:szCs w:val="22"/>
        </w:rPr>
        <w:t>Signagen</w:t>
      </w:r>
      <w:proofErr w:type="spellEnd"/>
      <w:r w:rsidRPr="0041260C">
        <w:rPr>
          <w:rFonts w:ascii="Arial" w:eastAsia="Calibri" w:hAnsi="Arial" w:cs="Arial"/>
          <w:color w:val="231F20"/>
          <w:sz w:val="22"/>
          <w:szCs w:val="22"/>
        </w:rPr>
        <w:t xml:space="preserve">). </w:t>
      </w:r>
      <w:r w:rsidRPr="0041260C">
        <w:rPr>
          <w:rFonts w:ascii="Arial" w:hAnsi="Arial" w:cs="Arial"/>
          <w:color w:val="000000"/>
          <w:sz w:val="22"/>
          <w:szCs w:val="22"/>
        </w:rPr>
        <w:t xml:space="preserve">For miR-142-3p overexpression studies, we used the HCN2 (human cortical neuronal primary cell line). </w:t>
      </w:r>
      <w:r w:rsidRPr="0041260C">
        <w:rPr>
          <w:rFonts w:ascii="Arial" w:eastAsia="Calibri" w:hAnsi="Arial" w:cs="Arial"/>
          <w:color w:val="231F20"/>
          <w:sz w:val="22"/>
          <w:szCs w:val="22"/>
        </w:rPr>
        <w:t xml:space="preserve">After 72 h, the Dual Glo luciferase assay was performed according to the manufacturer’s recommended protocol (Promega Corp) using the BioTek H4 Synergy plate reader (BioTek, </w:t>
      </w:r>
      <w:r w:rsidRPr="0041260C">
        <w:rPr>
          <w:rFonts w:ascii="Arial" w:hAnsi="Arial" w:cs="Arial"/>
          <w:sz w:val="22"/>
          <w:szCs w:val="22"/>
        </w:rPr>
        <w:t>Winooski, VT</w:t>
      </w:r>
      <w:r w:rsidRPr="0041260C">
        <w:rPr>
          <w:rFonts w:ascii="Arial" w:eastAsia="Calibri" w:hAnsi="Arial" w:cs="Arial"/>
          <w:color w:val="231F20"/>
          <w:sz w:val="22"/>
          <w:szCs w:val="22"/>
        </w:rPr>
        <w:t xml:space="preserve">). The normalized </w:t>
      </w:r>
      <w:r w:rsidRPr="0041260C">
        <w:rPr>
          <w:rFonts w:ascii="Arial" w:eastAsia="Calibri" w:hAnsi="Arial" w:cs="Arial"/>
          <w:i/>
          <w:color w:val="231F20"/>
          <w:sz w:val="22"/>
          <w:szCs w:val="22"/>
        </w:rPr>
        <w:t>firefly</w:t>
      </w:r>
      <w:r w:rsidRPr="0041260C">
        <w:rPr>
          <w:rFonts w:ascii="Arial" w:eastAsia="Calibri" w:hAnsi="Arial" w:cs="Arial"/>
          <w:color w:val="231F20"/>
          <w:sz w:val="22"/>
          <w:szCs w:val="22"/>
        </w:rPr>
        <w:t xml:space="preserve"> to </w:t>
      </w:r>
      <w:r w:rsidRPr="0041260C">
        <w:rPr>
          <w:rFonts w:ascii="Arial" w:eastAsia="Calibri" w:hAnsi="Arial" w:cs="Arial"/>
          <w:i/>
          <w:noProof/>
          <w:color w:val="231F20"/>
          <w:sz w:val="22"/>
          <w:szCs w:val="22"/>
        </w:rPr>
        <w:t>renilla</w:t>
      </w:r>
      <w:r w:rsidRPr="0041260C">
        <w:rPr>
          <w:rFonts w:ascii="Arial" w:eastAsia="Calibri" w:hAnsi="Arial" w:cs="Arial"/>
          <w:color w:val="231F20"/>
          <w:sz w:val="22"/>
          <w:szCs w:val="22"/>
        </w:rPr>
        <w:t xml:space="preserve"> ratio was calculated to determine the relative reporter activity. Experiments were performed in 6 replicates and repeated thrice. </w:t>
      </w:r>
    </w:p>
    <w:p w14:paraId="40BEE2DF" w14:textId="77777777" w:rsidR="00000EE4" w:rsidRPr="0041260C" w:rsidRDefault="00000EE4" w:rsidP="00445EE2">
      <w:pPr>
        <w:pStyle w:val="MDPI22heading2"/>
        <w:spacing w:before="0" w:after="0" w:line="240" w:lineRule="auto"/>
        <w:jc w:val="both"/>
        <w:rPr>
          <w:rFonts w:ascii="Arial" w:hAnsi="Arial" w:cs="Arial"/>
          <w:i w:val="0"/>
          <w:sz w:val="22"/>
        </w:rPr>
      </w:pPr>
    </w:p>
    <w:bookmarkEnd w:id="3"/>
    <w:p w14:paraId="761257A8" w14:textId="77777777" w:rsidR="00000EE4" w:rsidRPr="0041260C" w:rsidRDefault="00000EE4" w:rsidP="00445EE2">
      <w:pPr>
        <w:pStyle w:val="MDPI22heading2"/>
        <w:spacing w:before="0" w:after="0" w:line="480" w:lineRule="auto"/>
        <w:jc w:val="both"/>
        <w:rPr>
          <w:rFonts w:ascii="Arial" w:hAnsi="Arial" w:cs="Arial"/>
          <w:sz w:val="22"/>
        </w:rPr>
      </w:pPr>
      <w:r w:rsidRPr="0041260C">
        <w:rPr>
          <w:rFonts w:ascii="Arial" w:hAnsi="Arial" w:cs="Arial"/>
          <w:sz w:val="22"/>
        </w:rPr>
        <w:t>Quantification of Endocannabinoid and trytophan metabolites in plasma</w:t>
      </w:r>
    </w:p>
    <w:p w14:paraId="38B9AF49" w14:textId="77777777" w:rsidR="00000EE4" w:rsidRPr="0041260C" w:rsidRDefault="00000EE4" w:rsidP="00445EE2">
      <w:pPr>
        <w:pStyle w:val="MDPI31text"/>
        <w:spacing w:line="480" w:lineRule="auto"/>
        <w:ind w:firstLine="0"/>
        <w:rPr>
          <w:rFonts w:ascii="Arial" w:hAnsi="Arial" w:cs="Arial"/>
          <w:sz w:val="22"/>
        </w:rPr>
      </w:pPr>
    </w:p>
    <w:p w14:paraId="468642AF" w14:textId="77777777" w:rsidR="00000EE4" w:rsidRPr="0041260C" w:rsidRDefault="00000EE4" w:rsidP="00445EE2">
      <w:pPr>
        <w:pStyle w:val="MDPI31text"/>
        <w:spacing w:line="480" w:lineRule="auto"/>
        <w:ind w:firstLine="0"/>
        <w:rPr>
          <w:rFonts w:ascii="Arial" w:hAnsi="Arial" w:cs="Arial"/>
          <w:b/>
          <w:sz w:val="22"/>
        </w:rPr>
      </w:pPr>
      <w:r w:rsidRPr="0041260C">
        <w:rPr>
          <w:rFonts w:ascii="Arial" w:hAnsi="Arial" w:cs="Arial"/>
          <w:sz w:val="22"/>
        </w:rPr>
        <w:t xml:space="preserve">Sample preparation was performed at Metabolon Inc (Morrisville, NC).  Briefly, individual samples were subjected to methanol extraction and then split into aliquots for analysis by ultrahigh performance liquid chromatography/mass spectrometry (UHPLC/MS). The global biochemical profiling analysis comprises four unique arms consisting of reverse phase chromatography positive ionization methods optimized for hydrophilic compounds (LC/MS Pos Polar) and hydrophobic compounds (LC/MS Pos Lipid), reverse phase chromatography with negative ionization conditions (LC/MS Neg), as well as a HILIC chromatography method coupled to negative (LC/MS Polar). All of the methods alternated between full-scan MS and data-dependent </w:t>
      </w:r>
      <w:proofErr w:type="spellStart"/>
      <w:r w:rsidRPr="0041260C">
        <w:rPr>
          <w:rFonts w:ascii="Arial" w:hAnsi="Arial" w:cs="Arial"/>
          <w:sz w:val="22"/>
        </w:rPr>
        <w:t>MS</w:t>
      </w:r>
      <w:r w:rsidRPr="0041260C">
        <w:rPr>
          <w:rFonts w:ascii="Arial" w:hAnsi="Arial" w:cs="Arial"/>
          <w:i/>
          <w:sz w:val="22"/>
        </w:rPr>
        <w:t>n</w:t>
      </w:r>
      <w:proofErr w:type="spellEnd"/>
      <w:r w:rsidRPr="0041260C">
        <w:rPr>
          <w:rFonts w:ascii="Arial" w:hAnsi="Arial" w:cs="Arial"/>
          <w:sz w:val="22"/>
        </w:rPr>
        <w:t xml:space="preserve"> scans. The scan range varied slightly between methods but generally covered 70–1000 </w:t>
      </w:r>
      <w:r w:rsidRPr="0041260C">
        <w:rPr>
          <w:rFonts w:ascii="Arial" w:hAnsi="Arial" w:cs="Arial"/>
          <w:i/>
          <w:sz w:val="22"/>
        </w:rPr>
        <w:t>m</w:t>
      </w:r>
      <w:r w:rsidRPr="0041260C">
        <w:rPr>
          <w:rFonts w:ascii="Arial" w:hAnsi="Arial" w:cs="Arial"/>
          <w:sz w:val="22"/>
        </w:rPr>
        <w:t>/</w:t>
      </w:r>
      <w:r w:rsidRPr="0041260C">
        <w:rPr>
          <w:rFonts w:ascii="Arial" w:hAnsi="Arial" w:cs="Arial"/>
          <w:i/>
          <w:sz w:val="22"/>
        </w:rPr>
        <w:t>z</w:t>
      </w:r>
      <w:r w:rsidRPr="0041260C">
        <w:rPr>
          <w:rFonts w:ascii="Arial" w:hAnsi="Arial" w:cs="Arial"/>
          <w:sz w:val="22"/>
        </w:rPr>
        <w:t xml:space="preserve">.  </w:t>
      </w:r>
    </w:p>
    <w:p w14:paraId="27B91223" w14:textId="77777777" w:rsidR="00000EE4" w:rsidRPr="0041260C" w:rsidRDefault="00000EE4" w:rsidP="00445EE2">
      <w:pPr>
        <w:pStyle w:val="MDPI31text"/>
        <w:spacing w:line="480" w:lineRule="auto"/>
        <w:ind w:firstLine="0"/>
        <w:rPr>
          <w:rFonts w:ascii="Arial" w:hAnsi="Arial" w:cs="Arial"/>
          <w:sz w:val="22"/>
        </w:rPr>
      </w:pPr>
    </w:p>
    <w:p w14:paraId="01F98509" w14:textId="77777777" w:rsidR="00000EE4" w:rsidRPr="0041260C" w:rsidRDefault="00000EE4" w:rsidP="00445EE2">
      <w:pPr>
        <w:pStyle w:val="MDPI31text"/>
        <w:spacing w:line="480" w:lineRule="auto"/>
        <w:ind w:firstLine="0"/>
        <w:rPr>
          <w:rFonts w:ascii="Arial" w:hAnsi="Arial" w:cs="Arial"/>
          <w:sz w:val="22"/>
        </w:rPr>
      </w:pPr>
      <w:r w:rsidRPr="0041260C">
        <w:rPr>
          <w:rFonts w:ascii="Arial" w:hAnsi="Arial" w:cs="Arial"/>
          <w:sz w:val="22"/>
        </w:rPr>
        <w:t xml:space="preserve">Metabolites were identified by automated comparison of the ion features in the experimental samples to a reference library of chemical standard entries that includes retention time, molecular weight (m/z), preferred adducts, and in-source fragments, as well as, associated MS spectra and curated by visual inspection for quality control using software developed at Metabolon. Identification of known chemical entities was based on comparison to metabolomic library entries of purified standards. </w:t>
      </w:r>
    </w:p>
    <w:sectPr w:rsidR="00000EE4" w:rsidRPr="0041260C" w:rsidSect="00FD0B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75943" w14:textId="77777777" w:rsidR="00222937" w:rsidRDefault="00222937">
      <w:r>
        <w:separator/>
      </w:r>
    </w:p>
  </w:endnote>
  <w:endnote w:type="continuationSeparator" w:id="0">
    <w:p w14:paraId="3D83BFBB" w14:textId="77777777" w:rsidR="00222937" w:rsidRDefault="0022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MS Mincho"/>
    <w:charset w:val="00"/>
    <w:family w:val="roman"/>
    <w:pitch w:val="variable"/>
    <w:sig w:usb0="E0002AEF" w:usb1="C0007841" w:usb2="00000009" w:usb3="00000000" w:csb0="000001FF" w:csb1="00000000"/>
  </w:font>
  <w:font w:name="AdvTT6120e2aa+20">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0D99D" w14:textId="77777777" w:rsidR="00222937" w:rsidRDefault="00222937">
      <w:r>
        <w:separator/>
      </w:r>
    </w:p>
  </w:footnote>
  <w:footnote w:type="continuationSeparator" w:id="0">
    <w:p w14:paraId="06AE6546" w14:textId="77777777" w:rsidR="00222937" w:rsidRDefault="00222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E9A09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Lance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000EE4"/>
    <w:rsid w:val="00000EE4"/>
    <w:rsid w:val="00010844"/>
    <w:rsid w:val="000F703F"/>
    <w:rsid w:val="001616E3"/>
    <w:rsid w:val="001E5391"/>
    <w:rsid w:val="00222937"/>
    <w:rsid w:val="00222F7A"/>
    <w:rsid w:val="00285E3B"/>
    <w:rsid w:val="003878B4"/>
    <w:rsid w:val="003945D0"/>
    <w:rsid w:val="00445EE2"/>
    <w:rsid w:val="00585B20"/>
    <w:rsid w:val="006656A3"/>
    <w:rsid w:val="006A0BCD"/>
    <w:rsid w:val="008C4D7F"/>
    <w:rsid w:val="008D2409"/>
    <w:rsid w:val="009209FA"/>
    <w:rsid w:val="00B25800"/>
    <w:rsid w:val="00B4679E"/>
    <w:rsid w:val="00BB4F96"/>
    <w:rsid w:val="00BD53D7"/>
    <w:rsid w:val="00DE67B3"/>
    <w:rsid w:val="00EC7B3D"/>
    <w:rsid w:val="00FD0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5A37C"/>
  <w15:chartTrackingRefBased/>
  <w15:docId w15:val="{81A7DA48-2AE8-452C-84F9-CA578CA9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0EE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00EE4"/>
    <w:pPr>
      <w:keepNext/>
      <w:spacing w:before="240" w:after="60"/>
      <w:outlineLvl w:val="0"/>
    </w:pPr>
    <w:rPr>
      <w:b/>
      <w:bCs/>
      <w:kern w:val="32"/>
      <w:szCs w:val="24"/>
    </w:rPr>
  </w:style>
  <w:style w:type="paragraph" w:styleId="Heading2">
    <w:name w:val="heading 2"/>
    <w:basedOn w:val="Normal"/>
    <w:next w:val="Normal"/>
    <w:link w:val="Heading2Char"/>
    <w:semiHidden/>
    <w:qFormat/>
    <w:rsid w:val="00000EE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qFormat/>
    <w:rsid w:val="00000EE4"/>
    <w:pPr>
      <w:keepNext/>
      <w:spacing w:line="480" w:lineRule="auto"/>
      <w:outlineLvl w:val="2"/>
    </w:pPr>
    <w:rPr>
      <w:rFonts w:ascii="Times" w:eastAsia="Times" w:hAnsi="Times"/>
      <w:b/>
    </w:rPr>
  </w:style>
  <w:style w:type="paragraph" w:styleId="Heading4">
    <w:name w:val="heading 4"/>
    <w:basedOn w:val="Normal"/>
    <w:next w:val="Normal"/>
    <w:link w:val="Heading4Char"/>
    <w:semiHidden/>
    <w:qFormat/>
    <w:rsid w:val="00000EE4"/>
    <w:pPr>
      <w:keepNext/>
      <w:spacing w:line="480" w:lineRule="auto"/>
      <w:outlineLvl w:val="3"/>
    </w:pPr>
    <w:rPr>
      <w:rFonts w:ascii="Times" w:hAnsi="Times"/>
      <w:b/>
      <w:color w:val="0000FF"/>
      <w:sz w:val="44"/>
    </w:rPr>
  </w:style>
  <w:style w:type="paragraph" w:styleId="Heading5">
    <w:name w:val="heading 5"/>
    <w:basedOn w:val="Normal"/>
    <w:next w:val="Normal"/>
    <w:link w:val="Heading5Char"/>
    <w:semiHidden/>
    <w:qFormat/>
    <w:rsid w:val="00000EE4"/>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qFormat/>
    <w:rsid w:val="00000EE4"/>
    <w:pPr>
      <w:spacing w:before="240" w:after="60"/>
      <w:outlineLvl w:val="5"/>
    </w:pPr>
    <w:rPr>
      <w:rFonts w:ascii="Calibri" w:hAnsi="Calibri"/>
      <w:b/>
      <w:bCs/>
      <w:sz w:val="22"/>
      <w:szCs w:val="22"/>
    </w:rPr>
  </w:style>
  <w:style w:type="paragraph" w:styleId="Heading7">
    <w:name w:val="heading 7"/>
    <w:basedOn w:val="Normal"/>
    <w:next w:val="Normal"/>
    <w:link w:val="Heading7Char"/>
    <w:semiHidden/>
    <w:qFormat/>
    <w:rsid w:val="00000EE4"/>
    <w:pPr>
      <w:spacing w:before="240" w:after="60"/>
      <w:outlineLvl w:val="6"/>
    </w:pPr>
    <w:rPr>
      <w:rFonts w:ascii="Calibri" w:hAnsi="Calibri"/>
      <w:szCs w:val="24"/>
    </w:rPr>
  </w:style>
  <w:style w:type="paragraph" w:styleId="Heading8">
    <w:name w:val="heading 8"/>
    <w:basedOn w:val="Normal"/>
    <w:next w:val="Normal"/>
    <w:link w:val="Heading8Char"/>
    <w:semiHidden/>
    <w:qFormat/>
    <w:rsid w:val="00000EE4"/>
    <w:pPr>
      <w:spacing w:before="240" w:after="60"/>
      <w:outlineLvl w:val="7"/>
    </w:pPr>
    <w:rPr>
      <w:rFonts w:ascii="Calibri" w:hAnsi="Calibri"/>
      <w:i/>
      <w:iCs/>
      <w:szCs w:val="24"/>
    </w:rPr>
  </w:style>
  <w:style w:type="paragraph" w:styleId="Heading9">
    <w:name w:val="heading 9"/>
    <w:basedOn w:val="Normal"/>
    <w:next w:val="Normal"/>
    <w:link w:val="Heading9Char"/>
    <w:semiHidden/>
    <w:qFormat/>
    <w:rsid w:val="00000EE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0EE4"/>
    <w:rPr>
      <w:rFonts w:ascii="Times New Roman" w:eastAsia="Times New Roman" w:hAnsi="Times New Roman" w:cs="Times New Roman"/>
      <w:b/>
      <w:bCs/>
      <w:kern w:val="32"/>
      <w:sz w:val="24"/>
      <w:szCs w:val="24"/>
    </w:rPr>
  </w:style>
  <w:style w:type="character" w:customStyle="1" w:styleId="Heading2Char">
    <w:name w:val="Heading 2 Char"/>
    <w:basedOn w:val="DefaultParagraphFont"/>
    <w:link w:val="Heading2"/>
    <w:semiHidden/>
    <w:rsid w:val="00000EE4"/>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000EE4"/>
    <w:rPr>
      <w:rFonts w:ascii="Times" w:eastAsia="Times" w:hAnsi="Times" w:cs="Times New Roman"/>
      <w:b/>
      <w:sz w:val="24"/>
      <w:szCs w:val="20"/>
    </w:rPr>
  </w:style>
  <w:style w:type="character" w:customStyle="1" w:styleId="Heading4Char">
    <w:name w:val="Heading 4 Char"/>
    <w:basedOn w:val="DefaultParagraphFont"/>
    <w:link w:val="Heading4"/>
    <w:semiHidden/>
    <w:rsid w:val="00000EE4"/>
    <w:rPr>
      <w:rFonts w:ascii="Times" w:eastAsia="Times New Roman" w:hAnsi="Times" w:cs="Times New Roman"/>
      <w:b/>
      <w:color w:val="0000FF"/>
      <w:sz w:val="44"/>
      <w:szCs w:val="20"/>
    </w:rPr>
  </w:style>
  <w:style w:type="character" w:customStyle="1" w:styleId="Heading5Char">
    <w:name w:val="Heading 5 Char"/>
    <w:basedOn w:val="DefaultParagraphFont"/>
    <w:link w:val="Heading5"/>
    <w:semiHidden/>
    <w:rsid w:val="00000EE4"/>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000EE4"/>
    <w:rPr>
      <w:rFonts w:ascii="Calibri" w:eastAsia="Times New Roman" w:hAnsi="Calibri" w:cs="Times New Roman"/>
      <w:b/>
      <w:bCs/>
    </w:rPr>
  </w:style>
  <w:style w:type="character" w:customStyle="1" w:styleId="Heading7Char">
    <w:name w:val="Heading 7 Char"/>
    <w:basedOn w:val="DefaultParagraphFont"/>
    <w:link w:val="Heading7"/>
    <w:semiHidden/>
    <w:rsid w:val="00000EE4"/>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000EE4"/>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000EE4"/>
    <w:rPr>
      <w:rFonts w:ascii="Cambria" w:eastAsia="Times New Roman" w:hAnsi="Cambria" w:cs="Times New Roman"/>
    </w:rPr>
  </w:style>
  <w:style w:type="character" w:styleId="PageNumber">
    <w:name w:val="page number"/>
    <w:basedOn w:val="DefaultParagraphFont"/>
    <w:semiHidden/>
    <w:rsid w:val="00000EE4"/>
  </w:style>
  <w:style w:type="paragraph" w:customStyle="1" w:styleId="SMHeading">
    <w:name w:val="SM Heading"/>
    <w:basedOn w:val="Heading1"/>
    <w:qFormat/>
    <w:rsid w:val="00000EE4"/>
  </w:style>
  <w:style w:type="paragraph" w:customStyle="1" w:styleId="SMSubheading">
    <w:name w:val="SM Subheading"/>
    <w:basedOn w:val="Normal"/>
    <w:qFormat/>
    <w:rsid w:val="00000EE4"/>
    <w:rPr>
      <w:u w:val="words"/>
    </w:rPr>
  </w:style>
  <w:style w:type="paragraph" w:customStyle="1" w:styleId="SMText">
    <w:name w:val="SM Text"/>
    <w:basedOn w:val="Normal"/>
    <w:qFormat/>
    <w:rsid w:val="00000EE4"/>
    <w:pPr>
      <w:ind w:firstLine="480"/>
    </w:pPr>
  </w:style>
  <w:style w:type="paragraph" w:customStyle="1" w:styleId="SMcaption">
    <w:name w:val="SM caption"/>
    <w:basedOn w:val="SMText"/>
    <w:qFormat/>
    <w:rsid w:val="00000EE4"/>
    <w:pPr>
      <w:ind w:firstLine="0"/>
    </w:pPr>
  </w:style>
  <w:style w:type="paragraph" w:styleId="BalloonText">
    <w:name w:val="Balloon Text"/>
    <w:basedOn w:val="Normal"/>
    <w:link w:val="BalloonTextChar"/>
    <w:semiHidden/>
    <w:rsid w:val="00000EE4"/>
    <w:rPr>
      <w:rFonts w:ascii="Tahoma" w:hAnsi="Tahoma" w:cs="Tahoma"/>
      <w:sz w:val="16"/>
      <w:szCs w:val="16"/>
    </w:rPr>
  </w:style>
  <w:style w:type="character" w:customStyle="1" w:styleId="BalloonTextChar">
    <w:name w:val="Balloon Text Char"/>
    <w:basedOn w:val="DefaultParagraphFont"/>
    <w:link w:val="BalloonText"/>
    <w:semiHidden/>
    <w:rsid w:val="00000EE4"/>
    <w:rPr>
      <w:rFonts w:ascii="Tahoma" w:eastAsia="Times New Roman" w:hAnsi="Tahoma" w:cs="Tahoma"/>
      <w:sz w:val="16"/>
      <w:szCs w:val="16"/>
    </w:rPr>
  </w:style>
  <w:style w:type="paragraph" w:styleId="Bibliography">
    <w:name w:val="Bibliography"/>
    <w:basedOn w:val="Normal"/>
    <w:next w:val="Normal"/>
    <w:uiPriority w:val="37"/>
    <w:semiHidden/>
    <w:rsid w:val="00000EE4"/>
  </w:style>
  <w:style w:type="paragraph" w:styleId="BlockText">
    <w:name w:val="Block Text"/>
    <w:basedOn w:val="Normal"/>
    <w:semiHidden/>
    <w:rsid w:val="00000EE4"/>
    <w:pPr>
      <w:spacing w:after="120"/>
      <w:ind w:left="1440" w:right="1440"/>
    </w:pPr>
  </w:style>
  <w:style w:type="paragraph" w:styleId="BodyText">
    <w:name w:val="Body Text"/>
    <w:basedOn w:val="Normal"/>
    <w:link w:val="BodyTextChar"/>
    <w:semiHidden/>
    <w:rsid w:val="00000EE4"/>
    <w:pPr>
      <w:spacing w:after="120"/>
    </w:pPr>
  </w:style>
  <w:style w:type="character" w:customStyle="1" w:styleId="BodyTextChar">
    <w:name w:val="Body Text Char"/>
    <w:basedOn w:val="DefaultParagraphFont"/>
    <w:link w:val="BodyText"/>
    <w:semiHidden/>
    <w:rsid w:val="00000EE4"/>
    <w:rPr>
      <w:rFonts w:ascii="Times New Roman" w:eastAsia="Times New Roman" w:hAnsi="Times New Roman" w:cs="Times New Roman"/>
      <w:sz w:val="24"/>
      <w:szCs w:val="20"/>
    </w:rPr>
  </w:style>
  <w:style w:type="paragraph" w:styleId="BodyText2">
    <w:name w:val="Body Text 2"/>
    <w:basedOn w:val="Normal"/>
    <w:link w:val="BodyText2Char"/>
    <w:semiHidden/>
    <w:rsid w:val="00000EE4"/>
    <w:pPr>
      <w:spacing w:after="120" w:line="480" w:lineRule="auto"/>
    </w:pPr>
  </w:style>
  <w:style w:type="character" w:customStyle="1" w:styleId="BodyText2Char">
    <w:name w:val="Body Text 2 Char"/>
    <w:basedOn w:val="DefaultParagraphFont"/>
    <w:link w:val="BodyText2"/>
    <w:semiHidden/>
    <w:rsid w:val="00000EE4"/>
    <w:rPr>
      <w:rFonts w:ascii="Times New Roman" w:eastAsia="Times New Roman" w:hAnsi="Times New Roman" w:cs="Times New Roman"/>
      <w:sz w:val="24"/>
      <w:szCs w:val="20"/>
    </w:rPr>
  </w:style>
  <w:style w:type="paragraph" w:styleId="BodyText3">
    <w:name w:val="Body Text 3"/>
    <w:basedOn w:val="Normal"/>
    <w:link w:val="BodyText3Char"/>
    <w:semiHidden/>
    <w:rsid w:val="00000EE4"/>
    <w:pPr>
      <w:spacing w:after="120"/>
    </w:pPr>
    <w:rPr>
      <w:sz w:val="16"/>
      <w:szCs w:val="16"/>
    </w:rPr>
  </w:style>
  <w:style w:type="character" w:customStyle="1" w:styleId="BodyText3Char">
    <w:name w:val="Body Text 3 Char"/>
    <w:basedOn w:val="DefaultParagraphFont"/>
    <w:link w:val="BodyText3"/>
    <w:semiHidden/>
    <w:rsid w:val="00000EE4"/>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rsid w:val="00000EE4"/>
    <w:pPr>
      <w:ind w:firstLine="210"/>
    </w:pPr>
  </w:style>
  <w:style w:type="character" w:customStyle="1" w:styleId="BodyTextFirstIndentChar">
    <w:name w:val="Body Text First Indent Char"/>
    <w:basedOn w:val="BodyTextChar"/>
    <w:link w:val="BodyTextFirstIndent"/>
    <w:semiHidden/>
    <w:rsid w:val="00000EE4"/>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000EE4"/>
    <w:pPr>
      <w:spacing w:after="120"/>
      <w:ind w:left="360"/>
    </w:pPr>
  </w:style>
  <w:style w:type="character" w:customStyle="1" w:styleId="BodyTextIndentChar">
    <w:name w:val="Body Text Indent Char"/>
    <w:basedOn w:val="DefaultParagraphFont"/>
    <w:link w:val="BodyTextIndent"/>
    <w:semiHidden/>
    <w:rsid w:val="00000EE4"/>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semiHidden/>
    <w:rsid w:val="00000EE4"/>
    <w:pPr>
      <w:ind w:firstLine="210"/>
    </w:pPr>
  </w:style>
  <w:style w:type="character" w:customStyle="1" w:styleId="BodyTextFirstIndent2Char">
    <w:name w:val="Body Text First Indent 2 Char"/>
    <w:basedOn w:val="BodyTextIndentChar"/>
    <w:link w:val="BodyTextFirstIndent2"/>
    <w:semiHidden/>
    <w:rsid w:val="00000EE4"/>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000EE4"/>
    <w:pPr>
      <w:spacing w:after="120" w:line="480" w:lineRule="auto"/>
      <w:ind w:left="360"/>
    </w:pPr>
  </w:style>
  <w:style w:type="character" w:customStyle="1" w:styleId="BodyTextIndent2Char">
    <w:name w:val="Body Text Indent 2 Char"/>
    <w:basedOn w:val="DefaultParagraphFont"/>
    <w:link w:val="BodyTextIndent2"/>
    <w:semiHidden/>
    <w:rsid w:val="00000EE4"/>
    <w:rPr>
      <w:rFonts w:ascii="Times New Roman" w:eastAsia="Times New Roman" w:hAnsi="Times New Roman" w:cs="Times New Roman"/>
      <w:sz w:val="24"/>
      <w:szCs w:val="20"/>
    </w:rPr>
  </w:style>
  <w:style w:type="paragraph" w:styleId="BodyTextIndent3">
    <w:name w:val="Body Text Indent 3"/>
    <w:basedOn w:val="Normal"/>
    <w:link w:val="BodyTextIndent3Char"/>
    <w:semiHidden/>
    <w:rsid w:val="00000EE4"/>
    <w:pPr>
      <w:spacing w:after="120"/>
      <w:ind w:left="360"/>
    </w:pPr>
    <w:rPr>
      <w:sz w:val="16"/>
      <w:szCs w:val="16"/>
    </w:rPr>
  </w:style>
  <w:style w:type="character" w:customStyle="1" w:styleId="BodyTextIndent3Char">
    <w:name w:val="Body Text Indent 3 Char"/>
    <w:basedOn w:val="DefaultParagraphFont"/>
    <w:link w:val="BodyTextIndent3"/>
    <w:semiHidden/>
    <w:rsid w:val="00000EE4"/>
    <w:rPr>
      <w:rFonts w:ascii="Times New Roman" w:eastAsia="Times New Roman" w:hAnsi="Times New Roman" w:cs="Times New Roman"/>
      <w:sz w:val="16"/>
      <w:szCs w:val="16"/>
    </w:rPr>
  </w:style>
  <w:style w:type="paragraph" w:styleId="Caption">
    <w:name w:val="caption"/>
    <w:basedOn w:val="Normal"/>
    <w:next w:val="Normal"/>
    <w:semiHidden/>
    <w:qFormat/>
    <w:rsid w:val="00000EE4"/>
    <w:rPr>
      <w:b/>
      <w:bCs/>
      <w:sz w:val="20"/>
    </w:rPr>
  </w:style>
  <w:style w:type="paragraph" w:styleId="Closing">
    <w:name w:val="Closing"/>
    <w:basedOn w:val="Normal"/>
    <w:link w:val="ClosingChar"/>
    <w:semiHidden/>
    <w:rsid w:val="00000EE4"/>
    <w:pPr>
      <w:ind w:left="4320"/>
    </w:pPr>
  </w:style>
  <w:style w:type="character" w:customStyle="1" w:styleId="ClosingChar">
    <w:name w:val="Closing Char"/>
    <w:basedOn w:val="DefaultParagraphFont"/>
    <w:link w:val="Closing"/>
    <w:semiHidden/>
    <w:rsid w:val="00000EE4"/>
    <w:rPr>
      <w:rFonts w:ascii="Times New Roman" w:eastAsia="Times New Roman" w:hAnsi="Times New Roman" w:cs="Times New Roman"/>
      <w:sz w:val="24"/>
      <w:szCs w:val="20"/>
    </w:rPr>
  </w:style>
  <w:style w:type="paragraph" w:styleId="CommentText">
    <w:name w:val="annotation text"/>
    <w:basedOn w:val="Normal"/>
    <w:link w:val="CommentTextChar"/>
    <w:semiHidden/>
    <w:rsid w:val="00000EE4"/>
    <w:rPr>
      <w:sz w:val="20"/>
    </w:rPr>
  </w:style>
  <w:style w:type="character" w:customStyle="1" w:styleId="CommentTextChar">
    <w:name w:val="Comment Text Char"/>
    <w:basedOn w:val="DefaultParagraphFont"/>
    <w:link w:val="CommentText"/>
    <w:semiHidden/>
    <w:rsid w:val="00000E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00EE4"/>
    <w:rPr>
      <w:b/>
      <w:bCs/>
    </w:rPr>
  </w:style>
  <w:style w:type="character" w:customStyle="1" w:styleId="CommentSubjectChar">
    <w:name w:val="Comment Subject Char"/>
    <w:basedOn w:val="CommentTextChar"/>
    <w:link w:val="CommentSubject"/>
    <w:semiHidden/>
    <w:rsid w:val="00000EE4"/>
    <w:rPr>
      <w:rFonts w:ascii="Times New Roman" w:eastAsia="Times New Roman" w:hAnsi="Times New Roman" w:cs="Times New Roman"/>
      <w:b/>
      <w:bCs/>
      <w:sz w:val="20"/>
      <w:szCs w:val="20"/>
    </w:rPr>
  </w:style>
  <w:style w:type="paragraph" w:styleId="Date">
    <w:name w:val="Date"/>
    <w:basedOn w:val="Normal"/>
    <w:next w:val="Normal"/>
    <w:link w:val="DateChar"/>
    <w:semiHidden/>
    <w:rsid w:val="00000EE4"/>
  </w:style>
  <w:style w:type="character" w:customStyle="1" w:styleId="DateChar">
    <w:name w:val="Date Char"/>
    <w:basedOn w:val="DefaultParagraphFont"/>
    <w:link w:val="Date"/>
    <w:semiHidden/>
    <w:rsid w:val="00000EE4"/>
    <w:rPr>
      <w:rFonts w:ascii="Times New Roman" w:eastAsia="Times New Roman" w:hAnsi="Times New Roman" w:cs="Times New Roman"/>
      <w:sz w:val="24"/>
      <w:szCs w:val="20"/>
    </w:rPr>
  </w:style>
  <w:style w:type="paragraph" w:styleId="DocumentMap">
    <w:name w:val="Document Map"/>
    <w:basedOn w:val="Normal"/>
    <w:link w:val="DocumentMapChar"/>
    <w:semiHidden/>
    <w:rsid w:val="00000EE4"/>
    <w:rPr>
      <w:rFonts w:ascii="Tahoma" w:hAnsi="Tahoma" w:cs="Tahoma"/>
      <w:sz w:val="16"/>
      <w:szCs w:val="16"/>
    </w:rPr>
  </w:style>
  <w:style w:type="character" w:customStyle="1" w:styleId="DocumentMapChar">
    <w:name w:val="Document Map Char"/>
    <w:basedOn w:val="DefaultParagraphFont"/>
    <w:link w:val="DocumentMap"/>
    <w:semiHidden/>
    <w:rsid w:val="00000EE4"/>
    <w:rPr>
      <w:rFonts w:ascii="Tahoma" w:eastAsia="Times New Roman" w:hAnsi="Tahoma" w:cs="Tahoma"/>
      <w:sz w:val="16"/>
      <w:szCs w:val="16"/>
    </w:rPr>
  </w:style>
  <w:style w:type="paragraph" w:styleId="E-mailSignature">
    <w:name w:val="E-mail Signature"/>
    <w:basedOn w:val="Normal"/>
    <w:link w:val="E-mailSignatureChar"/>
    <w:semiHidden/>
    <w:rsid w:val="00000EE4"/>
  </w:style>
  <w:style w:type="character" w:customStyle="1" w:styleId="E-mailSignatureChar">
    <w:name w:val="E-mail Signature Char"/>
    <w:basedOn w:val="DefaultParagraphFont"/>
    <w:link w:val="E-mailSignature"/>
    <w:semiHidden/>
    <w:rsid w:val="00000EE4"/>
    <w:rPr>
      <w:rFonts w:ascii="Times New Roman" w:eastAsia="Times New Roman" w:hAnsi="Times New Roman" w:cs="Times New Roman"/>
      <w:sz w:val="24"/>
      <w:szCs w:val="20"/>
    </w:rPr>
  </w:style>
  <w:style w:type="paragraph" w:styleId="EndnoteText">
    <w:name w:val="endnote text"/>
    <w:basedOn w:val="Normal"/>
    <w:link w:val="EndnoteTextChar"/>
    <w:semiHidden/>
    <w:rsid w:val="00000EE4"/>
    <w:rPr>
      <w:sz w:val="20"/>
    </w:rPr>
  </w:style>
  <w:style w:type="character" w:customStyle="1" w:styleId="EndnoteTextChar">
    <w:name w:val="Endnote Text Char"/>
    <w:basedOn w:val="DefaultParagraphFont"/>
    <w:link w:val="EndnoteText"/>
    <w:semiHidden/>
    <w:rsid w:val="00000EE4"/>
    <w:rPr>
      <w:rFonts w:ascii="Times New Roman" w:eastAsia="Times New Roman" w:hAnsi="Times New Roman" w:cs="Times New Roman"/>
      <w:sz w:val="20"/>
      <w:szCs w:val="20"/>
    </w:rPr>
  </w:style>
  <w:style w:type="paragraph" w:styleId="EnvelopeAddress">
    <w:name w:val="envelope address"/>
    <w:basedOn w:val="Normal"/>
    <w:semiHidden/>
    <w:rsid w:val="00000EE4"/>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semiHidden/>
    <w:rsid w:val="00000EE4"/>
    <w:rPr>
      <w:rFonts w:ascii="Cambria" w:hAnsi="Cambria"/>
      <w:sz w:val="20"/>
    </w:rPr>
  </w:style>
  <w:style w:type="paragraph" w:styleId="Footer">
    <w:name w:val="footer"/>
    <w:basedOn w:val="Normal"/>
    <w:link w:val="FooterChar"/>
    <w:semiHidden/>
    <w:rsid w:val="00000EE4"/>
    <w:pPr>
      <w:tabs>
        <w:tab w:val="center" w:pos="4680"/>
        <w:tab w:val="right" w:pos="9360"/>
      </w:tabs>
    </w:pPr>
  </w:style>
  <w:style w:type="character" w:customStyle="1" w:styleId="FooterChar">
    <w:name w:val="Footer Char"/>
    <w:basedOn w:val="DefaultParagraphFont"/>
    <w:link w:val="Footer"/>
    <w:semiHidden/>
    <w:rsid w:val="00000EE4"/>
    <w:rPr>
      <w:rFonts w:ascii="Times New Roman" w:eastAsia="Times New Roman" w:hAnsi="Times New Roman" w:cs="Times New Roman"/>
      <w:sz w:val="24"/>
      <w:szCs w:val="20"/>
    </w:rPr>
  </w:style>
  <w:style w:type="paragraph" w:styleId="FootnoteText">
    <w:name w:val="footnote text"/>
    <w:basedOn w:val="Normal"/>
    <w:link w:val="FootnoteTextChar"/>
    <w:semiHidden/>
    <w:rsid w:val="00000EE4"/>
    <w:rPr>
      <w:sz w:val="20"/>
    </w:rPr>
  </w:style>
  <w:style w:type="character" w:customStyle="1" w:styleId="FootnoteTextChar">
    <w:name w:val="Footnote Text Char"/>
    <w:basedOn w:val="DefaultParagraphFont"/>
    <w:link w:val="FootnoteText"/>
    <w:semiHidden/>
    <w:rsid w:val="00000EE4"/>
    <w:rPr>
      <w:rFonts w:ascii="Times New Roman" w:eastAsia="Times New Roman" w:hAnsi="Times New Roman" w:cs="Times New Roman"/>
      <w:sz w:val="20"/>
      <w:szCs w:val="20"/>
    </w:rPr>
  </w:style>
  <w:style w:type="paragraph" w:styleId="Header">
    <w:name w:val="header"/>
    <w:basedOn w:val="Normal"/>
    <w:link w:val="HeaderChar"/>
    <w:semiHidden/>
    <w:rsid w:val="00000EE4"/>
    <w:pPr>
      <w:tabs>
        <w:tab w:val="center" w:pos="4680"/>
        <w:tab w:val="right" w:pos="9360"/>
      </w:tabs>
    </w:pPr>
  </w:style>
  <w:style w:type="character" w:customStyle="1" w:styleId="HeaderChar">
    <w:name w:val="Header Char"/>
    <w:basedOn w:val="DefaultParagraphFont"/>
    <w:link w:val="Header"/>
    <w:semiHidden/>
    <w:rsid w:val="00000EE4"/>
    <w:rPr>
      <w:rFonts w:ascii="Times New Roman" w:eastAsia="Times New Roman" w:hAnsi="Times New Roman" w:cs="Times New Roman"/>
      <w:sz w:val="24"/>
      <w:szCs w:val="20"/>
    </w:rPr>
  </w:style>
  <w:style w:type="paragraph" w:styleId="HTMLAddress">
    <w:name w:val="HTML Address"/>
    <w:basedOn w:val="Normal"/>
    <w:link w:val="HTMLAddressChar"/>
    <w:semiHidden/>
    <w:rsid w:val="00000EE4"/>
    <w:rPr>
      <w:i/>
      <w:iCs/>
    </w:rPr>
  </w:style>
  <w:style w:type="character" w:customStyle="1" w:styleId="HTMLAddressChar">
    <w:name w:val="HTML Address Char"/>
    <w:basedOn w:val="DefaultParagraphFont"/>
    <w:link w:val="HTMLAddress"/>
    <w:semiHidden/>
    <w:rsid w:val="00000EE4"/>
    <w:rPr>
      <w:rFonts w:ascii="Times New Roman" w:eastAsia="Times New Roman" w:hAnsi="Times New Roman" w:cs="Times New Roman"/>
      <w:i/>
      <w:iCs/>
      <w:sz w:val="24"/>
      <w:szCs w:val="20"/>
    </w:rPr>
  </w:style>
  <w:style w:type="paragraph" w:styleId="HTMLPreformatted">
    <w:name w:val="HTML Preformatted"/>
    <w:basedOn w:val="Normal"/>
    <w:link w:val="HTMLPreformattedChar"/>
    <w:uiPriority w:val="99"/>
    <w:rsid w:val="00000EE4"/>
    <w:rPr>
      <w:rFonts w:ascii="Courier New" w:hAnsi="Courier New" w:cs="Courier New"/>
      <w:sz w:val="20"/>
    </w:rPr>
  </w:style>
  <w:style w:type="character" w:customStyle="1" w:styleId="HTMLPreformattedChar">
    <w:name w:val="HTML Preformatted Char"/>
    <w:basedOn w:val="DefaultParagraphFont"/>
    <w:link w:val="HTMLPreformatted"/>
    <w:uiPriority w:val="99"/>
    <w:rsid w:val="00000EE4"/>
    <w:rPr>
      <w:rFonts w:ascii="Courier New" w:eastAsia="Times New Roman" w:hAnsi="Courier New" w:cs="Courier New"/>
      <w:sz w:val="20"/>
      <w:szCs w:val="20"/>
    </w:rPr>
  </w:style>
  <w:style w:type="paragraph" w:styleId="Index1">
    <w:name w:val="index 1"/>
    <w:basedOn w:val="Normal"/>
    <w:next w:val="Normal"/>
    <w:autoRedefine/>
    <w:semiHidden/>
    <w:rsid w:val="00000EE4"/>
    <w:pPr>
      <w:ind w:left="240" w:hanging="240"/>
    </w:pPr>
  </w:style>
  <w:style w:type="paragraph" w:styleId="Index2">
    <w:name w:val="index 2"/>
    <w:basedOn w:val="Normal"/>
    <w:next w:val="Normal"/>
    <w:autoRedefine/>
    <w:semiHidden/>
    <w:rsid w:val="00000EE4"/>
    <w:pPr>
      <w:ind w:left="480" w:hanging="240"/>
    </w:pPr>
  </w:style>
  <w:style w:type="paragraph" w:styleId="Index3">
    <w:name w:val="index 3"/>
    <w:basedOn w:val="Normal"/>
    <w:next w:val="Normal"/>
    <w:autoRedefine/>
    <w:semiHidden/>
    <w:rsid w:val="00000EE4"/>
    <w:pPr>
      <w:ind w:left="720" w:hanging="240"/>
    </w:pPr>
  </w:style>
  <w:style w:type="paragraph" w:styleId="Index4">
    <w:name w:val="index 4"/>
    <w:basedOn w:val="Normal"/>
    <w:next w:val="Normal"/>
    <w:autoRedefine/>
    <w:semiHidden/>
    <w:rsid w:val="00000EE4"/>
    <w:pPr>
      <w:ind w:left="960" w:hanging="240"/>
    </w:pPr>
  </w:style>
  <w:style w:type="paragraph" w:styleId="Index5">
    <w:name w:val="index 5"/>
    <w:basedOn w:val="Normal"/>
    <w:next w:val="Normal"/>
    <w:autoRedefine/>
    <w:semiHidden/>
    <w:rsid w:val="00000EE4"/>
    <w:pPr>
      <w:ind w:left="1200" w:hanging="240"/>
    </w:pPr>
  </w:style>
  <w:style w:type="paragraph" w:styleId="Index6">
    <w:name w:val="index 6"/>
    <w:basedOn w:val="Normal"/>
    <w:next w:val="Normal"/>
    <w:autoRedefine/>
    <w:semiHidden/>
    <w:rsid w:val="00000EE4"/>
    <w:pPr>
      <w:ind w:left="1440" w:hanging="240"/>
    </w:pPr>
  </w:style>
  <w:style w:type="paragraph" w:styleId="Index7">
    <w:name w:val="index 7"/>
    <w:basedOn w:val="Normal"/>
    <w:next w:val="Normal"/>
    <w:autoRedefine/>
    <w:semiHidden/>
    <w:rsid w:val="00000EE4"/>
    <w:pPr>
      <w:ind w:left="1680" w:hanging="240"/>
    </w:pPr>
  </w:style>
  <w:style w:type="paragraph" w:styleId="Index8">
    <w:name w:val="index 8"/>
    <w:basedOn w:val="Normal"/>
    <w:next w:val="Normal"/>
    <w:autoRedefine/>
    <w:semiHidden/>
    <w:rsid w:val="00000EE4"/>
    <w:pPr>
      <w:ind w:left="1920" w:hanging="240"/>
    </w:pPr>
  </w:style>
  <w:style w:type="paragraph" w:styleId="Index9">
    <w:name w:val="index 9"/>
    <w:basedOn w:val="Normal"/>
    <w:next w:val="Normal"/>
    <w:autoRedefine/>
    <w:semiHidden/>
    <w:rsid w:val="00000EE4"/>
    <w:pPr>
      <w:ind w:left="2160" w:hanging="240"/>
    </w:pPr>
  </w:style>
  <w:style w:type="paragraph" w:styleId="IndexHeading">
    <w:name w:val="index heading"/>
    <w:basedOn w:val="Normal"/>
    <w:next w:val="Index1"/>
    <w:semiHidden/>
    <w:rsid w:val="00000EE4"/>
    <w:rPr>
      <w:rFonts w:ascii="Cambria" w:hAnsi="Cambria"/>
      <w:b/>
      <w:bCs/>
    </w:rPr>
  </w:style>
  <w:style w:type="paragraph" w:styleId="IntenseQuote">
    <w:name w:val="Intense Quote"/>
    <w:basedOn w:val="Normal"/>
    <w:next w:val="Normal"/>
    <w:link w:val="IntenseQuoteChar"/>
    <w:uiPriority w:val="30"/>
    <w:qFormat/>
    <w:rsid w:val="00000EE4"/>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000EE4"/>
    <w:rPr>
      <w:rFonts w:ascii="Times New Roman" w:eastAsia="Times New Roman" w:hAnsi="Times New Roman" w:cs="Times New Roman"/>
      <w:b/>
      <w:bCs/>
      <w:i/>
      <w:iCs/>
      <w:color w:val="4F81BD"/>
      <w:sz w:val="24"/>
      <w:szCs w:val="20"/>
    </w:rPr>
  </w:style>
  <w:style w:type="paragraph" w:styleId="List">
    <w:name w:val="List"/>
    <w:basedOn w:val="Normal"/>
    <w:semiHidden/>
    <w:rsid w:val="00000EE4"/>
    <w:pPr>
      <w:ind w:left="360" w:hanging="360"/>
      <w:contextualSpacing/>
    </w:pPr>
  </w:style>
  <w:style w:type="paragraph" w:styleId="List2">
    <w:name w:val="List 2"/>
    <w:basedOn w:val="Normal"/>
    <w:semiHidden/>
    <w:rsid w:val="00000EE4"/>
    <w:pPr>
      <w:ind w:left="720" w:hanging="360"/>
      <w:contextualSpacing/>
    </w:pPr>
  </w:style>
  <w:style w:type="paragraph" w:styleId="List3">
    <w:name w:val="List 3"/>
    <w:basedOn w:val="Normal"/>
    <w:semiHidden/>
    <w:rsid w:val="00000EE4"/>
    <w:pPr>
      <w:ind w:left="1080" w:hanging="360"/>
      <w:contextualSpacing/>
    </w:pPr>
  </w:style>
  <w:style w:type="paragraph" w:styleId="List4">
    <w:name w:val="List 4"/>
    <w:basedOn w:val="Normal"/>
    <w:semiHidden/>
    <w:rsid w:val="00000EE4"/>
    <w:pPr>
      <w:ind w:left="1440" w:hanging="360"/>
      <w:contextualSpacing/>
    </w:pPr>
  </w:style>
  <w:style w:type="paragraph" w:styleId="List5">
    <w:name w:val="List 5"/>
    <w:basedOn w:val="Normal"/>
    <w:semiHidden/>
    <w:rsid w:val="00000EE4"/>
    <w:pPr>
      <w:ind w:left="1800" w:hanging="360"/>
      <w:contextualSpacing/>
    </w:pPr>
  </w:style>
  <w:style w:type="paragraph" w:styleId="ListBullet">
    <w:name w:val="List Bullet"/>
    <w:basedOn w:val="Normal"/>
    <w:semiHidden/>
    <w:rsid w:val="00000EE4"/>
    <w:pPr>
      <w:numPr>
        <w:numId w:val="1"/>
      </w:numPr>
      <w:contextualSpacing/>
    </w:pPr>
  </w:style>
  <w:style w:type="paragraph" w:styleId="ListBullet2">
    <w:name w:val="List Bullet 2"/>
    <w:basedOn w:val="Normal"/>
    <w:semiHidden/>
    <w:rsid w:val="00000EE4"/>
    <w:pPr>
      <w:numPr>
        <w:numId w:val="2"/>
      </w:numPr>
      <w:contextualSpacing/>
    </w:pPr>
  </w:style>
  <w:style w:type="paragraph" w:styleId="ListBullet3">
    <w:name w:val="List Bullet 3"/>
    <w:basedOn w:val="Normal"/>
    <w:semiHidden/>
    <w:rsid w:val="00000EE4"/>
    <w:pPr>
      <w:numPr>
        <w:numId w:val="3"/>
      </w:numPr>
      <w:contextualSpacing/>
    </w:pPr>
  </w:style>
  <w:style w:type="paragraph" w:styleId="ListBullet4">
    <w:name w:val="List Bullet 4"/>
    <w:basedOn w:val="Normal"/>
    <w:semiHidden/>
    <w:rsid w:val="00000EE4"/>
    <w:pPr>
      <w:numPr>
        <w:numId w:val="4"/>
      </w:numPr>
      <w:contextualSpacing/>
    </w:pPr>
  </w:style>
  <w:style w:type="paragraph" w:styleId="ListBullet5">
    <w:name w:val="List Bullet 5"/>
    <w:basedOn w:val="Normal"/>
    <w:semiHidden/>
    <w:rsid w:val="00000EE4"/>
    <w:pPr>
      <w:numPr>
        <w:numId w:val="5"/>
      </w:numPr>
      <w:contextualSpacing/>
    </w:pPr>
  </w:style>
  <w:style w:type="paragraph" w:styleId="ListContinue">
    <w:name w:val="List Continue"/>
    <w:basedOn w:val="Normal"/>
    <w:semiHidden/>
    <w:rsid w:val="00000EE4"/>
    <w:pPr>
      <w:spacing w:after="120"/>
      <w:ind w:left="360"/>
      <w:contextualSpacing/>
    </w:pPr>
  </w:style>
  <w:style w:type="paragraph" w:styleId="ListContinue2">
    <w:name w:val="List Continue 2"/>
    <w:basedOn w:val="Normal"/>
    <w:semiHidden/>
    <w:rsid w:val="00000EE4"/>
    <w:pPr>
      <w:spacing w:after="120"/>
      <w:ind w:left="720"/>
      <w:contextualSpacing/>
    </w:pPr>
  </w:style>
  <w:style w:type="paragraph" w:styleId="ListContinue3">
    <w:name w:val="List Continue 3"/>
    <w:basedOn w:val="Normal"/>
    <w:semiHidden/>
    <w:rsid w:val="00000EE4"/>
    <w:pPr>
      <w:spacing w:after="120"/>
      <w:ind w:left="1080"/>
      <w:contextualSpacing/>
    </w:pPr>
  </w:style>
  <w:style w:type="paragraph" w:styleId="ListContinue4">
    <w:name w:val="List Continue 4"/>
    <w:basedOn w:val="Normal"/>
    <w:semiHidden/>
    <w:rsid w:val="00000EE4"/>
    <w:pPr>
      <w:spacing w:after="120"/>
      <w:ind w:left="1440"/>
      <w:contextualSpacing/>
    </w:pPr>
  </w:style>
  <w:style w:type="paragraph" w:styleId="ListContinue5">
    <w:name w:val="List Continue 5"/>
    <w:basedOn w:val="Normal"/>
    <w:semiHidden/>
    <w:rsid w:val="00000EE4"/>
    <w:pPr>
      <w:spacing w:after="120"/>
      <w:ind w:left="1800"/>
      <w:contextualSpacing/>
    </w:pPr>
  </w:style>
  <w:style w:type="paragraph" w:styleId="ListNumber">
    <w:name w:val="List Number"/>
    <w:basedOn w:val="Normal"/>
    <w:semiHidden/>
    <w:rsid w:val="00000EE4"/>
    <w:pPr>
      <w:numPr>
        <w:numId w:val="6"/>
      </w:numPr>
      <w:contextualSpacing/>
    </w:pPr>
  </w:style>
  <w:style w:type="paragraph" w:styleId="ListNumber2">
    <w:name w:val="List Number 2"/>
    <w:basedOn w:val="Normal"/>
    <w:semiHidden/>
    <w:rsid w:val="00000EE4"/>
    <w:pPr>
      <w:numPr>
        <w:numId w:val="7"/>
      </w:numPr>
      <w:contextualSpacing/>
    </w:pPr>
  </w:style>
  <w:style w:type="paragraph" w:styleId="ListNumber3">
    <w:name w:val="List Number 3"/>
    <w:basedOn w:val="Normal"/>
    <w:semiHidden/>
    <w:rsid w:val="00000EE4"/>
    <w:pPr>
      <w:numPr>
        <w:numId w:val="8"/>
      </w:numPr>
      <w:contextualSpacing/>
    </w:pPr>
  </w:style>
  <w:style w:type="paragraph" w:styleId="ListNumber4">
    <w:name w:val="List Number 4"/>
    <w:basedOn w:val="Normal"/>
    <w:semiHidden/>
    <w:rsid w:val="00000EE4"/>
    <w:pPr>
      <w:numPr>
        <w:numId w:val="9"/>
      </w:numPr>
      <w:contextualSpacing/>
    </w:pPr>
  </w:style>
  <w:style w:type="paragraph" w:styleId="ListNumber5">
    <w:name w:val="List Number 5"/>
    <w:basedOn w:val="Normal"/>
    <w:semiHidden/>
    <w:rsid w:val="00000EE4"/>
    <w:pPr>
      <w:numPr>
        <w:numId w:val="10"/>
      </w:numPr>
      <w:contextualSpacing/>
    </w:pPr>
  </w:style>
  <w:style w:type="paragraph" w:styleId="ListParagraph">
    <w:name w:val="List Paragraph"/>
    <w:basedOn w:val="Normal"/>
    <w:uiPriority w:val="34"/>
    <w:qFormat/>
    <w:rsid w:val="00000EE4"/>
    <w:pPr>
      <w:ind w:left="720"/>
    </w:pPr>
  </w:style>
  <w:style w:type="paragraph" w:styleId="MacroText">
    <w:name w:val="macro"/>
    <w:link w:val="MacroTextChar"/>
    <w:semiHidden/>
    <w:rsid w:val="00000EE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000EE4"/>
    <w:rPr>
      <w:rFonts w:ascii="Courier New" w:eastAsia="Times New Roman" w:hAnsi="Courier New" w:cs="Courier New"/>
      <w:sz w:val="20"/>
      <w:szCs w:val="20"/>
    </w:rPr>
  </w:style>
  <w:style w:type="paragraph" w:styleId="MessageHeader">
    <w:name w:val="Message Header"/>
    <w:basedOn w:val="Normal"/>
    <w:link w:val="MessageHeaderChar"/>
    <w:semiHidden/>
    <w:rsid w:val="00000EE4"/>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semiHidden/>
    <w:rsid w:val="00000EE4"/>
    <w:rPr>
      <w:rFonts w:ascii="Cambria" w:eastAsia="Times New Roman" w:hAnsi="Cambria" w:cs="Times New Roman"/>
      <w:sz w:val="24"/>
      <w:szCs w:val="24"/>
      <w:shd w:val="pct20" w:color="auto" w:fill="auto"/>
    </w:rPr>
  </w:style>
  <w:style w:type="paragraph" w:styleId="NoSpacing">
    <w:name w:val="No Spacing"/>
    <w:uiPriority w:val="1"/>
    <w:qFormat/>
    <w:rsid w:val="00000EE4"/>
    <w:pPr>
      <w:spacing w:after="0" w:line="240" w:lineRule="auto"/>
    </w:pPr>
    <w:rPr>
      <w:rFonts w:ascii="Times New Roman" w:eastAsia="Times New Roman" w:hAnsi="Times New Roman" w:cs="Times New Roman"/>
      <w:sz w:val="24"/>
      <w:szCs w:val="20"/>
    </w:rPr>
  </w:style>
  <w:style w:type="paragraph" w:styleId="NormalWeb">
    <w:name w:val="Normal (Web)"/>
    <w:basedOn w:val="Normal"/>
    <w:semiHidden/>
    <w:rsid w:val="00000EE4"/>
    <w:rPr>
      <w:szCs w:val="24"/>
    </w:rPr>
  </w:style>
  <w:style w:type="paragraph" w:styleId="NormalIndent">
    <w:name w:val="Normal Indent"/>
    <w:basedOn w:val="Normal"/>
    <w:semiHidden/>
    <w:rsid w:val="00000EE4"/>
    <w:pPr>
      <w:ind w:left="720"/>
    </w:pPr>
  </w:style>
  <w:style w:type="paragraph" w:styleId="NoteHeading">
    <w:name w:val="Note Heading"/>
    <w:basedOn w:val="Normal"/>
    <w:next w:val="Normal"/>
    <w:link w:val="NoteHeadingChar"/>
    <w:semiHidden/>
    <w:rsid w:val="00000EE4"/>
  </w:style>
  <w:style w:type="character" w:customStyle="1" w:styleId="NoteHeadingChar">
    <w:name w:val="Note Heading Char"/>
    <w:basedOn w:val="DefaultParagraphFont"/>
    <w:link w:val="NoteHeading"/>
    <w:semiHidden/>
    <w:rsid w:val="00000EE4"/>
    <w:rPr>
      <w:rFonts w:ascii="Times New Roman" w:eastAsia="Times New Roman" w:hAnsi="Times New Roman" w:cs="Times New Roman"/>
      <w:sz w:val="24"/>
      <w:szCs w:val="20"/>
    </w:rPr>
  </w:style>
  <w:style w:type="paragraph" w:styleId="PlainText">
    <w:name w:val="Plain Text"/>
    <w:basedOn w:val="Normal"/>
    <w:link w:val="PlainTextChar"/>
    <w:semiHidden/>
    <w:rsid w:val="00000EE4"/>
    <w:rPr>
      <w:rFonts w:ascii="Courier New" w:hAnsi="Courier New" w:cs="Courier New"/>
      <w:sz w:val="20"/>
    </w:rPr>
  </w:style>
  <w:style w:type="character" w:customStyle="1" w:styleId="PlainTextChar">
    <w:name w:val="Plain Text Char"/>
    <w:basedOn w:val="DefaultParagraphFont"/>
    <w:link w:val="PlainText"/>
    <w:semiHidden/>
    <w:rsid w:val="00000EE4"/>
    <w:rPr>
      <w:rFonts w:ascii="Courier New" w:eastAsia="Times New Roman" w:hAnsi="Courier New" w:cs="Courier New"/>
      <w:sz w:val="20"/>
      <w:szCs w:val="20"/>
    </w:rPr>
  </w:style>
  <w:style w:type="paragraph" w:styleId="Quote">
    <w:name w:val="Quote"/>
    <w:basedOn w:val="Normal"/>
    <w:next w:val="Normal"/>
    <w:link w:val="QuoteChar"/>
    <w:uiPriority w:val="29"/>
    <w:qFormat/>
    <w:rsid w:val="00000EE4"/>
    <w:rPr>
      <w:i/>
      <w:iCs/>
      <w:color w:val="000000"/>
    </w:rPr>
  </w:style>
  <w:style w:type="character" w:customStyle="1" w:styleId="QuoteChar">
    <w:name w:val="Quote Char"/>
    <w:basedOn w:val="DefaultParagraphFont"/>
    <w:link w:val="Quote"/>
    <w:uiPriority w:val="29"/>
    <w:rsid w:val="00000EE4"/>
    <w:rPr>
      <w:rFonts w:ascii="Times New Roman" w:eastAsia="Times New Roman" w:hAnsi="Times New Roman" w:cs="Times New Roman"/>
      <w:i/>
      <w:iCs/>
      <w:color w:val="000000"/>
      <w:sz w:val="24"/>
      <w:szCs w:val="20"/>
    </w:rPr>
  </w:style>
  <w:style w:type="paragraph" w:styleId="Salutation">
    <w:name w:val="Salutation"/>
    <w:basedOn w:val="Normal"/>
    <w:next w:val="Normal"/>
    <w:link w:val="SalutationChar"/>
    <w:semiHidden/>
    <w:rsid w:val="00000EE4"/>
  </w:style>
  <w:style w:type="character" w:customStyle="1" w:styleId="SalutationChar">
    <w:name w:val="Salutation Char"/>
    <w:basedOn w:val="DefaultParagraphFont"/>
    <w:link w:val="Salutation"/>
    <w:semiHidden/>
    <w:rsid w:val="00000EE4"/>
    <w:rPr>
      <w:rFonts w:ascii="Times New Roman" w:eastAsia="Times New Roman" w:hAnsi="Times New Roman" w:cs="Times New Roman"/>
      <w:sz w:val="24"/>
      <w:szCs w:val="20"/>
    </w:rPr>
  </w:style>
  <w:style w:type="paragraph" w:styleId="Signature">
    <w:name w:val="Signature"/>
    <w:basedOn w:val="Normal"/>
    <w:link w:val="SignatureChar"/>
    <w:semiHidden/>
    <w:rsid w:val="00000EE4"/>
    <w:pPr>
      <w:ind w:left="4320"/>
    </w:pPr>
  </w:style>
  <w:style w:type="character" w:customStyle="1" w:styleId="SignatureChar">
    <w:name w:val="Signature Char"/>
    <w:basedOn w:val="DefaultParagraphFont"/>
    <w:link w:val="Signature"/>
    <w:semiHidden/>
    <w:rsid w:val="00000EE4"/>
    <w:rPr>
      <w:rFonts w:ascii="Times New Roman" w:eastAsia="Times New Roman" w:hAnsi="Times New Roman" w:cs="Times New Roman"/>
      <w:sz w:val="24"/>
      <w:szCs w:val="20"/>
    </w:rPr>
  </w:style>
  <w:style w:type="paragraph" w:styleId="Subtitle">
    <w:name w:val="Subtitle"/>
    <w:basedOn w:val="Normal"/>
    <w:next w:val="Normal"/>
    <w:link w:val="SubtitleChar"/>
    <w:qFormat/>
    <w:rsid w:val="00000EE4"/>
    <w:pPr>
      <w:spacing w:after="60"/>
      <w:jc w:val="center"/>
      <w:outlineLvl w:val="1"/>
    </w:pPr>
    <w:rPr>
      <w:rFonts w:ascii="Cambria" w:hAnsi="Cambria"/>
      <w:szCs w:val="24"/>
    </w:rPr>
  </w:style>
  <w:style w:type="character" w:customStyle="1" w:styleId="SubtitleChar">
    <w:name w:val="Subtitle Char"/>
    <w:basedOn w:val="DefaultParagraphFont"/>
    <w:link w:val="Subtitle"/>
    <w:rsid w:val="00000EE4"/>
    <w:rPr>
      <w:rFonts w:ascii="Cambria" w:eastAsia="Times New Roman" w:hAnsi="Cambria" w:cs="Times New Roman"/>
      <w:sz w:val="24"/>
      <w:szCs w:val="24"/>
    </w:rPr>
  </w:style>
  <w:style w:type="paragraph" w:styleId="TableofAuthorities">
    <w:name w:val="table of authorities"/>
    <w:basedOn w:val="Normal"/>
    <w:next w:val="Normal"/>
    <w:semiHidden/>
    <w:rsid w:val="00000EE4"/>
    <w:pPr>
      <w:ind w:left="240" w:hanging="240"/>
    </w:pPr>
  </w:style>
  <w:style w:type="paragraph" w:styleId="TableofFigures">
    <w:name w:val="table of figures"/>
    <w:basedOn w:val="Normal"/>
    <w:next w:val="Normal"/>
    <w:semiHidden/>
    <w:rsid w:val="00000EE4"/>
  </w:style>
  <w:style w:type="paragraph" w:styleId="Title">
    <w:name w:val="Title"/>
    <w:basedOn w:val="Normal"/>
    <w:next w:val="Normal"/>
    <w:link w:val="TitleChar"/>
    <w:qFormat/>
    <w:rsid w:val="00000EE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000EE4"/>
    <w:rPr>
      <w:rFonts w:ascii="Cambria" w:eastAsia="Times New Roman" w:hAnsi="Cambria" w:cs="Times New Roman"/>
      <w:b/>
      <w:bCs/>
      <w:kern w:val="28"/>
      <w:sz w:val="32"/>
      <w:szCs w:val="32"/>
    </w:rPr>
  </w:style>
  <w:style w:type="paragraph" w:styleId="TOAHeading">
    <w:name w:val="toa heading"/>
    <w:basedOn w:val="Normal"/>
    <w:next w:val="Normal"/>
    <w:semiHidden/>
    <w:rsid w:val="00000EE4"/>
    <w:pPr>
      <w:spacing w:before="120"/>
    </w:pPr>
    <w:rPr>
      <w:rFonts w:ascii="Cambria" w:hAnsi="Cambria"/>
      <w:b/>
      <w:bCs/>
      <w:szCs w:val="24"/>
    </w:rPr>
  </w:style>
  <w:style w:type="paragraph" w:styleId="TOC1">
    <w:name w:val="toc 1"/>
    <w:basedOn w:val="Normal"/>
    <w:next w:val="Normal"/>
    <w:autoRedefine/>
    <w:semiHidden/>
    <w:rsid w:val="00000EE4"/>
  </w:style>
  <w:style w:type="paragraph" w:styleId="TOC2">
    <w:name w:val="toc 2"/>
    <w:basedOn w:val="Normal"/>
    <w:next w:val="Normal"/>
    <w:autoRedefine/>
    <w:semiHidden/>
    <w:rsid w:val="00000EE4"/>
    <w:pPr>
      <w:ind w:left="240"/>
    </w:pPr>
  </w:style>
  <w:style w:type="paragraph" w:styleId="TOC3">
    <w:name w:val="toc 3"/>
    <w:basedOn w:val="Normal"/>
    <w:next w:val="Normal"/>
    <w:autoRedefine/>
    <w:semiHidden/>
    <w:rsid w:val="00000EE4"/>
    <w:pPr>
      <w:ind w:left="480"/>
    </w:pPr>
  </w:style>
  <w:style w:type="paragraph" w:styleId="TOC4">
    <w:name w:val="toc 4"/>
    <w:basedOn w:val="Normal"/>
    <w:next w:val="Normal"/>
    <w:autoRedefine/>
    <w:semiHidden/>
    <w:rsid w:val="00000EE4"/>
    <w:pPr>
      <w:ind w:left="720"/>
    </w:pPr>
  </w:style>
  <w:style w:type="paragraph" w:styleId="TOC5">
    <w:name w:val="toc 5"/>
    <w:basedOn w:val="Normal"/>
    <w:next w:val="Normal"/>
    <w:autoRedefine/>
    <w:semiHidden/>
    <w:rsid w:val="00000EE4"/>
    <w:pPr>
      <w:ind w:left="960"/>
    </w:pPr>
  </w:style>
  <w:style w:type="paragraph" w:styleId="TOC6">
    <w:name w:val="toc 6"/>
    <w:basedOn w:val="Normal"/>
    <w:next w:val="Normal"/>
    <w:autoRedefine/>
    <w:semiHidden/>
    <w:rsid w:val="00000EE4"/>
    <w:pPr>
      <w:ind w:left="1200"/>
    </w:pPr>
  </w:style>
  <w:style w:type="paragraph" w:styleId="TOC7">
    <w:name w:val="toc 7"/>
    <w:basedOn w:val="Normal"/>
    <w:next w:val="Normal"/>
    <w:autoRedefine/>
    <w:semiHidden/>
    <w:rsid w:val="00000EE4"/>
    <w:pPr>
      <w:ind w:left="1440"/>
    </w:pPr>
  </w:style>
  <w:style w:type="paragraph" w:styleId="TOC8">
    <w:name w:val="toc 8"/>
    <w:basedOn w:val="Normal"/>
    <w:next w:val="Normal"/>
    <w:autoRedefine/>
    <w:semiHidden/>
    <w:rsid w:val="00000EE4"/>
    <w:pPr>
      <w:ind w:left="1680"/>
    </w:pPr>
  </w:style>
  <w:style w:type="paragraph" w:styleId="TOC9">
    <w:name w:val="toc 9"/>
    <w:basedOn w:val="Normal"/>
    <w:next w:val="Normal"/>
    <w:autoRedefine/>
    <w:semiHidden/>
    <w:rsid w:val="00000EE4"/>
    <w:pPr>
      <w:ind w:left="1920"/>
    </w:pPr>
  </w:style>
  <w:style w:type="paragraph" w:styleId="TOCHeading">
    <w:name w:val="TOC Heading"/>
    <w:basedOn w:val="Heading1"/>
    <w:next w:val="Normal"/>
    <w:uiPriority w:val="39"/>
    <w:semiHidden/>
    <w:unhideWhenUsed/>
    <w:qFormat/>
    <w:rsid w:val="00000EE4"/>
    <w:pPr>
      <w:outlineLvl w:val="9"/>
    </w:pPr>
    <w:rPr>
      <w:rFonts w:ascii="Cambria" w:hAnsi="Cambria"/>
      <w:sz w:val="32"/>
      <w:szCs w:val="32"/>
    </w:rPr>
  </w:style>
  <w:style w:type="character" w:styleId="Hyperlink">
    <w:name w:val="Hyperlink"/>
    <w:semiHidden/>
    <w:rsid w:val="00000EE4"/>
    <w:rPr>
      <w:color w:val="0000FF"/>
      <w:u w:val="single"/>
    </w:rPr>
  </w:style>
  <w:style w:type="character" w:styleId="FollowedHyperlink">
    <w:name w:val="FollowedHyperlink"/>
    <w:semiHidden/>
    <w:unhideWhenUsed/>
    <w:rsid w:val="00000EE4"/>
    <w:rPr>
      <w:color w:val="800080"/>
      <w:u w:val="single"/>
    </w:rPr>
  </w:style>
  <w:style w:type="character" w:styleId="CommentReference">
    <w:name w:val="annotation reference"/>
    <w:semiHidden/>
    <w:unhideWhenUsed/>
    <w:rsid w:val="00000EE4"/>
    <w:rPr>
      <w:sz w:val="16"/>
      <w:szCs w:val="16"/>
    </w:rPr>
  </w:style>
  <w:style w:type="character" w:styleId="UnresolvedMention">
    <w:name w:val="Unresolved Mention"/>
    <w:basedOn w:val="DefaultParagraphFont"/>
    <w:uiPriority w:val="99"/>
    <w:semiHidden/>
    <w:unhideWhenUsed/>
    <w:rsid w:val="00000EE4"/>
    <w:rPr>
      <w:color w:val="808080"/>
      <w:shd w:val="clear" w:color="auto" w:fill="E6E6E6"/>
    </w:rPr>
  </w:style>
  <w:style w:type="paragraph" w:customStyle="1" w:styleId="PubInfo">
    <w:name w:val="PubInfo"/>
    <w:basedOn w:val="Normal"/>
    <w:qFormat/>
    <w:rsid w:val="00000EE4"/>
    <w:pPr>
      <w:suppressAutoHyphens/>
      <w:jc w:val="center"/>
    </w:pPr>
    <w:rPr>
      <w:sz w:val="20"/>
      <w:lang w:eastAsia="ar-SA"/>
    </w:rPr>
  </w:style>
  <w:style w:type="paragraph" w:customStyle="1" w:styleId="DoiInfo">
    <w:name w:val="DoiInfo"/>
    <w:basedOn w:val="Normal"/>
    <w:qFormat/>
    <w:rsid w:val="00000EE4"/>
    <w:pPr>
      <w:suppressAutoHyphens/>
      <w:jc w:val="center"/>
    </w:pPr>
    <w:rPr>
      <w:sz w:val="20"/>
      <w:lang w:eastAsia="ar-SA"/>
    </w:rPr>
  </w:style>
  <w:style w:type="paragraph" w:customStyle="1" w:styleId="MDPI31text">
    <w:name w:val="MDPI_3.1_text"/>
    <w:link w:val="MDPI31textChar"/>
    <w:qFormat/>
    <w:rsid w:val="00000EE4"/>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character" w:customStyle="1" w:styleId="MDPI31textChar">
    <w:name w:val="MDPI_3.1_text Char"/>
    <w:basedOn w:val="DefaultParagraphFont"/>
    <w:link w:val="MDPI31text"/>
    <w:rsid w:val="00000EE4"/>
    <w:rPr>
      <w:rFonts w:ascii="Palatino Linotype" w:eastAsia="Times New Roman" w:hAnsi="Palatino Linotype" w:cs="Times New Roman"/>
      <w:snapToGrid w:val="0"/>
      <w:color w:val="000000"/>
      <w:sz w:val="20"/>
      <w:lang w:eastAsia="de-DE" w:bidi="en-US"/>
    </w:rPr>
  </w:style>
  <w:style w:type="paragraph" w:customStyle="1" w:styleId="MDPI22heading2">
    <w:name w:val="MDPI_2.2_heading2"/>
    <w:basedOn w:val="Normal"/>
    <w:qFormat/>
    <w:rsid w:val="00000EE4"/>
    <w:pPr>
      <w:kinsoku w:val="0"/>
      <w:overflowPunct w:val="0"/>
      <w:autoSpaceDE w:val="0"/>
      <w:autoSpaceDN w:val="0"/>
      <w:adjustRightInd w:val="0"/>
      <w:snapToGrid w:val="0"/>
      <w:spacing w:before="240" w:after="120" w:line="260" w:lineRule="atLeast"/>
      <w:outlineLvl w:val="1"/>
    </w:pPr>
    <w:rPr>
      <w:rFonts w:ascii="Palatino Linotype" w:hAnsi="Palatino Linotype"/>
      <w:i/>
      <w:noProof/>
      <w:snapToGrid w:val="0"/>
      <w:color w:val="000000"/>
      <w:sz w:val="20"/>
      <w:szCs w:val="22"/>
      <w:lang w:eastAsia="de-DE" w:bidi="en-US"/>
    </w:rPr>
  </w:style>
  <w:style w:type="table" w:styleId="TableGrid">
    <w:name w:val="Table Grid"/>
    <w:basedOn w:val="TableNormal"/>
    <w:uiPriority w:val="39"/>
    <w:rsid w:val="00000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mohan@txbiome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1529</Words>
  <Characters>8716</Characters>
  <Application>Microsoft Office Word</Application>
  <DocSecurity>0</DocSecurity>
  <Lines>72</Lines>
  <Paragraphs>20</Paragraphs>
  <ScaleCrop>false</ScaleCrop>
  <HeadingPairs>
    <vt:vector size="4" baseType="variant">
      <vt:variant>
        <vt:lpstr>Title</vt:lpstr>
      </vt:variant>
      <vt:variant>
        <vt:i4>1</vt:i4>
      </vt:variant>
      <vt:variant>
        <vt:lpstr>Headings</vt:lpstr>
      </vt:variant>
      <vt:variant>
        <vt:i4>60</vt:i4>
      </vt:variant>
    </vt:vector>
  </HeadingPairs>
  <TitlesOfParts>
    <vt:vector size="61" baseType="lpstr">
      <vt:lpstr/>
      <vt:lpstr/>
      <vt:lpstr>Supplementary Text</vt:lpstr>
      <vt:lpstr>    </vt:lpstr>
      <vt:lpstr>    Additional explanatory text for Methods</vt:lpstr>
      <vt:lpstr>    </vt:lpstr>
      <vt:lpstr>    RNA-seq library construction, clustering and sequencing</vt:lpstr>
      <vt:lpstr>    </vt:lpstr>
      <vt:lpstr>    </vt:lpstr>
      <vt:lpstr>    For pre-amplification, 2.5 μL of the cDNA from each sample was mixed with a tota</vt:lpstr>
      <vt:lpstr>    </vt:lpstr>
      <vt:lpstr>    Quantification of Endocannabinoid and trytophan metabolites in plasma</vt:lpstr>
      <vt:lpstr>/</vt:lpstr>
      <vt:lpstr/>
      <vt:lpstr/>
      <vt:lpstr/>
      <vt:lpstr/>
      <vt:lpstr/>
      <vt:lpstr/>
      <vt:lpstr/>
      <vt:lpstr/>
      <vt:lpstr/>
      <vt:lpstr/>
      <vt:lpstr/>
      <vt:lpstr/>
      <vt:lpstr/>
      <vt:lpstr/>
      <vt:lpstr/>
      <vt:lpstr/>
      <vt:lpstr/>
      <vt:lpstr/>
      <vt:lpstr>Supplementary Figure 2. QQ plots showing normal distribution of WFS1 (A) and CRY</vt:lpstr>
      <vt:lpstr>/</vt:lpstr>
      <vt:lpstr/>
      <vt:lpstr/>
      <vt:lpstr/>
      <vt:lpstr/>
      <vt:lpstr/>
      <vt:lpstr/>
      <vt:lpstr/>
      <vt:lpstr/>
      <vt:lpstr/>
      <vt:lpstr/>
      <vt:lpstr/>
      <vt:lpstr/>
      <vt:lpstr/>
      <vt:lpstr/>
      <vt:lpstr/>
      <vt:lpstr/>
      <vt:lpstr/>
      <vt:lpstr/>
      <vt:lpstr/>
      <vt:lpstr/>
      <vt:lpstr>/</vt:lpstr>
      <vt:lpstr>Table S1.</vt:lpstr>
      <vt:lpstr>Table S2.</vt:lpstr>
      <vt:lpstr/>
      <vt:lpstr/>
      <vt:lpstr/>
      <vt:lpstr/>
      <vt:lpstr/>
    </vt:vector>
  </TitlesOfParts>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 Mohan</dc:creator>
  <cp:keywords/>
  <dc:description/>
  <cp:lastModifiedBy>Mahesh Mohan</cp:lastModifiedBy>
  <cp:revision>14</cp:revision>
  <cp:lastPrinted>2022-10-26T02:06:00Z</cp:lastPrinted>
  <dcterms:created xsi:type="dcterms:W3CDTF">2022-09-14T01:53:00Z</dcterms:created>
  <dcterms:modified xsi:type="dcterms:W3CDTF">2023-02-22T20:43:00Z</dcterms:modified>
</cp:coreProperties>
</file>