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80" w:lineRule="auto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bookmarkStart w:id="0" w:name="OLE_LINK9"/>
      <w:bookmarkStart w:id="1" w:name="OLE_LINK192"/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HOXD9/miR-451a/PSMB8 </w:t>
      </w:r>
      <w:bookmarkEnd w:id="0"/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axis is implicated in the regulation of cell </w:t>
      </w:r>
      <w:bookmarkStart w:id="2" w:name="OLE_LINK162"/>
      <w:r>
        <w:rPr>
          <w:rFonts w:hint="default" w:ascii="Times New Roman" w:hAnsi="Times New Roman" w:cs="Times New Roman"/>
          <w:sz w:val="20"/>
          <w:szCs w:val="20"/>
          <w:lang w:val="en-US"/>
        </w:rPr>
        <w:t>proliferation</w:t>
      </w:r>
      <w:bookmarkEnd w:id="2"/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and metastasis via PI3K/AKT signaling pathway in human anaplastic thyroid carcinoma</w:t>
      </w:r>
    </w:p>
    <w:bookmarkEnd w:id="1"/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0"/>
          <w:szCs w:val="20"/>
          <w:lang w:val="en-US"/>
        </w:rPr>
      </w:pPr>
      <w:bookmarkStart w:id="3" w:name="OLE_LINK115"/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Yong Zhong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1, *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Fan Yu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2, *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 xml:space="preserve">, </w:t>
      </w:r>
      <w:bookmarkStart w:id="4" w:name="OLE_LINK164"/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Ling Yang</w:t>
      </w:r>
      <w:bookmarkEnd w:id="4"/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1, *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Yu Wang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Lin Liu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Chengyou Jia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Haidong Cai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Jianshe Yang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Shiyang Sheng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Zhongwei Lv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1, #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Bo Wu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2, #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>, Xiaoping Zhang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vertAlign w:val="superscript"/>
          <w:lang w:val="en-US" w:eastAsia="zh-CN" w:bidi="ar"/>
        </w:rPr>
        <w:t>1, #</w:t>
      </w:r>
    </w:p>
    <w:bookmarkEnd w:id="3"/>
    <w:p>
      <w:pPr>
        <w:pStyle w:val="3"/>
        <w:widowControl/>
        <w:adjustRightInd w:val="0"/>
        <w:snapToGrid w:val="0"/>
        <w:spacing w:before="200" w:beforeAutospacing="0" w:after="200" w:afterAutospacing="0" w:line="480" w:lineRule="auto"/>
        <w:ind w:left="0" w:right="0"/>
        <w:contextualSpacing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  <w:lang w:val="en-US"/>
        </w:rPr>
        <w:t>1</w:t>
      </w:r>
      <w:bookmarkStart w:id="5" w:name="OLE_LINK8"/>
      <w:r>
        <w:rPr>
          <w:rFonts w:hint="default"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Department of Nuclear Medicine, Shanghai Tenth People’s Hospital, Tongji University, Shanghai, China</w:t>
      </w:r>
      <w:bookmarkEnd w:id="5"/>
      <w:r>
        <w:rPr>
          <w:rFonts w:hint="default" w:ascii="Times New Roman" w:hAnsi="Times New Roman" w:cs="Times New Roman"/>
          <w:sz w:val="20"/>
          <w:szCs w:val="20"/>
          <w:lang w:val="en-US"/>
        </w:rPr>
        <w:t>.</w:t>
      </w:r>
    </w:p>
    <w:p>
      <w:pPr>
        <w:pStyle w:val="3"/>
        <w:widowControl/>
        <w:adjustRightInd w:val="0"/>
        <w:snapToGrid w:val="0"/>
        <w:spacing w:before="200" w:beforeAutospacing="0" w:after="200" w:afterAutospacing="0" w:line="480" w:lineRule="auto"/>
        <w:ind w:left="0" w:right="0"/>
        <w:contextualSpacing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  <w:lang w:val="en-US"/>
        </w:rPr>
        <w:t xml:space="preserve">2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Center of Thyroid, Department of General Surgery, Shanghai Jiao Tong University Affiliated Sixth People’s Hospital, Shanghai China.</w:t>
      </w:r>
    </w:p>
    <w:p>
      <w:pPr>
        <w:pStyle w:val="3"/>
        <w:widowControl/>
        <w:adjustRightInd w:val="0"/>
        <w:snapToGrid w:val="0"/>
        <w:spacing w:before="200" w:beforeAutospacing="0" w:after="200" w:afterAutospacing="0" w:line="480" w:lineRule="auto"/>
        <w:ind w:left="0" w:right="0"/>
        <w:contextualSpacing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  <w:lang w:val="en-US"/>
        </w:rPr>
        <w:t>3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Department of Head and Neck Surgery, Fudan University Shanghai Cancer Center, Shanghai, China.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200" w:beforeAutospacing="0" w:after="0" w:afterAutospacing="0" w:line="480" w:lineRule="auto"/>
        <w:ind w:left="0" w:right="0"/>
        <w:jc w:val="both"/>
        <w:rPr>
          <w:b/>
          <w:bCs w:val="0"/>
          <w:sz w:val="20"/>
          <w:szCs w:val="20"/>
          <w:vertAlign w:val="superscript"/>
          <w:lang w:val="en-US"/>
        </w:rPr>
      </w:pPr>
      <w:bookmarkStart w:id="6" w:name="OLE_LINK26"/>
      <w:bookmarkEnd w:id="6"/>
      <w:bookmarkStart w:id="7" w:name="OLE_LINK27"/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vertAlign w:val="superscript"/>
          <w:lang w:val="en-US" w:eastAsia="zh-CN" w:bidi="ar"/>
        </w:rPr>
        <w:t>*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>These authors contributed equally to this article.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200" w:beforeAutospacing="0" w:after="0" w:afterAutospacing="0" w:line="480" w:lineRule="auto"/>
        <w:ind w:left="0" w:right="0"/>
        <w:jc w:val="both"/>
        <w:rPr>
          <w:bCs/>
          <w:sz w:val="2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vertAlign w:val="superscript"/>
          <w:lang w:val="en-US" w:eastAsia="zh-CN" w:bidi="ar"/>
        </w:rPr>
        <w:t>#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>Corresponding authors</w:t>
      </w:r>
      <w:bookmarkEnd w:id="7"/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 xml:space="preserve">: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200" w:beforeAutospacing="0" w:after="0" w:afterAutospacing="0" w:line="480" w:lineRule="auto"/>
        <w:ind w:left="0" w:right="0"/>
        <w:jc w:val="both"/>
        <w:rPr>
          <w:sz w:val="2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>Bo Wu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 xml:space="preserve">: Center of Thyroid, Department of General Surgery, Shanghai Jiao Tong University Affiliated Sixth People’s Hospital, Shanghai 200233, China. Email: </w:t>
      </w:r>
      <w:r>
        <w:rPr>
          <w:rStyle w:val="8"/>
          <w:rFonts w:eastAsia="宋体"/>
          <w:kern w:val="2"/>
          <w:sz w:val="20"/>
          <w:szCs w:val="20"/>
          <w:lang w:val="en-US" w:eastAsia="zh-CN" w:bidi="ar"/>
        </w:rPr>
        <w:t>wubo7421@sohu.com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200" w:beforeAutospacing="0" w:after="0" w:afterAutospacing="0" w:line="480" w:lineRule="auto"/>
        <w:ind w:left="0" w:right="0"/>
        <w:jc w:val="both"/>
        <w:rPr>
          <w:sz w:val="2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>Zhongwei Lv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 xml:space="preserve">: Department of Nuclear Medicine, Shanghai Tenth People's Hospital, Tongji University and Shanghai Center of Thyroid Diseases, No. 301 Middle Yanchang Road, Shanghai 200072, China. Email: </w:t>
      </w:r>
      <w:r>
        <w:rPr>
          <w:rStyle w:val="8"/>
          <w:rFonts w:eastAsia="宋体"/>
          <w:kern w:val="2"/>
          <w:sz w:val="20"/>
          <w:szCs w:val="20"/>
          <w:lang w:val="en-US" w:eastAsia="zh-CN" w:bidi="ar"/>
        </w:rPr>
        <w:t xml:space="preserve">shtjnmd@163.com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200" w:beforeAutospacing="0" w:after="0" w:afterAutospacing="0" w:line="480" w:lineRule="auto"/>
        <w:ind w:left="0" w:right="0"/>
        <w:jc w:val="both"/>
        <w:rPr>
          <w:sz w:val="2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0"/>
          <w:szCs w:val="20"/>
          <w:lang w:val="en-US" w:eastAsia="zh-CN" w:bidi="ar"/>
        </w:rPr>
        <w:t xml:space="preserve">Xiaoping Zhang: </w: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t xml:space="preserve">Department of Nuclear Medicine, Shanghai Tenth People’s Hospital, Tongji University, Shanghai, 200072, China. Email: </w:t>
      </w:r>
      <w:bookmarkStart w:id="8" w:name="OLE_LINK68"/>
      <w:r>
        <w:rPr>
          <w:rStyle w:val="8"/>
          <w:rFonts w:eastAsia="宋体"/>
          <w:kern w:val="2"/>
          <w:sz w:val="20"/>
          <w:szCs w:val="20"/>
          <w:lang w:val="en-US" w:eastAsia="zh-CN" w:bidi="ar"/>
        </w:rPr>
        <w:t>zxpkxy@tongji.edu.cn</w:t>
      </w:r>
      <w:bookmarkEnd w:id="8"/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instrText xml:space="preserve"> HYPERLINK "mailto:heyixue163@163.com.)" </w:instrText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0"/>
          <w:szCs w:val="20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 w:eastAsiaTheme="minorEastAsia"/>
          <w:b/>
          <w:bCs/>
          <w:sz w:val="20"/>
          <w:szCs w:val="2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This PDF file includes: 1. Supplementary Figures. S1 to S4; 2. Supplementary Tables. S1 and S2.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Supplementary Figures and Figure legends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0"/>
          <w:szCs w:val="20"/>
          <w:lang w:eastAsia="zh-CN"/>
        </w:rPr>
      </w:pPr>
      <w:r>
        <w:rPr>
          <w:rFonts w:hint="eastAsia" w:eastAsiaTheme="minorEastAsia"/>
          <w:sz w:val="20"/>
          <w:szCs w:val="20"/>
          <w:lang w:eastAsia="zh-CN"/>
        </w:rPr>
        <w:drawing>
          <wp:inline distT="0" distB="0" distL="114300" distR="114300">
            <wp:extent cx="5269865" cy="3316605"/>
            <wp:effectExtent l="0" t="0" r="13335" b="10795"/>
            <wp:docPr id="3" name="图片 3" descr="新补充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补充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F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 w:eastAsia="zh-Hans"/>
        </w:rPr>
        <w:t>igure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 xml:space="preserve"> S1. HOXD9 is abnormally upregulated in various cancers. </w:t>
      </w:r>
      <w:r>
        <w:rPr>
          <w:rFonts w:hint="default" w:ascii="Times New Roman Regular" w:hAnsi="Times New Roman Regular" w:cs="Times New Roman Regular"/>
          <w:sz w:val="20"/>
          <w:szCs w:val="20"/>
          <w:lang w:eastAsia="zh-Hans"/>
        </w:rPr>
        <w:t>(</w:t>
      </w:r>
      <w:r>
        <w:rPr>
          <w:rFonts w:hint="default" w:ascii="Times New Roman Regular" w:hAnsi="Times New Roman Regular" w:cs="Times New Roman Regular"/>
          <w:b/>
          <w:bCs/>
          <w:sz w:val="20"/>
          <w:szCs w:val="20"/>
          <w:lang w:eastAsia="zh-Hans"/>
        </w:rPr>
        <w:t>A</w:t>
      </w:r>
      <w:r>
        <w:rPr>
          <w:rFonts w:hint="default" w:ascii="Times New Roman Regular" w:hAnsi="Times New Roman Regular" w:cs="Times New Roman Regular"/>
          <w:sz w:val="20"/>
          <w:szCs w:val="20"/>
          <w:lang w:eastAsia="zh-Hans"/>
        </w:rPr>
        <w:t xml:space="preserve">) Analysis of the </w:t>
      </w:r>
      <w:r>
        <w:rPr>
          <w:rFonts w:hint="eastAsia" w:ascii="Times New Roman Regular" w:hAnsi="Times New Roman Regular" w:cs="Times New Roman Regular"/>
          <w:sz w:val="20"/>
          <w:szCs w:val="20"/>
          <w:lang w:eastAsia="zh-CN"/>
        </w:rPr>
        <w:t>H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>OXD9</w:t>
      </w:r>
      <w:r>
        <w:rPr>
          <w:rFonts w:hint="default" w:ascii="Times New Roman Regular" w:hAnsi="Times New Roman Regular" w:cs="Times New Roman Regular"/>
          <w:sz w:val="20"/>
          <w:szCs w:val="20"/>
          <w:lang w:eastAsia="zh-Hans"/>
        </w:rPr>
        <w:t xml:space="preserve"> expression between tumor and normal tissues from the TCGA database. 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>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 w:eastAsia="zh-CN"/>
        </w:rPr>
        <w:t>B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By accessing to the TCGA and Genotype-Tissue Expression (GTEX),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HOXD9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expression was found upregulated in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THCA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tissues.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CN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  <w:lang w:val="en-US" w:eastAsia="zh-CN"/>
        </w:rPr>
        <w:t>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CN"/>
        </w:rPr>
        <w:t>C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  <w:lang w:val="en-US" w:eastAsia="zh-CN"/>
        </w:rPr>
        <w:t>, D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>)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 xml:space="preserve"> Expression o</w:t>
      </w:r>
      <w:bookmarkStart w:id="9" w:name="_GoBack"/>
      <w:bookmarkEnd w:id="9"/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 xml:space="preserve">f HOXD9 in various subtypes of THCA, including 11 cases of ATC, 49 cases of PTC, and 45 cases of normal thyroid from the GEO database (GSE33630). </w:t>
      </w:r>
      <w:r>
        <w:rPr>
          <w:rFonts w:hint="default" w:ascii="Times New Roman Regular" w:hAnsi="Times New Roman Regular" w:cs="Times New Roman Regular"/>
          <w:sz w:val="20"/>
          <w:szCs w:val="20"/>
        </w:rPr>
        <w:t>(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  <w:lang w:val="en-US" w:eastAsia="zh-CN"/>
        </w:rPr>
        <w:t>E</w:t>
      </w:r>
      <w:r>
        <w:rPr>
          <w:rFonts w:hint="default" w:ascii="Times New Roman Regular" w:hAnsi="Times New Roman Regular" w:cs="Times New Roman Regular"/>
          <w:sz w:val="20"/>
          <w:szCs w:val="20"/>
        </w:rPr>
        <w:t>) The survival plots of HOXD9 in TGCA-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>THCA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drawing>
          <wp:inline distT="0" distB="0" distL="114300" distR="114300">
            <wp:extent cx="5269865" cy="2818130"/>
            <wp:effectExtent l="0" t="0" r="13335" b="1270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F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 w:eastAsia="zh-Hans"/>
        </w:rPr>
        <w:t>igure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 xml:space="preserve"> S2. qRT-PCR and Western blot analysis were employed to assess the efficacy of interfering with and over-expressing HOXD9 in 8505c cells.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drawing>
          <wp:inline distT="0" distB="0" distL="114300" distR="114300">
            <wp:extent cx="5258435" cy="3385820"/>
            <wp:effectExtent l="0" t="0" r="24765" b="17780"/>
            <wp:docPr id="4" name="图片 4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 xml:space="preserve">Figure S3. HOXD9 promotes proliferation and metastasis by negatively regulating miR-451a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0"/>
          <w:szCs w:val="20"/>
          <w:lang w:eastAsia="zh-Hans"/>
        </w:rPr>
        <w:t>in vitro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>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>A, B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>) Cell growth was determined by the CCK-8 assay.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>C, D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>) Cell migration and invasion were assessed by Transwell assays.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>E, F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>) The tumor cell-induced colony formation was also analyzed, and the colony formation rate was calculated.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>G, H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>) Apoptosis of 8505c cells analyzed by flow cytometry.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>I, J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 xml:space="preserve">) The expression of E-cadherin and N-cadherin was detected through conducting immunofluorescence analysis. The data represent mean values ± SD, n = 3. **p &lt; 0.01.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drawing>
          <wp:inline distT="0" distB="0" distL="114300" distR="114300">
            <wp:extent cx="5269230" cy="1613535"/>
            <wp:effectExtent l="0" t="0" r="13970" b="12065"/>
            <wp:docPr id="6" name="图片 6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CN"/>
        </w:rPr>
        <w:drawing>
          <wp:inline distT="0" distB="0" distL="114300" distR="114300">
            <wp:extent cx="5269230" cy="2900045"/>
            <wp:effectExtent l="0" t="0" r="13970" b="20955"/>
            <wp:docPr id="7" name="图片 7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 S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F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val="en-US" w:eastAsia="zh-Hans"/>
        </w:rPr>
        <w:t>igure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 xml:space="preserve"> S4. PSMB8 is a direct target of miR-451a.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A, B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) Correlation between PSMB8 with HOXD9 and miR-451a in THCA was analyzed on the ENCORI pan-cancer analysis platform using the expression data from the TCGA.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C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) PSMB8 mRNA expression in normal samples and THCA tissues from the TCGA.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D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) Association of PSMB8 mRNA expression with prognosis within the TCGA-THCA study. (</w:t>
      </w:r>
      <w:r>
        <w:rPr>
          <w:rFonts w:hint="default" w:ascii="Times New Roman Bold" w:hAnsi="Times New Roman Bold" w:cs="Times New Roman Bold"/>
          <w:b/>
          <w:bCs/>
          <w:sz w:val="20"/>
          <w:szCs w:val="20"/>
        </w:rPr>
        <w:t>E-G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Hans"/>
        </w:rPr>
        <w:t>Interference with PSMB8 expression in 8505c, qPCR (A) and WB (B, C) to detect interference efficiency.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</w:pPr>
      <w:r>
        <w:rPr>
          <w:rFonts w:hint="default" w:ascii="Times New Roman Bold" w:hAnsi="Times New Roman Bold" w:cs="Times New Roman Bold"/>
          <w:b/>
          <w:bCs/>
          <w:sz w:val="20"/>
          <w:szCs w:val="20"/>
          <w:lang w:eastAsia="zh-Hans"/>
        </w:rPr>
        <w:t>Supplementary T</w:t>
      </w:r>
      <w:r>
        <w:rPr>
          <w:rFonts w:hint="eastAsia" w:ascii="Times New Roman Bold" w:hAnsi="Times New Roman Bold" w:cs="Times New Roman Bold"/>
          <w:b/>
          <w:bCs/>
          <w:sz w:val="20"/>
          <w:szCs w:val="20"/>
          <w:lang w:val="en-US" w:eastAsia="zh-Hans"/>
        </w:rPr>
        <w:t>ables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Fonts w:hint="default" w:ascii="Times New Roman" w:hAnsi="Times New Roman" w:eastAsia="DengXian" w:cs="Times New Roman"/>
          <w:b/>
          <w:bCs w:val="0"/>
          <w:kern w:val="2"/>
          <w:sz w:val="20"/>
          <w:szCs w:val="20"/>
          <w:lang w:eastAsia="zh-CN" w:bidi="ar"/>
        </w:rPr>
        <w:t xml:space="preserve">Table S1. </w:t>
      </w:r>
      <w:r>
        <w:rPr>
          <w:rFonts w:hint="default" w:ascii="Times New Roman Bold" w:hAnsi="Times New Roman Bold" w:eastAsia="DengXian" w:cs="Times New Roman Bold"/>
          <w:b/>
          <w:bCs w:val="0"/>
          <w:kern w:val="2"/>
          <w:sz w:val="20"/>
          <w:szCs w:val="20"/>
          <w:lang w:val="en-US" w:eastAsia="zh-CN" w:bidi="ar"/>
        </w:rPr>
        <w:t>Sequences</w:t>
      </w:r>
      <w:r>
        <w:rPr>
          <w:rFonts w:hint="default" w:ascii="Times New Roman Bold" w:hAnsi="Times New Roman Bold" w:eastAsia="DengXian" w:cs="Times New Roman Bold"/>
          <w:b/>
          <w:bCs w:val="0"/>
          <w:kern w:val="2"/>
          <w:sz w:val="20"/>
          <w:szCs w:val="20"/>
          <w:lang w:eastAsia="zh-CN" w:bidi="ar"/>
        </w:rPr>
        <w:t xml:space="preserve"> for </w:t>
      </w:r>
      <w:r>
        <w:rPr>
          <w:rFonts w:hint="default" w:ascii="Times New Roman Bold" w:hAnsi="Times New Roman Bold" w:eastAsia="DengXian" w:cs="Times New Roman Bold"/>
          <w:b/>
          <w:bCs w:val="0"/>
          <w:kern w:val="2"/>
          <w:sz w:val="20"/>
          <w:szCs w:val="20"/>
          <w:lang w:val="en-US" w:eastAsia="zh-CN" w:bidi="ar"/>
        </w:rPr>
        <w:t>siRNA interference assay</w:t>
      </w:r>
      <w:r>
        <w:rPr>
          <w:rFonts w:hint="default" w:ascii="Times New Roman Bold" w:hAnsi="Times New Roman Bold" w:eastAsia="DengXian" w:cs="Times New Roman Bold"/>
          <w:b/>
          <w:bCs w:val="0"/>
          <w:kern w:val="2"/>
          <w:sz w:val="20"/>
          <w:szCs w:val="20"/>
          <w:lang w:eastAsia="zh-CN" w:bidi="ar"/>
        </w:rPr>
        <w:t>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73"/>
        <w:gridCol w:w="3216"/>
        <w:gridCol w:w="3239"/>
      </w:tblGrid>
      <w:tr>
        <w:tc>
          <w:tcPr>
            <w:tcW w:w="0" w:type="auto"/>
            <w:tcBorders>
              <w:bottom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0"/>
                <w:szCs w:val="20"/>
                <w:vertAlign w:val="baseline"/>
              </w:rPr>
              <w:t>Genes</w:t>
            </w:r>
          </w:p>
        </w:tc>
        <w:tc>
          <w:tcPr>
            <w:tcW w:w="973" w:type="dxa"/>
            <w:tcBorders>
              <w:bottom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0"/>
                <w:szCs w:val="20"/>
                <w:vertAlign w:val="baseline"/>
              </w:rPr>
              <w:t>Serial number</w:t>
            </w:r>
          </w:p>
        </w:tc>
        <w:tc>
          <w:tcPr>
            <w:tcW w:w="3216" w:type="dxa"/>
            <w:tcBorders>
              <w:bottom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eastAsia="zh-CN" w:bidi="ar"/>
              </w:rPr>
              <w:t>S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val="en-US" w:eastAsia="zh-CN" w:bidi="ar"/>
              </w:rPr>
              <w:t>ense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eastAsia="zh-CN" w:bidi="ar"/>
              </w:rPr>
              <w:t xml:space="preserve"> (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val="en-US" w:eastAsia="zh-CN" w:bidi="ar"/>
              </w:rPr>
              <w:t>5’-3’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E7E6E6" w:themeFill="background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val="en-US" w:eastAsia="zh-CN" w:bidi="ar"/>
              </w:rPr>
              <w:t>Antisense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eastAsia="zh-CN" w:bidi="ar"/>
              </w:rPr>
              <w:t xml:space="preserve"> (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val="en-US" w:eastAsia="zh-CN" w:bidi="ar"/>
              </w:rPr>
              <w:t>5’-3’</w:t>
            </w:r>
            <w:r>
              <w:rPr>
                <w:rFonts w:hint="default" w:ascii="Times New Roman Bold" w:hAnsi="Times New Roman Bold" w:eastAsia="DengXian" w:cs="Times New Roman Bold"/>
                <w:b/>
                <w:bCs/>
                <w:kern w:val="2"/>
                <w:sz w:val="20"/>
                <w:szCs w:val="20"/>
                <w:lang w:eastAsia="zh-CN" w:bidi="ar"/>
              </w:rPr>
              <w:t>)</w:t>
            </w:r>
          </w:p>
        </w:tc>
      </w:tr>
      <w:tr>
        <w:tc>
          <w:tcPr>
            <w:tcW w:w="0" w:type="auto"/>
            <w:vMerge w:val="restart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HOXD9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1#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GGACCAGUUGUAAAUGUUACU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UAACAUUUACAACUGGUCCUC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c>
          <w:tcPr>
            <w:tcW w:w="0" w:type="auto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2#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GGUGCUUGAUUUCCAGAAACU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UUUCUGGAAAUCAAGCACCAA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c>
          <w:tcPr>
            <w:tcW w:w="0" w:type="auto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3#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GGUUCCUUAAGAAAUGCUAUA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UAGCAUUUCUUAAGGAACCAA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c>
          <w:tcPr>
            <w:tcW w:w="0" w:type="auto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E-cadherin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1#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UGUAUUCAGCGUGACUUUGGU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CAAAGUCACGCUGAAUACAGU</w:t>
            </w:r>
          </w:p>
        </w:tc>
      </w:tr>
      <w:tr>
        <w:tc>
          <w:tcPr>
            <w:tcW w:w="0" w:type="auto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2#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UAGGAAAUGGGCCUUUUUCAU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GAAAAAGGCCCAUUUCCUAAA</w:t>
            </w:r>
          </w:p>
        </w:tc>
      </w:tr>
      <w:tr>
        <w:tc>
          <w:tcPr>
            <w:tcW w:w="0" w:type="auto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3#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UUCUCUUUCAAUAAUAAAGAC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CUUUAUUAUUGAAAGAGAAAC</w:t>
            </w:r>
          </w:p>
        </w:tc>
      </w:tr>
      <w:tr>
        <w:tc>
          <w:tcPr>
            <w:tcW w:w="0" w:type="auto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PSMB8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1#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UGGAUUUGUACCAUUCUUCUG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GAAGAAUGGUACAAAUCCAAG</w:t>
            </w:r>
          </w:p>
        </w:tc>
      </w:tr>
      <w:tr>
        <w:tc>
          <w:tcPr>
            <w:tcW w:w="0" w:type="auto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2#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ACUCAUUGGUUCCUUUAAGGG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CUUAAAGGAACCAAUGAGUCC</w:t>
            </w:r>
          </w:p>
        </w:tc>
      </w:tr>
      <w:tr>
        <w:tc>
          <w:tcPr>
            <w:tcW w:w="0" w:type="auto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3#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UCAUAUUCUGAAUCUCAUCCU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GAUGAGAUUCAGAAUAUGAAG</w:t>
            </w:r>
          </w:p>
        </w:tc>
      </w:tr>
      <w:t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Si-NC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  <w:t>-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UUCUCCGAACGUGUCACGU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360" w:lineRule="auto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0"/>
                <w:szCs w:val="20"/>
                <w:vertAlign w:val="baseline"/>
              </w:rPr>
            </w:pPr>
            <w:r>
              <w:rPr>
                <w:rFonts w:hint="default" w:ascii="Times New Roman Regular" w:hAnsi="Times New Roman Regular" w:eastAsia="DengXian" w:cs="Times New Roman Regular"/>
                <w:kern w:val="2"/>
                <w:sz w:val="20"/>
                <w:szCs w:val="20"/>
                <w:lang w:val="en-US" w:eastAsia="zh-CN" w:bidi="ar"/>
              </w:rPr>
              <w:t>ACGUGACACGUUCGGAGAA</w:t>
            </w:r>
            <w:r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5C149"/>
    <w:rsid w:val="1FF58446"/>
    <w:rsid w:val="4FF6837C"/>
    <w:rsid w:val="5BFE09F7"/>
    <w:rsid w:val="5FFE06A9"/>
    <w:rsid w:val="6E54376F"/>
    <w:rsid w:val="731A6345"/>
    <w:rsid w:val="75FC1215"/>
    <w:rsid w:val="7BFF194A"/>
    <w:rsid w:val="BAF5C149"/>
    <w:rsid w:val="E73ECA4D"/>
    <w:rsid w:val="E7FF784B"/>
    <w:rsid w:val="EBFFF64B"/>
    <w:rsid w:val="FED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uppressLineNumbers w:val="0"/>
      <w:spacing w:before="240" w:beforeAutospacing="0" w:after="0" w:afterAutospacing="0"/>
      <w:ind w:left="0" w:right="0"/>
      <w:jc w:val="both"/>
      <w:outlineLvl w:val="0"/>
    </w:pPr>
    <w:rPr>
      <w:rFonts w:hint="default" w:ascii="Calibri" w:hAnsi="Calibri" w:eastAsia="等线 Light" w:cs="Times New Roman"/>
      <w:b/>
      <w:kern w:val="2"/>
      <w:sz w:val="28"/>
      <w:szCs w:val="3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Calibri" w:hAnsi="Calibri" w:cs="Arial"/>
      <w:sz w:val="22"/>
      <w:szCs w:val="22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uiPriority w:val="0"/>
    <w:rPr>
      <w:rFonts w:hint="eastAsia" w:ascii="等线 Light" w:hAnsi="等线 Light" w:eastAsia="等线 Light" w:cs="Times New Roman"/>
      <w:b/>
      <w:kern w:val="2"/>
      <w:sz w:val="28"/>
      <w:szCs w:val="32"/>
      <w:lang w:val="en-US"/>
    </w:rPr>
  </w:style>
  <w:style w:type="character" w:customStyle="1" w:styleId="8">
    <w:name w:val="15"/>
    <w:basedOn w:val="6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Office_6.0.1.8148_F1E327BC-269C-435d-A152-05C5408002CA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2023-02-01T16:39:00Z</dcterms:created>
  <dc:creator>ZY1373614603</dc:creator>
  <cp:lastModifiedBy>ZY1373614603</cp:lastModifiedBy>
  <dcterms:modified xsi:type="dcterms:W3CDTF">2023-09-06T09:54:34Z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2052-6.0.1.8148</vt:lpwstr>
  </property>
  <property fmtid="{D5CDD505-2E9C-101B-9397-08002B2CF9AE}" pid="3" name="ICV">
    <vt:lpwstr>CB945FB81C0A7835B430D663D705EC20</vt:lpwstr>
  </property>
</Properties>
</file>