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3AAA05" w14:textId="77777777" w:rsidR="00733352" w:rsidRPr="0055324E" w:rsidRDefault="00733352" w:rsidP="00733352">
      <w:pPr>
        <w:widowControl/>
        <w:rPr>
          <w:rFonts w:ascii="Times New Roman" w:hAnsi="Times New Roman"/>
          <w:b/>
          <w:bCs/>
          <w:color w:val="000000"/>
          <w:sz w:val="24"/>
          <w:szCs w:val="24"/>
        </w:rPr>
      </w:pPr>
      <w:r w:rsidRPr="0055324E">
        <w:rPr>
          <w:rFonts w:ascii="Times New Roman" w:hAnsi="Times New Roman"/>
          <w:b/>
          <w:bCs/>
          <w:color w:val="000000"/>
          <w:sz w:val="24"/>
          <w:szCs w:val="24"/>
        </w:rPr>
        <w:t>Identifying and characterizing lincRNA genomic clusters reveals its cooperative functions in human cancer</w:t>
      </w:r>
    </w:p>
    <w:p w14:paraId="048AC1D5" w14:textId="55D9A9D2" w:rsidR="00733352" w:rsidRPr="0055324E" w:rsidRDefault="0055324E" w:rsidP="00E32A6D">
      <w:pPr>
        <w:widowControl/>
        <w:rPr>
          <w:rFonts w:ascii="Times New Roman" w:hAnsi="Times New Roman"/>
          <w:i/>
          <w:iCs/>
          <w:szCs w:val="21"/>
        </w:rPr>
      </w:pPr>
      <w:r w:rsidRPr="0055324E">
        <w:rPr>
          <w:rFonts w:ascii="Times New Roman" w:hAnsi="Times New Roman" w:hint="eastAsia"/>
          <w:i/>
          <w:iCs/>
          <w:szCs w:val="21"/>
        </w:rPr>
        <w:t>Zhou</w:t>
      </w:r>
      <w:r w:rsidRPr="0055324E">
        <w:rPr>
          <w:rFonts w:ascii="Times New Roman" w:hAnsi="Times New Roman"/>
          <w:i/>
          <w:iCs/>
          <w:szCs w:val="21"/>
        </w:rPr>
        <w:t xml:space="preserve"> </w:t>
      </w:r>
      <w:r w:rsidRPr="0055324E">
        <w:rPr>
          <w:rFonts w:ascii="Times New Roman" w:hAnsi="Times New Roman" w:hint="eastAsia"/>
          <w:i/>
          <w:iCs/>
          <w:szCs w:val="21"/>
        </w:rPr>
        <w:t>et</w:t>
      </w:r>
      <w:r w:rsidRPr="0055324E">
        <w:rPr>
          <w:rFonts w:ascii="Times New Roman" w:hAnsi="Times New Roman"/>
          <w:i/>
          <w:iCs/>
          <w:szCs w:val="21"/>
        </w:rPr>
        <w:t xml:space="preserve"> </w:t>
      </w:r>
      <w:r w:rsidRPr="0055324E">
        <w:rPr>
          <w:rFonts w:ascii="Times New Roman" w:hAnsi="Times New Roman" w:hint="eastAsia"/>
          <w:i/>
          <w:iCs/>
          <w:szCs w:val="21"/>
        </w:rPr>
        <w:t>al</w:t>
      </w:r>
    </w:p>
    <w:p w14:paraId="77283FD2" w14:textId="5AFF05B4" w:rsidR="00274CB2" w:rsidRDefault="00E32A6D" w:rsidP="00E32A6D">
      <w:pPr>
        <w:widowControl/>
        <w:rPr>
          <w:rFonts w:ascii="Times New Roman" w:hAnsi="Times New Roman"/>
          <w:b/>
          <w:sz w:val="20"/>
          <w:szCs w:val="20"/>
          <w:shd w:val="clear" w:color="auto" w:fill="FFFFFF"/>
        </w:rPr>
      </w:pPr>
      <w:r w:rsidRPr="006635B6">
        <w:rPr>
          <w:rFonts w:ascii="Times New Roman" w:hAnsi="Times New Roman"/>
          <w:b/>
          <w:bCs/>
          <w:szCs w:val="21"/>
        </w:rPr>
        <w:t xml:space="preserve">Supplementary </w:t>
      </w:r>
      <w:r w:rsidR="006635B6" w:rsidRPr="00A2333A">
        <w:rPr>
          <w:rFonts w:ascii="Times New Roman" w:hAnsi="Times New Roman"/>
          <w:b/>
          <w:sz w:val="20"/>
          <w:szCs w:val="20"/>
          <w:shd w:val="clear" w:color="auto" w:fill="FFFFFF"/>
        </w:rPr>
        <w:t>Figure</w:t>
      </w:r>
    </w:p>
    <w:p w14:paraId="372506EE" w14:textId="476D7B09" w:rsidR="006635B6" w:rsidRDefault="006635B6" w:rsidP="00E32A6D">
      <w:pPr>
        <w:widowControl/>
        <w:jc w:val="center"/>
        <w:rPr>
          <w:rFonts w:ascii="Times New Roman" w:hAnsi="Times New Roman"/>
          <w:b/>
          <w:noProof/>
          <w:sz w:val="20"/>
          <w:szCs w:val="20"/>
          <w:shd w:val="clear" w:color="auto" w:fill="FFFFFF"/>
        </w:rPr>
      </w:pPr>
      <w:r>
        <w:rPr>
          <w:rFonts w:ascii="Times New Roman" w:hAnsi="Times New Roman"/>
          <w:b/>
          <w:noProof/>
          <w:sz w:val="20"/>
          <w:szCs w:val="20"/>
          <w:shd w:val="clear" w:color="auto" w:fill="FFFFFF"/>
          <w:lang w:val="en-IN" w:eastAsia="en-IN"/>
        </w:rPr>
        <w:drawing>
          <wp:inline distT="0" distB="0" distL="0" distR="0" wp14:anchorId="2E43A9D6" wp14:editId="3C6ED71B">
            <wp:extent cx="4492978" cy="5384433"/>
            <wp:effectExtent l="0" t="0" r="3175" b="6985"/>
            <wp:docPr id="2"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示&#10;&#10;描述已自动生成"/>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25669" cy="5423610"/>
                    </a:xfrm>
                    <a:prstGeom prst="rect">
                      <a:avLst/>
                    </a:prstGeom>
                  </pic:spPr>
                </pic:pic>
              </a:graphicData>
            </a:graphic>
          </wp:inline>
        </w:drawing>
      </w:r>
    </w:p>
    <w:p w14:paraId="233C6FA7" w14:textId="77777777" w:rsidR="00BF6EBD" w:rsidRDefault="00C540BE" w:rsidP="007F5B23">
      <w:pPr>
        <w:widowControl/>
        <w:rPr>
          <w:rFonts w:ascii="Times New Roman" w:hAnsi="Times New Roman"/>
          <w:b/>
          <w:bCs/>
          <w:color w:val="000000" w:themeColor="text1"/>
          <w:szCs w:val="21"/>
        </w:rPr>
      </w:pPr>
      <w:r w:rsidRPr="00C540BE">
        <w:rPr>
          <w:rFonts w:ascii="Times New Roman" w:hAnsi="Times New Roman"/>
          <w:b/>
          <w:bCs/>
          <w:color w:val="000000" w:themeColor="text1"/>
          <w:szCs w:val="21"/>
        </w:rPr>
        <w:t>Fig.</w:t>
      </w:r>
      <w:r w:rsidR="00B16E0F">
        <w:rPr>
          <w:rFonts w:ascii="Times New Roman" w:hAnsi="Times New Roman"/>
          <w:b/>
          <w:bCs/>
          <w:color w:val="000000" w:themeColor="text1"/>
          <w:szCs w:val="21"/>
        </w:rPr>
        <w:t xml:space="preserve"> </w:t>
      </w:r>
      <w:r w:rsidRPr="00C540BE">
        <w:rPr>
          <w:rFonts w:ascii="Times New Roman" w:hAnsi="Times New Roman"/>
          <w:b/>
          <w:bCs/>
          <w:color w:val="000000" w:themeColor="text1"/>
          <w:szCs w:val="21"/>
        </w:rPr>
        <w:t>S1</w:t>
      </w:r>
      <w:r w:rsidR="00B16E0F">
        <w:rPr>
          <w:rFonts w:ascii="Times New Roman" w:hAnsi="Times New Roman"/>
          <w:b/>
          <w:bCs/>
          <w:color w:val="000000" w:themeColor="text1"/>
          <w:szCs w:val="21"/>
        </w:rPr>
        <w:t xml:space="preserve"> </w:t>
      </w:r>
    </w:p>
    <w:p w14:paraId="4E15E1CF" w14:textId="033F0200" w:rsidR="006635B6" w:rsidRPr="00C540BE" w:rsidRDefault="007F5B23" w:rsidP="007F5B23">
      <w:pPr>
        <w:widowControl/>
        <w:rPr>
          <w:rFonts w:ascii="Times New Roman" w:hAnsi="Times New Roman"/>
          <w:b/>
          <w:bCs/>
          <w:color w:val="000000" w:themeColor="text1"/>
          <w:szCs w:val="21"/>
        </w:rPr>
      </w:pPr>
      <w:r w:rsidRPr="00114671">
        <w:rPr>
          <w:rFonts w:ascii="Times New Roman" w:hAnsi="Times New Roman"/>
          <w:b/>
          <w:bCs/>
          <w:color w:val="000000" w:themeColor="text1"/>
          <w:szCs w:val="21"/>
        </w:rPr>
        <w:t xml:space="preserve">A comprehensive analysis workflow to characterize lincRNA genomic clusters. </w:t>
      </w:r>
      <w:r w:rsidRPr="00114671">
        <w:rPr>
          <w:rFonts w:ascii="Times New Roman" w:hAnsi="Times New Roman"/>
          <w:color w:val="000000" w:themeColor="text1"/>
          <w:szCs w:val="21"/>
        </w:rPr>
        <w:t>Step 1: Collection lincRNA annotation and construction of lincRNA genomic cluster identification algorithm. We download the genomic location information of lincRNA from Ensembl. Next, we used the sliding window method to identify the lincRNA genome cluster from the beginning of each chromosome. We used random perturbation to calculate the significance of lincRNA genome cluster. Step 2: Comprehensive characterization of lincRNA genomic cluster. We performed comprehensive characterization of lincRNA genomic cluster from co-expression, species conservation, miRNA-lincRNA relationship and CNV pattern. Step 3: Differential expression pattern identification of lincRNA genomic cluster. Step 4: Potential biological functions of lincRNA genomic cluster. We characterize the function of lincRNA genome clusters using Survival analysis, KEGG pathway analysis, GO enrichment analysis and CMAP drug interactions.</w:t>
      </w:r>
    </w:p>
    <w:p w14:paraId="227300A8" w14:textId="77777777" w:rsidR="00114671" w:rsidRPr="00114671" w:rsidRDefault="00114671" w:rsidP="007F5B23">
      <w:pPr>
        <w:widowControl/>
        <w:rPr>
          <w:rFonts w:ascii="Times New Roman" w:hAnsi="Times New Roman"/>
          <w:noProof/>
          <w:color w:val="000000" w:themeColor="text1"/>
          <w:sz w:val="20"/>
          <w:szCs w:val="20"/>
          <w:shd w:val="clear" w:color="auto" w:fill="FFFFFF"/>
        </w:rPr>
      </w:pPr>
    </w:p>
    <w:p w14:paraId="29DB54C7" w14:textId="77777777" w:rsidR="00B16E0F" w:rsidRDefault="00011C27" w:rsidP="00E32A6D">
      <w:pPr>
        <w:widowControl/>
        <w:rPr>
          <w:rFonts w:ascii="Times New Roman" w:hAnsi="Times New Roman"/>
          <w:b/>
          <w:sz w:val="20"/>
          <w:szCs w:val="20"/>
          <w:shd w:val="clear" w:color="auto" w:fill="FFFFFF"/>
        </w:rPr>
      </w:pPr>
      <w:r w:rsidRPr="00A2333A">
        <w:rPr>
          <w:rFonts w:ascii="Times New Roman" w:hAnsi="Times New Roman"/>
          <w:b/>
          <w:noProof/>
          <w:sz w:val="20"/>
          <w:szCs w:val="20"/>
          <w:shd w:val="clear" w:color="auto" w:fill="FFFFFF"/>
          <w:lang w:val="en-IN" w:eastAsia="en-IN"/>
        </w:rPr>
        <w:drawing>
          <wp:inline distT="0" distB="0" distL="0" distR="0" wp14:anchorId="73DCDD65" wp14:editId="6699347A">
            <wp:extent cx="5203983" cy="34716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 Figure S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12854" cy="3477538"/>
                    </a:xfrm>
                    <a:prstGeom prst="rect">
                      <a:avLst/>
                    </a:prstGeom>
                  </pic:spPr>
                </pic:pic>
              </a:graphicData>
            </a:graphic>
          </wp:inline>
        </w:drawing>
      </w:r>
      <w:r w:rsidR="00491C97" w:rsidRPr="00A2333A">
        <w:rPr>
          <w:rFonts w:ascii="Times New Roman" w:hAnsi="Times New Roman"/>
          <w:b/>
          <w:sz w:val="20"/>
          <w:szCs w:val="20"/>
          <w:shd w:val="clear" w:color="auto" w:fill="FFFFFF"/>
        </w:rPr>
        <w:t xml:space="preserve">                                                                                                                                                                                                                                                                                                             </w:t>
      </w:r>
      <w:r w:rsidR="00274CB2" w:rsidRPr="00A2333A">
        <w:rPr>
          <w:rFonts w:ascii="Times New Roman" w:hAnsi="Times New Roman"/>
          <w:b/>
          <w:sz w:val="20"/>
          <w:szCs w:val="20"/>
          <w:shd w:val="clear" w:color="auto" w:fill="FFFFFF"/>
        </w:rPr>
        <w:t xml:space="preserve">                           </w:t>
      </w:r>
      <w:r w:rsidR="00C540BE" w:rsidRPr="00C540BE">
        <w:rPr>
          <w:rFonts w:ascii="Times New Roman" w:hAnsi="Times New Roman"/>
          <w:b/>
          <w:sz w:val="20"/>
          <w:szCs w:val="20"/>
          <w:shd w:val="clear" w:color="auto" w:fill="FFFFFF"/>
        </w:rPr>
        <w:t>Fig. S</w:t>
      </w:r>
      <w:r w:rsidR="00C540BE">
        <w:rPr>
          <w:rFonts w:ascii="Times New Roman" w:hAnsi="Times New Roman"/>
          <w:b/>
          <w:sz w:val="20"/>
          <w:szCs w:val="20"/>
          <w:shd w:val="clear" w:color="auto" w:fill="FFFFFF"/>
        </w:rPr>
        <w:t>2</w:t>
      </w:r>
    </w:p>
    <w:p w14:paraId="5E254DDA" w14:textId="2B63AC72" w:rsidR="00A2333A" w:rsidRDefault="00491C97" w:rsidP="00E32A6D">
      <w:pPr>
        <w:widowControl/>
        <w:rPr>
          <w:rFonts w:ascii="Times New Roman" w:hAnsi="Times New Roman"/>
          <w:b/>
          <w:sz w:val="20"/>
          <w:szCs w:val="20"/>
          <w:shd w:val="clear" w:color="auto" w:fill="FFFFFF"/>
        </w:rPr>
      </w:pPr>
      <w:r w:rsidRPr="00A2333A">
        <w:rPr>
          <w:rFonts w:ascii="Times New Roman" w:hAnsi="Times New Roman"/>
          <w:b/>
          <w:sz w:val="20"/>
          <w:szCs w:val="20"/>
          <w:shd w:val="clear" w:color="auto" w:fill="FFFFFF"/>
        </w:rPr>
        <w:t xml:space="preserve">Distribution of lincRNA clusters on different chromosomes for different distances (15kb-80kb). </w:t>
      </w:r>
    </w:p>
    <w:p w14:paraId="58289A0E" w14:textId="77777777" w:rsidR="00A2333A" w:rsidRDefault="00A2333A" w:rsidP="00E32A6D">
      <w:pPr>
        <w:widowControl/>
        <w:jc w:val="left"/>
        <w:rPr>
          <w:rFonts w:ascii="Times New Roman" w:hAnsi="Times New Roman"/>
          <w:b/>
          <w:sz w:val="20"/>
          <w:szCs w:val="20"/>
          <w:shd w:val="clear" w:color="auto" w:fill="FFFFFF"/>
        </w:rPr>
      </w:pPr>
      <w:r>
        <w:rPr>
          <w:rFonts w:ascii="Times New Roman" w:hAnsi="Times New Roman"/>
          <w:b/>
          <w:sz w:val="20"/>
          <w:szCs w:val="20"/>
          <w:shd w:val="clear" w:color="auto" w:fill="FFFFFF"/>
        </w:rPr>
        <w:br w:type="page"/>
      </w:r>
    </w:p>
    <w:p w14:paraId="28AB0093" w14:textId="77777777" w:rsidR="00011C27" w:rsidRPr="00A2333A" w:rsidRDefault="00011C27" w:rsidP="00E32A6D">
      <w:pPr>
        <w:widowControl/>
        <w:rPr>
          <w:rFonts w:ascii="Times New Roman" w:hAnsi="Times New Roman"/>
          <w:b/>
          <w:sz w:val="20"/>
          <w:szCs w:val="20"/>
          <w:shd w:val="clear" w:color="auto" w:fill="FFFFFF"/>
        </w:rPr>
      </w:pPr>
      <w:r w:rsidRPr="00A2333A">
        <w:rPr>
          <w:rFonts w:ascii="Times New Roman" w:hAnsi="Times New Roman"/>
          <w:b/>
          <w:noProof/>
          <w:sz w:val="20"/>
          <w:szCs w:val="20"/>
          <w:shd w:val="clear" w:color="auto" w:fill="FFFFFF"/>
          <w:lang w:val="en-IN" w:eastAsia="en-IN"/>
        </w:rPr>
        <w:lastRenderedPageBreak/>
        <w:drawing>
          <wp:inline distT="0" distB="0" distL="0" distR="0" wp14:anchorId="0B2B8BC5" wp14:editId="2DAA86D0">
            <wp:extent cx="5497737" cy="4370522"/>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ry Figure S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01325" cy="4373374"/>
                    </a:xfrm>
                    <a:prstGeom prst="rect">
                      <a:avLst/>
                    </a:prstGeom>
                  </pic:spPr>
                </pic:pic>
              </a:graphicData>
            </a:graphic>
          </wp:inline>
        </w:drawing>
      </w:r>
    </w:p>
    <w:p w14:paraId="28661F0B" w14:textId="77777777" w:rsidR="00B16E0F" w:rsidRDefault="00C540BE" w:rsidP="00E32A6D">
      <w:pPr>
        <w:widowControl/>
        <w:rPr>
          <w:rFonts w:ascii="Times New Roman" w:hAnsi="Times New Roman"/>
          <w:b/>
          <w:sz w:val="20"/>
          <w:szCs w:val="20"/>
          <w:shd w:val="clear" w:color="auto" w:fill="FFFFFF"/>
        </w:rPr>
      </w:pPr>
      <w:r w:rsidRPr="00C540BE">
        <w:rPr>
          <w:rFonts w:ascii="Times New Roman" w:hAnsi="Times New Roman"/>
          <w:b/>
          <w:sz w:val="20"/>
          <w:szCs w:val="20"/>
          <w:shd w:val="clear" w:color="auto" w:fill="FFFFFF"/>
        </w:rPr>
        <w:t>Fig. S</w:t>
      </w:r>
      <w:r>
        <w:rPr>
          <w:rFonts w:ascii="Times New Roman" w:hAnsi="Times New Roman"/>
          <w:b/>
          <w:sz w:val="20"/>
          <w:szCs w:val="20"/>
          <w:shd w:val="clear" w:color="auto" w:fill="FFFFFF"/>
        </w:rPr>
        <w:t>3</w:t>
      </w:r>
    </w:p>
    <w:p w14:paraId="4341DA0C" w14:textId="4145A8B6" w:rsidR="00A2333A" w:rsidRDefault="00491C97" w:rsidP="00E32A6D">
      <w:pPr>
        <w:widowControl/>
        <w:rPr>
          <w:rFonts w:ascii="Times New Roman" w:hAnsi="Times New Roman"/>
          <w:b/>
          <w:sz w:val="20"/>
          <w:szCs w:val="20"/>
          <w:shd w:val="clear" w:color="auto" w:fill="FFFFFF"/>
        </w:rPr>
      </w:pPr>
      <w:r w:rsidRPr="00A2333A">
        <w:rPr>
          <w:rFonts w:ascii="Times New Roman" w:hAnsi="Times New Roman"/>
          <w:b/>
          <w:sz w:val="20"/>
          <w:szCs w:val="20"/>
          <w:shd w:val="clear" w:color="auto" w:fill="FFFFFF"/>
        </w:rPr>
        <w:t>Cluster dendrogram of the coexpression network modules were produced based on topological overlap in the lincRNAs of different cancer types.</w:t>
      </w:r>
    </w:p>
    <w:p w14:paraId="5056E59C" w14:textId="77777777" w:rsidR="00A2333A" w:rsidRDefault="00A2333A" w:rsidP="00E32A6D">
      <w:pPr>
        <w:widowControl/>
        <w:jc w:val="left"/>
        <w:rPr>
          <w:rFonts w:ascii="Times New Roman" w:hAnsi="Times New Roman"/>
          <w:b/>
          <w:sz w:val="20"/>
          <w:szCs w:val="20"/>
          <w:shd w:val="clear" w:color="auto" w:fill="FFFFFF"/>
        </w:rPr>
      </w:pPr>
      <w:r>
        <w:rPr>
          <w:rFonts w:ascii="Times New Roman" w:hAnsi="Times New Roman"/>
          <w:b/>
          <w:sz w:val="20"/>
          <w:szCs w:val="20"/>
          <w:shd w:val="clear" w:color="auto" w:fill="FFFFFF"/>
        </w:rPr>
        <w:br w:type="page"/>
      </w:r>
    </w:p>
    <w:p w14:paraId="30B3770D" w14:textId="77777777" w:rsidR="00491C97" w:rsidRPr="00A2333A" w:rsidRDefault="00491C97" w:rsidP="00E32A6D">
      <w:pPr>
        <w:widowControl/>
        <w:rPr>
          <w:rFonts w:ascii="Times New Roman" w:hAnsi="Times New Roman"/>
          <w:b/>
          <w:sz w:val="20"/>
          <w:szCs w:val="20"/>
          <w:shd w:val="clear" w:color="auto" w:fill="FFFFFF"/>
        </w:rPr>
      </w:pPr>
    </w:p>
    <w:p w14:paraId="51D92368" w14:textId="77777777" w:rsidR="00B16E0F" w:rsidRDefault="00011C27" w:rsidP="00E32A6D">
      <w:pPr>
        <w:widowControl/>
        <w:rPr>
          <w:rFonts w:ascii="Times New Roman" w:hAnsi="Times New Roman"/>
          <w:b/>
          <w:sz w:val="20"/>
          <w:szCs w:val="20"/>
          <w:shd w:val="clear" w:color="auto" w:fill="FFFFFF"/>
        </w:rPr>
      </w:pPr>
      <w:r w:rsidRPr="00A2333A">
        <w:rPr>
          <w:rFonts w:ascii="Times New Roman" w:hAnsi="Times New Roman"/>
          <w:b/>
          <w:noProof/>
          <w:sz w:val="20"/>
          <w:szCs w:val="20"/>
          <w:shd w:val="clear" w:color="auto" w:fill="FFFFFF"/>
          <w:lang w:val="en-IN" w:eastAsia="en-IN"/>
        </w:rPr>
        <w:drawing>
          <wp:inline distT="0" distB="0" distL="0" distR="0" wp14:anchorId="5F98B96C" wp14:editId="010E51B5">
            <wp:extent cx="5274310" cy="316611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ry Figure S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166110"/>
                    </a:xfrm>
                    <a:prstGeom prst="rect">
                      <a:avLst/>
                    </a:prstGeom>
                  </pic:spPr>
                </pic:pic>
              </a:graphicData>
            </a:graphic>
          </wp:inline>
        </w:drawing>
      </w:r>
      <w:r w:rsidR="00C540BE" w:rsidRPr="00C540BE">
        <w:rPr>
          <w:rFonts w:ascii="Times New Roman" w:hAnsi="Times New Roman"/>
          <w:b/>
          <w:sz w:val="20"/>
          <w:szCs w:val="20"/>
          <w:shd w:val="clear" w:color="auto" w:fill="FFFFFF"/>
        </w:rPr>
        <w:t>Fig. S</w:t>
      </w:r>
      <w:r w:rsidR="00C540BE">
        <w:rPr>
          <w:rFonts w:ascii="Times New Roman" w:hAnsi="Times New Roman"/>
          <w:b/>
          <w:sz w:val="20"/>
          <w:szCs w:val="20"/>
          <w:shd w:val="clear" w:color="auto" w:fill="FFFFFF"/>
        </w:rPr>
        <w:t>4</w:t>
      </w:r>
    </w:p>
    <w:p w14:paraId="6FEAFE58" w14:textId="4F99943F" w:rsidR="00491C97" w:rsidRDefault="00491C97" w:rsidP="00E32A6D">
      <w:pPr>
        <w:widowControl/>
        <w:rPr>
          <w:rFonts w:ascii="Times New Roman" w:hAnsi="Times New Roman"/>
          <w:b/>
          <w:sz w:val="20"/>
          <w:szCs w:val="20"/>
          <w:shd w:val="clear" w:color="auto" w:fill="FFFFFF"/>
        </w:rPr>
      </w:pPr>
      <w:r w:rsidRPr="00A2333A">
        <w:rPr>
          <w:rFonts w:ascii="Times New Roman" w:hAnsi="Times New Roman"/>
          <w:b/>
          <w:sz w:val="20"/>
          <w:szCs w:val="20"/>
          <w:shd w:val="clear" w:color="auto" w:fill="FFFFFF"/>
        </w:rPr>
        <w:t xml:space="preserve">The pie chart shows the proportion of co-expressed lincRNA clusters in different cancer types. </w:t>
      </w:r>
    </w:p>
    <w:p w14:paraId="7F0AD6F2" w14:textId="686595DD" w:rsidR="006635B6" w:rsidRDefault="006635B6" w:rsidP="00E32A6D">
      <w:pPr>
        <w:widowControl/>
        <w:jc w:val="center"/>
        <w:rPr>
          <w:rFonts w:ascii="Times New Roman" w:hAnsi="Times New Roman"/>
          <w:b/>
          <w:sz w:val="20"/>
          <w:szCs w:val="20"/>
          <w:shd w:val="clear" w:color="auto" w:fill="FFFFFF"/>
        </w:rPr>
      </w:pPr>
      <w:r>
        <w:rPr>
          <w:rFonts w:ascii="Times New Roman" w:hAnsi="Times New Roman"/>
          <w:b/>
          <w:noProof/>
          <w:sz w:val="20"/>
          <w:szCs w:val="20"/>
          <w:shd w:val="clear" w:color="auto" w:fill="FFFFFF"/>
          <w:lang w:val="en-IN" w:eastAsia="en-IN"/>
        </w:rPr>
        <w:drawing>
          <wp:inline distT="0" distB="0" distL="0" distR="0" wp14:anchorId="41D78DC4" wp14:editId="02000F6E">
            <wp:extent cx="5555463" cy="3928821"/>
            <wp:effectExtent l="0" t="0" r="7620" b="0"/>
            <wp:docPr id="7" name="图片 7"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包含 图表&#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94252" cy="3956253"/>
                    </a:xfrm>
                    <a:prstGeom prst="rect">
                      <a:avLst/>
                    </a:prstGeom>
                  </pic:spPr>
                </pic:pic>
              </a:graphicData>
            </a:graphic>
          </wp:inline>
        </w:drawing>
      </w:r>
    </w:p>
    <w:p w14:paraId="6C804D32" w14:textId="77777777" w:rsidR="00B16E0F" w:rsidRDefault="00C540BE" w:rsidP="00E32A6D">
      <w:pPr>
        <w:rPr>
          <w:rFonts w:ascii="Times New Roman" w:hAnsi="Times New Roman"/>
          <w:b/>
          <w:bCs/>
          <w:color w:val="000000" w:themeColor="text1"/>
          <w:szCs w:val="21"/>
        </w:rPr>
      </w:pPr>
      <w:r w:rsidRPr="00C540BE">
        <w:rPr>
          <w:rFonts w:ascii="Times New Roman" w:hAnsi="Times New Roman"/>
          <w:b/>
          <w:bCs/>
          <w:color w:val="000000" w:themeColor="text1"/>
          <w:szCs w:val="21"/>
        </w:rPr>
        <w:t>Fig. S</w:t>
      </w:r>
      <w:r>
        <w:rPr>
          <w:rFonts w:ascii="Times New Roman" w:hAnsi="Times New Roman"/>
          <w:b/>
          <w:bCs/>
          <w:color w:val="000000" w:themeColor="text1"/>
          <w:szCs w:val="21"/>
        </w:rPr>
        <w:t>5</w:t>
      </w:r>
    </w:p>
    <w:p w14:paraId="419A96A7" w14:textId="5BD098BC" w:rsidR="006635B6" w:rsidRPr="00DC0BB6" w:rsidRDefault="006635B6" w:rsidP="00E32A6D">
      <w:pPr>
        <w:rPr>
          <w:rFonts w:ascii="Times New Roman" w:hAnsi="Times New Roman"/>
          <w:b/>
          <w:bCs/>
          <w:color w:val="000000" w:themeColor="text1"/>
          <w:szCs w:val="21"/>
        </w:rPr>
      </w:pPr>
      <w:r w:rsidRPr="00DC0BB6">
        <w:rPr>
          <w:rFonts w:ascii="Times New Roman" w:hAnsi="Times New Roman"/>
          <w:b/>
          <w:bCs/>
          <w:color w:val="000000" w:themeColor="text1"/>
          <w:szCs w:val="21"/>
        </w:rPr>
        <w:t xml:space="preserve">The CNV alteration frequency of lincRNA genomic clusters across cancer types. </w:t>
      </w:r>
    </w:p>
    <w:p w14:paraId="25B349B4" w14:textId="1ED8FF7D" w:rsidR="006635B6" w:rsidRDefault="006635B6" w:rsidP="00E32A6D">
      <w:pPr>
        <w:rPr>
          <w:rFonts w:ascii="Times New Roman" w:hAnsi="Times New Roman"/>
          <w:szCs w:val="21"/>
        </w:rPr>
      </w:pPr>
      <w:r>
        <w:rPr>
          <w:rFonts w:ascii="Times New Roman" w:hAnsi="Times New Roman"/>
          <w:noProof/>
          <w:szCs w:val="21"/>
          <w:lang w:val="en-IN" w:eastAsia="en-IN"/>
        </w:rPr>
        <w:lastRenderedPageBreak/>
        <w:drawing>
          <wp:inline distT="0" distB="0" distL="0" distR="0" wp14:anchorId="3A0AEB8A" wp14:editId="1D4A0F8A">
            <wp:extent cx="5315919" cy="5315919"/>
            <wp:effectExtent l="0" t="0" r="0" b="0"/>
            <wp:docPr id="11" name="图片 11" descr="图表, 树状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表, 树状图&#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25285" cy="5325285"/>
                    </a:xfrm>
                    <a:prstGeom prst="rect">
                      <a:avLst/>
                    </a:prstGeom>
                  </pic:spPr>
                </pic:pic>
              </a:graphicData>
            </a:graphic>
          </wp:inline>
        </w:drawing>
      </w:r>
    </w:p>
    <w:p w14:paraId="1700A2EA" w14:textId="77777777" w:rsidR="00B16E0F" w:rsidRDefault="00C540BE" w:rsidP="00E32A6D">
      <w:pPr>
        <w:rPr>
          <w:rFonts w:ascii="Times New Roman" w:hAnsi="Times New Roman"/>
          <w:b/>
          <w:bCs/>
          <w:color w:val="000000" w:themeColor="text1"/>
          <w:szCs w:val="21"/>
        </w:rPr>
      </w:pPr>
      <w:r w:rsidRPr="00C540BE">
        <w:rPr>
          <w:rFonts w:ascii="Times New Roman" w:hAnsi="Times New Roman"/>
          <w:b/>
          <w:bCs/>
          <w:color w:val="000000" w:themeColor="text1"/>
          <w:szCs w:val="21"/>
        </w:rPr>
        <w:t>Fig. S</w:t>
      </w:r>
      <w:r>
        <w:rPr>
          <w:rFonts w:ascii="Times New Roman" w:hAnsi="Times New Roman"/>
          <w:b/>
          <w:bCs/>
          <w:color w:val="000000" w:themeColor="text1"/>
          <w:szCs w:val="21"/>
        </w:rPr>
        <w:t>6</w:t>
      </w:r>
    </w:p>
    <w:p w14:paraId="79D3840D" w14:textId="54CB5174" w:rsidR="00BE797D" w:rsidRPr="00DC0BB6" w:rsidRDefault="00BE797D" w:rsidP="00E32A6D">
      <w:pPr>
        <w:rPr>
          <w:rFonts w:ascii="Times New Roman" w:hAnsi="Times New Roman"/>
          <w:b/>
          <w:bCs/>
          <w:color w:val="000000" w:themeColor="text1"/>
          <w:szCs w:val="21"/>
        </w:rPr>
      </w:pPr>
      <w:r w:rsidRPr="00DC0BB6">
        <w:rPr>
          <w:rFonts w:ascii="Times New Roman" w:hAnsi="Times New Roman"/>
          <w:b/>
          <w:bCs/>
          <w:color w:val="000000" w:themeColor="text1"/>
          <w:szCs w:val="21"/>
        </w:rPr>
        <w:t xml:space="preserve">Heatmap of the four modules based on ssGSEA scores for lincRNA genomic clusters. </w:t>
      </w:r>
    </w:p>
    <w:p w14:paraId="67D530B2" w14:textId="77777777" w:rsidR="00BE797D" w:rsidRPr="00BE797D" w:rsidRDefault="00BE797D" w:rsidP="00E32A6D">
      <w:pPr>
        <w:rPr>
          <w:rFonts w:ascii="Times New Roman" w:hAnsi="Times New Roman"/>
          <w:b/>
          <w:bCs/>
          <w:szCs w:val="21"/>
        </w:rPr>
      </w:pPr>
    </w:p>
    <w:p w14:paraId="05CE114A" w14:textId="77777777" w:rsidR="006635B6" w:rsidRPr="00BE797D" w:rsidRDefault="006635B6" w:rsidP="00E32A6D">
      <w:pPr>
        <w:rPr>
          <w:rFonts w:ascii="Times New Roman" w:hAnsi="Times New Roman"/>
          <w:szCs w:val="21"/>
        </w:rPr>
      </w:pPr>
    </w:p>
    <w:p w14:paraId="1C333453" w14:textId="77777777" w:rsidR="006635B6" w:rsidRPr="006635B6" w:rsidRDefault="006635B6" w:rsidP="00E32A6D">
      <w:pPr>
        <w:widowControl/>
        <w:jc w:val="center"/>
        <w:rPr>
          <w:rFonts w:ascii="Times New Roman" w:hAnsi="Times New Roman"/>
          <w:b/>
          <w:szCs w:val="21"/>
          <w:shd w:val="clear" w:color="auto" w:fill="FFFFFF"/>
        </w:rPr>
      </w:pPr>
    </w:p>
    <w:p w14:paraId="083F5AC5" w14:textId="58656216" w:rsidR="001433B3" w:rsidRPr="00A2333A" w:rsidRDefault="00776BA6" w:rsidP="00E32A6D">
      <w:pPr>
        <w:rPr>
          <w:rFonts w:ascii="Times New Roman" w:hAnsi="Times New Roman"/>
          <w:b/>
          <w:color w:val="000000"/>
          <w:sz w:val="20"/>
          <w:szCs w:val="20"/>
          <w:shd w:val="clear" w:color="auto" w:fill="FFFFFF"/>
        </w:rPr>
      </w:pPr>
      <w:r>
        <w:rPr>
          <w:noProof/>
          <w:lang w:val="en-IN" w:eastAsia="en-IN"/>
        </w:rPr>
        <w:lastRenderedPageBreak/>
        <w:drawing>
          <wp:inline distT="0" distB="0" distL="0" distR="0" wp14:anchorId="4E5CED7B" wp14:editId="6EE4C7F3">
            <wp:extent cx="5274310" cy="3841115"/>
            <wp:effectExtent l="0" t="0" r="2540" b="6985"/>
            <wp:docPr id="13" name="图片 13" descr="日历&#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日历&#10;&#10;中度可信度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841115"/>
                    </a:xfrm>
                    <a:prstGeom prst="rect">
                      <a:avLst/>
                    </a:prstGeom>
                    <a:noFill/>
                    <a:ln>
                      <a:noFill/>
                    </a:ln>
                  </pic:spPr>
                </pic:pic>
              </a:graphicData>
            </a:graphic>
          </wp:inline>
        </w:drawing>
      </w:r>
    </w:p>
    <w:p w14:paraId="4CF04014" w14:textId="77777777" w:rsidR="00B16E0F" w:rsidRDefault="00C540BE" w:rsidP="00E32A6D">
      <w:pPr>
        <w:rPr>
          <w:rFonts w:ascii="Times New Roman" w:hAnsi="Times New Roman"/>
          <w:b/>
          <w:sz w:val="20"/>
          <w:szCs w:val="20"/>
          <w:shd w:val="clear" w:color="auto" w:fill="FFFFFF"/>
        </w:rPr>
      </w:pPr>
      <w:r w:rsidRPr="00C540BE">
        <w:rPr>
          <w:rFonts w:ascii="Times New Roman" w:hAnsi="Times New Roman"/>
          <w:b/>
          <w:sz w:val="20"/>
          <w:szCs w:val="20"/>
          <w:shd w:val="clear" w:color="auto" w:fill="FFFFFF"/>
        </w:rPr>
        <w:t>Fig. S</w:t>
      </w:r>
      <w:r>
        <w:rPr>
          <w:rFonts w:ascii="Times New Roman" w:hAnsi="Times New Roman"/>
          <w:b/>
          <w:sz w:val="20"/>
          <w:szCs w:val="20"/>
          <w:shd w:val="clear" w:color="auto" w:fill="FFFFFF"/>
        </w:rPr>
        <w:t>7</w:t>
      </w:r>
    </w:p>
    <w:p w14:paraId="0189E008" w14:textId="781807CD" w:rsidR="00491C97" w:rsidRDefault="00491C97" w:rsidP="00E32A6D">
      <w:pPr>
        <w:rPr>
          <w:rFonts w:ascii="Times New Roman" w:hAnsi="Times New Roman"/>
          <w:b/>
          <w:sz w:val="20"/>
          <w:szCs w:val="20"/>
          <w:shd w:val="clear" w:color="auto" w:fill="FFFFFF"/>
        </w:rPr>
      </w:pPr>
      <w:r w:rsidRPr="00A2333A">
        <w:rPr>
          <w:rFonts w:ascii="Times New Roman" w:hAnsi="Times New Roman"/>
          <w:b/>
          <w:sz w:val="20"/>
          <w:szCs w:val="20"/>
          <w:shd w:val="clear" w:color="auto" w:fill="FFFFFF"/>
        </w:rPr>
        <w:t xml:space="preserve">The expression </w:t>
      </w:r>
      <w:r w:rsidR="00AF1366">
        <w:rPr>
          <w:rFonts w:ascii="Times New Roman" w:hAnsi="Times New Roman"/>
          <w:b/>
          <w:sz w:val="20"/>
          <w:szCs w:val="20"/>
          <w:shd w:val="clear" w:color="auto" w:fill="FFFFFF"/>
        </w:rPr>
        <w:t xml:space="preserve">profiles </w:t>
      </w:r>
      <w:r w:rsidRPr="00A2333A">
        <w:rPr>
          <w:rFonts w:ascii="Times New Roman" w:hAnsi="Times New Roman"/>
          <w:b/>
          <w:sz w:val="20"/>
          <w:szCs w:val="20"/>
          <w:shd w:val="clear" w:color="auto" w:fill="FFFFFF"/>
        </w:rPr>
        <w:t>of lincRNA</w:t>
      </w:r>
      <w:r w:rsidR="00AF1366">
        <w:rPr>
          <w:rFonts w:ascii="Times New Roman" w:hAnsi="Times New Roman"/>
          <w:b/>
          <w:sz w:val="20"/>
          <w:szCs w:val="20"/>
          <w:shd w:val="clear" w:color="auto" w:fill="FFFFFF"/>
        </w:rPr>
        <w:t>s</w:t>
      </w:r>
      <w:r w:rsidRPr="00A2333A">
        <w:rPr>
          <w:rFonts w:ascii="Times New Roman" w:hAnsi="Times New Roman"/>
          <w:b/>
          <w:sz w:val="20"/>
          <w:szCs w:val="20"/>
          <w:shd w:val="clear" w:color="auto" w:fill="FFFFFF"/>
        </w:rPr>
        <w:t xml:space="preserve"> in co-differentially-expressed clusters were displayed by heatmap among</w:t>
      </w:r>
      <w:r w:rsidR="00BE797D">
        <w:rPr>
          <w:rFonts w:ascii="Times New Roman" w:hAnsi="Times New Roman"/>
          <w:b/>
          <w:sz w:val="20"/>
          <w:szCs w:val="20"/>
          <w:shd w:val="clear" w:color="auto" w:fill="FFFFFF"/>
        </w:rPr>
        <w:t xml:space="preserve"> </w:t>
      </w:r>
      <w:r w:rsidRPr="00A2333A">
        <w:rPr>
          <w:rFonts w:ascii="Times New Roman" w:hAnsi="Times New Roman"/>
          <w:b/>
          <w:sz w:val="20"/>
          <w:szCs w:val="20"/>
          <w:shd w:val="clear" w:color="auto" w:fill="FFFFFF"/>
        </w:rPr>
        <w:t>10 cancer types.</w:t>
      </w:r>
    </w:p>
    <w:p w14:paraId="4A915957" w14:textId="26C2C43F" w:rsidR="00BE797D" w:rsidRDefault="00DF3B06" w:rsidP="00E32A6D">
      <w:pPr>
        <w:jc w:val="center"/>
        <w:rPr>
          <w:rFonts w:ascii="Times New Roman" w:hAnsi="Times New Roman"/>
          <w:b/>
          <w:sz w:val="20"/>
          <w:szCs w:val="20"/>
          <w:shd w:val="clear" w:color="auto" w:fill="FFFFFF"/>
        </w:rPr>
      </w:pPr>
      <w:r>
        <w:rPr>
          <w:rFonts w:ascii="Times New Roman" w:hAnsi="Times New Roman"/>
          <w:b/>
          <w:noProof/>
          <w:sz w:val="20"/>
          <w:szCs w:val="20"/>
          <w:shd w:val="clear" w:color="auto" w:fill="FFFFFF"/>
          <w:lang w:val="en-IN" w:eastAsia="en-IN"/>
        </w:rPr>
        <w:lastRenderedPageBreak/>
        <w:drawing>
          <wp:inline distT="0" distB="0" distL="0" distR="0" wp14:anchorId="18EF73B7" wp14:editId="13E531B5">
            <wp:extent cx="5274310" cy="7458075"/>
            <wp:effectExtent l="0" t="0" r="2540" b="9525"/>
            <wp:docPr id="1" name="图片 1"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图表&#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7458075"/>
                    </a:xfrm>
                    <a:prstGeom prst="rect">
                      <a:avLst/>
                    </a:prstGeom>
                  </pic:spPr>
                </pic:pic>
              </a:graphicData>
            </a:graphic>
          </wp:inline>
        </w:drawing>
      </w:r>
    </w:p>
    <w:p w14:paraId="3F4C1623" w14:textId="77777777" w:rsidR="00B16E0F" w:rsidRDefault="00C540BE" w:rsidP="004218F8">
      <w:pPr>
        <w:rPr>
          <w:rFonts w:ascii="Times New Roman" w:hAnsi="Times New Roman"/>
          <w:b/>
          <w:bCs/>
          <w:color w:val="000000" w:themeColor="text1"/>
          <w:szCs w:val="21"/>
        </w:rPr>
      </w:pPr>
      <w:r w:rsidRPr="00C540BE">
        <w:rPr>
          <w:rFonts w:ascii="Times New Roman" w:hAnsi="Times New Roman"/>
          <w:b/>
          <w:bCs/>
          <w:color w:val="000000" w:themeColor="text1"/>
          <w:szCs w:val="21"/>
        </w:rPr>
        <w:t>Fig. S</w:t>
      </w:r>
      <w:r>
        <w:rPr>
          <w:rFonts w:ascii="Times New Roman" w:hAnsi="Times New Roman"/>
          <w:b/>
          <w:bCs/>
          <w:color w:val="000000" w:themeColor="text1"/>
          <w:szCs w:val="21"/>
        </w:rPr>
        <w:t>8</w:t>
      </w:r>
    </w:p>
    <w:p w14:paraId="4381CA41" w14:textId="52526DD3" w:rsidR="00BE797D" w:rsidRPr="004218F8" w:rsidRDefault="004218F8" w:rsidP="004218F8">
      <w:pPr>
        <w:rPr>
          <w:rFonts w:ascii="Times New Roman" w:hAnsi="Times New Roman"/>
          <w:sz w:val="20"/>
          <w:szCs w:val="20"/>
          <w:shd w:val="clear" w:color="auto" w:fill="FFFFFF"/>
        </w:rPr>
      </w:pPr>
      <w:r w:rsidRPr="004218F8">
        <w:rPr>
          <w:rFonts w:ascii="Times New Roman" w:hAnsi="Times New Roman"/>
          <w:b/>
          <w:bCs/>
          <w:color w:val="000000" w:themeColor="text1"/>
          <w:szCs w:val="21"/>
        </w:rPr>
        <w:t xml:space="preserve">Differential expression heatmap of lincRNA genomic cluster between TCGA and GTEx. </w:t>
      </w:r>
      <w:r w:rsidRPr="004218F8">
        <w:rPr>
          <w:rFonts w:ascii="Times New Roman" w:hAnsi="Times New Roman"/>
          <w:color w:val="000000" w:themeColor="text1"/>
          <w:szCs w:val="21"/>
        </w:rPr>
        <w:t>The heat map showing the fold change of lincRNA differential expression. Annotation bars represent the lincRNA genomic clusters.</w:t>
      </w:r>
    </w:p>
    <w:p w14:paraId="216449AE" w14:textId="77777777" w:rsidR="00D54B0D" w:rsidRPr="00A2333A" w:rsidRDefault="001433B3" w:rsidP="00E32A6D">
      <w:pPr>
        <w:rPr>
          <w:rFonts w:ascii="Times New Roman" w:hAnsi="Times New Roman"/>
          <w:b/>
          <w:sz w:val="20"/>
          <w:szCs w:val="20"/>
          <w:shd w:val="clear" w:color="auto" w:fill="FFFFFF"/>
        </w:rPr>
      </w:pPr>
      <w:r w:rsidRPr="00A2333A">
        <w:rPr>
          <w:rFonts w:ascii="Times New Roman" w:hAnsi="Times New Roman"/>
          <w:b/>
          <w:noProof/>
          <w:sz w:val="20"/>
          <w:szCs w:val="20"/>
          <w:shd w:val="clear" w:color="auto" w:fill="FFFFFF"/>
          <w:lang w:val="en-IN" w:eastAsia="en-IN"/>
        </w:rPr>
        <w:lastRenderedPageBreak/>
        <w:drawing>
          <wp:inline distT="0" distB="0" distL="0" distR="0" wp14:anchorId="08EAE85E" wp14:editId="36E112C0">
            <wp:extent cx="5274310" cy="516255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lementary Figure S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5162550"/>
                    </a:xfrm>
                    <a:prstGeom prst="rect">
                      <a:avLst/>
                    </a:prstGeom>
                  </pic:spPr>
                </pic:pic>
              </a:graphicData>
            </a:graphic>
          </wp:inline>
        </w:drawing>
      </w:r>
    </w:p>
    <w:p w14:paraId="1FA96FA3" w14:textId="77777777" w:rsidR="00B16E0F" w:rsidRDefault="00C540BE" w:rsidP="00E32A6D">
      <w:pPr>
        <w:widowControl/>
        <w:rPr>
          <w:rFonts w:ascii="Times New Roman" w:hAnsi="Times New Roman"/>
          <w:b/>
          <w:sz w:val="20"/>
          <w:szCs w:val="20"/>
          <w:shd w:val="clear" w:color="auto" w:fill="FFFFFF"/>
        </w:rPr>
      </w:pPr>
      <w:r w:rsidRPr="00C540BE">
        <w:rPr>
          <w:rFonts w:ascii="Times New Roman" w:hAnsi="Times New Roman"/>
          <w:b/>
          <w:sz w:val="20"/>
          <w:szCs w:val="20"/>
          <w:shd w:val="clear" w:color="auto" w:fill="FFFFFF"/>
        </w:rPr>
        <w:t>Fig. S</w:t>
      </w:r>
      <w:r>
        <w:rPr>
          <w:rFonts w:ascii="Times New Roman" w:hAnsi="Times New Roman"/>
          <w:b/>
          <w:sz w:val="20"/>
          <w:szCs w:val="20"/>
          <w:shd w:val="clear" w:color="auto" w:fill="FFFFFF"/>
        </w:rPr>
        <w:t>9</w:t>
      </w:r>
    </w:p>
    <w:p w14:paraId="1F6B6996" w14:textId="6987F406" w:rsidR="00A2333A" w:rsidRDefault="00491C97" w:rsidP="00E32A6D">
      <w:pPr>
        <w:widowControl/>
        <w:rPr>
          <w:rFonts w:ascii="Times New Roman" w:hAnsi="Times New Roman"/>
          <w:b/>
          <w:sz w:val="20"/>
          <w:szCs w:val="20"/>
          <w:shd w:val="clear" w:color="auto" w:fill="FFFFFF"/>
        </w:rPr>
      </w:pPr>
      <w:r w:rsidRPr="00A2333A">
        <w:rPr>
          <w:rFonts w:ascii="Times New Roman" w:hAnsi="Times New Roman"/>
          <w:b/>
          <w:sz w:val="20"/>
          <w:szCs w:val="20"/>
        </w:rPr>
        <w:t>T</w:t>
      </w:r>
      <w:r w:rsidRPr="00A2333A">
        <w:rPr>
          <w:rFonts w:ascii="Times New Roman" w:hAnsi="Times New Roman"/>
          <w:b/>
          <w:sz w:val="20"/>
          <w:szCs w:val="20"/>
          <w:shd w:val="clear" w:color="auto" w:fill="FFFFFF"/>
        </w:rPr>
        <w:t>he co-expression and co-differentially-expression of each cluster in each cancer w</w:t>
      </w:r>
      <w:r w:rsidR="007522C3">
        <w:rPr>
          <w:rFonts w:ascii="Times New Roman" w:hAnsi="Times New Roman"/>
          <w:b/>
          <w:sz w:val="20"/>
          <w:szCs w:val="20"/>
          <w:shd w:val="clear" w:color="auto" w:fill="FFFFFF"/>
        </w:rPr>
        <w:t xml:space="preserve">ere </w:t>
      </w:r>
      <w:r w:rsidRPr="00A2333A">
        <w:rPr>
          <w:rFonts w:ascii="Times New Roman" w:hAnsi="Times New Roman"/>
          <w:b/>
          <w:sz w:val="20"/>
          <w:szCs w:val="20"/>
          <w:shd w:val="clear" w:color="auto" w:fill="FFFFFF"/>
        </w:rPr>
        <w:t>shown by heatmap.</w:t>
      </w:r>
    </w:p>
    <w:p w14:paraId="76BE6882" w14:textId="77777777" w:rsidR="00A2333A" w:rsidRDefault="00A2333A" w:rsidP="00E32A6D">
      <w:pPr>
        <w:widowControl/>
        <w:jc w:val="left"/>
        <w:rPr>
          <w:rFonts w:ascii="Times New Roman" w:hAnsi="Times New Roman"/>
          <w:b/>
          <w:sz w:val="20"/>
          <w:szCs w:val="20"/>
          <w:shd w:val="clear" w:color="auto" w:fill="FFFFFF"/>
        </w:rPr>
      </w:pPr>
      <w:r>
        <w:rPr>
          <w:rFonts w:ascii="Times New Roman" w:hAnsi="Times New Roman"/>
          <w:b/>
          <w:sz w:val="20"/>
          <w:szCs w:val="20"/>
          <w:shd w:val="clear" w:color="auto" w:fill="FFFFFF"/>
        </w:rPr>
        <w:br w:type="page"/>
      </w:r>
    </w:p>
    <w:p w14:paraId="75F3A720" w14:textId="77777777" w:rsidR="00B16E0F" w:rsidRDefault="00DE5EE1" w:rsidP="00E32A6D">
      <w:pPr>
        <w:widowControl/>
        <w:rPr>
          <w:rFonts w:ascii="Times New Roman" w:hAnsi="Times New Roman"/>
          <w:b/>
          <w:sz w:val="20"/>
          <w:szCs w:val="20"/>
          <w:shd w:val="clear" w:color="auto" w:fill="FFFFFF"/>
        </w:rPr>
      </w:pPr>
      <w:r w:rsidRPr="00A2333A">
        <w:rPr>
          <w:rFonts w:ascii="Times New Roman" w:hAnsi="Times New Roman"/>
          <w:b/>
          <w:noProof/>
          <w:sz w:val="20"/>
          <w:szCs w:val="20"/>
          <w:shd w:val="clear" w:color="auto" w:fill="FFFFFF"/>
          <w:lang w:val="en-IN" w:eastAsia="en-IN"/>
        </w:rPr>
        <w:lastRenderedPageBreak/>
        <w:drawing>
          <wp:inline distT="0" distB="0" distL="0" distR="0" wp14:anchorId="739916DB" wp14:editId="530EB7DC">
            <wp:extent cx="5274310" cy="2797810"/>
            <wp:effectExtent l="0" t="0" r="254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lementary Figure S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797810"/>
                    </a:xfrm>
                    <a:prstGeom prst="rect">
                      <a:avLst/>
                    </a:prstGeom>
                  </pic:spPr>
                </pic:pic>
              </a:graphicData>
            </a:graphic>
          </wp:inline>
        </w:drawing>
      </w:r>
      <w:r w:rsidR="00C540BE" w:rsidRPr="00C540BE">
        <w:rPr>
          <w:rFonts w:ascii="Times New Roman" w:hAnsi="Times New Roman"/>
          <w:b/>
          <w:sz w:val="20"/>
          <w:szCs w:val="20"/>
          <w:shd w:val="clear" w:color="auto" w:fill="FFFFFF"/>
        </w:rPr>
        <w:t>Fig. S</w:t>
      </w:r>
      <w:r w:rsidR="00C540BE">
        <w:rPr>
          <w:rFonts w:ascii="Times New Roman" w:hAnsi="Times New Roman"/>
          <w:b/>
          <w:sz w:val="20"/>
          <w:szCs w:val="20"/>
          <w:shd w:val="clear" w:color="auto" w:fill="FFFFFF"/>
        </w:rPr>
        <w:t>10</w:t>
      </w:r>
    </w:p>
    <w:p w14:paraId="01BC3097" w14:textId="3E08E2DA" w:rsidR="00491C97" w:rsidRPr="00A2333A" w:rsidRDefault="00491C97" w:rsidP="00E32A6D">
      <w:pPr>
        <w:widowControl/>
        <w:rPr>
          <w:rFonts w:ascii="Times New Roman" w:hAnsi="Times New Roman"/>
          <w:b/>
          <w:sz w:val="20"/>
          <w:szCs w:val="20"/>
          <w:shd w:val="clear" w:color="auto" w:fill="FFFFFF"/>
        </w:rPr>
      </w:pPr>
      <w:r w:rsidRPr="00A2333A">
        <w:rPr>
          <w:rFonts w:ascii="Times New Roman" w:hAnsi="Times New Roman"/>
          <w:b/>
          <w:sz w:val="20"/>
          <w:szCs w:val="20"/>
          <w:shd w:val="clear" w:color="auto" w:fill="FFFFFF"/>
        </w:rPr>
        <w:t>Kaplan-Meier survival analysis of single lincRNA in the Cluster127</w:t>
      </w:r>
      <w:r w:rsidRPr="00A2333A">
        <w:rPr>
          <w:rFonts w:ascii="Times New Roman" w:hAnsi="Times New Roman"/>
          <w:sz w:val="20"/>
          <w:szCs w:val="20"/>
          <w:shd w:val="clear" w:color="auto" w:fill="FFFFFF"/>
        </w:rPr>
        <w:t xml:space="preserve">. </w:t>
      </w:r>
    </w:p>
    <w:p w14:paraId="2BA0B533" w14:textId="0BBB96BF" w:rsidR="00274CB2" w:rsidRPr="00A2333A" w:rsidRDefault="00491C97" w:rsidP="00E32A6D">
      <w:pPr>
        <w:rPr>
          <w:rFonts w:ascii="Times New Roman" w:hAnsi="Times New Roman"/>
          <w:sz w:val="20"/>
          <w:szCs w:val="20"/>
          <w:shd w:val="clear" w:color="auto" w:fill="FFFFFF"/>
        </w:rPr>
      </w:pPr>
      <w:r w:rsidRPr="00A2333A">
        <w:rPr>
          <w:rFonts w:ascii="Times New Roman" w:hAnsi="Times New Roman"/>
          <w:sz w:val="20"/>
          <w:szCs w:val="20"/>
          <w:shd w:val="clear" w:color="auto" w:fill="FFFFFF"/>
        </w:rPr>
        <w:t>The single lincRNA could not distinguish CESC patients. Patients showing no progression or who were still alive at the time of the last follow-up were censored (+). P</w:t>
      </w:r>
      <w:r w:rsidR="00AF1366">
        <w:rPr>
          <w:rFonts w:ascii="Times New Roman" w:hAnsi="Times New Roman"/>
          <w:sz w:val="20"/>
          <w:szCs w:val="20"/>
          <w:shd w:val="clear" w:color="auto" w:fill="FFFFFF"/>
        </w:rPr>
        <w:t>-</w:t>
      </w:r>
      <w:r w:rsidRPr="00A2333A">
        <w:rPr>
          <w:rFonts w:ascii="Times New Roman" w:hAnsi="Times New Roman"/>
          <w:sz w:val="20"/>
          <w:szCs w:val="20"/>
          <w:shd w:val="clear" w:color="auto" w:fill="FFFFFF"/>
        </w:rPr>
        <w:t>values were calculated by the log-rank test. The multiple cox survival analysis revealed that Cluster127 could distinguish patients with different clinical outcomes in CESC.</w:t>
      </w:r>
    </w:p>
    <w:p w14:paraId="68DCFDB3" w14:textId="067878E6" w:rsidR="00DE5EE1" w:rsidRPr="00A2333A" w:rsidRDefault="00E32A6D" w:rsidP="00E32A6D">
      <w:pPr>
        <w:widowControl/>
        <w:jc w:val="left"/>
        <w:rPr>
          <w:rFonts w:ascii="Times New Roman" w:hAnsi="Times New Roman"/>
          <w:sz w:val="20"/>
          <w:szCs w:val="20"/>
          <w:shd w:val="clear" w:color="auto" w:fill="FFFFFF"/>
        </w:rPr>
      </w:pPr>
      <w:r w:rsidRPr="00A2333A">
        <w:rPr>
          <w:rFonts w:ascii="Times New Roman" w:hAnsi="Times New Roman"/>
          <w:noProof/>
          <w:sz w:val="20"/>
          <w:szCs w:val="20"/>
          <w:shd w:val="clear" w:color="auto" w:fill="FFFFFF"/>
          <w:lang w:val="en-IN" w:eastAsia="en-IN"/>
        </w:rPr>
        <w:drawing>
          <wp:inline distT="0" distB="0" distL="0" distR="0" wp14:anchorId="324BC97D" wp14:editId="14ADBF1F">
            <wp:extent cx="5274310" cy="2771140"/>
            <wp:effectExtent l="0" t="0" r="2540" b="0"/>
            <wp:docPr id="10" name="图片 1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示&#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771140"/>
                    </a:xfrm>
                    <a:prstGeom prst="rect">
                      <a:avLst/>
                    </a:prstGeom>
                  </pic:spPr>
                </pic:pic>
              </a:graphicData>
            </a:graphic>
          </wp:inline>
        </w:drawing>
      </w:r>
    </w:p>
    <w:p w14:paraId="5CD0F46A" w14:textId="77777777" w:rsidR="00B16E0F" w:rsidRDefault="00C540BE" w:rsidP="006D601C">
      <w:pPr>
        <w:widowControl/>
        <w:jc w:val="left"/>
        <w:rPr>
          <w:rFonts w:ascii="Times New Roman" w:hAnsi="Times New Roman"/>
          <w:b/>
          <w:sz w:val="20"/>
          <w:szCs w:val="20"/>
          <w:shd w:val="clear" w:color="auto" w:fill="FFFFFF"/>
        </w:rPr>
      </w:pPr>
      <w:r w:rsidRPr="00C540BE">
        <w:rPr>
          <w:rFonts w:ascii="Times New Roman" w:hAnsi="Times New Roman"/>
          <w:b/>
          <w:sz w:val="20"/>
          <w:szCs w:val="20"/>
          <w:shd w:val="clear" w:color="auto" w:fill="FFFFFF"/>
        </w:rPr>
        <w:t>Fig. S1</w:t>
      </w:r>
      <w:r w:rsidR="00BE797D">
        <w:rPr>
          <w:rFonts w:ascii="Times New Roman" w:hAnsi="Times New Roman"/>
          <w:b/>
          <w:sz w:val="20"/>
          <w:szCs w:val="20"/>
          <w:shd w:val="clear" w:color="auto" w:fill="FFFFFF"/>
        </w:rPr>
        <w:t>1</w:t>
      </w:r>
    </w:p>
    <w:p w14:paraId="1E39D6FE" w14:textId="28F1BC49" w:rsidR="00491C97" w:rsidRPr="006D601C" w:rsidRDefault="00491C97" w:rsidP="006D601C">
      <w:pPr>
        <w:widowControl/>
        <w:jc w:val="left"/>
        <w:rPr>
          <w:rFonts w:ascii="Times New Roman" w:hAnsi="Times New Roman"/>
          <w:b/>
          <w:sz w:val="20"/>
          <w:szCs w:val="20"/>
          <w:shd w:val="clear" w:color="auto" w:fill="FFFFFF"/>
        </w:rPr>
      </w:pPr>
      <w:r w:rsidRPr="00A2333A">
        <w:rPr>
          <w:rFonts w:ascii="Times New Roman" w:hAnsi="Times New Roman"/>
          <w:b/>
          <w:sz w:val="20"/>
          <w:szCs w:val="20"/>
          <w:shd w:val="clear" w:color="auto" w:fill="FFFFFF"/>
        </w:rPr>
        <w:t>Kaplan-Meier survival analysis of single lincRNA in the Cluster127.</w:t>
      </w:r>
      <w:r w:rsidRPr="00A2333A">
        <w:rPr>
          <w:rFonts w:ascii="Times New Roman" w:hAnsi="Times New Roman"/>
          <w:sz w:val="20"/>
          <w:szCs w:val="20"/>
          <w:shd w:val="clear" w:color="auto" w:fill="FFFFFF"/>
        </w:rPr>
        <w:t xml:space="preserve"> The single lincRNA could not distinguish KICH patients. Patients showing no progression or who were still alive at the time of the last follow-up were censored (+). P</w:t>
      </w:r>
      <w:r w:rsidR="00AF1366">
        <w:rPr>
          <w:rFonts w:ascii="Times New Roman" w:hAnsi="Times New Roman"/>
          <w:sz w:val="20"/>
          <w:szCs w:val="20"/>
          <w:shd w:val="clear" w:color="auto" w:fill="FFFFFF"/>
        </w:rPr>
        <w:t>-</w:t>
      </w:r>
      <w:r w:rsidRPr="00A2333A">
        <w:rPr>
          <w:rFonts w:ascii="Times New Roman" w:hAnsi="Times New Roman"/>
          <w:sz w:val="20"/>
          <w:szCs w:val="20"/>
          <w:shd w:val="clear" w:color="auto" w:fill="FFFFFF"/>
        </w:rPr>
        <w:t>values were calculated by the log-rank test. The multiple cox survival analysis revealed that Cluster127 could distinguish patients with different clinical outcomes in KICH.</w:t>
      </w:r>
    </w:p>
    <w:p w14:paraId="2BF986D9" w14:textId="46E8731F" w:rsidR="00274CB2" w:rsidRDefault="00274CB2" w:rsidP="00E32A6D">
      <w:pPr>
        <w:widowControl/>
        <w:jc w:val="center"/>
        <w:rPr>
          <w:rFonts w:ascii="Times New Roman" w:hAnsi="Times New Roman"/>
          <w:noProof/>
          <w:sz w:val="20"/>
          <w:szCs w:val="20"/>
          <w:shd w:val="clear" w:color="auto" w:fill="FFFFFF"/>
        </w:rPr>
      </w:pPr>
      <w:r w:rsidRPr="00A2333A">
        <w:rPr>
          <w:rFonts w:ascii="Times New Roman" w:hAnsi="Times New Roman"/>
          <w:sz w:val="20"/>
          <w:szCs w:val="20"/>
          <w:shd w:val="clear" w:color="auto" w:fill="FFFFFF"/>
        </w:rPr>
        <w:br w:type="page"/>
      </w:r>
    </w:p>
    <w:p w14:paraId="5E953B9C" w14:textId="07B13845" w:rsidR="00DF3B06" w:rsidRDefault="00DF3B06" w:rsidP="00E32A6D">
      <w:pPr>
        <w:widowControl/>
        <w:jc w:val="center"/>
        <w:rPr>
          <w:rFonts w:ascii="Times New Roman" w:hAnsi="Times New Roman"/>
          <w:sz w:val="20"/>
          <w:szCs w:val="20"/>
          <w:shd w:val="clear" w:color="auto" w:fill="FFFFFF"/>
        </w:rPr>
      </w:pPr>
      <w:r>
        <w:rPr>
          <w:rFonts w:ascii="Times New Roman" w:hAnsi="Times New Roman"/>
          <w:noProof/>
          <w:sz w:val="20"/>
          <w:szCs w:val="20"/>
          <w:shd w:val="clear" w:color="auto" w:fill="FFFFFF"/>
          <w:lang w:val="en-IN" w:eastAsia="en-IN"/>
        </w:rPr>
        <w:lastRenderedPageBreak/>
        <w:drawing>
          <wp:inline distT="0" distB="0" distL="0" distR="0" wp14:anchorId="34C85C40" wp14:editId="36DD8AD9">
            <wp:extent cx="5274310" cy="7458075"/>
            <wp:effectExtent l="0" t="0" r="2540" b="9525"/>
            <wp:docPr id="12" name="图片 12"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表, 条形图&#10;&#10;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7458075"/>
                    </a:xfrm>
                    <a:prstGeom prst="rect">
                      <a:avLst/>
                    </a:prstGeom>
                  </pic:spPr>
                </pic:pic>
              </a:graphicData>
            </a:graphic>
          </wp:inline>
        </w:drawing>
      </w:r>
    </w:p>
    <w:p w14:paraId="67849F8B" w14:textId="77777777" w:rsidR="00B16E0F" w:rsidRDefault="00C540BE" w:rsidP="00DE5869">
      <w:pPr>
        <w:widowControl/>
        <w:jc w:val="left"/>
        <w:rPr>
          <w:rFonts w:ascii="Times New Roman" w:hAnsi="Times New Roman"/>
          <w:b/>
          <w:bCs/>
          <w:color w:val="000000" w:themeColor="text1"/>
          <w:szCs w:val="21"/>
        </w:rPr>
      </w:pPr>
      <w:r w:rsidRPr="00C540BE">
        <w:rPr>
          <w:rFonts w:ascii="Times New Roman" w:hAnsi="Times New Roman"/>
          <w:b/>
          <w:bCs/>
          <w:color w:val="000000" w:themeColor="text1"/>
          <w:szCs w:val="21"/>
        </w:rPr>
        <w:t>Fig. S1</w:t>
      </w:r>
      <w:r w:rsidR="00DE5869" w:rsidRPr="00DE5869">
        <w:rPr>
          <w:rFonts w:ascii="Times New Roman" w:hAnsi="Times New Roman"/>
          <w:b/>
          <w:bCs/>
          <w:color w:val="000000" w:themeColor="text1"/>
          <w:szCs w:val="21"/>
        </w:rPr>
        <w:t>2</w:t>
      </w:r>
    </w:p>
    <w:p w14:paraId="5E620CAD" w14:textId="6B8BA6A3" w:rsidR="00BE797D" w:rsidRPr="00DE5869" w:rsidRDefault="00DE5869" w:rsidP="00DE5869">
      <w:pPr>
        <w:widowControl/>
        <w:jc w:val="left"/>
        <w:rPr>
          <w:rFonts w:ascii="Times New Roman" w:hAnsi="Times New Roman"/>
          <w:szCs w:val="21"/>
          <w:shd w:val="clear" w:color="auto" w:fill="FFFFFF"/>
        </w:rPr>
      </w:pPr>
      <w:r w:rsidRPr="00DE5869">
        <w:rPr>
          <w:rFonts w:ascii="Times New Roman" w:hAnsi="Times New Roman"/>
          <w:b/>
          <w:bCs/>
          <w:color w:val="000000" w:themeColor="text1"/>
          <w:szCs w:val="21"/>
        </w:rPr>
        <w:t>The GO enrichment analysis of mRNAs co-expressed with Cluster127 in BLCA and LIHC separately.</w:t>
      </w:r>
      <w:r w:rsidRPr="00DE5869">
        <w:rPr>
          <w:rFonts w:ascii="Times New Roman" w:hAnsi="Times New Roman"/>
          <w:color w:val="000000" w:themeColor="text1"/>
          <w:szCs w:val="21"/>
        </w:rPr>
        <w:t xml:space="preserve"> The different colors showing the adjust P-value of enrichment.</w:t>
      </w:r>
      <w:bookmarkStart w:id="0" w:name="_GoBack"/>
      <w:bookmarkEnd w:id="0"/>
    </w:p>
    <w:sectPr w:rsidR="00BE797D" w:rsidRPr="00DE5869" w:rsidSect="00491C9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E19F0D" w14:textId="77777777" w:rsidR="000B4209" w:rsidRDefault="000B4209" w:rsidP="000A7F02">
      <w:r>
        <w:separator/>
      </w:r>
    </w:p>
  </w:endnote>
  <w:endnote w:type="continuationSeparator" w:id="0">
    <w:p w14:paraId="0F8A790F" w14:textId="77777777" w:rsidR="000B4209" w:rsidRDefault="000B4209" w:rsidP="000A7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836547" w14:textId="77777777" w:rsidR="000B4209" w:rsidRDefault="000B4209" w:rsidP="000A7F02">
      <w:r>
        <w:separator/>
      </w:r>
    </w:p>
  </w:footnote>
  <w:footnote w:type="continuationSeparator" w:id="0">
    <w:p w14:paraId="2956AF51" w14:textId="77777777" w:rsidR="000B4209" w:rsidRDefault="000B4209" w:rsidP="000A7F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488"/>
    <w:rsid w:val="00011C27"/>
    <w:rsid w:val="00013947"/>
    <w:rsid w:val="0002159B"/>
    <w:rsid w:val="000A7F02"/>
    <w:rsid w:val="000B4209"/>
    <w:rsid w:val="00114671"/>
    <w:rsid w:val="001433B3"/>
    <w:rsid w:val="001471FB"/>
    <w:rsid w:val="00194052"/>
    <w:rsid w:val="001A68B0"/>
    <w:rsid w:val="002700B6"/>
    <w:rsid w:val="00274CB2"/>
    <w:rsid w:val="002946AB"/>
    <w:rsid w:val="003B03BC"/>
    <w:rsid w:val="004218F8"/>
    <w:rsid w:val="00491C97"/>
    <w:rsid w:val="004A0B97"/>
    <w:rsid w:val="0055324E"/>
    <w:rsid w:val="0057640E"/>
    <w:rsid w:val="00600254"/>
    <w:rsid w:val="006635B6"/>
    <w:rsid w:val="00680BD1"/>
    <w:rsid w:val="006A0C5C"/>
    <w:rsid w:val="006B10C2"/>
    <w:rsid w:val="006D601C"/>
    <w:rsid w:val="00733352"/>
    <w:rsid w:val="0073406E"/>
    <w:rsid w:val="007522C3"/>
    <w:rsid w:val="00776BA6"/>
    <w:rsid w:val="007F5B23"/>
    <w:rsid w:val="00913793"/>
    <w:rsid w:val="00917AB8"/>
    <w:rsid w:val="00977A3C"/>
    <w:rsid w:val="009F3305"/>
    <w:rsid w:val="00A2333A"/>
    <w:rsid w:val="00A25A22"/>
    <w:rsid w:val="00A42488"/>
    <w:rsid w:val="00A5432D"/>
    <w:rsid w:val="00AE67BA"/>
    <w:rsid w:val="00AF1366"/>
    <w:rsid w:val="00B16E0F"/>
    <w:rsid w:val="00BE797D"/>
    <w:rsid w:val="00BF6EBD"/>
    <w:rsid w:val="00C540BE"/>
    <w:rsid w:val="00D54B0D"/>
    <w:rsid w:val="00DA70ED"/>
    <w:rsid w:val="00DC0B08"/>
    <w:rsid w:val="00DC0BB6"/>
    <w:rsid w:val="00DE5869"/>
    <w:rsid w:val="00DE5EE1"/>
    <w:rsid w:val="00DF3B06"/>
    <w:rsid w:val="00E21229"/>
    <w:rsid w:val="00E32A6D"/>
    <w:rsid w:val="00E549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2D8E17"/>
  <w15:chartTrackingRefBased/>
  <w15:docId w15:val="{BBA1E59E-7E8A-408F-8CD0-FC394211F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C97"/>
    <w:pPr>
      <w:widowControl w:val="0"/>
      <w:jc w:val="both"/>
    </w:pPr>
    <w:rPr>
      <w:rFonts w:ascii="Calibri" w:eastAsia="SimSu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7F02"/>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HeaderChar">
    <w:name w:val="Header Char"/>
    <w:basedOn w:val="DefaultParagraphFont"/>
    <w:link w:val="Header"/>
    <w:uiPriority w:val="99"/>
    <w:rsid w:val="000A7F02"/>
    <w:rPr>
      <w:sz w:val="18"/>
      <w:szCs w:val="18"/>
    </w:rPr>
  </w:style>
  <w:style w:type="paragraph" w:styleId="Footer">
    <w:name w:val="footer"/>
    <w:basedOn w:val="Normal"/>
    <w:link w:val="FooterChar"/>
    <w:uiPriority w:val="99"/>
    <w:unhideWhenUsed/>
    <w:rsid w:val="000A7F02"/>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FooterChar">
    <w:name w:val="Footer Char"/>
    <w:basedOn w:val="DefaultParagraphFont"/>
    <w:link w:val="Footer"/>
    <w:uiPriority w:val="99"/>
    <w:qFormat/>
    <w:rsid w:val="000A7F02"/>
    <w:rPr>
      <w:sz w:val="18"/>
      <w:szCs w:val="18"/>
    </w:rPr>
  </w:style>
  <w:style w:type="paragraph" w:styleId="NormalWeb">
    <w:name w:val="Normal (Web)"/>
    <w:basedOn w:val="Normal"/>
    <w:uiPriority w:val="99"/>
    <w:semiHidden/>
    <w:unhideWhenUsed/>
    <w:rsid w:val="000A7F02"/>
    <w:pPr>
      <w:widowControl/>
      <w:spacing w:before="100" w:beforeAutospacing="1" w:after="100" w:afterAutospacing="1"/>
      <w:jc w:val="left"/>
    </w:pPr>
    <w:rPr>
      <w:rFonts w:ascii="SimSun" w:hAnsi="SimSun" w:cs="SimSun"/>
      <w:kern w:val="0"/>
      <w:sz w:val="24"/>
      <w:szCs w:val="24"/>
    </w:rPr>
  </w:style>
  <w:style w:type="character" w:styleId="Strong">
    <w:name w:val="Strong"/>
    <w:basedOn w:val="DefaultParagraphFont"/>
    <w:uiPriority w:val="22"/>
    <w:qFormat/>
    <w:rsid w:val="000A7F02"/>
    <w:rPr>
      <w:b/>
      <w:bCs/>
    </w:rPr>
  </w:style>
  <w:style w:type="character" w:styleId="LineNumber">
    <w:name w:val="line number"/>
    <w:basedOn w:val="DefaultParagraphFont"/>
    <w:uiPriority w:val="99"/>
    <w:semiHidden/>
    <w:unhideWhenUsed/>
    <w:rsid w:val="00491C97"/>
  </w:style>
  <w:style w:type="table" w:styleId="TableGrid">
    <w:name w:val="Table Grid"/>
    <w:basedOn w:val="TableNormal"/>
    <w:uiPriority w:val="39"/>
    <w:rsid w:val="00DE5E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138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tif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tiff"/><Relationship Id="rId17" Type="http://schemas.openxmlformats.org/officeDocument/2006/relationships/image" Target="media/image12.tiff"/><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tiff"/><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1796</TotalTime>
  <Pages>10</Pages>
  <Words>521</Words>
  <Characters>2976</Characters>
  <Application>Microsoft Office Word</Application>
  <DocSecurity>0</DocSecurity>
  <Lines>24</Lines>
  <Paragraphs>6</Paragraphs>
  <ScaleCrop>false</ScaleCrop>
  <Company/>
  <LinksUpToDate>false</LinksUpToDate>
  <CharactersWithSpaces>3491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dell01</dc:creator>
  <cp:keywords/>
  <dc:description/>
  <cp:lastModifiedBy>Jerfin A.</cp:lastModifiedBy>
  <cp:revision>8</cp:revision>
  <cp:lastPrinted>2021-10-12T08:57:00Z</cp:lastPrinted>
  <dcterms:created xsi:type="dcterms:W3CDTF">2021-12-07T01:56:00Z</dcterms:created>
  <dcterms:modified xsi:type="dcterms:W3CDTF">2021-12-09T13:22:00Z</dcterms:modified>
</cp:coreProperties>
</file>